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6E8C" w:rsidRDefault="00666E8C">
      <w:pPr>
        <w:widowControl/>
        <w:jc w:val="left"/>
      </w:pPr>
    </w:p>
    <w:p w:rsidR="00666E8C" w:rsidRDefault="00E40F9E">
      <w:pPr>
        <w:widowControl/>
        <w:jc w:val="left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4.9pt;height:149.35pt">
            <v:imagedata r:id="rId6" o:title="Figure S1"/>
          </v:shape>
        </w:pict>
      </w:r>
    </w:p>
    <w:p w:rsidR="00666E8C" w:rsidRDefault="00666E8C">
      <w:pPr>
        <w:widowControl/>
        <w:jc w:val="left"/>
      </w:pPr>
    </w:p>
    <w:p w:rsidR="00666E8C" w:rsidRDefault="00666E8C" w:rsidP="00B20EE4">
      <w:pPr>
        <w:widowControl/>
        <w:spacing w:line="360" w:lineRule="auto"/>
      </w:pPr>
      <w:r w:rsidRPr="00472AF5">
        <w:rPr>
          <w:b/>
          <w:sz w:val="24"/>
        </w:rPr>
        <w:t>F</w:t>
      </w:r>
      <w:r w:rsidRPr="00472AF5">
        <w:rPr>
          <w:rFonts w:hint="eastAsia"/>
          <w:b/>
          <w:sz w:val="24"/>
        </w:rPr>
        <w:t>igure</w:t>
      </w:r>
      <w:r w:rsidRPr="00472AF5">
        <w:rPr>
          <w:b/>
          <w:sz w:val="24"/>
        </w:rPr>
        <w:t xml:space="preserve"> S1.</w:t>
      </w:r>
      <w:r>
        <w:rPr>
          <w:sz w:val="24"/>
        </w:rPr>
        <w:t xml:space="preserve"> </w:t>
      </w:r>
      <w:r w:rsidRPr="00666E8C">
        <w:rPr>
          <w:sz w:val="24"/>
        </w:rPr>
        <w:t xml:space="preserve">The </w:t>
      </w:r>
      <w:r>
        <w:rPr>
          <w:rFonts w:hint="eastAsia"/>
          <w:sz w:val="24"/>
        </w:rPr>
        <w:t>change</w:t>
      </w:r>
      <w:r>
        <w:rPr>
          <w:sz w:val="24"/>
        </w:rPr>
        <w:t>s of single fruit weight, longitudinal diameter, transverse diameter, stone cell, soluble sugars, ethylene, flesh firmness, and soluble solids</w:t>
      </w:r>
      <w:r w:rsidRPr="00666E8C">
        <w:rPr>
          <w:sz w:val="24"/>
        </w:rPr>
        <w:t xml:space="preserve"> during fruit development</w:t>
      </w:r>
      <w:r>
        <w:rPr>
          <w:sz w:val="24"/>
        </w:rPr>
        <w:t>. S1 to S11 indicate the pear fruit at 4, 6, 8, 10, 12, 14, 16, 18, 20, 22, and 24 weeks after flower blooming, respectively. N/A represents u</w:t>
      </w:r>
      <w:r w:rsidRPr="00666E8C">
        <w:rPr>
          <w:sz w:val="24"/>
        </w:rPr>
        <w:t>nmeasurable data</w:t>
      </w:r>
      <w:r>
        <w:rPr>
          <w:sz w:val="24"/>
        </w:rPr>
        <w:t>.</w:t>
      </w:r>
    </w:p>
    <w:p w:rsidR="00666E8C" w:rsidRDefault="00666E8C" w:rsidP="00666E8C">
      <w:pPr>
        <w:widowControl/>
        <w:spacing w:line="360" w:lineRule="auto"/>
        <w:jc w:val="left"/>
      </w:pPr>
    </w:p>
    <w:p w:rsidR="00666E8C" w:rsidRDefault="00666E8C">
      <w:pPr>
        <w:widowControl/>
        <w:jc w:val="left"/>
      </w:pPr>
      <w:r>
        <w:br w:type="page"/>
      </w:r>
    </w:p>
    <w:p w:rsidR="00C04BBD" w:rsidRDefault="00C04BBD"/>
    <w:p w:rsidR="00666E8C" w:rsidRDefault="00666E8C"/>
    <w:p w:rsidR="00C65409" w:rsidRDefault="00E40F9E" w:rsidP="003151B7">
      <w:pPr>
        <w:jc w:val="center"/>
      </w:pPr>
      <w:r>
        <w:pict>
          <v:shape id="_x0000_i1026" type="#_x0000_t75" style="width:283.35pt;height:321.85pt">
            <v:imagedata r:id="rId7" o:title="Figure S2"/>
          </v:shape>
        </w:pict>
      </w:r>
    </w:p>
    <w:p w:rsidR="00666E8C" w:rsidRDefault="00666E8C"/>
    <w:p w:rsidR="00C65409" w:rsidRPr="00C65409" w:rsidRDefault="00C65409" w:rsidP="002B45D7">
      <w:pPr>
        <w:spacing w:line="360" w:lineRule="auto"/>
      </w:pPr>
      <w:r w:rsidRPr="00472AF5">
        <w:rPr>
          <w:b/>
          <w:sz w:val="24"/>
        </w:rPr>
        <w:t>F</w:t>
      </w:r>
      <w:r w:rsidRPr="00472AF5">
        <w:rPr>
          <w:rFonts w:hint="eastAsia"/>
          <w:b/>
          <w:sz w:val="24"/>
        </w:rPr>
        <w:t>igure</w:t>
      </w:r>
      <w:r w:rsidRPr="00472AF5">
        <w:rPr>
          <w:b/>
          <w:sz w:val="24"/>
        </w:rPr>
        <w:t xml:space="preserve"> S</w:t>
      </w:r>
      <w:r w:rsidR="00666E8C">
        <w:rPr>
          <w:b/>
          <w:sz w:val="24"/>
        </w:rPr>
        <w:t>2</w:t>
      </w:r>
      <w:r w:rsidRPr="00472AF5">
        <w:rPr>
          <w:b/>
          <w:sz w:val="24"/>
        </w:rPr>
        <w:t>.</w:t>
      </w:r>
      <w:r>
        <w:rPr>
          <w:sz w:val="24"/>
        </w:rPr>
        <w:t xml:space="preserve"> </w:t>
      </w:r>
      <w:r w:rsidR="003151B7" w:rsidRPr="003151B7">
        <w:rPr>
          <w:sz w:val="24"/>
        </w:rPr>
        <w:t>Clustering analysis revealed that the profiling of differentially accumulated metabolites were grouped into eight clusters</w:t>
      </w:r>
      <w:r>
        <w:rPr>
          <w:sz w:val="24"/>
        </w:rPr>
        <w:t>, I</w:t>
      </w:r>
      <w:r>
        <w:rPr>
          <w:rFonts w:ascii="Times New Roman" w:hAnsi="Times New Roman" w:cs="Times New Roman"/>
          <w:sz w:val="24"/>
        </w:rPr>
        <w:t>→</w:t>
      </w:r>
      <w:r>
        <w:rPr>
          <w:sz w:val="24"/>
        </w:rPr>
        <w:t xml:space="preserve">VIII. S1 to S11 indicate </w:t>
      </w:r>
      <w:r w:rsidR="00CA0867">
        <w:rPr>
          <w:sz w:val="24"/>
        </w:rPr>
        <w:t>different stages</w:t>
      </w:r>
      <w:r>
        <w:rPr>
          <w:sz w:val="24"/>
        </w:rPr>
        <w:t xml:space="preserve">. Z-score standardized values of each metabolite were used for clustering analysis. </w:t>
      </w:r>
      <w:r w:rsidR="003151B7" w:rsidRPr="003151B7">
        <w:rPr>
          <w:sz w:val="24"/>
        </w:rPr>
        <w:t>The y axis depicts the Z-score standardized value of each metabolite across all 11 stages.</w:t>
      </w:r>
    </w:p>
    <w:p w:rsidR="00C65409" w:rsidRDefault="00C65409">
      <w:pPr>
        <w:widowControl/>
        <w:jc w:val="left"/>
      </w:pPr>
      <w:r>
        <w:br w:type="page"/>
      </w:r>
    </w:p>
    <w:p w:rsidR="00C65409" w:rsidRDefault="00E40F9E">
      <w:r w:rsidRPr="00E40F9E">
        <w:rPr>
          <w:noProof/>
        </w:rPr>
        <w:lastRenderedPageBreak/>
        <w:drawing>
          <wp:inline distT="0" distB="0" distL="0" distR="0">
            <wp:extent cx="5274310" cy="3348544"/>
            <wp:effectExtent l="0" t="0" r="2540" b="4445"/>
            <wp:docPr id="5" name="图片 5" descr="E:\组学数据\DS sequencing\Article\Manuscript\GB\Minor revision\Figure S3-1_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E:\组学数据\DS sequencing\Article\Manuscript\GB\Minor revision\Figure S3-1_1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348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C65409" w:rsidRDefault="00C65409"/>
    <w:p w:rsidR="00C65409" w:rsidRPr="00C65409" w:rsidRDefault="00C65409" w:rsidP="002B45D7">
      <w:pPr>
        <w:spacing w:line="360" w:lineRule="auto"/>
      </w:pPr>
      <w:r w:rsidRPr="00084CF8">
        <w:rPr>
          <w:b/>
          <w:sz w:val="24"/>
        </w:rPr>
        <w:t>Figure S</w:t>
      </w:r>
      <w:r w:rsidR="00666E8C">
        <w:rPr>
          <w:b/>
          <w:sz w:val="24"/>
        </w:rPr>
        <w:t>3</w:t>
      </w:r>
      <w:r w:rsidRPr="00084CF8">
        <w:rPr>
          <w:b/>
          <w:sz w:val="24"/>
        </w:rPr>
        <w:t xml:space="preserve">. </w:t>
      </w:r>
      <w:r>
        <w:rPr>
          <w:sz w:val="24"/>
        </w:rPr>
        <w:t>Analysis of the metabolites differentially accumulated between two adjacent stages</w:t>
      </w:r>
      <w:r w:rsidRPr="00084CF8">
        <w:rPr>
          <w:sz w:val="24"/>
        </w:rPr>
        <w:t>.</w:t>
      </w:r>
      <w:r>
        <w:rPr>
          <w:sz w:val="24"/>
        </w:rPr>
        <w:t xml:space="preserve"> </w:t>
      </w:r>
      <w:r w:rsidR="00666E8C">
        <w:rPr>
          <w:b/>
          <w:sz w:val="24"/>
        </w:rPr>
        <w:t>a</w:t>
      </w:r>
      <w:r>
        <w:rPr>
          <w:sz w:val="24"/>
        </w:rPr>
        <w:t xml:space="preserve"> </w:t>
      </w:r>
      <w:r w:rsidR="00666E8C">
        <w:rPr>
          <w:sz w:val="24"/>
        </w:rPr>
        <w:t>I</w:t>
      </w:r>
      <w:r>
        <w:rPr>
          <w:sz w:val="24"/>
        </w:rPr>
        <w:t>dentification of the metabolites differentially accumulated between two adjacent stages</w:t>
      </w:r>
      <w:r w:rsidRPr="00084CF8">
        <w:rPr>
          <w:sz w:val="24"/>
        </w:rPr>
        <w:t>.</w:t>
      </w:r>
      <w:r>
        <w:rPr>
          <w:sz w:val="24"/>
        </w:rPr>
        <w:t xml:space="preserve"> The metabolites above arrows are significantly increased in the </w:t>
      </w:r>
      <w:r w:rsidR="00BC2863" w:rsidRPr="00BC2863">
        <w:rPr>
          <w:sz w:val="24"/>
        </w:rPr>
        <w:t>subsequent</w:t>
      </w:r>
      <w:r>
        <w:rPr>
          <w:sz w:val="24"/>
        </w:rPr>
        <w:t xml:space="preserve"> stage</w:t>
      </w:r>
      <w:r w:rsidR="00BC2863">
        <w:rPr>
          <w:sz w:val="24"/>
        </w:rPr>
        <w:t xml:space="preserve"> when</w:t>
      </w:r>
      <w:r>
        <w:rPr>
          <w:sz w:val="24"/>
        </w:rPr>
        <w:t xml:space="preserve"> compared to the </w:t>
      </w:r>
      <w:r w:rsidR="00BC2863" w:rsidRPr="00BC2863">
        <w:rPr>
          <w:sz w:val="24"/>
        </w:rPr>
        <w:t>preceding</w:t>
      </w:r>
      <w:r>
        <w:rPr>
          <w:sz w:val="24"/>
        </w:rPr>
        <w:t xml:space="preserve"> stage</w:t>
      </w:r>
      <w:r w:rsidR="00BC2863">
        <w:rPr>
          <w:sz w:val="24"/>
        </w:rPr>
        <w:t xml:space="preserve">. </w:t>
      </w:r>
      <w:r w:rsidR="00BC2863" w:rsidRPr="00BC2863">
        <w:rPr>
          <w:sz w:val="24"/>
        </w:rPr>
        <w:t>Conversely,</w:t>
      </w:r>
      <w:r>
        <w:rPr>
          <w:sz w:val="24"/>
        </w:rPr>
        <w:t xml:space="preserve"> the metabolites below arrows are significantly decreased. </w:t>
      </w:r>
      <w:r w:rsidR="00666E8C">
        <w:rPr>
          <w:b/>
          <w:sz w:val="24"/>
        </w:rPr>
        <w:t>b</w:t>
      </w:r>
      <w:r>
        <w:rPr>
          <w:b/>
          <w:sz w:val="24"/>
        </w:rPr>
        <w:t xml:space="preserve"> </w:t>
      </w:r>
      <w:r>
        <w:rPr>
          <w:sz w:val="24"/>
        </w:rPr>
        <w:t>The number and cluster of the metabolites differentially accumulated between two adjacent stages</w:t>
      </w:r>
      <w:r w:rsidRPr="00084CF8">
        <w:rPr>
          <w:sz w:val="24"/>
        </w:rPr>
        <w:t>.</w:t>
      </w:r>
    </w:p>
    <w:p w:rsidR="00C65409" w:rsidRDefault="00C65409">
      <w:pPr>
        <w:widowControl/>
        <w:jc w:val="left"/>
      </w:pPr>
      <w:r>
        <w:br w:type="page"/>
      </w:r>
    </w:p>
    <w:p w:rsidR="00C65409" w:rsidRDefault="00E40F9E" w:rsidP="006E1ADF">
      <w:pPr>
        <w:jc w:val="center"/>
      </w:pPr>
      <w:r>
        <w:rPr>
          <w:noProof/>
        </w:rPr>
        <w:lastRenderedPageBreak/>
        <w:pict>
          <v:shape id="_x0000_i1028" type="#_x0000_t75" style="width:283.35pt;height:350.4pt">
            <v:imagedata r:id="rId9" o:title="Figure S4"/>
          </v:shape>
        </w:pict>
      </w:r>
    </w:p>
    <w:p w:rsidR="00C65409" w:rsidRDefault="00C65409"/>
    <w:p w:rsidR="000D4B4C" w:rsidRDefault="00C65409" w:rsidP="002B45D7">
      <w:pPr>
        <w:spacing w:line="360" w:lineRule="auto"/>
        <w:rPr>
          <w:sz w:val="24"/>
        </w:rPr>
      </w:pPr>
      <w:r w:rsidRPr="0030149D">
        <w:rPr>
          <w:rFonts w:hint="eastAsia"/>
          <w:b/>
          <w:sz w:val="24"/>
        </w:rPr>
        <w:t>F</w:t>
      </w:r>
      <w:r w:rsidRPr="0030149D">
        <w:rPr>
          <w:b/>
          <w:sz w:val="24"/>
        </w:rPr>
        <w:t>igure S</w:t>
      </w:r>
      <w:r w:rsidR="00666E8C">
        <w:rPr>
          <w:b/>
          <w:sz w:val="24"/>
        </w:rPr>
        <w:t>4</w:t>
      </w:r>
      <w:r w:rsidRPr="0030149D">
        <w:rPr>
          <w:b/>
          <w:sz w:val="24"/>
        </w:rPr>
        <w:t>.</w:t>
      </w:r>
      <w:r>
        <w:rPr>
          <w:sz w:val="24"/>
        </w:rPr>
        <w:t xml:space="preserve"> </w:t>
      </w:r>
      <w:r w:rsidR="000D4B4C" w:rsidRPr="003151B7">
        <w:rPr>
          <w:sz w:val="24"/>
        </w:rPr>
        <w:t>Clustering analysis revealed the profiling</w:t>
      </w:r>
      <w:r w:rsidR="000D4B4C">
        <w:rPr>
          <w:sz w:val="24"/>
        </w:rPr>
        <w:t xml:space="preserve"> and number</w:t>
      </w:r>
      <w:r w:rsidR="000D4B4C" w:rsidRPr="003151B7">
        <w:rPr>
          <w:sz w:val="24"/>
        </w:rPr>
        <w:t xml:space="preserve"> of </w:t>
      </w:r>
      <w:r w:rsidR="000D4B4C" w:rsidRPr="000D4B4C">
        <w:rPr>
          <w:sz w:val="24"/>
        </w:rPr>
        <w:t>differentially expressed proteins</w:t>
      </w:r>
      <w:r w:rsidR="000D4B4C">
        <w:rPr>
          <w:sz w:val="24"/>
        </w:rPr>
        <w:t xml:space="preserve"> (D</w:t>
      </w:r>
      <w:r w:rsidR="00C04194">
        <w:rPr>
          <w:sz w:val="24"/>
        </w:rPr>
        <w:t>E</w:t>
      </w:r>
      <w:r w:rsidR="000D4B4C">
        <w:rPr>
          <w:sz w:val="24"/>
        </w:rPr>
        <w:t>Ps) correlating with the DAMs</w:t>
      </w:r>
      <w:r w:rsidR="000D4B4C" w:rsidRPr="003151B7">
        <w:rPr>
          <w:sz w:val="24"/>
        </w:rPr>
        <w:t xml:space="preserve"> in eight clusters</w:t>
      </w:r>
      <w:r w:rsidR="000D4B4C">
        <w:rPr>
          <w:sz w:val="24"/>
        </w:rPr>
        <w:t xml:space="preserve">. </w:t>
      </w:r>
      <w:r w:rsidR="000D4B4C" w:rsidRPr="000D4B4C">
        <w:rPr>
          <w:b/>
          <w:sz w:val="24"/>
        </w:rPr>
        <w:t>a</w:t>
      </w:r>
      <w:r w:rsidR="000D4B4C">
        <w:rPr>
          <w:sz w:val="24"/>
        </w:rPr>
        <w:t xml:space="preserve"> The expression patterns of D</w:t>
      </w:r>
      <w:r w:rsidR="00C04194">
        <w:rPr>
          <w:sz w:val="24"/>
        </w:rPr>
        <w:t>E</w:t>
      </w:r>
      <w:r w:rsidR="000D4B4C">
        <w:rPr>
          <w:sz w:val="24"/>
        </w:rPr>
        <w:t>P</w:t>
      </w:r>
      <w:r w:rsidR="000D4B4C" w:rsidRPr="000D4B4C">
        <w:rPr>
          <w:sz w:val="24"/>
        </w:rPr>
        <w:t xml:space="preserve">s </w:t>
      </w:r>
      <w:r w:rsidR="000D4B4C">
        <w:rPr>
          <w:sz w:val="24"/>
        </w:rPr>
        <w:t>correlating with the DAMs</w:t>
      </w:r>
      <w:r w:rsidR="000D4B4C" w:rsidRPr="003151B7">
        <w:rPr>
          <w:sz w:val="24"/>
        </w:rPr>
        <w:t xml:space="preserve"> in eight clusters</w:t>
      </w:r>
      <w:r w:rsidR="000D4B4C">
        <w:rPr>
          <w:sz w:val="24"/>
        </w:rPr>
        <w:t xml:space="preserve">. The y axis depicts the Z-score standardized value of each protein across all 11 stages (from S1 to S11). The numbers in each box are the number of proteins in each cluster. </w:t>
      </w:r>
      <w:r w:rsidR="000D4B4C" w:rsidRPr="000D4B4C">
        <w:rPr>
          <w:b/>
          <w:sz w:val="24"/>
        </w:rPr>
        <w:t>b</w:t>
      </w:r>
      <w:r w:rsidR="000D4B4C">
        <w:rPr>
          <w:sz w:val="24"/>
        </w:rPr>
        <w:t xml:space="preserve"> Two venn diagrams displays the numbers of D</w:t>
      </w:r>
      <w:r w:rsidR="00C04194">
        <w:rPr>
          <w:sz w:val="24"/>
        </w:rPr>
        <w:t>E</w:t>
      </w:r>
      <w:r w:rsidR="000D4B4C">
        <w:rPr>
          <w:sz w:val="24"/>
        </w:rPr>
        <w:t>Ps</w:t>
      </w:r>
      <w:r w:rsidR="00C04194">
        <w:rPr>
          <w:sz w:val="24"/>
        </w:rPr>
        <w:t xml:space="preserve"> among eight clusters.</w:t>
      </w:r>
      <w:r w:rsidR="00C04194" w:rsidRPr="00C04194">
        <w:rPr>
          <w:sz w:val="24"/>
        </w:rPr>
        <w:t xml:space="preserve"> </w:t>
      </w:r>
      <w:r w:rsidR="00C04194">
        <w:rPr>
          <w:sz w:val="24"/>
        </w:rPr>
        <w:t>‘Positive’ represents the positive correlation (Pearson coefficient &gt; 0.85 and false dis</w:t>
      </w:r>
      <w:r w:rsidR="00BC2863">
        <w:rPr>
          <w:sz w:val="24"/>
        </w:rPr>
        <w:t>covery rate &lt; 0.05) of proteins</w:t>
      </w:r>
      <w:r w:rsidR="00C04194">
        <w:rPr>
          <w:sz w:val="24"/>
        </w:rPr>
        <w:t xml:space="preserve"> and metabolites in a same cluster, while ‘negative’ represents the negative correlation (Pearson coefficient &lt; -0.85 and false discovery rate &lt; 0.05). I</w:t>
      </w:r>
      <w:r w:rsidR="00C04194">
        <w:rPr>
          <w:rFonts w:ascii="Times New Roman" w:hAnsi="Times New Roman" w:cs="Times New Roman"/>
          <w:sz w:val="24"/>
        </w:rPr>
        <w:t>→</w:t>
      </w:r>
      <w:r w:rsidR="00C04194">
        <w:rPr>
          <w:sz w:val="24"/>
        </w:rPr>
        <w:t>VIII indicate the different clusters.</w:t>
      </w:r>
    </w:p>
    <w:p w:rsidR="00992E6D" w:rsidRDefault="00992E6D">
      <w:pPr>
        <w:widowControl/>
        <w:jc w:val="left"/>
        <w:rPr>
          <w:sz w:val="24"/>
        </w:rPr>
      </w:pPr>
      <w:r>
        <w:rPr>
          <w:sz w:val="24"/>
        </w:rPr>
        <w:br w:type="page"/>
      </w:r>
    </w:p>
    <w:p w:rsidR="00992E6D" w:rsidRDefault="00E40F9E" w:rsidP="000D4B4C">
      <w:pPr>
        <w:spacing w:line="360" w:lineRule="auto"/>
        <w:jc w:val="center"/>
        <w:rPr>
          <w:sz w:val="24"/>
        </w:rPr>
      </w:pPr>
      <w:r>
        <w:rPr>
          <w:sz w:val="24"/>
        </w:rPr>
        <w:lastRenderedPageBreak/>
        <w:pict>
          <v:shape id="_x0000_i1029" type="#_x0000_t75" style="width:283.35pt;height:330.75pt">
            <v:imagedata r:id="rId10" o:title="Figure S5"/>
          </v:shape>
        </w:pict>
      </w:r>
    </w:p>
    <w:p w:rsidR="00992E6D" w:rsidRDefault="00992E6D" w:rsidP="002B45D7">
      <w:pPr>
        <w:spacing w:line="360" w:lineRule="auto"/>
        <w:rPr>
          <w:sz w:val="24"/>
        </w:rPr>
      </w:pPr>
    </w:p>
    <w:p w:rsidR="00992E6D" w:rsidRPr="00992E6D" w:rsidRDefault="00992E6D" w:rsidP="002B45D7">
      <w:pPr>
        <w:spacing w:line="360" w:lineRule="auto"/>
        <w:rPr>
          <w:sz w:val="24"/>
        </w:rPr>
      </w:pPr>
      <w:r w:rsidRPr="0030149D">
        <w:rPr>
          <w:rFonts w:hint="eastAsia"/>
          <w:b/>
          <w:sz w:val="24"/>
        </w:rPr>
        <w:t>F</w:t>
      </w:r>
      <w:r w:rsidRPr="0030149D">
        <w:rPr>
          <w:b/>
          <w:sz w:val="24"/>
        </w:rPr>
        <w:t>igure S</w:t>
      </w:r>
      <w:r>
        <w:rPr>
          <w:b/>
          <w:sz w:val="24"/>
        </w:rPr>
        <w:t>5</w:t>
      </w:r>
      <w:r w:rsidRPr="0030149D">
        <w:rPr>
          <w:b/>
          <w:sz w:val="24"/>
        </w:rPr>
        <w:t>.</w:t>
      </w:r>
      <w:r>
        <w:rPr>
          <w:sz w:val="24"/>
        </w:rPr>
        <w:t xml:space="preserve"> </w:t>
      </w:r>
      <w:r w:rsidR="00C04194" w:rsidRPr="003151B7">
        <w:rPr>
          <w:sz w:val="24"/>
        </w:rPr>
        <w:t>Clustering analysis revealed the profiling</w:t>
      </w:r>
      <w:r w:rsidR="00C04194">
        <w:rPr>
          <w:sz w:val="24"/>
        </w:rPr>
        <w:t xml:space="preserve"> and number</w:t>
      </w:r>
      <w:r w:rsidR="00C04194" w:rsidRPr="003151B7">
        <w:rPr>
          <w:sz w:val="24"/>
        </w:rPr>
        <w:t xml:space="preserve"> of </w:t>
      </w:r>
      <w:r w:rsidR="00C04194" w:rsidRPr="000D4B4C">
        <w:rPr>
          <w:sz w:val="24"/>
        </w:rPr>
        <w:t xml:space="preserve">differentially expressed </w:t>
      </w:r>
      <w:r w:rsidR="00C04194">
        <w:rPr>
          <w:sz w:val="24"/>
        </w:rPr>
        <w:t>gene</w:t>
      </w:r>
      <w:r w:rsidR="00C04194" w:rsidRPr="000D4B4C">
        <w:rPr>
          <w:sz w:val="24"/>
        </w:rPr>
        <w:t>s</w:t>
      </w:r>
      <w:r w:rsidR="00C04194">
        <w:rPr>
          <w:sz w:val="24"/>
        </w:rPr>
        <w:t xml:space="preserve"> (DEGs) correlating with the DAMs</w:t>
      </w:r>
      <w:r w:rsidR="00C04194" w:rsidRPr="003151B7">
        <w:rPr>
          <w:sz w:val="24"/>
        </w:rPr>
        <w:t xml:space="preserve"> in eight clusters</w:t>
      </w:r>
      <w:r w:rsidR="00C04194">
        <w:rPr>
          <w:sz w:val="24"/>
        </w:rPr>
        <w:t xml:space="preserve">. </w:t>
      </w:r>
      <w:r w:rsidR="00C04194" w:rsidRPr="000D4B4C">
        <w:rPr>
          <w:b/>
          <w:sz w:val="24"/>
        </w:rPr>
        <w:t>a</w:t>
      </w:r>
      <w:r w:rsidR="00C04194">
        <w:rPr>
          <w:sz w:val="24"/>
        </w:rPr>
        <w:t xml:space="preserve"> The expression patterns of DEG</w:t>
      </w:r>
      <w:r w:rsidR="00C04194" w:rsidRPr="000D4B4C">
        <w:rPr>
          <w:sz w:val="24"/>
        </w:rPr>
        <w:t xml:space="preserve">s </w:t>
      </w:r>
      <w:r w:rsidR="00C04194">
        <w:rPr>
          <w:sz w:val="24"/>
        </w:rPr>
        <w:t>correlating with the DAMs</w:t>
      </w:r>
      <w:r w:rsidR="00C04194" w:rsidRPr="003151B7">
        <w:rPr>
          <w:sz w:val="24"/>
        </w:rPr>
        <w:t xml:space="preserve"> in eight clusters</w:t>
      </w:r>
      <w:r w:rsidR="00C04194">
        <w:rPr>
          <w:sz w:val="24"/>
        </w:rPr>
        <w:t xml:space="preserve">. The y axis depicts the Z-score standardized value of each protein across all 11 stages (from S1 to S11). The numbers in each box are the number of proteins in each cluster. </w:t>
      </w:r>
      <w:r w:rsidR="00C04194" w:rsidRPr="000D4B4C">
        <w:rPr>
          <w:b/>
          <w:sz w:val="24"/>
        </w:rPr>
        <w:t>b</w:t>
      </w:r>
      <w:r w:rsidR="00C04194">
        <w:rPr>
          <w:sz w:val="24"/>
        </w:rPr>
        <w:t xml:space="preserve"> Two venn diagrams displays the numbers of DEGs among eight clusters.</w:t>
      </w:r>
      <w:r w:rsidR="00C04194" w:rsidRPr="00C04194">
        <w:rPr>
          <w:sz w:val="24"/>
        </w:rPr>
        <w:t xml:space="preserve"> </w:t>
      </w:r>
      <w:r w:rsidR="00C04194">
        <w:rPr>
          <w:sz w:val="24"/>
        </w:rPr>
        <w:t xml:space="preserve">‘Positive’ represents the positive correlation (Pearson coefficient &gt; 0.85 and false discovery rate &lt; 0.05) of </w:t>
      </w:r>
      <w:r w:rsidR="00BC2863">
        <w:rPr>
          <w:sz w:val="24"/>
        </w:rPr>
        <w:t>genes</w:t>
      </w:r>
      <w:r w:rsidR="00C04194">
        <w:rPr>
          <w:sz w:val="24"/>
        </w:rPr>
        <w:t xml:space="preserve"> and metabolites in a same cluster, while ‘negative’ represents the negative correlation (Pearson coefficient &lt; -0.85 and false discovery rate &lt; 0.05). I</w:t>
      </w:r>
      <w:r w:rsidR="00C04194">
        <w:rPr>
          <w:rFonts w:ascii="Times New Roman" w:hAnsi="Times New Roman" w:cs="Times New Roman"/>
          <w:sz w:val="24"/>
        </w:rPr>
        <w:t>→</w:t>
      </w:r>
      <w:r w:rsidR="00C04194">
        <w:rPr>
          <w:sz w:val="24"/>
        </w:rPr>
        <w:t>VIII indicate the different clusters.</w:t>
      </w:r>
    </w:p>
    <w:p w:rsidR="00C65409" w:rsidRDefault="00C65409">
      <w:pPr>
        <w:widowControl/>
        <w:jc w:val="left"/>
      </w:pPr>
      <w:r>
        <w:br w:type="page"/>
      </w:r>
    </w:p>
    <w:p w:rsidR="00C65409" w:rsidRDefault="00C65409" w:rsidP="00B20EE4">
      <w:pPr>
        <w:jc w:val="center"/>
      </w:pPr>
      <w:r>
        <w:rPr>
          <w:noProof/>
        </w:rPr>
        <w:lastRenderedPageBreak/>
        <w:drawing>
          <wp:inline distT="0" distB="0" distL="0" distR="0">
            <wp:extent cx="4029228" cy="3973408"/>
            <wp:effectExtent l="0" t="0" r="0" b="8255"/>
            <wp:docPr id="1" name="图片 1" descr="C:\Users\Guchao\AppData\Local\Microsoft\Windows\INetCache\Content.Word\Figure S4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Guchao\AppData\Local\Microsoft\Windows\INetCache\Content.Word\Figure S4.tif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291" cy="4010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5409" w:rsidRDefault="00C65409"/>
    <w:p w:rsidR="00C65409" w:rsidRPr="00C65409" w:rsidRDefault="00C65409" w:rsidP="002B45D7">
      <w:pPr>
        <w:spacing w:line="360" w:lineRule="auto"/>
      </w:pPr>
      <w:r w:rsidRPr="0030149D">
        <w:rPr>
          <w:rFonts w:hint="eastAsia"/>
          <w:b/>
          <w:sz w:val="24"/>
        </w:rPr>
        <w:t>F</w:t>
      </w:r>
      <w:r w:rsidRPr="0030149D">
        <w:rPr>
          <w:b/>
          <w:sz w:val="24"/>
        </w:rPr>
        <w:t>igure S</w:t>
      </w:r>
      <w:r w:rsidR="00992E6D">
        <w:rPr>
          <w:b/>
          <w:sz w:val="24"/>
        </w:rPr>
        <w:t>6</w:t>
      </w:r>
      <w:r w:rsidRPr="0030149D">
        <w:rPr>
          <w:b/>
          <w:sz w:val="24"/>
        </w:rPr>
        <w:t>.</w:t>
      </w:r>
      <w:r>
        <w:rPr>
          <w:sz w:val="24"/>
        </w:rPr>
        <w:t xml:space="preserve"> The number of DEGs correlated to the DAMs in each metabolic class were counted in each chromosome. Others contained all scaffolds that were unanchored into the 17 chromosomes (Chr 1</w:t>
      </w:r>
      <w:r>
        <w:rPr>
          <w:rFonts w:cstheme="minorHAnsi"/>
          <w:sz w:val="24"/>
        </w:rPr>
        <w:t>ꟷ</w:t>
      </w:r>
      <w:r>
        <w:rPr>
          <w:sz w:val="24"/>
        </w:rPr>
        <w:t xml:space="preserve">17). </w:t>
      </w:r>
      <w:r w:rsidR="00894088">
        <w:rPr>
          <w:kern w:val="0"/>
          <w:sz w:val="24"/>
        </w:rPr>
        <w:t xml:space="preserve">‘Value’ represents the number of genes. The number of genes is </w:t>
      </w:r>
      <w:r w:rsidR="00546DF5">
        <w:rPr>
          <w:kern w:val="0"/>
          <w:sz w:val="24"/>
        </w:rPr>
        <w:t>positively correlated</w:t>
      </w:r>
      <w:r w:rsidR="00894088">
        <w:rPr>
          <w:kern w:val="0"/>
          <w:sz w:val="24"/>
        </w:rPr>
        <w:t xml:space="preserve"> with the increasing </w:t>
      </w:r>
      <w:r w:rsidR="00546DF5">
        <w:rPr>
          <w:kern w:val="0"/>
          <w:sz w:val="24"/>
        </w:rPr>
        <w:t xml:space="preserve">size </w:t>
      </w:r>
      <w:r w:rsidR="00894088">
        <w:rPr>
          <w:kern w:val="0"/>
          <w:sz w:val="24"/>
        </w:rPr>
        <w:t xml:space="preserve">of </w:t>
      </w:r>
      <w:r w:rsidR="00546DF5">
        <w:rPr>
          <w:kern w:val="0"/>
          <w:sz w:val="24"/>
        </w:rPr>
        <w:t>the circle</w:t>
      </w:r>
      <w:r w:rsidR="00894088">
        <w:rPr>
          <w:kern w:val="0"/>
          <w:sz w:val="24"/>
        </w:rPr>
        <w:t xml:space="preserve">s and the </w:t>
      </w:r>
      <w:r w:rsidR="00546DF5">
        <w:rPr>
          <w:kern w:val="0"/>
          <w:sz w:val="24"/>
        </w:rPr>
        <w:t>transition</w:t>
      </w:r>
      <w:r w:rsidR="00894088">
        <w:rPr>
          <w:kern w:val="0"/>
          <w:sz w:val="24"/>
        </w:rPr>
        <w:t xml:space="preserve"> from blue to red color.</w:t>
      </w:r>
    </w:p>
    <w:p w:rsidR="00C65409" w:rsidRDefault="00C65409">
      <w:pPr>
        <w:widowControl/>
        <w:jc w:val="left"/>
      </w:pPr>
      <w:r>
        <w:br w:type="page"/>
      </w:r>
    </w:p>
    <w:p w:rsidR="00C65409" w:rsidRDefault="00E40F9E" w:rsidP="00A86E92">
      <w:pPr>
        <w:jc w:val="center"/>
      </w:pPr>
      <w:r>
        <w:rPr>
          <w:noProof/>
        </w:rPr>
        <w:lastRenderedPageBreak/>
        <w:pict>
          <v:shape id="_x0000_i1030" type="#_x0000_t75" style="width:340.05pt;height:200.3pt">
            <v:imagedata r:id="rId12" o:title="Figure S7"/>
          </v:shape>
        </w:pict>
      </w:r>
    </w:p>
    <w:p w:rsidR="00C65409" w:rsidRDefault="00C65409"/>
    <w:p w:rsidR="00C65409" w:rsidRPr="00C65409" w:rsidRDefault="00C65409" w:rsidP="002B45D7">
      <w:pPr>
        <w:spacing w:line="360" w:lineRule="auto"/>
      </w:pPr>
      <w:r w:rsidRPr="000031C9">
        <w:rPr>
          <w:rFonts w:hint="eastAsia"/>
          <w:b/>
          <w:sz w:val="24"/>
        </w:rPr>
        <w:t>F</w:t>
      </w:r>
      <w:r w:rsidRPr="000031C9">
        <w:rPr>
          <w:b/>
          <w:sz w:val="24"/>
        </w:rPr>
        <w:t>igure S</w:t>
      </w:r>
      <w:r w:rsidR="00992E6D">
        <w:rPr>
          <w:b/>
          <w:sz w:val="24"/>
        </w:rPr>
        <w:t>7</w:t>
      </w:r>
      <w:r w:rsidRPr="000031C9">
        <w:rPr>
          <w:b/>
          <w:sz w:val="24"/>
        </w:rPr>
        <w:t xml:space="preserve">. </w:t>
      </w:r>
      <w:r>
        <w:rPr>
          <w:sz w:val="24"/>
        </w:rPr>
        <w:t xml:space="preserve">Integrative analysis of DNA methylation and DEGs. </w:t>
      </w:r>
      <w:r w:rsidR="00992E6D">
        <w:rPr>
          <w:b/>
          <w:sz w:val="24"/>
        </w:rPr>
        <w:t>a</w:t>
      </w:r>
      <w:r>
        <w:rPr>
          <w:sz w:val="24"/>
        </w:rPr>
        <w:t xml:space="preserve"> Identification of the DEGs modified by DNA methylation in the promoters. </w:t>
      </w:r>
      <w:r w:rsidR="00992E6D">
        <w:rPr>
          <w:b/>
          <w:sz w:val="24"/>
        </w:rPr>
        <w:t>b</w:t>
      </w:r>
      <w:r w:rsidRPr="000D435F">
        <w:rPr>
          <w:b/>
          <w:sz w:val="24"/>
        </w:rPr>
        <w:t xml:space="preserve"> </w:t>
      </w:r>
      <w:r>
        <w:rPr>
          <w:sz w:val="24"/>
        </w:rPr>
        <w:t xml:space="preserve">Identification of the DEGs that are correlated </w:t>
      </w:r>
      <w:r w:rsidR="00546DF5">
        <w:rPr>
          <w:sz w:val="24"/>
        </w:rPr>
        <w:t>with</w:t>
      </w:r>
      <w:r>
        <w:rPr>
          <w:sz w:val="24"/>
        </w:rPr>
        <w:t xml:space="preserve"> DAMs and are also modified by DMRs.</w:t>
      </w:r>
    </w:p>
    <w:p w:rsidR="00C65409" w:rsidRDefault="00C65409">
      <w:pPr>
        <w:widowControl/>
        <w:jc w:val="left"/>
      </w:pPr>
      <w:r>
        <w:br w:type="page"/>
      </w:r>
    </w:p>
    <w:p w:rsidR="00C65409" w:rsidRDefault="00E40F9E">
      <w:r>
        <w:rPr>
          <w:noProof/>
        </w:rPr>
        <w:lastRenderedPageBreak/>
        <w:pict>
          <v:shape id="_x0000_i1031" type="#_x0000_t75" style="width:414.9pt;height:266.25pt">
            <v:imagedata r:id="rId13" o:title="Figure S8"/>
          </v:shape>
        </w:pict>
      </w:r>
    </w:p>
    <w:p w:rsidR="00C65409" w:rsidRDefault="00C65409"/>
    <w:p w:rsidR="00C65409" w:rsidRPr="00C65409" w:rsidRDefault="00C65409" w:rsidP="002B45D7">
      <w:pPr>
        <w:spacing w:line="360" w:lineRule="auto"/>
      </w:pPr>
      <w:r w:rsidRPr="000031C9">
        <w:rPr>
          <w:rFonts w:hint="eastAsia"/>
          <w:b/>
          <w:sz w:val="24"/>
        </w:rPr>
        <w:t>F</w:t>
      </w:r>
      <w:r w:rsidRPr="000031C9">
        <w:rPr>
          <w:b/>
          <w:sz w:val="24"/>
        </w:rPr>
        <w:t>igure S</w:t>
      </w:r>
      <w:r w:rsidR="00992E6D">
        <w:rPr>
          <w:b/>
          <w:sz w:val="24"/>
        </w:rPr>
        <w:t>8</w:t>
      </w:r>
      <w:r w:rsidRPr="000031C9">
        <w:rPr>
          <w:b/>
          <w:sz w:val="24"/>
        </w:rPr>
        <w:t>.</w:t>
      </w:r>
      <w:r w:rsidRPr="000D435F">
        <w:rPr>
          <w:sz w:val="24"/>
        </w:rPr>
        <w:t xml:space="preserve"> Identification </w:t>
      </w:r>
      <w:r>
        <w:rPr>
          <w:sz w:val="24"/>
        </w:rPr>
        <w:t xml:space="preserve">and expression analysis of RdDM pathway genes in </w:t>
      </w:r>
      <w:r w:rsidR="00CA0867">
        <w:rPr>
          <w:sz w:val="24"/>
        </w:rPr>
        <w:t>the</w:t>
      </w:r>
      <w:r>
        <w:rPr>
          <w:sz w:val="24"/>
        </w:rPr>
        <w:t xml:space="preserve"> fruit</w:t>
      </w:r>
      <w:r w:rsidR="00CA0867">
        <w:rPr>
          <w:sz w:val="24"/>
        </w:rPr>
        <w:t xml:space="preserve"> flesh</w:t>
      </w:r>
      <w:r>
        <w:rPr>
          <w:sz w:val="24"/>
        </w:rPr>
        <w:t xml:space="preserve">. </w:t>
      </w:r>
      <w:r w:rsidR="00B20EE4">
        <w:rPr>
          <w:b/>
          <w:sz w:val="24"/>
        </w:rPr>
        <w:t>a</w:t>
      </w:r>
      <w:r>
        <w:rPr>
          <w:b/>
          <w:sz w:val="24"/>
        </w:rPr>
        <w:t xml:space="preserve"> </w:t>
      </w:r>
      <w:r>
        <w:rPr>
          <w:sz w:val="24"/>
        </w:rPr>
        <w:t xml:space="preserve">Phylogenetic analysis classified the members of </w:t>
      </w:r>
      <w:r w:rsidRPr="00EC01D2">
        <w:rPr>
          <w:i/>
          <w:sz w:val="24"/>
        </w:rPr>
        <w:t>AGO</w:t>
      </w:r>
      <w:r>
        <w:rPr>
          <w:sz w:val="24"/>
        </w:rPr>
        <w:t xml:space="preserve"> gene family into six groups, AGO1, AGO10, AGO5, AGO6, AGO4/8/9, and AGO2/3. </w:t>
      </w:r>
      <w:r w:rsidR="00B20EE4">
        <w:rPr>
          <w:b/>
          <w:sz w:val="24"/>
        </w:rPr>
        <w:t>b</w:t>
      </w:r>
      <w:r w:rsidRPr="00EC01D2">
        <w:rPr>
          <w:sz w:val="24"/>
        </w:rPr>
        <w:t xml:space="preserve"> </w:t>
      </w:r>
      <w:r>
        <w:rPr>
          <w:sz w:val="24"/>
        </w:rPr>
        <w:t xml:space="preserve">Phylogenetic analysis classified the members of </w:t>
      </w:r>
      <w:r>
        <w:rPr>
          <w:i/>
          <w:sz w:val="24"/>
        </w:rPr>
        <w:t>DCL</w:t>
      </w:r>
      <w:r>
        <w:rPr>
          <w:sz w:val="24"/>
        </w:rPr>
        <w:t xml:space="preserve"> gene family into four groups, DCL1, DCL2, DCL3, and DCL4.</w:t>
      </w:r>
      <w:r w:rsidRPr="00EC01D2">
        <w:rPr>
          <w:b/>
          <w:sz w:val="24"/>
        </w:rPr>
        <w:t xml:space="preserve"> </w:t>
      </w:r>
      <w:r w:rsidR="00B20EE4">
        <w:rPr>
          <w:b/>
          <w:sz w:val="24"/>
        </w:rPr>
        <w:t>c</w:t>
      </w:r>
      <w:r>
        <w:rPr>
          <w:sz w:val="24"/>
        </w:rPr>
        <w:t xml:space="preserve"> Phylogenetic analysis classified the components of POL IV and V into four groups, RPB1, RPC2, NRPD1, and NRPE1. </w:t>
      </w:r>
      <w:r w:rsidR="00B20EE4">
        <w:rPr>
          <w:b/>
          <w:sz w:val="24"/>
        </w:rPr>
        <w:t>d</w:t>
      </w:r>
      <w:r>
        <w:rPr>
          <w:sz w:val="24"/>
        </w:rPr>
        <w:t xml:space="preserve"> Phylogenetic analysis classified the members of </w:t>
      </w:r>
      <w:r>
        <w:rPr>
          <w:i/>
          <w:sz w:val="24"/>
        </w:rPr>
        <w:t>RDR</w:t>
      </w:r>
      <w:r>
        <w:rPr>
          <w:sz w:val="24"/>
        </w:rPr>
        <w:t xml:space="preserve"> gene family into three groups, RDR1/2, RDR3/4/5, and RDR6. The genes in each phylogenetic tree derive from pear, strawberry, orange, and Arabidopsis genomes. </w:t>
      </w:r>
      <w:r w:rsidR="00B20EE4">
        <w:rPr>
          <w:b/>
          <w:sz w:val="24"/>
        </w:rPr>
        <w:t>e</w:t>
      </w:r>
      <w:r>
        <w:rPr>
          <w:b/>
          <w:sz w:val="24"/>
        </w:rPr>
        <w:t xml:space="preserve"> </w:t>
      </w:r>
      <w:r>
        <w:rPr>
          <w:sz w:val="24"/>
        </w:rPr>
        <w:t xml:space="preserve">Expression patterns of RdDM pathway genes in </w:t>
      </w:r>
      <w:r w:rsidR="00CA0867">
        <w:rPr>
          <w:sz w:val="24"/>
        </w:rPr>
        <w:t>the</w:t>
      </w:r>
      <w:r>
        <w:rPr>
          <w:sz w:val="24"/>
        </w:rPr>
        <w:t xml:space="preserve"> fruit</w:t>
      </w:r>
      <w:r w:rsidR="00CA0867">
        <w:rPr>
          <w:sz w:val="24"/>
        </w:rPr>
        <w:t xml:space="preserve"> flesh</w:t>
      </w:r>
      <w:r>
        <w:rPr>
          <w:sz w:val="24"/>
        </w:rPr>
        <w:t xml:space="preserve"> at all 11 stages (S1</w:t>
      </w:r>
      <w:r>
        <w:rPr>
          <w:rFonts w:cstheme="minorHAnsi"/>
          <w:sz w:val="24"/>
        </w:rPr>
        <w:t>ꟷ</w:t>
      </w:r>
      <w:r>
        <w:rPr>
          <w:sz w:val="24"/>
        </w:rPr>
        <w:t>S11). Z-score standardized values of each DEG</w:t>
      </w:r>
      <w:r w:rsidR="00546DF5">
        <w:rPr>
          <w:sz w:val="24"/>
        </w:rPr>
        <w:t xml:space="preserve"> across all 11 stages</w:t>
      </w:r>
      <w:r>
        <w:rPr>
          <w:sz w:val="24"/>
        </w:rPr>
        <w:t xml:space="preserve"> were used for clustering analysis. </w:t>
      </w:r>
      <w:r w:rsidR="00F51738">
        <w:rPr>
          <w:sz w:val="24"/>
        </w:rPr>
        <w:t>The color bar indicates the increasing expression levels of gene from blue to red.</w:t>
      </w:r>
      <w:r>
        <w:rPr>
          <w:sz w:val="24"/>
        </w:rPr>
        <w:t xml:space="preserve"> </w:t>
      </w:r>
      <w:r w:rsidR="00B20EE4">
        <w:rPr>
          <w:b/>
          <w:sz w:val="24"/>
        </w:rPr>
        <w:t>f</w:t>
      </w:r>
      <w:r>
        <w:rPr>
          <w:sz w:val="24"/>
        </w:rPr>
        <w:t xml:space="preserve"> Correlation analysis of RdDM pathway genes with C (left panel) and CHH (right panel) methylations. The dotted line with red color represents the </w:t>
      </w:r>
      <w:r w:rsidR="00F51738" w:rsidRPr="00FD16F0">
        <w:rPr>
          <w:kern w:val="0"/>
          <w:sz w:val="24"/>
        </w:rPr>
        <w:t>false discovery rate</w:t>
      </w:r>
      <w:r>
        <w:rPr>
          <w:sz w:val="24"/>
        </w:rPr>
        <w:t xml:space="preserve"> value at 0.05.</w:t>
      </w:r>
    </w:p>
    <w:p w:rsidR="00C65409" w:rsidRDefault="00C65409">
      <w:pPr>
        <w:widowControl/>
        <w:jc w:val="left"/>
      </w:pPr>
      <w:r>
        <w:br w:type="page"/>
      </w:r>
    </w:p>
    <w:p w:rsidR="00C65409" w:rsidRDefault="00127045">
      <w:r>
        <w:rPr>
          <w:noProof/>
        </w:rPr>
        <w:lastRenderedPageBreak/>
        <w:drawing>
          <wp:inline distT="0" distB="0" distL="0" distR="0">
            <wp:extent cx="5271135" cy="4102735"/>
            <wp:effectExtent l="0" t="0" r="5715" b="0"/>
            <wp:docPr id="7" name="图片 7" descr="Figure S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igure S8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135" cy="4102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5409" w:rsidRDefault="00C65409"/>
    <w:p w:rsidR="00C65409" w:rsidRPr="00C65409" w:rsidRDefault="00C65409" w:rsidP="002B45D7">
      <w:pPr>
        <w:spacing w:line="360" w:lineRule="auto"/>
      </w:pPr>
      <w:r w:rsidRPr="000031C9">
        <w:rPr>
          <w:rFonts w:hint="eastAsia"/>
          <w:b/>
          <w:sz w:val="24"/>
        </w:rPr>
        <w:t>F</w:t>
      </w:r>
      <w:r w:rsidRPr="000031C9">
        <w:rPr>
          <w:b/>
          <w:sz w:val="24"/>
        </w:rPr>
        <w:t>igure S</w:t>
      </w:r>
      <w:r w:rsidR="00B20EE4">
        <w:rPr>
          <w:b/>
          <w:sz w:val="24"/>
        </w:rPr>
        <w:t>9</w:t>
      </w:r>
      <w:r w:rsidRPr="000031C9">
        <w:rPr>
          <w:b/>
          <w:sz w:val="24"/>
        </w:rPr>
        <w:t>.</w:t>
      </w:r>
      <w:r w:rsidRPr="000D435F">
        <w:rPr>
          <w:sz w:val="24"/>
        </w:rPr>
        <w:t xml:space="preserve"> </w:t>
      </w:r>
      <w:r>
        <w:rPr>
          <w:sz w:val="24"/>
        </w:rPr>
        <w:t>Boxplots showing 24-nt small interfering RNA (siRNA) enrichment at whole genome and DMRs of all three contexts. S1 to S11 indicate different stages. R1 and R2 represent the two replicates.</w:t>
      </w:r>
    </w:p>
    <w:p w:rsidR="00C65409" w:rsidRDefault="00C65409">
      <w:pPr>
        <w:widowControl/>
        <w:jc w:val="left"/>
      </w:pPr>
      <w:r>
        <w:br w:type="page"/>
      </w:r>
    </w:p>
    <w:p w:rsidR="00C65409" w:rsidRDefault="00E40F9E">
      <w:r>
        <w:rPr>
          <w:noProof/>
        </w:rPr>
        <w:lastRenderedPageBreak/>
        <w:pict>
          <v:shape id="_x0000_i1032" type="#_x0000_t75" style="width:414.9pt;height:234.55pt">
            <v:imagedata r:id="rId15" o:title="Figure S10"/>
          </v:shape>
        </w:pict>
      </w:r>
    </w:p>
    <w:p w:rsidR="00C65409" w:rsidRDefault="00C65409"/>
    <w:p w:rsidR="00CA0867" w:rsidRDefault="00C65409" w:rsidP="00CA0867">
      <w:pPr>
        <w:spacing w:line="360" w:lineRule="auto"/>
      </w:pPr>
      <w:r w:rsidRPr="000031C9">
        <w:rPr>
          <w:rFonts w:hint="eastAsia"/>
          <w:b/>
          <w:sz w:val="24"/>
        </w:rPr>
        <w:t>F</w:t>
      </w:r>
      <w:r w:rsidRPr="000031C9">
        <w:rPr>
          <w:b/>
          <w:sz w:val="24"/>
        </w:rPr>
        <w:t>igure S</w:t>
      </w:r>
      <w:r w:rsidR="00B20EE4">
        <w:rPr>
          <w:b/>
          <w:sz w:val="24"/>
        </w:rPr>
        <w:t>10</w:t>
      </w:r>
      <w:r w:rsidRPr="000031C9">
        <w:rPr>
          <w:b/>
          <w:sz w:val="24"/>
        </w:rPr>
        <w:t>.</w:t>
      </w:r>
      <w:r>
        <w:rPr>
          <w:sz w:val="24"/>
        </w:rPr>
        <w:t xml:space="preserve"> </w:t>
      </w:r>
      <w:r w:rsidRPr="000D435F">
        <w:rPr>
          <w:sz w:val="24"/>
        </w:rPr>
        <w:t xml:space="preserve">Identification </w:t>
      </w:r>
      <w:r>
        <w:rPr>
          <w:sz w:val="24"/>
        </w:rPr>
        <w:t xml:space="preserve">and expression analysis of DNA methyltransferase genes in </w:t>
      </w:r>
      <w:r w:rsidR="00CA0867">
        <w:rPr>
          <w:sz w:val="24"/>
        </w:rPr>
        <w:t>the</w:t>
      </w:r>
      <w:r>
        <w:rPr>
          <w:sz w:val="24"/>
        </w:rPr>
        <w:t xml:space="preserve"> fruit</w:t>
      </w:r>
      <w:r w:rsidR="00CA0867">
        <w:rPr>
          <w:sz w:val="24"/>
        </w:rPr>
        <w:t xml:space="preserve"> flesh</w:t>
      </w:r>
      <w:r>
        <w:rPr>
          <w:sz w:val="24"/>
        </w:rPr>
        <w:t xml:space="preserve">. </w:t>
      </w:r>
      <w:r w:rsidR="00B20EE4">
        <w:rPr>
          <w:b/>
          <w:sz w:val="24"/>
        </w:rPr>
        <w:t>a</w:t>
      </w:r>
      <w:r>
        <w:rPr>
          <w:b/>
          <w:sz w:val="24"/>
        </w:rPr>
        <w:t xml:space="preserve"> </w:t>
      </w:r>
      <w:r>
        <w:rPr>
          <w:sz w:val="24"/>
        </w:rPr>
        <w:t xml:space="preserve">Phylogenetic analysis classified the DNA methyltransferase genes into three groups, CMT, MET1, and DRM. The genes in phylogenetic tree derive from pear, strawberry, orange, and Arabidopsis genomes. </w:t>
      </w:r>
      <w:r w:rsidR="00B20EE4">
        <w:rPr>
          <w:b/>
          <w:sz w:val="24"/>
        </w:rPr>
        <w:t>b</w:t>
      </w:r>
      <w:r>
        <w:rPr>
          <w:b/>
          <w:sz w:val="24"/>
        </w:rPr>
        <w:t xml:space="preserve"> </w:t>
      </w:r>
      <w:r>
        <w:rPr>
          <w:sz w:val="24"/>
        </w:rPr>
        <w:t xml:space="preserve">Expression patterns of DNA methyltransferase genes in </w:t>
      </w:r>
      <w:r w:rsidR="00CA0867">
        <w:rPr>
          <w:sz w:val="24"/>
        </w:rPr>
        <w:t>the</w:t>
      </w:r>
      <w:r>
        <w:rPr>
          <w:sz w:val="24"/>
        </w:rPr>
        <w:t xml:space="preserve"> fruit</w:t>
      </w:r>
      <w:r w:rsidR="00CA0867">
        <w:rPr>
          <w:sz w:val="24"/>
        </w:rPr>
        <w:t xml:space="preserve"> flesh</w:t>
      </w:r>
      <w:r>
        <w:rPr>
          <w:sz w:val="24"/>
        </w:rPr>
        <w:t xml:space="preserve"> at all 11 stages (S1</w:t>
      </w:r>
      <w:r>
        <w:rPr>
          <w:rFonts w:cstheme="minorHAnsi"/>
          <w:sz w:val="24"/>
        </w:rPr>
        <w:t>ꟷ</w:t>
      </w:r>
      <w:r>
        <w:rPr>
          <w:sz w:val="24"/>
        </w:rPr>
        <w:t>S11). Z-score standardized values of each DEG</w:t>
      </w:r>
      <w:r w:rsidR="00F51738">
        <w:rPr>
          <w:sz w:val="24"/>
        </w:rPr>
        <w:t xml:space="preserve"> across all 11 stages</w:t>
      </w:r>
      <w:r>
        <w:rPr>
          <w:sz w:val="24"/>
        </w:rPr>
        <w:t xml:space="preserve"> were used for clustering analysis. </w:t>
      </w:r>
      <w:r w:rsidR="00F51738">
        <w:rPr>
          <w:sz w:val="24"/>
        </w:rPr>
        <w:t>The color bar indicates the increasing expression levels of gene from blue to red.</w:t>
      </w:r>
      <w:r>
        <w:rPr>
          <w:sz w:val="24"/>
        </w:rPr>
        <w:t xml:space="preserve"> </w:t>
      </w:r>
      <w:r w:rsidR="00A23662">
        <w:rPr>
          <w:b/>
          <w:sz w:val="24"/>
        </w:rPr>
        <w:t>c</w:t>
      </w:r>
      <w:r>
        <w:rPr>
          <w:sz w:val="24"/>
        </w:rPr>
        <w:t xml:space="preserve"> Correlation analysis of DNA methyltransferase genes with C (left panel) and CHH (right panel) methylations. The dotted line with red color represents the </w:t>
      </w:r>
      <w:r w:rsidR="00F51738" w:rsidRPr="00FD16F0">
        <w:rPr>
          <w:kern w:val="0"/>
          <w:sz w:val="24"/>
        </w:rPr>
        <w:t>false discovery rate</w:t>
      </w:r>
      <w:r>
        <w:rPr>
          <w:sz w:val="24"/>
        </w:rPr>
        <w:t xml:space="preserve"> value at 0.05.</w:t>
      </w:r>
      <w:r w:rsidR="00CA0867" w:rsidRPr="00CA0867">
        <w:t xml:space="preserve"> </w:t>
      </w:r>
    </w:p>
    <w:p w:rsidR="00CA0867" w:rsidRDefault="00CA0867" w:rsidP="00CA0867">
      <w:pPr>
        <w:widowControl/>
        <w:jc w:val="left"/>
      </w:pPr>
      <w:r>
        <w:rPr>
          <w:kern w:val="0"/>
        </w:rPr>
        <w:br w:type="page"/>
      </w:r>
    </w:p>
    <w:p w:rsidR="00CA0867" w:rsidRDefault="00CA0867" w:rsidP="00CA0867">
      <w:r>
        <w:rPr>
          <w:noProof/>
        </w:rPr>
        <w:lastRenderedPageBreak/>
        <w:drawing>
          <wp:inline distT="0" distB="0" distL="0" distR="0">
            <wp:extent cx="3599180" cy="5334635"/>
            <wp:effectExtent l="0" t="0" r="1270" b="0"/>
            <wp:docPr id="8" name="图片 8" descr="Figure S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Figure S10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9180" cy="5334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0867" w:rsidRDefault="00CA0867" w:rsidP="00CA0867"/>
    <w:p w:rsidR="00CA0867" w:rsidRDefault="00CA0867" w:rsidP="00CA0867">
      <w:pPr>
        <w:spacing w:line="360" w:lineRule="auto"/>
      </w:pPr>
      <w:r>
        <w:rPr>
          <w:b/>
          <w:sz w:val="24"/>
        </w:rPr>
        <w:t>Figure S11.</w:t>
      </w:r>
      <w:r>
        <w:rPr>
          <w:sz w:val="24"/>
        </w:rPr>
        <w:t xml:space="preserve"> Identification of DNA demethylase genes in pear. Phylogenetic analysis classified the DNA demethylase genes into two groups, DME/DML/ROS and IDM. The genes in phylogenetic tree derive from pear, strawberry, orange, and Arabidopsis genomes.</w:t>
      </w:r>
    </w:p>
    <w:p w:rsidR="00CA0867" w:rsidRDefault="00CA0867" w:rsidP="00CA0867">
      <w:pPr>
        <w:widowControl/>
        <w:jc w:val="left"/>
      </w:pPr>
      <w:r>
        <w:rPr>
          <w:kern w:val="0"/>
        </w:rPr>
        <w:br w:type="page"/>
      </w:r>
    </w:p>
    <w:p w:rsidR="00CA0867" w:rsidRDefault="00CA0867" w:rsidP="00CA0867">
      <w:r>
        <w:rPr>
          <w:noProof/>
        </w:rPr>
        <w:lastRenderedPageBreak/>
        <w:drawing>
          <wp:inline distT="0" distB="0" distL="0" distR="0">
            <wp:extent cx="5276215" cy="3750310"/>
            <wp:effectExtent l="0" t="0" r="635" b="2540"/>
            <wp:docPr id="4" name="图片 4" descr="Figure S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Figure S1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215" cy="3750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0867" w:rsidRDefault="00CA0867" w:rsidP="00CA0867"/>
    <w:p w:rsidR="00CA0867" w:rsidRDefault="00CA0867" w:rsidP="00CA0867">
      <w:pPr>
        <w:spacing w:line="360" w:lineRule="auto"/>
      </w:pPr>
      <w:r>
        <w:rPr>
          <w:b/>
          <w:sz w:val="24"/>
        </w:rPr>
        <w:t xml:space="preserve">Figure S12. </w:t>
      </w:r>
      <w:r>
        <w:rPr>
          <w:sz w:val="24"/>
        </w:rPr>
        <w:t xml:space="preserve">Expression pattern of ABA biosynthetic genes and the TFs positively correlated </w:t>
      </w:r>
      <w:r w:rsidR="00F51738">
        <w:rPr>
          <w:sz w:val="24"/>
        </w:rPr>
        <w:t>with</w:t>
      </w:r>
      <w:r>
        <w:rPr>
          <w:sz w:val="24"/>
        </w:rPr>
        <w:t xml:space="preserve"> ABA production. S1 to S11 indicate different stages.</w:t>
      </w:r>
    </w:p>
    <w:p w:rsidR="00CA0867" w:rsidRDefault="00CA0867" w:rsidP="00CA0867">
      <w:pPr>
        <w:widowControl/>
        <w:jc w:val="left"/>
      </w:pPr>
      <w:r>
        <w:rPr>
          <w:kern w:val="0"/>
        </w:rPr>
        <w:br w:type="page"/>
      </w:r>
    </w:p>
    <w:p w:rsidR="00CA0867" w:rsidRDefault="00CA0867" w:rsidP="00CA0867">
      <w:r>
        <w:rPr>
          <w:noProof/>
        </w:rPr>
        <w:lastRenderedPageBreak/>
        <w:drawing>
          <wp:inline distT="0" distB="0" distL="0" distR="0">
            <wp:extent cx="5271135" cy="4288155"/>
            <wp:effectExtent l="0" t="0" r="5715" b="0"/>
            <wp:docPr id="3" name="图片 3" descr="Figure S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Figure S14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135" cy="4288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0867" w:rsidRDefault="00CA0867" w:rsidP="00CA0867"/>
    <w:p w:rsidR="00CA0867" w:rsidRDefault="00CA0867" w:rsidP="00CA0867">
      <w:pPr>
        <w:spacing w:line="360" w:lineRule="auto"/>
        <w:rPr>
          <w:sz w:val="24"/>
        </w:rPr>
      </w:pPr>
      <w:r>
        <w:rPr>
          <w:b/>
          <w:sz w:val="24"/>
        </w:rPr>
        <w:t xml:space="preserve">Figure S13. </w:t>
      </w:r>
      <w:r>
        <w:rPr>
          <w:sz w:val="24"/>
        </w:rPr>
        <w:t xml:space="preserve">Identification of the possible binding regions of multiple TFs in the </w:t>
      </w:r>
      <w:r>
        <w:rPr>
          <w:i/>
          <w:sz w:val="24"/>
        </w:rPr>
        <w:t>PbAAO</w:t>
      </w:r>
      <w:r>
        <w:rPr>
          <w:sz w:val="24"/>
        </w:rPr>
        <w:t xml:space="preserve"> promoter. </w:t>
      </w:r>
      <w:r>
        <w:rPr>
          <w:b/>
          <w:sz w:val="24"/>
        </w:rPr>
        <w:t>a</w:t>
      </w:r>
      <w:r>
        <w:rPr>
          <w:sz w:val="24"/>
        </w:rPr>
        <w:t xml:space="preserve"> The constructed reporters and effectors. </w:t>
      </w:r>
      <w:r>
        <w:rPr>
          <w:b/>
          <w:sz w:val="24"/>
        </w:rPr>
        <w:t>b</w:t>
      </w:r>
      <w:r>
        <w:rPr>
          <w:sz w:val="24"/>
        </w:rPr>
        <w:t xml:space="preserve"> The </w:t>
      </w:r>
      <w:r>
        <w:rPr>
          <w:i/>
          <w:sz w:val="24"/>
        </w:rPr>
        <w:t>PbAAO</w:t>
      </w:r>
      <w:r>
        <w:rPr>
          <w:sz w:val="24"/>
        </w:rPr>
        <w:t xml:space="preserve"> promoter was divided into four fragments (P1 to P4; top panel) and was then used for dual-luciferase assay (bottom panel) to determine the binding regions of PbZFP1, PbZFP2, PbHB1, PbHB2, PbHB3, PbMYB1, and PbbHLH1 in the </w:t>
      </w:r>
      <w:r>
        <w:rPr>
          <w:i/>
          <w:sz w:val="24"/>
        </w:rPr>
        <w:t>PbAAO</w:t>
      </w:r>
      <w:r>
        <w:rPr>
          <w:sz w:val="24"/>
        </w:rPr>
        <w:t xml:space="preserve"> promoter. </w:t>
      </w:r>
      <w:r>
        <w:rPr>
          <w:b/>
          <w:sz w:val="24"/>
        </w:rPr>
        <w:t>c</w:t>
      </w:r>
      <w:r>
        <w:rPr>
          <w:sz w:val="24"/>
        </w:rPr>
        <w:t xml:space="preserve"> The </w:t>
      </w:r>
      <w:r>
        <w:rPr>
          <w:i/>
          <w:sz w:val="24"/>
        </w:rPr>
        <w:t>PbAAO</w:t>
      </w:r>
      <w:r>
        <w:rPr>
          <w:sz w:val="24"/>
        </w:rPr>
        <w:t xml:space="preserve"> promoter was further divided into four</w:t>
      </w:r>
      <w:r w:rsidR="00F51738">
        <w:rPr>
          <w:sz w:val="24"/>
        </w:rPr>
        <w:t xml:space="preserve"> additional</w:t>
      </w:r>
      <w:r>
        <w:rPr>
          <w:sz w:val="24"/>
        </w:rPr>
        <w:t xml:space="preserve"> fragments (P5 to P8; top panel) and was then used for dual-luciferase assay (bottom panel) to narrow the binding regions of PbZFP1, PbZFP2, PbHB1, PbHB2, and PbHB3 in the </w:t>
      </w:r>
      <w:r>
        <w:rPr>
          <w:i/>
          <w:sz w:val="24"/>
        </w:rPr>
        <w:t>PbAAO</w:t>
      </w:r>
      <w:r>
        <w:rPr>
          <w:sz w:val="24"/>
        </w:rPr>
        <w:t xml:space="preserve"> promoter. Analysis of variance were calculated by Student’s </w:t>
      </w:r>
      <w:r>
        <w:rPr>
          <w:i/>
          <w:sz w:val="24"/>
        </w:rPr>
        <w:t>t</w:t>
      </w:r>
      <w:r>
        <w:rPr>
          <w:sz w:val="24"/>
        </w:rPr>
        <w:t xml:space="preserve">-test. Single and double asterisks stand for the level of significance at </w:t>
      </w:r>
      <w:r>
        <w:rPr>
          <w:i/>
          <w:sz w:val="24"/>
        </w:rPr>
        <w:t>P</w:t>
      </w:r>
      <w:r>
        <w:rPr>
          <w:sz w:val="24"/>
        </w:rPr>
        <w:t xml:space="preserve">-value &lt; 0.05 and &lt; 0.01, respectively. </w:t>
      </w:r>
      <w:r>
        <w:rPr>
          <w:b/>
          <w:sz w:val="24"/>
        </w:rPr>
        <w:t>d</w:t>
      </w:r>
      <w:r>
        <w:rPr>
          <w:sz w:val="24"/>
        </w:rPr>
        <w:t xml:space="preserve"> Prediction of </w:t>
      </w:r>
      <w:r>
        <w:rPr>
          <w:i/>
          <w:sz w:val="24"/>
        </w:rPr>
        <w:t>cis</w:t>
      </w:r>
      <w:r>
        <w:rPr>
          <w:sz w:val="24"/>
        </w:rPr>
        <w:t>-elements of GRAS, MYB, bHLH, and ZFP TFs. Probes A to D are selected for EMSA.</w:t>
      </w:r>
    </w:p>
    <w:p w:rsidR="00CA0867" w:rsidRDefault="00CA0867">
      <w:pPr>
        <w:widowControl/>
        <w:jc w:val="left"/>
        <w:rPr>
          <w:sz w:val="24"/>
        </w:rPr>
      </w:pPr>
      <w:r>
        <w:rPr>
          <w:sz w:val="24"/>
        </w:rPr>
        <w:br w:type="page"/>
      </w:r>
    </w:p>
    <w:p w:rsidR="00CA0867" w:rsidRDefault="00CA0867" w:rsidP="00CA0867">
      <w:pPr>
        <w:spacing w:line="360" w:lineRule="auto"/>
        <w:rPr>
          <w:sz w:val="24"/>
        </w:rPr>
      </w:pPr>
    </w:p>
    <w:p w:rsidR="00CA0867" w:rsidRDefault="00CA0867" w:rsidP="00CA0867">
      <w:pPr>
        <w:spacing w:line="360" w:lineRule="auto"/>
        <w:rPr>
          <w:sz w:val="24"/>
        </w:rPr>
      </w:pPr>
      <w:r>
        <w:rPr>
          <w:noProof/>
          <w:sz w:val="24"/>
        </w:rPr>
        <w:drawing>
          <wp:inline distT="0" distB="0" distL="0" distR="0">
            <wp:extent cx="5271135" cy="2674620"/>
            <wp:effectExtent l="0" t="0" r="5715" b="0"/>
            <wp:docPr id="10" name="图片 10" descr="C:\Users\Guchao\AppData\Local\Microsoft\Windows\INetCache\Content.Word\Figure S14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Users\Guchao\AppData\Local\Microsoft\Windows\INetCache\Content.Word\Figure S14.tif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135" cy="2674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0867" w:rsidRDefault="00CA0867" w:rsidP="00CA0867">
      <w:pPr>
        <w:spacing w:line="360" w:lineRule="auto"/>
        <w:rPr>
          <w:sz w:val="24"/>
        </w:rPr>
      </w:pPr>
    </w:p>
    <w:p w:rsidR="00CA0867" w:rsidRDefault="00CA0867" w:rsidP="00CA0867">
      <w:pPr>
        <w:spacing w:line="360" w:lineRule="auto"/>
      </w:pPr>
      <w:r>
        <w:rPr>
          <w:b/>
          <w:sz w:val="24"/>
        </w:rPr>
        <w:t xml:space="preserve">Figure S14. </w:t>
      </w:r>
      <w:r>
        <w:rPr>
          <w:sz w:val="24"/>
        </w:rPr>
        <w:t>Subcellular localization of PbZFP1</w:t>
      </w:r>
      <w:r w:rsidR="0071178C">
        <w:rPr>
          <w:sz w:val="24"/>
        </w:rPr>
        <w:t>-GFP fusion protein</w:t>
      </w:r>
      <w:r>
        <w:rPr>
          <w:sz w:val="24"/>
        </w:rPr>
        <w:t xml:space="preserve">. </w:t>
      </w:r>
      <w:r w:rsidR="0071178C">
        <w:rPr>
          <w:sz w:val="24"/>
        </w:rPr>
        <w:t>PbZFP1 represents the PbZFP1-GFP fusion protein, while control represents the GFP protein.</w:t>
      </w:r>
    </w:p>
    <w:p w:rsidR="00CA0867" w:rsidRDefault="00CA0867" w:rsidP="00CA0867">
      <w:pPr>
        <w:widowControl/>
        <w:jc w:val="left"/>
      </w:pPr>
      <w:r>
        <w:rPr>
          <w:kern w:val="0"/>
        </w:rPr>
        <w:br w:type="page"/>
      </w:r>
    </w:p>
    <w:p w:rsidR="00CA0867" w:rsidRDefault="00CA0867" w:rsidP="00CA0867">
      <w:r>
        <w:rPr>
          <w:noProof/>
        </w:rPr>
        <w:lastRenderedPageBreak/>
        <w:drawing>
          <wp:inline distT="0" distB="0" distL="0" distR="0">
            <wp:extent cx="5271135" cy="3892550"/>
            <wp:effectExtent l="0" t="0" r="5715" b="0"/>
            <wp:docPr id="2" name="图片 2" descr="Figure S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Figure S15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135" cy="389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0867" w:rsidRDefault="00CA0867" w:rsidP="00CA0867"/>
    <w:p w:rsidR="00C65409" w:rsidRPr="00C65409" w:rsidRDefault="00CA0867" w:rsidP="00CA0867">
      <w:pPr>
        <w:spacing w:line="360" w:lineRule="auto"/>
      </w:pPr>
      <w:r>
        <w:rPr>
          <w:b/>
          <w:sz w:val="24"/>
        </w:rPr>
        <w:t xml:space="preserve">Figure S15. </w:t>
      </w:r>
      <w:r>
        <w:rPr>
          <w:sz w:val="24"/>
        </w:rPr>
        <w:t xml:space="preserve">Pear transformation of </w:t>
      </w:r>
      <w:r>
        <w:rPr>
          <w:i/>
          <w:sz w:val="24"/>
        </w:rPr>
        <w:t>PbZFP1</w:t>
      </w:r>
      <w:r>
        <w:rPr>
          <w:sz w:val="24"/>
        </w:rPr>
        <w:t xml:space="preserve"> in pear flesh callus and fruit flesh. </w:t>
      </w:r>
      <w:r>
        <w:rPr>
          <w:b/>
          <w:sz w:val="24"/>
        </w:rPr>
        <w:t>a</w:t>
      </w:r>
      <w:r>
        <w:rPr>
          <w:sz w:val="24"/>
        </w:rPr>
        <w:t xml:space="preserve"> Stable over-expression of PbZFP1 (OE) in flesh callus. </w:t>
      </w:r>
      <w:r>
        <w:rPr>
          <w:b/>
          <w:sz w:val="24"/>
        </w:rPr>
        <w:t>b</w:t>
      </w:r>
      <w:r>
        <w:rPr>
          <w:sz w:val="24"/>
        </w:rPr>
        <w:t xml:space="preserve"> Transient over-expression of PbZFP1 (OE) in fruit flesh. pSAK277 is the empty vector and used for the control of OE. </w:t>
      </w:r>
      <w:r>
        <w:rPr>
          <w:b/>
          <w:sz w:val="24"/>
        </w:rPr>
        <w:t>c</w:t>
      </w:r>
      <w:r>
        <w:rPr>
          <w:sz w:val="24"/>
        </w:rPr>
        <w:t xml:space="preserve"> Virus-induced gene silencing of PbZFP1 (RNAi) in fruit flesh. TRV1/2 represents the empty vectors of pTRV1 and pTR2 and was used as the control of RNAi.</w:t>
      </w:r>
    </w:p>
    <w:sectPr w:rsidR="00C65409" w:rsidRPr="00C6540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21CF" w:rsidRDefault="00F021CF" w:rsidP="00C65409">
      <w:r>
        <w:separator/>
      </w:r>
    </w:p>
  </w:endnote>
  <w:endnote w:type="continuationSeparator" w:id="0">
    <w:p w:rsidR="00F021CF" w:rsidRDefault="00F021CF" w:rsidP="00C654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21CF" w:rsidRDefault="00F021CF" w:rsidP="00C65409">
      <w:r>
        <w:separator/>
      </w:r>
    </w:p>
  </w:footnote>
  <w:footnote w:type="continuationSeparator" w:id="0">
    <w:p w:rsidR="00F021CF" w:rsidRDefault="00F021CF" w:rsidP="00C654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131A"/>
    <w:rsid w:val="000D4B4C"/>
    <w:rsid w:val="00127045"/>
    <w:rsid w:val="001978A5"/>
    <w:rsid w:val="002B45D7"/>
    <w:rsid w:val="002E0B3E"/>
    <w:rsid w:val="003151B7"/>
    <w:rsid w:val="00325292"/>
    <w:rsid w:val="00487778"/>
    <w:rsid w:val="004A3488"/>
    <w:rsid w:val="004B17C0"/>
    <w:rsid w:val="0054131A"/>
    <w:rsid w:val="00546DF5"/>
    <w:rsid w:val="005A48B8"/>
    <w:rsid w:val="005F6FC7"/>
    <w:rsid w:val="00666E8C"/>
    <w:rsid w:val="006E1ADF"/>
    <w:rsid w:val="0071178C"/>
    <w:rsid w:val="007800B0"/>
    <w:rsid w:val="00817B3B"/>
    <w:rsid w:val="0086574F"/>
    <w:rsid w:val="00894088"/>
    <w:rsid w:val="00895037"/>
    <w:rsid w:val="00992E6D"/>
    <w:rsid w:val="009A3889"/>
    <w:rsid w:val="009E703D"/>
    <w:rsid w:val="00A23662"/>
    <w:rsid w:val="00A86E92"/>
    <w:rsid w:val="00AF64FD"/>
    <w:rsid w:val="00B20EE4"/>
    <w:rsid w:val="00BC2863"/>
    <w:rsid w:val="00C04194"/>
    <w:rsid w:val="00C04BBD"/>
    <w:rsid w:val="00C4568D"/>
    <w:rsid w:val="00C65409"/>
    <w:rsid w:val="00CA0867"/>
    <w:rsid w:val="00CA4568"/>
    <w:rsid w:val="00DE2B0E"/>
    <w:rsid w:val="00E37E73"/>
    <w:rsid w:val="00E40F9E"/>
    <w:rsid w:val="00E63FCC"/>
    <w:rsid w:val="00EB4683"/>
    <w:rsid w:val="00EC7E11"/>
    <w:rsid w:val="00F021CF"/>
    <w:rsid w:val="00F32C6A"/>
    <w:rsid w:val="00F51738"/>
    <w:rsid w:val="00FD2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4E2171C-579D-4384-88E2-CB69138DA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6540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6540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6540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6540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268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4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tiff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image" Target="media/image14.tiff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15</Pages>
  <Words>1101</Words>
  <Characters>6276</Characters>
  <Application>Microsoft Office Word</Application>
  <DocSecurity>0</DocSecurity>
  <Lines>52</Lines>
  <Paragraphs>14</Paragraphs>
  <ScaleCrop>false</ScaleCrop>
  <Company/>
  <LinksUpToDate>false</LinksUpToDate>
  <CharactersWithSpaces>7363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Guchao</dc:creator>
  <cp:keywords/>
  <dc:description/>
  <cp:lastModifiedBy>Guchao</cp:lastModifiedBy>
  <cp:revision>12</cp:revision>
  <dcterms:created xsi:type="dcterms:W3CDTF">2023-08-28T15:14:00Z</dcterms:created>
  <dcterms:modified xsi:type="dcterms:W3CDTF">2024-02-09T11:45:00Z</dcterms:modified>
</cp:coreProperties>
</file>