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B2DA13" w14:textId="7F6231CB" w:rsidR="00182B7D" w:rsidRPr="00182B7D" w:rsidRDefault="00C35699" w:rsidP="00803E19">
      <w:pPr>
        <w:pStyle w:val="Heading1"/>
        <w:keepNext w:val="0"/>
        <w:keepLines w:val="0"/>
        <w:widowControl w:val="0"/>
      </w:pPr>
      <w:bookmarkStart w:id="0" w:name="_GoBack"/>
      <w:bookmarkEnd w:id="0"/>
      <w:r>
        <w:t>Additional file 1</w:t>
      </w:r>
      <w:r w:rsidR="00182B7D">
        <w:t xml:space="preserve">: Supplementary </w:t>
      </w:r>
      <w:r w:rsidR="00580B81">
        <w:t>Material</w:t>
      </w:r>
    </w:p>
    <w:p w14:paraId="041F2E63" w14:textId="77777777" w:rsidR="00580B81" w:rsidRDefault="00580B81" w:rsidP="00803E19">
      <w:pPr>
        <w:widowControl w:val="0"/>
        <w:spacing w:line="480" w:lineRule="auto"/>
        <w:rPr>
          <w:rFonts w:ascii="Calibri" w:eastAsia="Calibri" w:hAnsi="Calibri" w:cs="Calibri"/>
          <w:b/>
          <w:bCs/>
          <w:color w:val="000000" w:themeColor="text1"/>
        </w:rPr>
      </w:pPr>
    </w:p>
    <w:p w14:paraId="34CE9F12" w14:textId="1BC90716" w:rsidR="00580B81" w:rsidRDefault="00580B81" w:rsidP="00803E19">
      <w:pPr>
        <w:widowControl w:val="0"/>
        <w:spacing w:line="480" w:lineRule="auto"/>
        <w:rPr>
          <w:rFonts w:ascii="Calibri" w:eastAsia="Calibri" w:hAnsi="Calibri" w:cs="Calibri"/>
          <w:b/>
          <w:bCs/>
          <w:color w:val="000000" w:themeColor="text1"/>
        </w:rPr>
      </w:pPr>
      <w:r>
        <w:rPr>
          <w:rFonts w:ascii="Calibri" w:eastAsia="Calibri" w:hAnsi="Calibri" w:cs="Calibri"/>
          <w:b/>
          <w:bCs/>
          <w:color w:val="000000" w:themeColor="text1"/>
        </w:rPr>
        <w:t>This document includes:</w:t>
      </w:r>
    </w:p>
    <w:p w14:paraId="0A218C0C" w14:textId="31E28195" w:rsidR="00580B81" w:rsidRDefault="00580B81" w:rsidP="00803E19">
      <w:pPr>
        <w:pStyle w:val="ListParagraph"/>
        <w:widowControl w:val="0"/>
        <w:numPr>
          <w:ilvl w:val="0"/>
          <w:numId w:val="3"/>
        </w:numPr>
        <w:spacing w:line="480" w:lineRule="auto"/>
        <w:rPr>
          <w:rFonts w:ascii="Calibri" w:eastAsia="Calibri" w:hAnsi="Calibri" w:cs="Calibri"/>
          <w:b/>
          <w:bCs/>
          <w:color w:val="000000" w:themeColor="text1"/>
        </w:rPr>
      </w:pPr>
      <w:r>
        <w:rPr>
          <w:rFonts w:ascii="Calibri" w:eastAsia="Calibri" w:hAnsi="Calibri" w:cs="Calibri"/>
          <w:b/>
          <w:bCs/>
          <w:color w:val="000000" w:themeColor="text1"/>
        </w:rPr>
        <w:t>Supplementary Notes</w:t>
      </w:r>
    </w:p>
    <w:p w14:paraId="5991EDE5" w14:textId="01E0882C" w:rsidR="00580B81" w:rsidRDefault="00580B81" w:rsidP="00803E19">
      <w:pPr>
        <w:pStyle w:val="ListParagraph"/>
        <w:widowControl w:val="0"/>
        <w:numPr>
          <w:ilvl w:val="0"/>
          <w:numId w:val="3"/>
        </w:numPr>
        <w:spacing w:line="480" w:lineRule="auto"/>
        <w:rPr>
          <w:rFonts w:ascii="Calibri" w:eastAsia="Calibri" w:hAnsi="Calibri" w:cs="Calibri"/>
          <w:b/>
          <w:bCs/>
          <w:color w:val="000000" w:themeColor="text1"/>
        </w:rPr>
      </w:pPr>
      <w:r>
        <w:rPr>
          <w:rFonts w:ascii="Calibri" w:eastAsia="Calibri" w:hAnsi="Calibri" w:cs="Calibri"/>
          <w:b/>
          <w:bCs/>
          <w:color w:val="000000" w:themeColor="text1"/>
        </w:rPr>
        <w:t>Description of the contents in Data S1</w:t>
      </w:r>
      <w:r w:rsidR="00F758BA">
        <w:rPr>
          <w:rFonts w:ascii="Calibri" w:eastAsia="Calibri" w:hAnsi="Calibri" w:cs="Calibri"/>
          <w:b/>
          <w:bCs/>
          <w:color w:val="000000" w:themeColor="text1"/>
        </w:rPr>
        <w:t>, S2, S3</w:t>
      </w:r>
      <w:r w:rsidR="00AF7B79">
        <w:rPr>
          <w:rFonts w:ascii="Calibri" w:eastAsia="Calibri" w:hAnsi="Calibri" w:cs="Calibri"/>
          <w:b/>
          <w:bCs/>
          <w:color w:val="000000" w:themeColor="text1"/>
        </w:rPr>
        <w:t>, S4, S5</w:t>
      </w:r>
      <w:r w:rsidR="00F758BA">
        <w:rPr>
          <w:rFonts w:ascii="Calibri" w:eastAsia="Calibri" w:hAnsi="Calibri" w:cs="Calibri"/>
          <w:b/>
          <w:bCs/>
          <w:color w:val="000000" w:themeColor="text1"/>
        </w:rPr>
        <w:t xml:space="preserve"> and S</w:t>
      </w:r>
      <w:r w:rsidR="00AF7B79">
        <w:rPr>
          <w:rFonts w:ascii="Calibri" w:eastAsia="Calibri" w:hAnsi="Calibri" w:cs="Calibri"/>
          <w:b/>
          <w:bCs/>
          <w:color w:val="000000" w:themeColor="text1"/>
        </w:rPr>
        <w:t>6</w:t>
      </w:r>
    </w:p>
    <w:p w14:paraId="0F2E4F58" w14:textId="55C0BBD4" w:rsidR="00580B81" w:rsidRDefault="00580B81" w:rsidP="00803E19">
      <w:pPr>
        <w:pStyle w:val="ListParagraph"/>
        <w:widowControl w:val="0"/>
        <w:numPr>
          <w:ilvl w:val="0"/>
          <w:numId w:val="3"/>
        </w:numPr>
        <w:spacing w:line="480" w:lineRule="auto"/>
        <w:rPr>
          <w:rFonts w:ascii="Calibri" w:eastAsia="Calibri" w:hAnsi="Calibri" w:cs="Calibri"/>
          <w:b/>
          <w:bCs/>
          <w:color w:val="000000" w:themeColor="text1"/>
        </w:rPr>
      </w:pPr>
      <w:r>
        <w:rPr>
          <w:rFonts w:ascii="Calibri" w:eastAsia="Calibri" w:hAnsi="Calibri" w:cs="Calibri"/>
          <w:b/>
          <w:bCs/>
          <w:color w:val="000000" w:themeColor="text1"/>
        </w:rPr>
        <w:t>References cited in Supplementary Materials</w:t>
      </w:r>
    </w:p>
    <w:p w14:paraId="5F62296C" w14:textId="73DB3F31" w:rsidR="00580B81" w:rsidRPr="00881322" w:rsidRDefault="00580B81" w:rsidP="00803E19">
      <w:pPr>
        <w:pStyle w:val="Heading1"/>
        <w:keepNext w:val="0"/>
        <w:keepLines w:val="0"/>
        <w:widowControl w:val="0"/>
        <w:rPr>
          <w:rFonts w:eastAsia="Calibri"/>
        </w:rPr>
      </w:pPr>
      <w:r>
        <w:rPr>
          <w:rFonts w:eastAsia="Calibri"/>
        </w:rPr>
        <w:t>1. Supplementary Notes</w:t>
      </w:r>
    </w:p>
    <w:p w14:paraId="6A9DECB7" w14:textId="77777777" w:rsidR="00016279" w:rsidRDefault="00016279" w:rsidP="00803E19">
      <w:pPr>
        <w:widowControl w:val="0"/>
        <w:spacing w:line="480" w:lineRule="auto"/>
        <w:rPr>
          <w:rFonts w:ascii="Calibri" w:eastAsia="Calibri" w:hAnsi="Calibri" w:cs="Calibri"/>
          <w:b/>
          <w:bCs/>
          <w:color w:val="000000" w:themeColor="text1"/>
        </w:rPr>
      </w:pPr>
    </w:p>
    <w:p w14:paraId="155152DA" w14:textId="061EE759" w:rsidR="001418A0" w:rsidRDefault="00580B81" w:rsidP="00803E19">
      <w:pPr>
        <w:widowControl w:val="0"/>
        <w:spacing w:line="480" w:lineRule="auto"/>
        <w:rPr>
          <w:rFonts w:ascii="Calibri" w:eastAsia="Calibri" w:hAnsi="Calibri" w:cs="Calibri"/>
          <w:b/>
          <w:bCs/>
          <w:color w:val="000000" w:themeColor="text1"/>
        </w:rPr>
      </w:pPr>
      <w:r>
        <w:rPr>
          <w:rFonts w:ascii="Calibri" w:eastAsia="Calibri" w:hAnsi="Calibri" w:cs="Calibri"/>
          <w:b/>
          <w:bCs/>
          <w:color w:val="000000" w:themeColor="text1"/>
        </w:rPr>
        <w:t xml:space="preserve">1.1 </w:t>
      </w:r>
      <w:r w:rsidR="00226643">
        <w:rPr>
          <w:rFonts w:ascii="Calibri" w:eastAsia="Calibri" w:hAnsi="Calibri" w:cs="Calibri"/>
          <w:b/>
          <w:bCs/>
          <w:color w:val="000000" w:themeColor="text1"/>
        </w:rPr>
        <w:t xml:space="preserve">Effect of different </w:t>
      </w:r>
      <w:r w:rsidR="001418A0">
        <w:rPr>
          <w:rFonts w:ascii="Calibri" w:eastAsia="Calibri" w:hAnsi="Calibri" w:cs="Calibri"/>
          <w:b/>
          <w:bCs/>
          <w:color w:val="000000" w:themeColor="text1"/>
        </w:rPr>
        <w:t xml:space="preserve">pipeline versions </w:t>
      </w:r>
      <w:r w:rsidR="00226643">
        <w:rPr>
          <w:rFonts w:ascii="Calibri" w:eastAsia="Calibri" w:hAnsi="Calibri" w:cs="Calibri"/>
          <w:b/>
          <w:bCs/>
          <w:color w:val="000000" w:themeColor="text1"/>
        </w:rPr>
        <w:t>on</w:t>
      </w:r>
      <w:r w:rsidR="001418A0">
        <w:rPr>
          <w:rFonts w:ascii="Calibri" w:eastAsia="Calibri" w:hAnsi="Calibri" w:cs="Calibri"/>
          <w:b/>
          <w:bCs/>
          <w:color w:val="000000" w:themeColor="text1"/>
        </w:rPr>
        <w:t xml:space="preserve"> the methylation calling</w:t>
      </w:r>
    </w:p>
    <w:p w14:paraId="690AF333" w14:textId="3B3A0EF2" w:rsidR="000242A9" w:rsidRDefault="000242A9" w:rsidP="00803E19">
      <w:pPr>
        <w:widowControl w:val="0"/>
        <w:spacing w:line="480" w:lineRule="auto"/>
        <w:rPr>
          <w:rFonts w:ascii="Calibri" w:eastAsia="Calibri" w:hAnsi="Calibri" w:cs="Calibri"/>
          <w:color w:val="000000" w:themeColor="text1"/>
        </w:rPr>
      </w:pPr>
      <w:r>
        <w:rPr>
          <w:rFonts w:ascii="Calibri" w:eastAsia="Calibri" w:hAnsi="Calibri" w:cs="Calibri"/>
          <w:color w:val="000000" w:themeColor="text1"/>
        </w:rPr>
        <w:t xml:space="preserve">All samples were analyzed with two version of our pipelines, referred to as v3 and v4. The main difference is the version of </w:t>
      </w:r>
      <w:r w:rsidR="000D2732">
        <w:rPr>
          <w:rFonts w:ascii="Calibri" w:eastAsia="Calibri" w:hAnsi="Calibri" w:cs="Calibri"/>
          <w:color w:val="000000" w:themeColor="text1"/>
        </w:rPr>
        <w:t xml:space="preserve">guppy, </w:t>
      </w:r>
      <w:r>
        <w:rPr>
          <w:rFonts w:ascii="Calibri" w:eastAsia="Calibri" w:hAnsi="Calibri" w:cs="Calibri"/>
          <w:color w:val="000000" w:themeColor="text1"/>
        </w:rPr>
        <w:t>the basecalling algorithm</w:t>
      </w:r>
      <w:r w:rsidR="000D2732">
        <w:rPr>
          <w:rFonts w:ascii="Calibri" w:eastAsia="Calibri" w:hAnsi="Calibri" w:cs="Calibri"/>
          <w:color w:val="000000" w:themeColor="text1"/>
        </w:rPr>
        <w:t>,</w:t>
      </w:r>
      <w:r>
        <w:rPr>
          <w:rFonts w:ascii="Calibri" w:eastAsia="Calibri" w:hAnsi="Calibri" w:cs="Calibri"/>
          <w:color w:val="000000" w:themeColor="text1"/>
        </w:rPr>
        <w:t xml:space="preserve"> and flowcell chemistry, resulting in lower error rate for v4 (Fig. </w:t>
      </w:r>
      <w:r w:rsidR="00580B81">
        <w:rPr>
          <w:rFonts w:ascii="Calibri" w:eastAsia="Calibri" w:hAnsi="Calibri" w:cs="Calibri"/>
          <w:color w:val="000000" w:themeColor="text1"/>
        </w:rPr>
        <w:t>S1</w:t>
      </w:r>
      <w:r>
        <w:rPr>
          <w:rFonts w:ascii="Calibri" w:eastAsia="Calibri" w:hAnsi="Calibri" w:cs="Calibri"/>
          <w:color w:val="000000" w:themeColor="text1"/>
        </w:rPr>
        <w:t xml:space="preserve">) </w:t>
      </w:r>
      <w:sdt>
        <w:sdtPr>
          <w:rPr>
            <w:rFonts w:ascii="Calibri" w:eastAsia="Calibri" w:hAnsi="Calibri" w:cs="Calibri"/>
            <w:color w:val="000000"/>
          </w:rPr>
          <w:tag w:val="MENDELEY_CITATION_v3_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"/>
          <w:id w:val="-1528104788"/>
          <w:placeholder>
            <w:docPart w:val="9A6CD0BBC4FB434E91278F7C7878EB33"/>
          </w:placeholder>
        </w:sdtPr>
        <w:sdtEndPr/>
        <w:sdtContent>
          <w:r w:rsidR="000D2732" w:rsidRPr="000D2732">
            <w:rPr>
              <w:rFonts w:ascii="Calibri" w:eastAsia="Calibri" w:hAnsi="Calibri" w:cs="Calibri"/>
              <w:color w:val="000000"/>
            </w:rPr>
            <w:t>(1)</w:t>
          </w:r>
        </w:sdtContent>
      </w:sdt>
      <w:r w:rsidR="000D2732">
        <w:rPr>
          <w:rFonts w:ascii="Calibri" w:eastAsia="Calibri" w:hAnsi="Calibri" w:cs="Calibri"/>
          <w:color w:val="000000"/>
        </w:rPr>
        <w:t>.</w:t>
      </w:r>
      <w:r w:rsidRPr="6C63DB0C">
        <w:rPr>
          <w:rFonts w:ascii="Calibri" w:eastAsia="Calibri" w:hAnsi="Calibri" w:cs="Calibri"/>
          <w:color w:val="000000" w:themeColor="text1"/>
        </w:rPr>
        <w:t xml:space="preserve"> </w:t>
      </w:r>
      <w:r>
        <w:rPr>
          <w:rFonts w:ascii="Calibri" w:eastAsia="Calibri" w:hAnsi="Calibri" w:cs="Calibri"/>
          <w:color w:val="000000" w:themeColor="text1"/>
        </w:rPr>
        <w:t xml:space="preserve">We show that the errror rate improves for each version of guppy (Fig. </w:t>
      </w:r>
      <w:r w:rsidR="004572CA">
        <w:rPr>
          <w:rFonts w:ascii="Calibri" w:eastAsia="Calibri" w:hAnsi="Calibri" w:cs="Calibri"/>
          <w:color w:val="000000" w:themeColor="text1"/>
        </w:rPr>
        <w:t>S2</w:t>
      </w:r>
      <w:r>
        <w:rPr>
          <w:rFonts w:ascii="Calibri" w:eastAsia="Calibri" w:hAnsi="Calibri" w:cs="Calibri"/>
          <w:color w:val="000000" w:themeColor="text1"/>
        </w:rPr>
        <w:t>A). The sequencing coverage also increas</w:t>
      </w:r>
      <w:r w:rsidR="004572CA">
        <w:rPr>
          <w:rFonts w:ascii="Calibri" w:eastAsia="Calibri" w:hAnsi="Calibri" w:cs="Calibri"/>
          <w:color w:val="000000" w:themeColor="text1"/>
        </w:rPr>
        <w:t>es</w:t>
      </w:r>
      <w:r>
        <w:rPr>
          <w:rFonts w:ascii="Calibri" w:eastAsia="Calibri" w:hAnsi="Calibri" w:cs="Calibri"/>
          <w:color w:val="000000" w:themeColor="text1"/>
        </w:rPr>
        <w:t xml:space="preserve"> which lower</w:t>
      </w:r>
      <w:r w:rsidR="004572CA">
        <w:rPr>
          <w:rFonts w:ascii="Calibri" w:eastAsia="Calibri" w:hAnsi="Calibri" w:cs="Calibri"/>
          <w:color w:val="000000" w:themeColor="text1"/>
        </w:rPr>
        <w:t>s</w:t>
      </w:r>
      <w:r>
        <w:rPr>
          <w:rFonts w:ascii="Calibri" w:eastAsia="Calibri" w:hAnsi="Calibri" w:cs="Calibri"/>
          <w:color w:val="000000" w:themeColor="text1"/>
        </w:rPr>
        <w:t xml:space="preserve"> the error rate (Fig. S</w:t>
      </w:r>
      <w:r w:rsidR="004572CA">
        <w:rPr>
          <w:rFonts w:ascii="Calibri" w:eastAsia="Calibri" w:hAnsi="Calibri" w:cs="Calibri"/>
          <w:color w:val="000000" w:themeColor="text1"/>
        </w:rPr>
        <w:t>2</w:t>
      </w:r>
      <w:r>
        <w:rPr>
          <w:rFonts w:ascii="Calibri" w:eastAsia="Calibri" w:hAnsi="Calibri" w:cs="Calibri"/>
          <w:color w:val="000000" w:themeColor="text1"/>
        </w:rPr>
        <w:t>B)</w:t>
      </w:r>
      <w:r w:rsidR="000D2732">
        <w:rPr>
          <w:rFonts w:ascii="Calibri" w:eastAsia="Calibri" w:hAnsi="Calibri" w:cs="Calibri"/>
          <w:color w:val="000000" w:themeColor="text1"/>
        </w:rPr>
        <w:t xml:space="preserve"> but is not affected by mean N50</w:t>
      </w:r>
      <w:r>
        <w:rPr>
          <w:rFonts w:ascii="Calibri" w:eastAsia="Calibri" w:hAnsi="Calibri" w:cs="Calibri"/>
          <w:color w:val="000000" w:themeColor="text1"/>
        </w:rPr>
        <w:t xml:space="preserve">. </w:t>
      </w:r>
    </w:p>
    <w:p w14:paraId="23990727" w14:textId="526F1C2C" w:rsidR="002B35B3" w:rsidRDefault="00580B81" w:rsidP="00803E19">
      <w:pPr>
        <w:widowControl w:val="0"/>
        <w:spacing w:line="480" w:lineRule="auto"/>
        <w:rPr>
          <w:b/>
          <w:bCs/>
        </w:rPr>
      </w:pPr>
      <w:r>
        <w:rPr>
          <w:noProof/>
          <w:lang w:val="en-PH" w:eastAsia="en-PH"/>
        </w:rPr>
        <w:drawing>
          <wp:inline distT="0" distB="0" distL="0" distR="0" wp14:anchorId="5DB27B43" wp14:editId="232F9D25">
            <wp:extent cx="5857102" cy="22574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57102" cy="2257425"/>
                    </a:xfrm>
                    <a:prstGeom prst="rect">
                      <a:avLst/>
                    </a:prstGeom>
                  </pic:spPr>
                </pic:pic>
              </a:graphicData>
            </a:graphic>
          </wp:inline>
        </w:drawing>
      </w:r>
      <w:r>
        <w:rPr>
          <w:rFonts w:ascii="Calibri" w:eastAsia="Calibri" w:hAnsi="Calibri" w:cs="Calibri"/>
          <w:b/>
          <w:bCs/>
          <w:color w:val="000000" w:themeColor="text1"/>
        </w:rPr>
        <w:t>Fig. S1</w:t>
      </w:r>
      <w:r w:rsidRPr="6C63DB0C">
        <w:rPr>
          <w:rFonts w:ascii="Calibri" w:eastAsia="Calibri" w:hAnsi="Calibri" w:cs="Calibri"/>
          <w:b/>
          <w:bCs/>
          <w:color w:val="000000" w:themeColor="text1"/>
        </w:rPr>
        <w:t xml:space="preserve"> </w:t>
      </w:r>
      <w:r w:rsidRPr="005F71B7">
        <w:rPr>
          <w:rFonts w:ascii="Calibri" w:eastAsia="Calibri" w:hAnsi="Calibri" w:cs="Calibri"/>
          <w:color w:val="000000" w:themeColor="text1"/>
        </w:rPr>
        <w:t xml:space="preserve">Statistics for different versions of the pipeline, computed for 50 high coverage samples. </w:t>
      </w:r>
      <w:r>
        <w:rPr>
          <w:rFonts w:ascii="Calibri" w:eastAsia="Calibri" w:hAnsi="Calibri" w:cs="Calibri"/>
          <w:b/>
          <w:bCs/>
          <w:color w:val="000000" w:themeColor="text1"/>
        </w:rPr>
        <w:t>A</w:t>
      </w:r>
      <w:r w:rsidRPr="6C63DB0C">
        <w:rPr>
          <w:rFonts w:ascii="Calibri" w:eastAsia="Calibri" w:hAnsi="Calibri" w:cs="Calibri"/>
          <w:b/>
          <w:bCs/>
          <w:color w:val="000000" w:themeColor="text1"/>
        </w:rPr>
        <w:t xml:space="preserve"> </w:t>
      </w:r>
      <w:r w:rsidRPr="6C63DB0C">
        <w:rPr>
          <w:rFonts w:ascii="Calibri" w:eastAsia="Calibri" w:hAnsi="Calibri" w:cs="Calibri"/>
          <w:color w:val="000000" w:themeColor="text1"/>
        </w:rPr>
        <w:t xml:space="preserve">Box plot showing the computed error rate for each version of the pipeline. </w:t>
      </w:r>
      <w:r>
        <w:rPr>
          <w:rFonts w:ascii="Calibri" w:eastAsia="Calibri" w:hAnsi="Calibri" w:cs="Calibri"/>
          <w:b/>
          <w:bCs/>
          <w:color w:val="000000" w:themeColor="text1"/>
        </w:rPr>
        <w:t>B</w:t>
      </w:r>
      <w:r w:rsidRPr="6C63DB0C">
        <w:rPr>
          <w:rFonts w:ascii="Calibri" w:eastAsia="Calibri" w:hAnsi="Calibri" w:cs="Calibri"/>
          <w:b/>
          <w:bCs/>
          <w:color w:val="000000" w:themeColor="text1"/>
        </w:rPr>
        <w:t xml:space="preserve"> </w:t>
      </w:r>
      <w:r w:rsidRPr="6C63DB0C">
        <w:rPr>
          <w:rFonts w:ascii="Calibri" w:eastAsia="Calibri" w:hAnsi="Calibri" w:cs="Calibri"/>
          <w:color w:val="000000" w:themeColor="text1"/>
        </w:rPr>
        <w:t xml:space="preserve">Box plot showing the sequencing coverage for each version of the pipeline. </w:t>
      </w:r>
      <w:r>
        <w:rPr>
          <w:rFonts w:ascii="Calibri" w:eastAsia="Calibri" w:hAnsi="Calibri" w:cs="Calibri"/>
          <w:b/>
          <w:bCs/>
          <w:color w:val="000000" w:themeColor="text1"/>
        </w:rPr>
        <w:t>C</w:t>
      </w:r>
      <w:r w:rsidRPr="6C63DB0C">
        <w:rPr>
          <w:rFonts w:ascii="Calibri" w:eastAsia="Calibri" w:hAnsi="Calibri" w:cs="Calibri"/>
          <w:color w:val="000000" w:themeColor="text1"/>
        </w:rPr>
        <w:t xml:space="preserve"> Box plot showing the computed N50 for each </w:t>
      </w:r>
      <w:r w:rsidRPr="6C63DB0C">
        <w:rPr>
          <w:rFonts w:ascii="Calibri" w:eastAsia="Calibri" w:hAnsi="Calibri" w:cs="Calibri"/>
          <w:color w:val="000000" w:themeColor="text1"/>
        </w:rPr>
        <w:lastRenderedPageBreak/>
        <w:t>version of the pipeline.</w:t>
      </w:r>
      <w:r w:rsidR="00701641">
        <w:rPr>
          <w:rFonts w:ascii="Calibri" w:eastAsia="Calibri" w:hAnsi="Calibri" w:cs="Calibri"/>
          <w:color w:val="000000" w:themeColor="text1"/>
        </w:rPr>
        <w:t xml:space="preserve"> The centr</w:t>
      </w:r>
      <w:r w:rsidR="000D2732">
        <w:rPr>
          <w:rFonts w:ascii="Calibri" w:eastAsia="Calibri" w:hAnsi="Calibri" w:cs="Calibri"/>
          <w:color w:val="000000" w:themeColor="text1"/>
        </w:rPr>
        <w:t>e</w:t>
      </w:r>
      <w:r w:rsidR="00701641">
        <w:rPr>
          <w:rFonts w:ascii="Calibri" w:eastAsia="Calibri" w:hAnsi="Calibri" w:cs="Calibri"/>
          <w:color w:val="000000" w:themeColor="text1"/>
        </w:rPr>
        <w:t xml:space="preserve"> line (solid black) shown in each box represent the median; the box limits represent upper and lower quartile, whisk</w:t>
      </w:r>
      <w:r w:rsidR="000D2732">
        <w:rPr>
          <w:rFonts w:ascii="Calibri" w:eastAsia="Calibri" w:hAnsi="Calibri" w:cs="Calibri"/>
          <w:color w:val="000000" w:themeColor="text1"/>
        </w:rPr>
        <w:t>e</w:t>
      </w:r>
      <w:r w:rsidR="00701641">
        <w:rPr>
          <w:rFonts w:ascii="Calibri" w:eastAsia="Calibri" w:hAnsi="Calibri" w:cs="Calibri"/>
          <w:color w:val="000000" w:themeColor="text1"/>
        </w:rPr>
        <w:t>rs represent 1.5x interquartile range.</w:t>
      </w:r>
    </w:p>
    <w:p w14:paraId="4D31AA04" w14:textId="77777777" w:rsidR="00C35699" w:rsidRDefault="00C35699" w:rsidP="00803E19">
      <w:pPr>
        <w:widowControl w:val="0"/>
        <w:spacing w:line="480" w:lineRule="auto"/>
      </w:pPr>
      <w:r>
        <w:rPr>
          <w:noProof/>
          <w:lang w:val="en-PH" w:eastAsia="en-PH"/>
        </w:rPr>
        <w:drawing>
          <wp:inline distT="0" distB="0" distL="0" distR="0" wp14:anchorId="22DCF6E6" wp14:editId="11F89399">
            <wp:extent cx="6010274" cy="2316460"/>
            <wp:effectExtent l="0" t="0" r="0" b="0"/>
            <wp:docPr id="87183295" name="Picture 87183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10274" cy="2316460"/>
                    </a:xfrm>
                    <a:prstGeom prst="rect">
                      <a:avLst/>
                    </a:prstGeom>
                  </pic:spPr>
                </pic:pic>
              </a:graphicData>
            </a:graphic>
          </wp:inline>
        </w:drawing>
      </w:r>
    </w:p>
    <w:p w14:paraId="3F6989B0" w14:textId="5C963F5B" w:rsidR="001E0A16" w:rsidRDefault="00C35699" w:rsidP="00803E19">
      <w:pPr>
        <w:widowControl w:val="0"/>
        <w:spacing w:line="480" w:lineRule="auto"/>
      </w:pPr>
      <w:r>
        <w:rPr>
          <w:b/>
          <w:bCs/>
        </w:rPr>
        <w:t>Fig</w:t>
      </w:r>
      <w:r w:rsidR="00F571EB">
        <w:rPr>
          <w:b/>
          <w:bCs/>
        </w:rPr>
        <w:t>.</w:t>
      </w:r>
      <w:r>
        <w:rPr>
          <w:b/>
          <w:bCs/>
        </w:rPr>
        <w:t xml:space="preserve"> </w:t>
      </w:r>
      <w:r w:rsidR="00437CAD">
        <w:rPr>
          <w:b/>
          <w:bCs/>
        </w:rPr>
        <w:t>S</w:t>
      </w:r>
      <w:r w:rsidR="001E0A16">
        <w:rPr>
          <w:b/>
          <w:bCs/>
        </w:rPr>
        <w:t>2</w:t>
      </w:r>
      <w:r w:rsidRPr="6C63DB0C">
        <w:rPr>
          <w:b/>
          <w:bCs/>
        </w:rPr>
        <w:t xml:space="preserve"> </w:t>
      </w:r>
      <w:r w:rsidRPr="005F71B7">
        <w:t>Statistics for different versions of Guppy, computed for 50 high coverage samples.</w:t>
      </w:r>
      <w:r w:rsidRPr="6C63DB0C">
        <w:rPr>
          <w:b/>
          <w:bCs/>
        </w:rPr>
        <w:t xml:space="preserve"> </w:t>
      </w:r>
      <w:r>
        <w:rPr>
          <w:b/>
          <w:bCs/>
        </w:rPr>
        <w:t>A</w:t>
      </w:r>
      <w:r w:rsidRPr="6C63DB0C">
        <w:rPr>
          <w:b/>
          <w:bCs/>
        </w:rPr>
        <w:t xml:space="preserve"> </w:t>
      </w:r>
      <w:r>
        <w:t xml:space="preserve">Box plot showing the computed error rate for each version of guppy. </w:t>
      </w:r>
      <w:r>
        <w:rPr>
          <w:b/>
          <w:bCs/>
        </w:rPr>
        <w:t>B</w:t>
      </w:r>
      <w:r>
        <w:t xml:space="preserve"> Box plot showing the sequencing coverage for each version of guppy. </w:t>
      </w:r>
      <w:r>
        <w:rPr>
          <w:b/>
          <w:bCs/>
        </w:rPr>
        <w:t>C</w:t>
      </w:r>
      <w:r w:rsidRPr="6C63DB0C">
        <w:rPr>
          <w:b/>
          <w:bCs/>
        </w:rPr>
        <w:t xml:space="preserve"> </w:t>
      </w:r>
      <w:r>
        <w:t>Box plot showing the computed N50 for each version of guppy.</w:t>
      </w:r>
      <w:r w:rsidR="00701641" w:rsidRPr="00701641">
        <w:rPr>
          <w:rFonts w:ascii="Calibri" w:eastAsia="Calibri" w:hAnsi="Calibri" w:cs="Calibri"/>
          <w:color w:val="000000" w:themeColor="text1"/>
        </w:rPr>
        <w:t xml:space="preserve"> </w:t>
      </w:r>
      <w:r w:rsidR="00701641">
        <w:rPr>
          <w:rFonts w:ascii="Calibri" w:eastAsia="Calibri" w:hAnsi="Calibri" w:cs="Calibri"/>
          <w:color w:val="000000" w:themeColor="text1"/>
        </w:rPr>
        <w:t>The centr</w:t>
      </w:r>
      <w:r w:rsidR="008D150B">
        <w:rPr>
          <w:rFonts w:ascii="Calibri" w:eastAsia="Calibri" w:hAnsi="Calibri" w:cs="Calibri"/>
          <w:color w:val="000000" w:themeColor="text1"/>
        </w:rPr>
        <w:t>e</w:t>
      </w:r>
      <w:r w:rsidR="00701641">
        <w:rPr>
          <w:rFonts w:ascii="Calibri" w:eastAsia="Calibri" w:hAnsi="Calibri" w:cs="Calibri"/>
          <w:color w:val="000000" w:themeColor="text1"/>
        </w:rPr>
        <w:t xml:space="preserve"> line (solid black) shown in each box represent the median; the box limits represent upper and lower quartile, whisk</w:t>
      </w:r>
      <w:r w:rsidR="008D150B">
        <w:rPr>
          <w:rFonts w:ascii="Calibri" w:eastAsia="Calibri" w:hAnsi="Calibri" w:cs="Calibri"/>
          <w:color w:val="000000" w:themeColor="text1"/>
        </w:rPr>
        <w:t>e</w:t>
      </w:r>
      <w:r w:rsidR="00701641">
        <w:rPr>
          <w:rFonts w:ascii="Calibri" w:eastAsia="Calibri" w:hAnsi="Calibri" w:cs="Calibri"/>
          <w:color w:val="000000" w:themeColor="text1"/>
        </w:rPr>
        <w:t>rs represent 1.5x interquartile range.</w:t>
      </w:r>
    </w:p>
    <w:p w14:paraId="2AA9A1D0" w14:textId="77777777" w:rsidR="002C25C4" w:rsidRDefault="002C25C4" w:rsidP="00803E19">
      <w:pPr>
        <w:widowControl w:val="0"/>
        <w:spacing w:line="480" w:lineRule="auto"/>
        <w:rPr>
          <w:b/>
          <w:bCs/>
        </w:rPr>
      </w:pPr>
      <w:r>
        <w:rPr>
          <w:b/>
          <w:bCs/>
        </w:rPr>
        <w:t>1.2 Nanopore data is more consistent in unmethylated and methylated CpG-units</w:t>
      </w:r>
    </w:p>
    <w:p w14:paraId="0537D311" w14:textId="524F74F3" w:rsidR="002C25C4" w:rsidRDefault="002C25C4" w:rsidP="00803E19">
      <w:pPr>
        <w:widowControl w:val="0"/>
        <w:spacing w:line="480" w:lineRule="auto"/>
        <w:rPr>
          <w:rFonts w:ascii="Calibri" w:eastAsia="Calibri" w:hAnsi="Calibri" w:cs="Calibri"/>
          <w:color w:val="000000" w:themeColor="text1"/>
        </w:rPr>
      </w:pPr>
      <w:r>
        <w:rPr>
          <w:rFonts w:ascii="Calibri" w:eastAsia="Calibri" w:hAnsi="Calibri" w:cs="Calibri"/>
          <w:color w:val="000000" w:themeColor="text1"/>
        </w:rPr>
        <w:t>CpGs were categorized based on 5-mCpG rates in oxBS, where sequencing coverage in oxBS is high (&gt;25x). We calculated the mean methylation levels within correctly classified CpGs conditioned on the methylation levels measured on oxBS, separately for ONT and oxBS. We further calculated the mean absalute difference and standard deviation between the two measurements. Results are shown in Table S2.</w:t>
      </w:r>
    </w:p>
    <w:p w14:paraId="3F3BE7CB" w14:textId="26ABD9FA" w:rsidR="000F5D3D" w:rsidRPr="000F5D3D" w:rsidRDefault="00580B81" w:rsidP="00803E19">
      <w:pPr>
        <w:widowControl w:val="0"/>
        <w:spacing w:line="480" w:lineRule="auto"/>
      </w:pPr>
      <w:r>
        <w:rPr>
          <w:b/>
          <w:bCs/>
        </w:rPr>
        <w:t>1.</w:t>
      </w:r>
      <w:r w:rsidR="00284DCC">
        <w:rPr>
          <w:b/>
          <w:bCs/>
        </w:rPr>
        <w:t>3</w:t>
      </w:r>
      <w:r>
        <w:rPr>
          <w:b/>
          <w:bCs/>
        </w:rPr>
        <w:t xml:space="preserve"> </w:t>
      </w:r>
      <w:r w:rsidR="001E0A16">
        <w:rPr>
          <w:b/>
          <w:bCs/>
        </w:rPr>
        <w:t>Nanopolish methylation prediction quality depends on the CpG-unit sequence context</w:t>
      </w:r>
    </w:p>
    <w:p w14:paraId="69551C96" w14:textId="3A7DDEDD" w:rsidR="00C35699" w:rsidRDefault="00BE7FD2" w:rsidP="00803E19">
      <w:pPr>
        <w:widowControl w:val="0"/>
        <w:spacing w:line="480" w:lineRule="auto"/>
        <w:rPr>
          <w:rFonts w:ascii="Calibri" w:eastAsia="Calibri" w:hAnsi="Calibri" w:cs="Calibri"/>
          <w:color w:val="000000" w:themeColor="text1"/>
        </w:rPr>
      </w:pPr>
      <w:r>
        <w:rPr>
          <w:rFonts w:ascii="Calibri" w:eastAsia="Calibri" w:hAnsi="Calibri" w:cs="Calibri"/>
          <w:noProof/>
          <w:color w:val="000000" w:themeColor="text1"/>
          <w:lang w:val="en-PH" w:eastAsia="en-PH"/>
        </w:rPr>
        <w:lastRenderedPageBreak/>
        <w:drawing>
          <wp:inline distT="0" distB="0" distL="0" distR="0" wp14:anchorId="5AE73331" wp14:editId="56B1E5CE">
            <wp:extent cx="4728845" cy="88639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28845" cy="8863965"/>
                    </a:xfrm>
                    <a:prstGeom prst="rect">
                      <a:avLst/>
                    </a:prstGeom>
                    <a:noFill/>
                    <a:ln>
                      <a:noFill/>
                    </a:ln>
                  </pic:spPr>
                </pic:pic>
              </a:graphicData>
            </a:graphic>
          </wp:inline>
        </w:drawing>
      </w:r>
    </w:p>
    <w:p w14:paraId="04F456A1" w14:textId="3C521D1C" w:rsidR="00387118" w:rsidRDefault="00387118" w:rsidP="00803E19">
      <w:pPr>
        <w:widowControl w:val="0"/>
        <w:spacing w:line="480" w:lineRule="auto"/>
        <w:rPr>
          <w:rFonts w:ascii="Calibri" w:eastAsia="Calibri" w:hAnsi="Calibri" w:cs="Calibri"/>
          <w:color w:val="000000" w:themeColor="text1"/>
        </w:rPr>
      </w:pPr>
      <w:r>
        <w:rPr>
          <w:rFonts w:ascii="Calibri" w:eastAsia="Calibri" w:hAnsi="Calibri" w:cs="Calibri"/>
          <w:b/>
          <w:bCs/>
          <w:color w:val="000000" w:themeColor="text1"/>
        </w:rPr>
        <w:lastRenderedPageBreak/>
        <w:t>Fig</w:t>
      </w:r>
      <w:r w:rsidR="000D5469">
        <w:rPr>
          <w:rFonts w:ascii="Calibri" w:eastAsia="Calibri" w:hAnsi="Calibri" w:cs="Calibri"/>
          <w:b/>
          <w:bCs/>
          <w:color w:val="000000" w:themeColor="text1"/>
        </w:rPr>
        <w:t>.</w:t>
      </w:r>
      <w:r>
        <w:rPr>
          <w:rFonts w:ascii="Calibri" w:eastAsia="Calibri" w:hAnsi="Calibri" w:cs="Calibri"/>
          <w:b/>
          <w:bCs/>
          <w:color w:val="000000" w:themeColor="text1"/>
        </w:rPr>
        <w:t xml:space="preserve"> S</w:t>
      </w:r>
      <w:r w:rsidR="00284DCC">
        <w:rPr>
          <w:rFonts w:ascii="Calibri" w:eastAsia="Calibri" w:hAnsi="Calibri" w:cs="Calibri"/>
          <w:b/>
          <w:bCs/>
          <w:color w:val="000000" w:themeColor="text1"/>
        </w:rPr>
        <w:t>3</w:t>
      </w:r>
      <w:r w:rsidRPr="62650EA2">
        <w:rPr>
          <w:rFonts w:ascii="Calibri" w:eastAsia="Calibri" w:hAnsi="Calibri" w:cs="Calibri"/>
          <w:b/>
          <w:bCs/>
          <w:color w:val="000000" w:themeColor="text1"/>
        </w:rPr>
        <w:t xml:space="preserve"> </w:t>
      </w:r>
      <w:r w:rsidRPr="005F71B7">
        <w:rPr>
          <w:rFonts w:ascii="Calibri" w:eastAsia="Calibri" w:hAnsi="Calibri" w:cs="Calibri"/>
          <w:color w:val="000000" w:themeColor="text1"/>
        </w:rPr>
        <w:t>Selection of high-quality CpGs.</w:t>
      </w:r>
      <w:r w:rsidRPr="62650EA2">
        <w:rPr>
          <w:rFonts w:ascii="Calibri" w:eastAsia="Calibri" w:hAnsi="Calibri" w:cs="Calibri"/>
          <w:b/>
          <w:bCs/>
          <w:color w:val="000000" w:themeColor="text1"/>
        </w:rPr>
        <w:t xml:space="preserve"> </w:t>
      </w:r>
      <w:r>
        <w:rPr>
          <w:rFonts w:ascii="Calibri" w:eastAsia="Calibri" w:hAnsi="Calibri" w:cs="Calibri"/>
          <w:b/>
          <w:bCs/>
          <w:color w:val="000000" w:themeColor="text1"/>
        </w:rPr>
        <w:t>A</w:t>
      </w:r>
      <w:r w:rsidRPr="62650EA2">
        <w:rPr>
          <w:rFonts w:ascii="Calibri" w:eastAsia="Calibri" w:hAnsi="Calibri" w:cs="Calibri"/>
          <w:color w:val="000000" w:themeColor="text1"/>
        </w:rPr>
        <w:t xml:space="preserve"> Histogram of the sequencing coverage distribution</w:t>
      </w:r>
      <w:r w:rsidR="0080500F">
        <w:rPr>
          <w:rFonts w:ascii="Calibri" w:eastAsia="Calibri" w:hAnsi="Calibri" w:cs="Calibri"/>
          <w:color w:val="000000" w:themeColor="text1"/>
        </w:rPr>
        <w:t xml:space="preserve"> of the population</w:t>
      </w:r>
      <w:r w:rsidRPr="62650EA2">
        <w:rPr>
          <w:rFonts w:ascii="Calibri" w:eastAsia="Calibri" w:hAnsi="Calibri" w:cs="Calibri"/>
          <w:color w:val="000000" w:themeColor="text1"/>
        </w:rPr>
        <w:t>, plotted on log</w:t>
      </w:r>
      <w:r>
        <w:rPr>
          <w:rFonts w:ascii="Calibri" w:eastAsia="Calibri" w:hAnsi="Calibri" w:cs="Calibri"/>
          <w:color w:val="000000" w:themeColor="text1"/>
        </w:rPr>
        <w:t>10</w:t>
      </w:r>
      <w:r w:rsidRPr="62650EA2">
        <w:rPr>
          <w:rFonts w:ascii="Calibri" w:eastAsia="Calibri" w:hAnsi="Calibri" w:cs="Calibri"/>
          <w:color w:val="000000" w:themeColor="text1"/>
        </w:rPr>
        <w:t xml:space="preserve">-scale. For better demonstration of the majority of the data we only show values between 4-6 on x-axis.  </w:t>
      </w:r>
      <w:r>
        <w:rPr>
          <w:rFonts w:ascii="Calibri" w:eastAsia="Calibri" w:hAnsi="Calibri" w:cs="Calibri"/>
          <w:b/>
          <w:bCs/>
          <w:color w:val="000000" w:themeColor="text1"/>
        </w:rPr>
        <w:t>B</w:t>
      </w:r>
      <w:r w:rsidR="00BF0545">
        <w:rPr>
          <w:rFonts w:ascii="Calibri" w:eastAsia="Calibri" w:hAnsi="Calibri" w:cs="Calibri"/>
          <w:b/>
          <w:bCs/>
          <w:color w:val="000000" w:themeColor="text1"/>
        </w:rPr>
        <w:t xml:space="preserve"> </w:t>
      </w:r>
      <w:r w:rsidR="00BF0545">
        <w:rPr>
          <w:rFonts w:ascii="Calibri" w:eastAsia="Calibri" w:hAnsi="Calibri" w:cs="Calibri"/>
          <w:color w:val="000000" w:themeColor="text1"/>
        </w:rPr>
        <w:t xml:space="preserve">Histogram of the average coverage distribution (coverage divided by number of samples), shown for the range of 10-40x. </w:t>
      </w:r>
      <w:r w:rsidR="00BF0545">
        <w:rPr>
          <w:rFonts w:ascii="Calibri" w:eastAsia="Calibri" w:hAnsi="Calibri" w:cs="Calibri"/>
          <w:b/>
          <w:bCs/>
          <w:color w:val="000000" w:themeColor="text1"/>
        </w:rPr>
        <w:t>C</w:t>
      </w:r>
      <w:r w:rsidRPr="62650EA2">
        <w:rPr>
          <w:rFonts w:ascii="Calibri" w:eastAsia="Calibri" w:hAnsi="Calibri" w:cs="Calibri"/>
          <w:b/>
          <w:bCs/>
          <w:color w:val="000000" w:themeColor="text1"/>
        </w:rPr>
        <w:t xml:space="preserve"> </w:t>
      </w:r>
      <w:r w:rsidRPr="62650EA2">
        <w:rPr>
          <w:rFonts w:ascii="Calibri" w:eastAsia="Calibri" w:hAnsi="Calibri" w:cs="Calibri"/>
          <w:color w:val="000000" w:themeColor="text1"/>
        </w:rPr>
        <w:t>Histogram of the strand bias in the data.</w:t>
      </w:r>
      <w:r w:rsidR="000D5469">
        <w:rPr>
          <w:rFonts w:ascii="Calibri" w:eastAsia="Calibri" w:hAnsi="Calibri" w:cs="Calibri"/>
          <w:color w:val="000000" w:themeColor="text1"/>
        </w:rPr>
        <w:t xml:space="preserve"> </w:t>
      </w:r>
      <w:r w:rsidR="00F571EB">
        <w:rPr>
          <w:rFonts w:ascii="Calibri" w:eastAsia="Calibri" w:hAnsi="Calibri" w:cs="Calibri"/>
          <w:b/>
          <w:bCs/>
          <w:color w:val="000000" w:themeColor="text1"/>
        </w:rPr>
        <w:t>D</w:t>
      </w:r>
      <w:r w:rsidR="00F571EB" w:rsidRPr="62650EA2">
        <w:rPr>
          <w:rFonts w:ascii="Calibri" w:eastAsia="Calibri" w:hAnsi="Calibri" w:cs="Calibri"/>
          <w:b/>
          <w:bCs/>
          <w:color w:val="000000" w:themeColor="text1"/>
        </w:rPr>
        <w:t xml:space="preserve"> </w:t>
      </w:r>
      <w:r w:rsidR="00F571EB" w:rsidRPr="62650EA2">
        <w:rPr>
          <w:rFonts w:ascii="Calibri" w:eastAsia="Calibri" w:hAnsi="Calibri" w:cs="Calibri"/>
          <w:color w:val="000000" w:themeColor="text1"/>
        </w:rPr>
        <w:t xml:space="preserve">Scatter plot of the correlation coefficient for each cut-off value for strand bias. </w:t>
      </w:r>
      <w:r w:rsidR="00F571EB">
        <w:rPr>
          <w:rFonts w:ascii="Calibri" w:eastAsia="Calibri" w:hAnsi="Calibri" w:cs="Calibri"/>
          <w:b/>
          <w:bCs/>
          <w:color w:val="000000" w:themeColor="text1"/>
        </w:rPr>
        <w:t>E</w:t>
      </w:r>
      <w:r w:rsidRPr="62650EA2">
        <w:rPr>
          <w:rFonts w:ascii="Calibri" w:eastAsia="Calibri" w:hAnsi="Calibri" w:cs="Calibri"/>
          <w:b/>
          <w:bCs/>
          <w:color w:val="000000" w:themeColor="text1"/>
        </w:rPr>
        <w:t xml:space="preserve"> </w:t>
      </w:r>
      <w:r w:rsidRPr="62650EA2">
        <w:rPr>
          <w:rFonts w:ascii="Calibri" w:eastAsia="Calibri" w:hAnsi="Calibri" w:cs="Calibri"/>
          <w:color w:val="000000" w:themeColor="text1"/>
        </w:rPr>
        <w:t xml:space="preserve">Histogram of the fraction of reliable reads. </w:t>
      </w:r>
      <w:r w:rsidR="004601B4">
        <w:rPr>
          <w:rFonts w:ascii="Calibri" w:eastAsia="Calibri" w:hAnsi="Calibri" w:cs="Calibri"/>
          <w:b/>
          <w:bCs/>
          <w:color w:val="000000" w:themeColor="text1"/>
        </w:rPr>
        <w:t>F</w:t>
      </w:r>
      <w:r w:rsidR="00F571EB" w:rsidRPr="62650EA2">
        <w:rPr>
          <w:rFonts w:ascii="Calibri" w:eastAsia="Calibri" w:hAnsi="Calibri" w:cs="Calibri"/>
          <w:b/>
          <w:bCs/>
          <w:color w:val="000000" w:themeColor="text1"/>
        </w:rPr>
        <w:t xml:space="preserve"> </w:t>
      </w:r>
      <w:r w:rsidR="00F571EB" w:rsidRPr="62650EA2">
        <w:rPr>
          <w:rFonts w:ascii="Calibri" w:eastAsia="Calibri" w:hAnsi="Calibri" w:cs="Calibri"/>
          <w:color w:val="000000" w:themeColor="text1"/>
        </w:rPr>
        <w:t xml:space="preserve">Scatter plot of the correlation coefficient for each cut-off value for fraction of reliable reads. </w:t>
      </w:r>
      <w:r w:rsidR="004601B4">
        <w:rPr>
          <w:rFonts w:ascii="Calibri" w:eastAsia="Calibri" w:hAnsi="Calibri" w:cs="Calibri"/>
          <w:color w:val="000000" w:themeColor="text1"/>
        </w:rPr>
        <w:t xml:space="preserve"> </w:t>
      </w:r>
      <w:r w:rsidR="004601B4">
        <w:rPr>
          <w:rFonts w:ascii="Calibri" w:eastAsia="Calibri" w:hAnsi="Calibri" w:cs="Calibri"/>
          <w:b/>
          <w:bCs/>
          <w:color w:val="000000" w:themeColor="text1"/>
        </w:rPr>
        <w:t>G</w:t>
      </w:r>
      <w:r w:rsidRPr="62650EA2">
        <w:rPr>
          <w:rFonts w:ascii="Calibri" w:eastAsia="Calibri" w:hAnsi="Calibri" w:cs="Calibri"/>
          <w:b/>
          <w:bCs/>
          <w:color w:val="000000" w:themeColor="text1"/>
        </w:rPr>
        <w:t xml:space="preserve"> </w:t>
      </w:r>
      <w:r w:rsidRPr="62650EA2">
        <w:rPr>
          <w:rFonts w:ascii="Calibri" w:eastAsia="Calibri" w:hAnsi="Calibri" w:cs="Calibri"/>
          <w:color w:val="000000" w:themeColor="text1"/>
        </w:rPr>
        <w:t>Histogram of the fraction of phased reads</w:t>
      </w:r>
      <w:r w:rsidR="00F571EB">
        <w:rPr>
          <w:rFonts w:ascii="Calibri" w:eastAsia="Calibri" w:hAnsi="Calibri" w:cs="Calibri"/>
          <w:color w:val="000000" w:themeColor="text1"/>
        </w:rPr>
        <w:t xml:space="preserve">. </w:t>
      </w:r>
      <w:r w:rsidRPr="62650EA2">
        <w:rPr>
          <w:rFonts w:ascii="Calibri" w:eastAsia="Calibri" w:hAnsi="Calibri" w:cs="Calibri"/>
          <w:color w:val="000000" w:themeColor="text1"/>
        </w:rPr>
        <w:t xml:space="preserve">Red lines represent the selected cut-off values. </w:t>
      </w:r>
      <w:r w:rsidR="00BF0545">
        <w:rPr>
          <w:rFonts w:ascii="Calibri" w:eastAsia="Calibri" w:hAnsi="Calibri" w:cs="Calibri"/>
          <w:b/>
          <w:bCs/>
          <w:color w:val="000000" w:themeColor="text1"/>
        </w:rPr>
        <w:t>H</w:t>
      </w:r>
      <w:r w:rsidRPr="62650EA2">
        <w:rPr>
          <w:rFonts w:ascii="Calibri" w:eastAsia="Calibri" w:hAnsi="Calibri" w:cs="Calibri"/>
          <w:b/>
          <w:bCs/>
          <w:color w:val="000000" w:themeColor="text1"/>
        </w:rPr>
        <w:t xml:space="preserve"> </w:t>
      </w:r>
      <w:r w:rsidRPr="62650EA2">
        <w:rPr>
          <w:rFonts w:ascii="Calibri" w:eastAsia="Calibri" w:hAnsi="Calibri" w:cs="Calibri"/>
          <w:color w:val="000000" w:themeColor="text1"/>
        </w:rPr>
        <w:t>Heatmap of the correlation coefficient and number of hq-CpG based on each cutoff.</w:t>
      </w:r>
    </w:p>
    <w:p w14:paraId="5DCA78CE" w14:textId="77777777" w:rsidR="004572CA" w:rsidRDefault="004572CA" w:rsidP="00803E19">
      <w:pPr>
        <w:widowControl w:val="0"/>
        <w:spacing w:line="480" w:lineRule="auto"/>
        <w:rPr>
          <w:rFonts w:ascii="Calibri" w:eastAsia="Calibri" w:hAnsi="Calibri" w:cs="Calibri"/>
          <w:b/>
          <w:bCs/>
          <w:color w:val="000000" w:themeColor="text1"/>
        </w:rPr>
      </w:pPr>
      <w:r>
        <w:rPr>
          <w:rFonts w:ascii="Calibri" w:eastAsia="Calibri" w:hAnsi="Calibri" w:cs="Calibri"/>
          <w:b/>
          <w:bCs/>
          <w:noProof/>
          <w:color w:val="000000" w:themeColor="text1"/>
          <w:lang w:val="en-PH" w:eastAsia="en-PH"/>
        </w:rPr>
        <w:drawing>
          <wp:inline distT="0" distB="0" distL="0" distR="0" wp14:anchorId="1DD78F4C" wp14:editId="71A1225C">
            <wp:extent cx="5725160" cy="2865755"/>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5160" cy="2865755"/>
                    </a:xfrm>
                    <a:prstGeom prst="rect">
                      <a:avLst/>
                    </a:prstGeom>
                    <a:noFill/>
                    <a:ln>
                      <a:noFill/>
                    </a:ln>
                  </pic:spPr>
                </pic:pic>
              </a:graphicData>
            </a:graphic>
          </wp:inline>
        </w:drawing>
      </w:r>
      <w:r>
        <w:rPr>
          <w:rFonts w:ascii="Calibri" w:eastAsia="Calibri" w:hAnsi="Calibri" w:cs="Calibri"/>
          <w:b/>
          <w:bCs/>
          <w:color w:val="000000" w:themeColor="text1"/>
        </w:rPr>
        <w:t xml:space="preserve"> </w:t>
      </w:r>
    </w:p>
    <w:p w14:paraId="3B89503A" w14:textId="7270523E" w:rsidR="004572CA" w:rsidRDefault="004572CA" w:rsidP="00803E19">
      <w:pPr>
        <w:widowControl w:val="0"/>
        <w:spacing w:line="480" w:lineRule="auto"/>
        <w:rPr>
          <w:noProof/>
        </w:rPr>
      </w:pPr>
      <w:r>
        <w:rPr>
          <w:rFonts w:ascii="Calibri" w:eastAsia="Calibri" w:hAnsi="Calibri" w:cs="Calibri"/>
          <w:b/>
          <w:bCs/>
          <w:color w:val="000000" w:themeColor="text1"/>
        </w:rPr>
        <w:t>Fig. S</w:t>
      </w:r>
      <w:r w:rsidR="00284DCC">
        <w:rPr>
          <w:rFonts w:ascii="Calibri" w:eastAsia="Calibri" w:hAnsi="Calibri" w:cs="Calibri"/>
          <w:b/>
          <w:bCs/>
          <w:color w:val="000000" w:themeColor="text1"/>
        </w:rPr>
        <w:t>4</w:t>
      </w:r>
      <w:r>
        <w:rPr>
          <w:rFonts w:ascii="Calibri" w:eastAsia="Calibri" w:hAnsi="Calibri" w:cs="Calibri"/>
          <w:b/>
          <w:bCs/>
          <w:color w:val="000000" w:themeColor="text1"/>
        </w:rPr>
        <w:t xml:space="preserve"> </w:t>
      </w:r>
      <w:r w:rsidRPr="00387118">
        <w:rPr>
          <w:rFonts w:ascii="Calibri" w:eastAsia="Calibri" w:hAnsi="Calibri" w:cs="Calibri"/>
          <w:color w:val="000000" w:themeColor="text1"/>
        </w:rPr>
        <w:t>Strand bias in oxBS data</w:t>
      </w:r>
      <w:r>
        <w:rPr>
          <w:rFonts w:ascii="Calibri" w:eastAsia="Calibri" w:hAnsi="Calibri" w:cs="Calibri"/>
          <w:color w:val="000000" w:themeColor="text1"/>
        </w:rPr>
        <w:t xml:space="preserve">. </w:t>
      </w:r>
      <w:r w:rsidRPr="00ED2710">
        <w:rPr>
          <w:rFonts w:ascii="Calibri" w:eastAsia="Calibri" w:hAnsi="Calibri" w:cs="Calibri"/>
          <w:b/>
          <w:bCs/>
          <w:color w:val="000000" w:themeColor="text1"/>
        </w:rPr>
        <w:t>A</w:t>
      </w:r>
      <w:r>
        <w:rPr>
          <w:rFonts w:ascii="Calibri" w:eastAsia="Calibri" w:hAnsi="Calibri" w:cs="Calibri"/>
          <w:color w:val="000000" w:themeColor="text1"/>
        </w:rPr>
        <w:t xml:space="preserve"> Histogram for strand bias in oxBS data. </w:t>
      </w:r>
      <w:r>
        <w:rPr>
          <w:rFonts w:ascii="Calibri" w:eastAsia="Calibri" w:hAnsi="Calibri" w:cs="Calibri"/>
          <w:b/>
          <w:bCs/>
          <w:color w:val="000000" w:themeColor="text1"/>
        </w:rPr>
        <w:t xml:space="preserve">B </w:t>
      </w:r>
      <w:r w:rsidR="000D2732">
        <w:rPr>
          <w:rFonts w:ascii="Calibri" w:eastAsia="Calibri" w:hAnsi="Calibri" w:cs="Calibri"/>
          <w:color w:val="000000" w:themeColor="text1"/>
        </w:rPr>
        <w:t>Same plot, s</w:t>
      </w:r>
      <w:r>
        <w:rPr>
          <w:rFonts w:ascii="Calibri" w:eastAsia="Calibri" w:hAnsi="Calibri" w:cs="Calibri"/>
          <w:color w:val="000000" w:themeColor="text1"/>
        </w:rPr>
        <w:t>hown only for strand bias</w:t>
      </w:r>
      <w:r w:rsidR="000D2732">
        <w:rPr>
          <w:rFonts w:ascii="Calibri" w:eastAsia="Calibri" w:hAnsi="Calibri" w:cs="Calibri"/>
          <w:color w:val="000000" w:themeColor="text1"/>
        </w:rPr>
        <w:t>, x-axis,</w:t>
      </w:r>
      <w:r>
        <w:rPr>
          <w:rFonts w:ascii="Calibri" w:eastAsia="Calibri" w:hAnsi="Calibri" w:cs="Calibri"/>
          <w:color w:val="000000" w:themeColor="text1"/>
        </w:rPr>
        <w:t xml:space="preserve"> between 0-0.2. The mean strand bias in oxBS data was 0.025.</w:t>
      </w:r>
      <w:r w:rsidRPr="00387118">
        <w:rPr>
          <w:noProof/>
        </w:rPr>
        <w:t xml:space="preserve"> </w:t>
      </w:r>
    </w:p>
    <w:p w14:paraId="03AB4D8B" w14:textId="77777777" w:rsidR="004572CA" w:rsidRDefault="004572CA" w:rsidP="00803E19">
      <w:pPr>
        <w:widowControl w:val="0"/>
        <w:spacing w:line="480" w:lineRule="auto"/>
        <w:rPr>
          <w:rFonts w:ascii="Calibri" w:eastAsia="Calibri" w:hAnsi="Calibri" w:cs="Calibri"/>
          <w:color w:val="000000" w:themeColor="text1"/>
        </w:rPr>
      </w:pPr>
    </w:p>
    <w:p w14:paraId="0D5A17D8" w14:textId="00DFA374" w:rsidR="00F679B4" w:rsidRDefault="00F679B4" w:rsidP="00803E19">
      <w:pPr>
        <w:widowControl w:val="0"/>
        <w:spacing w:line="480" w:lineRule="auto"/>
        <w:rPr>
          <w:rFonts w:ascii="Calibri" w:eastAsia="Calibri" w:hAnsi="Calibri" w:cs="Calibri"/>
          <w:b/>
          <w:bCs/>
          <w:color w:val="000000" w:themeColor="text1"/>
        </w:rPr>
      </w:pPr>
      <w:r>
        <w:rPr>
          <w:rFonts w:ascii="Calibri" w:eastAsia="Calibri" w:hAnsi="Calibri" w:cs="Calibri"/>
          <w:noProof/>
          <w:color w:val="000000" w:themeColor="text1"/>
          <w:lang w:val="en-PH" w:eastAsia="en-PH"/>
        </w:rPr>
        <w:lastRenderedPageBreak/>
        <w:drawing>
          <wp:inline distT="0" distB="0" distL="0" distR="0" wp14:anchorId="2FF19C17" wp14:editId="32F23740">
            <wp:extent cx="5732145" cy="4298950"/>
            <wp:effectExtent l="0" t="0" r="190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2145" cy="4298950"/>
                    </a:xfrm>
                    <a:prstGeom prst="rect">
                      <a:avLst/>
                    </a:prstGeom>
                    <a:noFill/>
                    <a:ln>
                      <a:noFill/>
                    </a:ln>
                  </pic:spPr>
                </pic:pic>
              </a:graphicData>
            </a:graphic>
          </wp:inline>
        </w:drawing>
      </w:r>
    </w:p>
    <w:p w14:paraId="496FBE98" w14:textId="52B884A2" w:rsidR="00896103" w:rsidRPr="00C25D1C" w:rsidRDefault="00F679B4" w:rsidP="00803E19">
      <w:pPr>
        <w:widowControl w:val="0"/>
        <w:spacing w:line="480" w:lineRule="auto"/>
        <w:rPr>
          <w:rFonts w:ascii="Times New Roman" w:hAnsi="Times New Roman" w:cs="Times New Roman"/>
          <w:sz w:val="18"/>
          <w:szCs w:val="18"/>
        </w:rPr>
      </w:pPr>
      <w:r w:rsidRPr="00F679B4">
        <w:rPr>
          <w:rFonts w:ascii="Calibri" w:eastAsia="Calibri" w:hAnsi="Calibri" w:cs="Calibri"/>
          <w:b/>
          <w:bCs/>
          <w:color w:val="000000" w:themeColor="text1"/>
        </w:rPr>
        <w:t>Fig. S</w:t>
      </w:r>
      <w:r w:rsidR="00284DCC">
        <w:rPr>
          <w:rFonts w:ascii="Calibri" w:eastAsia="Calibri" w:hAnsi="Calibri" w:cs="Calibri"/>
          <w:b/>
          <w:bCs/>
          <w:color w:val="000000" w:themeColor="text1"/>
        </w:rPr>
        <w:t>5</w:t>
      </w:r>
      <w:r w:rsidR="00896103">
        <w:rPr>
          <w:rFonts w:ascii="Calibri" w:eastAsia="Calibri" w:hAnsi="Calibri" w:cs="Calibri"/>
          <w:b/>
          <w:bCs/>
          <w:color w:val="000000" w:themeColor="text1"/>
        </w:rPr>
        <w:t xml:space="preserve"> Sample-to-sample correlation for samples sequenced using oxBS and nanopore sequencing</w:t>
      </w:r>
      <w:r w:rsidR="00896103">
        <w:rPr>
          <w:rFonts w:ascii="Calibri" w:eastAsia="Calibri" w:hAnsi="Calibri" w:cs="Calibri"/>
          <w:color w:val="000000" w:themeColor="text1"/>
        </w:rPr>
        <w:t xml:space="preserve"> 132 samples isolated from the same whole blood were analyzed using both oxidative bisulfite sequencing and whole genome nanopre sequencing.</w:t>
      </w:r>
      <w:r w:rsidR="00896103" w:rsidRPr="00881322">
        <w:t xml:space="preserve">  Shown are correlation coefficients, y-axis, for each sample-to-sample comparison; i.e. 5-mCpG rates measured by nanopore sequencing compared to 5-mCpG rates measured by oxBS in the same individual are plotted on the y-axis.  </w:t>
      </w:r>
      <w:r w:rsidR="000D2732">
        <w:t>The</w:t>
      </w:r>
      <w:r w:rsidR="00896103" w:rsidRPr="00881322">
        <w:t xml:space="preserve"> average coverage of the nanopore sequenced DNA (upper panel) and oxBS sequenced DNA (lower panel) are plotted on the x-axis.  Correlation coefficients were calculated on the basis of all CpGs detected (blue colour) in sequenced reads from both sequencing methods, but also based only on CpGs that meet our quality critera for percent error and strand bias (black) and those that do not meet this criteria (red).  The </w:t>
      </w:r>
      <w:r w:rsidR="00896103">
        <w:t>16.5</w:t>
      </w:r>
      <w:r w:rsidR="00896103" w:rsidRPr="00881322">
        <w:t xml:space="preserve">M CpGs categorized as “high quality” (black) consistently show higher sample-to-sample correlation coefficients, but the correlation is clearly affected by average coverage; i.e. nanopore sequenced samples with average coverage &lt; 10  show lower correlation coefficients across all categories of CpGs.  </w:t>
      </w:r>
    </w:p>
    <w:p w14:paraId="47C54BE3" w14:textId="77777777" w:rsidR="00896103" w:rsidRPr="00F679B4" w:rsidRDefault="00896103" w:rsidP="00803E19">
      <w:pPr>
        <w:widowControl w:val="0"/>
        <w:spacing w:line="480" w:lineRule="auto"/>
        <w:rPr>
          <w:rFonts w:ascii="Calibri" w:eastAsia="Calibri" w:hAnsi="Calibri" w:cs="Calibri"/>
          <w:b/>
          <w:bCs/>
          <w:color w:val="000000" w:themeColor="text1"/>
        </w:rPr>
      </w:pPr>
    </w:p>
    <w:p w14:paraId="4B1B5407" w14:textId="6AF07925" w:rsidR="005D7D19" w:rsidRDefault="001C21D9" w:rsidP="00803E19">
      <w:pPr>
        <w:widowControl w:val="0"/>
        <w:spacing w:line="480" w:lineRule="auto"/>
        <w:rPr>
          <w:rFonts w:ascii="Calibri" w:eastAsia="Calibri" w:hAnsi="Calibri" w:cs="Calibri"/>
          <w:color w:val="000000" w:themeColor="text1"/>
        </w:rPr>
      </w:pPr>
      <w:r>
        <w:rPr>
          <w:rFonts w:ascii="Calibri" w:eastAsia="Calibri" w:hAnsi="Calibri" w:cs="Calibri"/>
          <w:noProof/>
          <w:color w:val="000000" w:themeColor="text1"/>
          <w:lang w:val="en-PH" w:eastAsia="en-PH"/>
        </w:rPr>
        <w:drawing>
          <wp:inline distT="0" distB="0" distL="0" distR="0" wp14:anchorId="104694F3" wp14:editId="6E4F1549">
            <wp:extent cx="5732145" cy="3439160"/>
            <wp:effectExtent l="0" t="0" r="1905"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2145" cy="3439160"/>
                    </a:xfrm>
                    <a:prstGeom prst="rect">
                      <a:avLst/>
                    </a:prstGeom>
                    <a:noFill/>
                    <a:ln>
                      <a:noFill/>
                    </a:ln>
                  </pic:spPr>
                </pic:pic>
              </a:graphicData>
            </a:graphic>
          </wp:inline>
        </w:drawing>
      </w:r>
    </w:p>
    <w:p w14:paraId="29C9A924" w14:textId="0BC51FC9" w:rsidR="00E6154E" w:rsidRDefault="005D7D19" w:rsidP="00803E19">
      <w:pPr>
        <w:widowControl w:val="0"/>
        <w:spacing w:line="480" w:lineRule="auto"/>
        <w:rPr>
          <w:rFonts w:ascii="Calibri" w:eastAsia="Calibri" w:hAnsi="Calibri" w:cs="Calibri"/>
          <w:color w:val="000000" w:themeColor="text1"/>
        </w:rPr>
      </w:pPr>
      <w:r w:rsidRPr="62650EA2">
        <w:rPr>
          <w:rFonts w:ascii="Calibri" w:eastAsia="Calibri" w:hAnsi="Calibri" w:cs="Calibri"/>
          <w:b/>
          <w:bCs/>
          <w:color w:val="000000" w:themeColor="text1"/>
        </w:rPr>
        <w:t>Fig</w:t>
      </w:r>
      <w:r w:rsidR="000D5469">
        <w:rPr>
          <w:rFonts w:ascii="Calibri" w:eastAsia="Calibri" w:hAnsi="Calibri" w:cs="Calibri"/>
          <w:b/>
          <w:bCs/>
          <w:color w:val="000000" w:themeColor="text1"/>
        </w:rPr>
        <w:t>.</w:t>
      </w:r>
      <w:r w:rsidR="005F71B7">
        <w:rPr>
          <w:rFonts w:ascii="Calibri" w:eastAsia="Calibri" w:hAnsi="Calibri" w:cs="Calibri"/>
          <w:b/>
          <w:bCs/>
          <w:color w:val="000000" w:themeColor="text1"/>
        </w:rPr>
        <w:t xml:space="preserve"> </w:t>
      </w:r>
      <w:r w:rsidR="00437CAD">
        <w:rPr>
          <w:rFonts w:ascii="Calibri" w:eastAsia="Calibri" w:hAnsi="Calibri" w:cs="Calibri"/>
          <w:b/>
          <w:bCs/>
          <w:color w:val="000000" w:themeColor="text1"/>
        </w:rPr>
        <w:t>S</w:t>
      </w:r>
      <w:r w:rsidR="00284DCC">
        <w:rPr>
          <w:rFonts w:ascii="Calibri" w:eastAsia="Calibri" w:hAnsi="Calibri" w:cs="Calibri"/>
          <w:b/>
          <w:bCs/>
          <w:color w:val="000000" w:themeColor="text1"/>
        </w:rPr>
        <w:t>6</w:t>
      </w:r>
      <w:r w:rsidRPr="62650EA2">
        <w:rPr>
          <w:rFonts w:ascii="Calibri" w:eastAsia="Calibri" w:hAnsi="Calibri" w:cs="Calibri"/>
          <w:b/>
          <w:bCs/>
          <w:color w:val="000000" w:themeColor="text1"/>
        </w:rPr>
        <w:t xml:space="preserve"> </w:t>
      </w:r>
      <w:r w:rsidRPr="00387118">
        <w:rPr>
          <w:rFonts w:ascii="Calibri" w:eastAsia="Calibri" w:hAnsi="Calibri" w:cs="Calibri"/>
          <w:color w:val="000000" w:themeColor="text1"/>
        </w:rPr>
        <w:t>Distribution of high-quality CpG units</w:t>
      </w:r>
      <w:r w:rsidRPr="62650EA2">
        <w:rPr>
          <w:rFonts w:ascii="Calibri" w:eastAsia="Calibri" w:hAnsi="Calibri" w:cs="Calibri"/>
          <w:b/>
          <w:bCs/>
          <w:color w:val="000000" w:themeColor="text1"/>
        </w:rPr>
        <w:t xml:space="preserve">. </w:t>
      </w:r>
      <w:r>
        <w:rPr>
          <w:rFonts w:ascii="Calibri" w:eastAsia="Calibri" w:hAnsi="Calibri" w:cs="Calibri"/>
          <w:b/>
          <w:bCs/>
          <w:color w:val="000000" w:themeColor="text1"/>
        </w:rPr>
        <w:t>A</w:t>
      </w:r>
      <w:r w:rsidRPr="62650EA2">
        <w:rPr>
          <w:rFonts w:ascii="Calibri" w:eastAsia="Calibri" w:hAnsi="Calibri" w:cs="Calibri"/>
          <w:b/>
          <w:bCs/>
          <w:color w:val="000000" w:themeColor="text1"/>
        </w:rPr>
        <w:t xml:space="preserve"> </w:t>
      </w:r>
      <w:r w:rsidRPr="62650EA2">
        <w:rPr>
          <w:rFonts w:ascii="Calibri" w:eastAsia="Calibri" w:hAnsi="Calibri" w:cs="Calibri"/>
          <w:color w:val="000000" w:themeColor="text1"/>
        </w:rPr>
        <w:t>Majority of the CpG units have less than 2 CpGs, for the full set and the hq-CpG units. The average number of CpGs within unit was 1.26 for hq-CpGs and 1.22 for other CpGs.</w:t>
      </w:r>
      <w:r w:rsidR="00387118">
        <w:rPr>
          <w:rFonts w:ascii="Calibri" w:eastAsia="Calibri" w:hAnsi="Calibri" w:cs="Calibri"/>
          <w:color w:val="000000" w:themeColor="text1"/>
        </w:rPr>
        <w:t xml:space="preserve"> </w:t>
      </w:r>
      <w:r>
        <w:rPr>
          <w:rFonts w:ascii="Calibri" w:eastAsia="Calibri" w:hAnsi="Calibri" w:cs="Calibri"/>
          <w:b/>
          <w:bCs/>
          <w:color w:val="000000" w:themeColor="text1"/>
        </w:rPr>
        <w:t>B</w:t>
      </w:r>
      <w:r w:rsidRPr="62650EA2">
        <w:rPr>
          <w:rFonts w:ascii="Calibri" w:eastAsia="Calibri" w:hAnsi="Calibri" w:cs="Calibri"/>
          <w:b/>
          <w:bCs/>
          <w:color w:val="000000" w:themeColor="text1"/>
        </w:rPr>
        <w:t xml:space="preserve"> </w:t>
      </w:r>
      <w:r w:rsidRPr="62650EA2">
        <w:rPr>
          <w:rFonts w:ascii="Calibri" w:eastAsia="Calibri" w:hAnsi="Calibri" w:cs="Calibri"/>
          <w:color w:val="000000" w:themeColor="text1"/>
        </w:rPr>
        <w:t>The distribution of hq-CpGs per chromosome is consistent with total number of CpGs per chromosome.</w:t>
      </w:r>
    </w:p>
    <w:p w14:paraId="299D0F99" w14:textId="77777777" w:rsidR="003C1DD9" w:rsidRPr="00387118" w:rsidRDefault="003C1DD9" w:rsidP="00803E19">
      <w:pPr>
        <w:widowControl w:val="0"/>
        <w:spacing w:line="480" w:lineRule="auto"/>
        <w:rPr>
          <w:rFonts w:ascii="Calibri" w:eastAsia="Calibri" w:hAnsi="Calibri" w:cs="Calibri"/>
          <w:color w:val="000000" w:themeColor="text1"/>
        </w:rPr>
      </w:pPr>
    </w:p>
    <w:p w14:paraId="047BADB0" w14:textId="62D37FBA" w:rsidR="00E6154E" w:rsidRDefault="00284DCC" w:rsidP="00803E19">
      <w:pPr>
        <w:widowControl w:val="0"/>
        <w:spacing w:line="480" w:lineRule="auto"/>
        <w:rPr>
          <w:b/>
          <w:bCs/>
        </w:rPr>
      </w:pPr>
      <w:r>
        <w:rPr>
          <w:b/>
          <w:bCs/>
        </w:rPr>
        <w:t xml:space="preserve">1.4 </w:t>
      </w:r>
      <w:r w:rsidR="001E0A16">
        <w:rPr>
          <w:b/>
          <w:bCs/>
        </w:rPr>
        <w:t>Guppy outperforms Nanopolish per CpG</w:t>
      </w:r>
      <w:r w:rsidR="00D60F79">
        <w:rPr>
          <w:b/>
          <w:bCs/>
        </w:rPr>
        <w:t xml:space="preserve"> site in comparison to oxBS</w:t>
      </w:r>
    </w:p>
    <w:p w14:paraId="1C3EB37F" w14:textId="4B324911" w:rsidR="00DC0489" w:rsidRPr="00817E64" w:rsidRDefault="002147A3" w:rsidP="00803E19">
      <w:pPr>
        <w:widowControl w:val="0"/>
        <w:spacing w:line="480" w:lineRule="auto"/>
        <w:rPr>
          <w:b/>
          <w:bCs/>
        </w:rPr>
      </w:pPr>
      <w:r w:rsidRPr="62650EA2">
        <w:rPr>
          <w:rFonts w:ascii="Calibri" w:eastAsia="Calibri" w:hAnsi="Calibri" w:cs="Calibri"/>
          <w:color w:val="000000" w:themeColor="text1"/>
        </w:rPr>
        <w:t>We selected 4</w:t>
      </w:r>
      <w:r w:rsidR="002F7A51">
        <w:rPr>
          <w:rFonts w:ascii="Calibri" w:eastAsia="Calibri" w:hAnsi="Calibri" w:cs="Calibri"/>
          <w:color w:val="000000" w:themeColor="text1"/>
        </w:rPr>
        <w:t>2</w:t>
      </w:r>
      <w:r w:rsidRPr="62650EA2">
        <w:rPr>
          <w:rFonts w:ascii="Calibri" w:eastAsia="Calibri" w:hAnsi="Calibri" w:cs="Calibri"/>
          <w:color w:val="000000" w:themeColor="text1"/>
        </w:rPr>
        <w:t xml:space="preserve"> samples</w:t>
      </w:r>
      <w:r>
        <w:rPr>
          <w:rFonts w:ascii="Calibri" w:eastAsia="Calibri" w:hAnsi="Calibri" w:cs="Calibri"/>
          <w:color w:val="000000" w:themeColor="text1"/>
        </w:rPr>
        <w:t xml:space="preserve">, </w:t>
      </w:r>
      <w:r w:rsidRPr="62650EA2">
        <w:rPr>
          <w:rFonts w:ascii="Calibri" w:eastAsia="Calibri" w:hAnsi="Calibri" w:cs="Calibri"/>
          <w:color w:val="000000" w:themeColor="text1"/>
        </w:rPr>
        <w:t xml:space="preserve">nanopore sequenced on 55 </w:t>
      </w:r>
      <w:r>
        <w:rPr>
          <w:rFonts w:ascii="Calibri" w:eastAsia="Calibri" w:hAnsi="Calibri" w:cs="Calibri"/>
          <w:color w:val="000000" w:themeColor="text1"/>
        </w:rPr>
        <w:t xml:space="preserve">recent </w:t>
      </w:r>
      <w:r w:rsidRPr="62650EA2">
        <w:rPr>
          <w:rFonts w:ascii="Calibri" w:eastAsia="Calibri" w:hAnsi="Calibri" w:cs="Calibri"/>
          <w:color w:val="000000" w:themeColor="text1"/>
        </w:rPr>
        <w:t>flowcells</w:t>
      </w:r>
      <w:r>
        <w:rPr>
          <w:rFonts w:ascii="Calibri" w:eastAsia="Calibri" w:hAnsi="Calibri" w:cs="Calibri"/>
          <w:color w:val="000000" w:themeColor="text1"/>
        </w:rPr>
        <w:t xml:space="preserve"> (average coverage 16.6x, average error rate 7.9%)</w:t>
      </w:r>
      <w:r w:rsidR="009F47CF">
        <w:rPr>
          <w:rFonts w:ascii="Calibri" w:eastAsia="Calibri" w:hAnsi="Calibri" w:cs="Calibri"/>
          <w:color w:val="000000" w:themeColor="text1"/>
        </w:rPr>
        <w:t>,</w:t>
      </w:r>
      <w:r>
        <w:rPr>
          <w:rFonts w:ascii="Calibri" w:eastAsia="Calibri" w:hAnsi="Calibri" w:cs="Calibri"/>
          <w:color w:val="000000" w:themeColor="text1"/>
        </w:rPr>
        <w:t xml:space="preserve"> </w:t>
      </w:r>
      <w:r w:rsidR="009F47CF">
        <w:rPr>
          <w:rFonts w:ascii="Calibri" w:eastAsia="Calibri" w:hAnsi="Calibri" w:cs="Calibri"/>
          <w:color w:val="000000" w:themeColor="text1"/>
        </w:rPr>
        <w:t>for which we</w:t>
      </w:r>
      <w:r w:rsidRPr="62650EA2">
        <w:rPr>
          <w:rFonts w:ascii="Calibri" w:eastAsia="Calibri" w:hAnsi="Calibri" w:cs="Calibri"/>
          <w:color w:val="000000" w:themeColor="text1"/>
        </w:rPr>
        <w:t xml:space="preserve"> also </w:t>
      </w:r>
      <w:r w:rsidR="009F47CF">
        <w:rPr>
          <w:rFonts w:ascii="Calibri" w:eastAsia="Calibri" w:hAnsi="Calibri" w:cs="Calibri"/>
          <w:color w:val="000000" w:themeColor="text1"/>
        </w:rPr>
        <w:t xml:space="preserve">have </w:t>
      </w:r>
      <w:r w:rsidRPr="62650EA2">
        <w:rPr>
          <w:rFonts w:ascii="Calibri" w:eastAsia="Calibri" w:hAnsi="Calibri" w:cs="Calibri"/>
          <w:color w:val="000000" w:themeColor="text1"/>
        </w:rPr>
        <w:t>oxBS</w:t>
      </w:r>
      <w:r w:rsidR="009F47CF">
        <w:rPr>
          <w:rFonts w:ascii="Calibri" w:eastAsia="Calibri" w:hAnsi="Calibri" w:cs="Calibri"/>
          <w:color w:val="000000" w:themeColor="text1"/>
        </w:rPr>
        <w:t xml:space="preserve"> data</w:t>
      </w:r>
      <w:r w:rsidRPr="62650EA2">
        <w:rPr>
          <w:rFonts w:ascii="Calibri" w:eastAsia="Calibri" w:hAnsi="Calibri" w:cs="Calibri"/>
          <w:color w:val="000000" w:themeColor="text1"/>
        </w:rPr>
        <w:t xml:space="preserve">. We performed additional methylation </w:t>
      </w:r>
      <w:r>
        <w:rPr>
          <w:rFonts w:ascii="Calibri" w:eastAsia="Calibri" w:hAnsi="Calibri" w:cs="Calibri"/>
          <w:color w:val="000000" w:themeColor="text1"/>
        </w:rPr>
        <w:t>detection</w:t>
      </w:r>
      <w:r w:rsidRPr="62650EA2">
        <w:rPr>
          <w:rFonts w:ascii="Calibri" w:eastAsia="Calibri" w:hAnsi="Calibri" w:cs="Calibri"/>
          <w:color w:val="000000" w:themeColor="text1"/>
        </w:rPr>
        <w:t xml:space="preserve"> using </w:t>
      </w:r>
      <w:r w:rsidR="000F5D3D">
        <w:rPr>
          <w:rFonts w:ascii="Calibri" w:eastAsia="Calibri" w:hAnsi="Calibri" w:cs="Calibri"/>
          <w:color w:val="000000" w:themeColor="text1"/>
        </w:rPr>
        <w:t>G</w:t>
      </w:r>
      <w:r w:rsidRPr="62650EA2">
        <w:rPr>
          <w:rFonts w:ascii="Calibri" w:eastAsia="Calibri" w:hAnsi="Calibri" w:cs="Calibri"/>
          <w:color w:val="000000" w:themeColor="text1"/>
        </w:rPr>
        <w:t>uppy</w:t>
      </w:r>
      <w:r>
        <w:rPr>
          <w:rFonts w:ascii="Calibri" w:eastAsia="Calibri" w:hAnsi="Calibri" w:cs="Calibri"/>
          <w:color w:val="000000" w:themeColor="text1"/>
        </w:rPr>
        <w:t>.</w:t>
      </w:r>
      <w:r w:rsidR="00DC0489">
        <w:rPr>
          <w:rFonts w:ascii="Calibri" w:eastAsia="Calibri" w:hAnsi="Calibri" w:cs="Calibri"/>
          <w:color w:val="000000" w:themeColor="text1"/>
        </w:rPr>
        <w:t xml:space="preserve"> </w:t>
      </w:r>
      <w:r>
        <w:rPr>
          <w:rFonts w:ascii="Calibri" w:eastAsia="Calibri" w:hAnsi="Calibri" w:cs="Calibri"/>
          <w:color w:val="000000" w:themeColor="text1"/>
        </w:rPr>
        <w:t>To</w:t>
      </w:r>
      <w:r w:rsidRPr="62650EA2">
        <w:rPr>
          <w:rFonts w:ascii="Calibri" w:eastAsia="Calibri" w:hAnsi="Calibri" w:cs="Calibri"/>
          <w:color w:val="000000" w:themeColor="text1"/>
        </w:rPr>
        <w:t xml:space="preserve"> evaluate the per-site correlation </w:t>
      </w:r>
      <w:r>
        <w:rPr>
          <w:rFonts w:ascii="Calibri" w:eastAsia="Calibri" w:hAnsi="Calibri" w:cs="Calibri"/>
          <w:color w:val="000000" w:themeColor="text1"/>
        </w:rPr>
        <w:t>of</w:t>
      </w:r>
      <w:r w:rsidRPr="62650EA2">
        <w:rPr>
          <w:rFonts w:ascii="Calibri" w:eastAsia="Calibri" w:hAnsi="Calibri" w:cs="Calibri"/>
          <w:color w:val="000000" w:themeColor="text1"/>
        </w:rPr>
        <w:t xml:space="preserve"> methylation levels between the nanopore data and oxBS data</w:t>
      </w:r>
      <w:r>
        <w:rPr>
          <w:rFonts w:ascii="Calibri" w:eastAsia="Calibri" w:hAnsi="Calibri" w:cs="Calibri"/>
          <w:color w:val="000000" w:themeColor="text1"/>
        </w:rPr>
        <w:t>, w</w:t>
      </w:r>
      <w:r w:rsidRPr="62650EA2">
        <w:rPr>
          <w:rFonts w:ascii="Calibri" w:eastAsia="Calibri" w:hAnsi="Calibri" w:cs="Calibri"/>
          <w:color w:val="000000" w:themeColor="text1"/>
        </w:rPr>
        <w:t>e select CpGs with high coverage in both datasets</w:t>
      </w:r>
      <w:r>
        <w:rPr>
          <w:rFonts w:ascii="Calibri" w:eastAsia="Calibri" w:hAnsi="Calibri" w:cs="Calibri"/>
          <w:color w:val="000000" w:themeColor="text1"/>
        </w:rPr>
        <w:t xml:space="preserve">, defined as having on average more than 10 reads covering the CpG per flowcell </w:t>
      </w:r>
      <w:r w:rsidRPr="62650EA2">
        <w:rPr>
          <w:rFonts w:ascii="Calibri" w:eastAsia="Calibri" w:hAnsi="Calibri" w:cs="Calibri"/>
          <w:color w:val="000000" w:themeColor="text1"/>
        </w:rPr>
        <w:t xml:space="preserve"> for oxBS data</w:t>
      </w:r>
      <w:r>
        <w:rPr>
          <w:rFonts w:ascii="Calibri" w:eastAsia="Calibri" w:hAnsi="Calibri" w:cs="Calibri"/>
          <w:color w:val="000000" w:themeColor="text1"/>
        </w:rPr>
        <w:t xml:space="preserve"> and as having</w:t>
      </w:r>
      <w:r w:rsidRPr="62650EA2">
        <w:rPr>
          <w:rFonts w:ascii="Calibri" w:eastAsia="Calibri" w:hAnsi="Calibri" w:cs="Calibri"/>
          <w:color w:val="000000" w:themeColor="text1"/>
        </w:rPr>
        <w:t xml:space="preserve"> </w:t>
      </w:r>
      <w:r>
        <w:rPr>
          <w:rFonts w:ascii="Calibri" w:eastAsia="Calibri" w:hAnsi="Calibri" w:cs="Calibri"/>
          <w:color w:val="000000" w:themeColor="text1"/>
        </w:rPr>
        <w:t>on average more than 10</w:t>
      </w:r>
      <w:r w:rsidRPr="62650EA2">
        <w:rPr>
          <w:rFonts w:ascii="Calibri" w:eastAsia="Calibri" w:hAnsi="Calibri" w:cs="Calibri"/>
          <w:color w:val="000000" w:themeColor="text1"/>
        </w:rPr>
        <w:t xml:space="preserve"> </w:t>
      </w:r>
      <w:r>
        <w:rPr>
          <w:rFonts w:ascii="Calibri" w:eastAsia="Calibri" w:hAnsi="Calibri" w:cs="Calibri"/>
          <w:color w:val="000000" w:themeColor="text1"/>
        </w:rPr>
        <w:t>reads covering the CpG, exceeding the cutoff threshold per flowcell</w:t>
      </w:r>
      <w:r w:rsidRPr="62650EA2">
        <w:rPr>
          <w:rFonts w:ascii="Calibri" w:eastAsia="Calibri" w:hAnsi="Calibri" w:cs="Calibri"/>
          <w:color w:val="000000" w:themeColor="text1"/>
        </w:rPr>
        <w:t xml:space="preserve"> </w:t>
      </w:r>
      <w:r>
        <w:rPr>
          <w:rFonts w:ascii="Calibri" w:eastAsia="Calibri" w:hAnsi="Calibri" w:cs="Calibri"/>
          <w:color w:val="000000" w:themeColor="text1"/>
        </w:rPr>
        <w:t>for</w:t>
      </w:r>
      <w:r w:rsidRPr="62650EA2">
        <w:rPr>
          <w:rFonts w:ascii="Calibri" w:eastAsia="Calibri" w:hAnsi="Calibri" w:cs="Calibri"/>
          <w:color w:val="000000" w:themeColor="text1"/>
        </w:rPr>
        <w:t xml:space="preserve"> nanopore data. Using these </w:t>
      </w:r>
      <w:r>
        <w:rPr>
          <w:rFonts w:ascii="Calibri" w:eastAsia="Calibri" w:hAnsi="Calibri" w:cs="Calibri"/>
          <w:color w:val="000000" w:themeColor="text1"/>
        </w:rPr>
        <w:t xml:space="preserve">high coverage </w:t>
      </w:r>
      <w:r w:rsidRPr="62650EA2">
        <w:rPr>
          <w:rFonts w:ascii="Calibri" w:eastAsia="Calibri" w:hAnsi="Calibri" w:cs="Calibri"/>
          <w:color w:val="000000" w:themeColor="text1"/>
        </w:rPr>
        <w:t>CpGs</w:t>
      </w:r>
      <w:r>
        <w:rPr>
          <w:rFonts w:ascii="Calibri" w:eastAsia="Calibri" w:hAnsi="Calibri" w:cs="Calibri"/>
          <w:color w:val="000000" w:themeColor="text1"/>
        </w:rPr>
        <w:t>,</w:t>
      </w:r>
      <w:r w:rsidRPr="62650EA2">
        <w:rPr>
          <w:rFonts w:ascii="Calibri" w:eastAsia="Calibri" w:hAnsi="Calibri" w:cs="Calibri"/>
          <w:color w:val="000000" w:themeColor="text1"/>
        </w:rPr>
        <w:t xml:space="preserve"> we create 10 benchmarking datasets with 0-10%, </w:t>
      </w:r>
      <w:r w:rsidRPr="62650EA2">
        <w:rPr>
          <w:rFonts w:ascii="Calibri" w:eastAsia="Calibri" w:hAnsi="Calibri" w:cs="Calibri"/>
          <w:color w:val="000000" w:themeColor="text1"/>
        </w:rPr>
        <w:lastRenderedPageBreak/>
        <w:t xml:space="preserve">10-20%, …, </w:t>
      </w:r>
      <w:r>
        <w:rPr>
          <w:rFonts w:ascii="Calibri" w:eastAsia="Calibri" w:hAnsi="Calibri" w:cs="Calibri"/>
          <w:color w:val="000000" w:themeColor="text1"/>
        </w:rPr>
        <w:t xml:space="preserve">and </w:t>
      </w:r>
      <w:r w:rsidRPr="62650EA2">
        <w:rPr>
          <w:rFonts w:ascii="Calibri" w:eastAsia="Calibri" w:hAnsi="Calibri" w:cs="Calibri"/>
          <w:color w:val="000000" w:themeColor="text1"/>
        </w:rPr>
        <w:t>90-100% methylation levels</w:t>
      </w:r>
      <w:r>
        <w:rPr>
          <w:rFonts w:ascii="Calibri" w:eastAsia="Calibri" w:hAnsi="Calibri" w:cs="Calibri"/>
          <w:color w:val="000000" w:themeColor="text1"/>
        </w:rPr>
        <w:t xml:space="preserve"> in oxBS</w:t>
      </w:r>
      <w:r w:rsidRPr="62650EA2">
        <w:rPr>
          <w:rFonts w:ascii="Calibri" w:eastAsia="Calibri" w:hAnsi="Calibri" w:cs="Calibri"/>
          <w:color w:val="000000" w:themeColor="text1"/>
        </w:rPr>
        <w:t>. We then sampled one CpG per 100kb in autosomes from each group, ending with 2</w:t>
      </w:r>
      <w:r>
        <w:rPr>
          <w:rFonts w:ascii="Calibri" w:eastAsia="Calibri" w:hAnsi="Calibri" w:cs="Calibri"/>
          <w:color w:val="000000" w:themeColor="text1"/>
        </w:rPr>
        <w:t>54,566</w:t>
      </w:r>
      <w:r w:rsidRPr="62650EA2">
        <w:rPr>
          <w:rFonts w:ascii="Calibri" w:eastAsia="Calibri" w:hAnsi="Calibri" w:cs="Calibri"/>
          <w:color w:val="000000" w:themeColor="text1"/>
        </w:rPr>
        <w:t xml:space="preserve"> CpGs</w:t>
      </w:r>
      <w:r>
        <w:rPr>
          <w:rFonts w:ascii="Calibri" w:eastAsia="Calibri" w:hAnsi="Calibri" w:cs="Calibri"/>
          <w:color w:val="000000" w:themeColor="text1"/>
        </w:rPr>
        <w:t xml:space="preserve"> to compare </w:t>
      </w:r>
      <w:r w:rsidR="009A5AE0">
        <w:rPr>
          <w:rFonts w:ascii="Calibri" w:eastAsia="Calibri" w:hAnsi="Calibri" w:cs="Calibri"/>
          <w:color w:val="000000" w:themeColor="text1"/>
        </w:rPr>
        <w:t>(</w:t>
      </w:r>
      <w:r>
        <w:rPr>
          <w:rFonts w:ascii="Calibri" w:eastAsia="Calibri" w:hAnsi="Calibri" w:cs="Calibri"/>
          <w:color w:val="000000" w:themeColor="text1"/>
        </w:rPr>
        <w:t>not all subsets per bin contained</w:t>
      </w:r>
      <w:r w:rsidR="009A5AE0">
        <w:rPr>
          <w:rFonts w:ascii="Calibri" w:eastAsia="Calibri" w:hAnsi="Calibri" w:cs="Calibri"/>
          <w:color w:val="000000" w:themeColor="text1"/>
        </w:rPr>
        <w:t xml:space="preserve"> a</w:t>
      </w:r>
      <w:r>
        <w:rPr>
          <w:rFonts w:ascii="Calibri" w:eastAsia="Calibri" w:hAnsi="Calibri" w:cs="Calibri"/>
          <w:color w:val="000000" w:themeColor="text1"/>
        </w:rPr>
        <w:t xml:space="preserve"> high coverage CpG</w:t>
      </w:r>
      <w:r w:rsidR="009A5AE0">
        <w:rPr>
          <w:rFonts w:ascii="Calibri" w:eastAsia="Calibri" w:hAnsi="Calibri" w:cs="Calibri"/>
          <w:color w:val="000000" w:themeColor="text1"/>
        </w:rPr>
        <w:t>)</w:t>
      </w:r>
      <w:r w:rsidRPr="62650EA2">
        <w:rPr>
          <w:rFonts w:ascii="Calibri" w:eastAsia="Calibri" w:hAnsi="Calibri" w:cs="Calibri"/>
          <w:color w:val="000000" w:themeColor="text1"/>
        </w:rPr>
        <w:t xml:space="preserve">. </w:t>
      </w:r>
    </w:p>
    <w:p w14:paraId="237C5819" w14:textId="22CF5CF6" w:rsidR="002147A3" w:rsidRDefault="002147A3" w:rsidP="00803E19">
      <w:pPr>
        <w:widowControl w:val="0"/>
        <w:spacing w:line="480" w:lineRule="auto"/>
        <w:rPr>
          <w:rFonts w:ascii="Calibri" w:eastAsia="Calibri" w:hAnsi="Calibri" w:cs="Calibri"/>
          <w:color w:val="000000" w:themeColor="text1"/>
        </w:rPr>
      </w:pPr>
      <w:r w:rsidRPr="62650EA2">
        <w:rPr>
          <w:rFonts w:ascii="Calibri" w:eastAsia="Calibri" w:hAnsi="Calibri" w:cs="Calibri"/>
          <w:color w:val="000000" w:themeColor="text1"/>
        </w:rPr>
        <w:t xml:space="preserve">We examined </w:t>
      </w:r>
      <w:r w:rsidR="00DC0489">
        <w:rPr>
          <w:rFonts w:ascii="Calibri" w:eastAsia="Calibri" w:hAnsi="Calibri" w:cs="Calibri"/>
          <w:color w:val="000000" w:themeColor="text1"/>
        </w:rPr>
        <w:t xml:space="preserve">the </w:t>
      </w:r>
      <w:r w:rsidR="00CF3852">
        <w:rPr>
          <w:rFonts w:ascii="Calibri" w:eastAsia="Calibri" w:hAnsi="Calibri" w:cs="Calibri"/>
          <w:color w:val="000000" w:themeColor="text1"/>
        </w:rPr>
        <w:t>APC</w:t>
      </w:r>
      <w:r w:rsidR="00DC0489">
        <w:rPr>
          <w:rFonts w:ascii="Calibri" w:eastAsia="Calibri" w:hAnsi="Calibri" w:cs="Calibri"/>
          <w:color w:val="000000" w:themeColor="text1"/>
        </w:rPr>
        <w:t xml:space="preserve"> coefficient between the</w:t>
      </w:r>
      <w:r w:rsidRPr="62650EA2">
        <w:rPr>
          <w:rFonts w:ascii="Calibri" w:eastAsia="Calibri" w:hAnsi="Calibri" w:cs="Calibri"/>
          <w:color w:val="000000" w:themeColor="text1"/>
        </w:rPr>
        <w:t xml:space="preserve"> methylation levels predicted by the two tools </w:t>
      </w:r>
      <w:r w:rsidR="00DC0489">
        <w:rPr>
          <w:rFonts w:ascii="Calibri" w:eastAsia="Calibri" w:hAnsi="Calibri" w:cs="Calibri"/>
          <w:color w:val="000000" w:themeColor="text1"/>
        </w:rPr>
        <w:t xml:space="preserve">and oxBS </w:t>
      </w:r>
      <w:r w:rsidRPr="62650EA2">
        <w:rPr>
          <w:rFonts w:ascii="Calibri" w:eastAsia="Calibri" w:hAnsi="Calibri" w:cs="Calibri"/>
          <w:color w:val="000000" w:themeColor="text1"/>
        </w:rPr>
        <w:t>and found that Guppy</w:t>
      </w:r>
      <w:r>
        <w:rPr>
          <w:rFonts w:ascii="Calibri" w:eastAsia="Calibri" w:hAnsi="Calibri" w:cs="Calibri"/>
          <w:color w:val="000000" w:themeColor="text1"/>
        </w:rPr>
        <w:t xml:space="preserve"> </w:t>
      </w:r>
      <w:r w:rsidRPr="62650EA2">
        <w:rPr>
          <w:rFonts w:ascii="Calibri" w:eastAsia="Calibri" w:hAnsi="Calibri" w:cs="Calibri"/>
          <w:color w:val="000000" w:themeColor="text1"/>
        </w:rPr>
        <w:t xml:space="preserve">has </w:t>
      </w:r>
      <w:r>
        <w:rPr>
          <w:rFonts w:ascii="Calibri" w:eastAsia="Calibri" w:hAnsi="Calibri" w:cs="Calibri"/>
          <w:color w:val="000000" w:themeColor="text1"/>
        </w:rPr>
        <w:t xml:space="preserve">a </w:t>
      </w:r>
      <w:r w:rsidRPr="62650EA2">
        <w:rPr>
          <w:rFonts w:ascii="Calibri" w:eastAsia="Calibri" w:hAnsi="Calibri" w:cs="Calibri"/>
          <w:color w:val="000000" w:themeColor="text1"/>
        </w:rPr>
        <w:t>higher correlation with oxBS than Nanopolish and has lower RMSE values (Fig</w:t>
      </w:r>
      <w:r>
        <w:rPr>
          <w:rFonts w:ascii="Calibri" w:eastAsia="Calibri" w:hAnsi="Calibri" w:cs="Calibri"/>
          <w:color w:val="000000" w:themeColor="text1"/>
        </w:rPr>
        <w:t>.</w:t>
      </w:r>
      <w:r w:rsidRPr="62650EA2">
        <w:rPr>
          <w:rFonts w:ascii="Calibri" w:eastAsia="Calibri" w:hAnsi="Calibri" w:cs="Calibri"/>
          <w:color w:val="000000" w:themeColor="text1"/>
        </w:rPr>
        <w:t xml:space="preserve"> </w:t>
      </w:r>
      <w:r>
        <w:rPr>
          <w:rFonts w:ascii="Calibri" w:eastAsia="Calibri" w:hAnsi="Calibri" w:cs="Calibri"/>
          <w:color w:val="000000" w:themeColor="text1"/>
        </w:rPr>
        <w:t>S</w:t>
      </w:r>
      <w:r w:rsidR="00284DCC">
        <w:rPr>
          <w:rFonts w:ascii="Calibri" w:eastAsia="Calibri" w:hAnsi="Calibri" w:cs="Calibri"/>
          <w:color w:val="000000" w:themeColor="text1"/>
        </w:rPr>
        <w:t>7</w:t>
      </w:r>
      <w:r w:rsidRPr="62650EA2">
        <w:rPr>
          <w:rFonts w:ascii="Calibri" w:eastAsia="Calibri" w:hAnsi="Calibri" w:cs="Calibri"/>
          <w:color w:val="000000" w:themeColor="text1"/>
        </w:rPr>
        <w:t>A). Nanopolish and Guppy</w:t>
      </w:r>
      <w:r>
        <w:rPr>
          <w:rFonts w:ascii="Calibri" w:eastAsia="Calibri" w:hAnsi="Calibri" w:cs="Calibri"/>
          <w:color w:val="000000" w:themeColor="text1"/>
        </w:rPr>
        <w:t xml:space="preserve"> agree </w:t>
      </w:r>
      <w:r w:rsidRPr="62650EA2">
        <w:rPr>
          <w:rFonts w:ascii="Calibri" w:eastAsia="Calibri" w:hAnsi="Calibri" w:cs="Calibri"/>
          <w:color w:val="000000" w:themeColor="text1"/>
        </w:rPr>
        <w:t>with the expected methylation level per site</w:t>
      </w:r>
      <w:r w:rsidR="00DC0489">
        <w:rPr>
          <w:rFonts w:ascii="Calibri" w:eastAsia="Calibri" w:hAnsi="Calibri" w:cs="Calibri"/>
          <w:color w:val="000000" w:themeColor="text1"/>
        </w:rPr>
        <w:t xml:space="preserve"> for all groups and</w:t>
      </w:r>
      <w:r w:rsidRPr="62650EA2">
        <w:rPr>
          <w:rFonts w:ascii="Calibri" w:eastAsia="Calibri" w:hAnsi="Calibri" w:cs="Calibri"/>
          <w:color w:val="000000" w:themeColor="text1"/>
        </w:rPr>
        <w:t xml:space="preserve"> especially for intermethylated CpGs. Nanopolish </w:t>
      </w:r>
      <w:r w:rsidR="004E5CFE">
        <w:rPr>
          <w:rFonts w:ascii="Calibri" w:eastAsia="Calibri" w:hAnsi="Calibri" w:cs="Calibri"/>
          <w:color w:val="000000" w:themeColor="text1"/>
        </w:rPr>
        <w:t xml:space="preserve">is in slightly </w:t>
      </w:r>
      <w:r w:rsidRPr="62650EA2">
        <w:rPr>
          <w:rFonts w:ascii="Calibri" w:eastAsia="Calibri" w:hAnsi="Calibri" w:cs="Calibri"/>
          <w:color w:val="000000" w:themeColor="text1"/>
        </w:rPr>
        <w:t>better</w:t>
      </w:r>
      <w:r w:rsidR="004E5CFE">
        <w:rPr>
          <w:rFonts w:ascii="Calibri" w:eastAsia="Calibri" w:hAnsi="Calibri" w:cs="Calibri"/>
          <w:color w:val="000000" w:themeColor="text1"/>
        </w:rPr>
        <w:t xml:space="preserve"> agreement with oxBS</w:t>
      </w:r>
      <w:r w:rsidRPr="62650EA2">
        <w:rPr>
          <w:rFonts w:ascii="Calibri" w:eastAsia="Calibri" w:hAnsi="Calibri" w:cs="Calibri"/>
          <w:color w:val="000000" w:themeColor="text1"/>
        </w:rPr>
        <w:t xml:space="preserve"> for low methylated regions</w:t>
      </w:r>
      <w:r w:rsidR="00DC0489">
        <w:rPr>
          <w:rFonts w:ascii="Calibri" w:eastAsia="Calibri" w:hAnsi="Calibri" w:cs="Calibri"/>
          <w:color w:val="000000" w:themeColor="text1"/>
        </w:rPr>
        <w:t xml:space="preserve"> compared to Guppy </w:t>
      </w:r>
      <w:r w:rsidRPr="62650EA2">
        <w:rPr>
          <w:rFonts w:ascii="Calibri" w:eastAsia="Calibri" w:hAnsi="Calibri" w:cs="Calibri"/>
          <w:color w:val="000000" w:themeColor="text1"/>
        </w:rPr>
        <w:t>(0-20%</w:t>
      </w:r>
      <w:r>
        <w:rPr>
          <w:rFonts w:ascii="Calibri" w:eastAsia="Calibri" w:hAnsi="Calibri" w:cs="Calibri"/>
          <w:color w:val="000000" w:themeColor="text1"/>
        </w:rPr>
        <w:t>, m</w:t>
      </w:r>
      <w:r w:rsidRPr="00212E14">
        <w:rPr>
          <w:rFonts w:ascii="Calibri" w:eastAsia="Calibri" w:hAnsi="Calibri" w:cs="Calibri"/>
          <w:color w:val="000000" w:themeColor="text1"/>
          <w:vertAlign w:val="subscript"/>
        </w:rPr>
        <w:t>Guppy</w:t>
      </w:r>
      <w:r>
        <w:rPr>
          <w:rFonts w:ascii="Calibri" w:eastAsia="Calibri" w:hAnsi="Calibri" w:cs="Calibri"/>
          <w:color w:val="000000" w:themeColor="text1"/>
        </w:rPr>
        <w:t>=0.1</w:t>
      </w:r>
      <w:r w:rsidR="00402EFC">
        <w:rPr>
          <w:rFonts w:ascii="Calibri" w:eastAsia="Calibri" w:hAnsi="Calibri" w:cs="Calibri"/>
          <w:color w:val="000000" w:themeColor="text1"/>
        </w:rPr>
        <w:t>80</w:t>
      </w:r>
      <w:r>
        <w:rPr>
          <w:rFonts w:ascii="Calibri" w:eastAsia="Calibri" w:hAnsi="Calibri" w:cs="Calibri"/>
          <w:color w:val="000000" w:themeColor="text1"/>
        </w:rPr>
        <w:t>, m</w:t>
      </w:r>
      <w:r w:rsidRPr="00212E14">
        <w:rPr>
          <w:rFonts w:ascii="Calibri" w:eastAsia="Calibri" w:hAnsi="Calibri" w:cs="Calibri"/>
          <w:color w:val="000000" w:themeColor="text1"/>
          <w:vertAlign w:val="subscript"/>
        </w:rPr>
        <w:t>Na</w:t>
      </w:r>
      <w:r>
        <w:rPr>
          <w:rFonts w:ascii="Calibri" w:eastAsia="Calibri" w:hAnsi="Calibri" w:cs="Calibri"/>
          <w:color w:val="000000" w:themeColor="text1"/>
          <w:vertAlign w:val="subscript"/>
        </w:rPr>
        <w:t>nopolish</w:t>
      </w:r>
      <w:r>
        <w:rPr>
          <w:rFonts w:ascii="Calibri" w:eastAsia="Calibri" w:hAnsi="Calibri" w:cs="Calibri"/>
          <w:color w:val="000000" w:themeColor="text1"/>
        </w:rPr>
        <w:t>=0.151 and m</w:t>
      </w:r>
      <w:r w:rsidRPr="00212E14">
        <w:rPr>
          <w:rFonts w:ascii="Calibri" w:eastAsia="Calibri" w:hAnsi="Calibri" w:cs="Calibri"/>
          <w:color w:val="000000" w:themeColor="text1"/>
          <w:vertAlign w:val="subscript"/>
        </w:rPr>
        <w:t>oxBS</w:t>
      </w:r>
      <w:r>
        <w:rPr>
          <w:rFonts w:ascii="Calibri" w:eastAsia="Calibri" w:hAnsi="Calibri" w:cs="Calibri"/>
          <w:color w:val="000000" w:themeColor="text1"/>
        </w:rPr>
        <w:t>=0.090</w:t>
      </w:r>
      <w:r w:rsidR="00402EFC">
        <w:rPr>
          <w:rFonts w:ascii="Calibri" w:eastAsia="Calibri" w:hAnsi="Calibri" w:cs="Calibri"/>
          <w:color w:val="000000" w:themeColor="text1"/>
        </w:rPr>
        <w:t>5</w:t>
      </w:r>
      <w:r w:rsidRPr="62650EA2">
        <w:rPr>
          <w:rFonts w:ascii="Calibri" w:eastAsia="Calibri" w:hAnsi="Calibri" w:cs="Calibri"/>
          <w:color w:val="000000" w:themeColor="text1"/>
        </w:rPr>
        <w:t>).</w:t>
      </w:r>
    </w:p>
    <w:p w14:paraId="36C63F36" w14:textId="5EAED1F0" w:rsidR="00817E64" w:rsidRDefault="00BE7FD2" w:rsidP="00803E19">
      <w:pPr>
        <w:widowControl w:val="0"/>
        <w:spacing w:line="480" w:lineRule="auto"/>
        <w:rPr>
          <w:rFonts w:ascii="Calibri" w:eastAsia="Calibri" w:hAnsi="Calibri" w:cs="Calibri"/>
          <w:color w:val="000000" w:themeColor="text1"/>
        </w:rPr>
      </w:pPr>
      <w:r>
        <w:rPr>
          <w:rFonts w:ascii="Calibri" w:eastAsia="Calibri" w:hAnsi="Calibri" w:cs="Calibri"/>
          <w:color w:val="000000" w:themeColor="text1"/>
        </w:rPr>
        <w:t>We then calculated the proportion of sites with concordant prediction within each window. We define concordant prediction as predictions where the methylation levels fall into the expected prediction window based on oxBS data.</w:t>
      </w:r>
      <w:r w:rsidR="005142B0">
        <w:rPr>
          <w:rFonts w:ascii="Calibri" w:eastAsia="Calibri" w:hAnsi="Calibri" w:cs="Calibri"/>
          <w:color w:val="000000" w:themeColor="text1"/>
        </w:rPr>
        <w:t xml:space="preserve"> </w:t>
      </w:r>
      <w:r w:rsidR="002147A3" w:rsidRPr="62650EA2">
        <w:rPr>
          <w:rFonts w:ascii="Calibri" w:eastAsia="Calibri" w:hAnsi="Calibri" w:cs="Calibri"/>
          <w:color w:val="000000" w:themeColor="text1"/>
        </w:rPr>
        <w:t xml:space="preserve">Nanopolish has more sites </w:t>
      </w:r>
      <w:r w:rsidR="004130F6">
        <w:rPr>
          <w:rFonts w:ascii="Calibri" w:eastAsia="Calibri" w:hAnsi="Calibri" w:cs="Calibri"/>
          <w:color w:val="000000" w:themeColor="text1"/>
        </w:rPr>
        <w:t>correctly</w:t>
      </w:r>
      <w:r>
        <w:rPr>
          <w:rFonts w:ascii="Calibri" w:eastAsia="Calibri" w:hAnsi="Calibri" w:cs="Calibri"/>
          <w:color w:val="000000" w:themeColor="text1"/>
        </w:rPr>
        <w:t xml:space="preserve"> </w:t>
      </w:r>
      <w:r w:rsidR="002147A3" w:rsidRPr="62650EA2">
        <w:rPr>
          <w:rFonts w:ascii="Calibri" w:eastAsia="Calibri" w:hAnsi="Calibri" w:cs="Calibri"/>
          <w:color w:val="000000" w:themeColor="text1"/>
        </w:rPr>
        <w:t>predicted within expected window for unmethylated (0-10%, 10-20% and 20-30%) and highly methylated CpGs (90-100%) while Guppy has higher proportion correctly predicted in low- and intermethylated CpGs (30-90%) (Fig</w:t>
      </w:r>
      <w:r w:rsidR="002147A3">
        <w:rPr>
          <w:rFonts w:ascii="Calibri" w:eastAsia="Calibri" w:hAnsi="Calibri" w:cs="Calibri"/>
          <w:color w:val="000000" w:themeColor="text1"/>
        </w:rPr>
        <w:t>.</w:t>
      </w:r>
      <w:r w:rsidR="002147A3" w:rsidRPr="62650EA2">
        <w:rPr>
          <w:rFonts w:ascii="Calibri" w:eastAsia="Calibri" w:hAnsi="Calibri" w:cs="Calibri"/>
          <w:color w:val="000000" w:themeColor="text1"/>
        </w:rPr>
        <w:t xml:space="preserve"> </w:t>
      </w:r>
      <w:r w:rsidR="002147A3">
        <w:rPr>
          <w:rFonts w:ascii="Calibri" w:eastAsia="Calibri" w:hAnsi="Calibri" w:cs="Calibri"/>
          <w:color w:val="000000" w:themeColor="text1"/>
        </w:rPr>
        <w:t>S</w:t>
      </w:r>
      <w:r w:rsidR="00F679B4">
        <w:rPr>
          <w:rFonts w:ascii="Calibri" w:eastAsia="Calibri" w:hAnsi="Calibri" w:cs="Calibri"/>
          <w:color w:val="000000" w:themeColor="text1"/>
        </w:rPr>
        <w:t>8</w:t>
      </w:r>
      <w:r w:rsidR="0033355E">
        <w:rPr>
          <w:rFonts w:ascii="Calibri" w:eastAsia="Calibri" w:hAnsi="Calibri" w:cs="Calibri"/>
          <w:color w:val="000000" w:themeColor="text1"/>
        </w:rPr>
        <w:t>B</w:t>
      </w:r>
      <w:r w:rsidR="002147A3" w:rsidRPr="62650EA2">
        <w:rPr>
          <w:rFonts w:ascii="Calibri" w:eastAsia="Calibri" w:hAnsi="Calibri" w:cs="Calibri"/>
          <w:color w:val="000000" w:themeColor="text1"/>
        </w:rPr>
        <w:t>).</w:t>
      </w:r>
      <w:r w:rsidR="002147A3">
        <w:rPr>
          <w:rFonts w:ascii="Calibri" w:eastAsia="Calibri" w:hAnsi="Calibri" w:cs="Calibri"/>
          <w:color w:val="000000" w:themeColor="text1"/>
        </w:rPr>
        <w:t xml:space="preserve"> Consistently, Guppy has higher number of CpGs within expected range for </w:t>
      </w:r>
      <w:r w:rsidR="002147A3" w:rsidRPr="62650EA2">
        <w:rPr>
          <w:rFonts w:ascii="Calibri" w:eastAsia="Calibri" w:hAnsi="Calibri" w:cs="Calibri"/>
          <w:color w:val="000000" w:themeColor="text1"/>
        </w:rPr>
        <w:t xml:space="preserve">intermethylated CpGs (40-90%) while Nanopolish </w:t>
      </w:r>
      <w:r w:rsidR="002147A3">
        <w:rPr>
          <w:rFonts w:ascii="Calibri" w:eastAsia="Calibri" w:hAnsi="Calibri" w:cs="Calibri"/>
          <w:color w:val="000000" w:themeColor="text1"/>
        </w:rPr>
        <w:t>has higher number</w:t>
      </w:r>
      <w:r w:rsidR="002147A3" w:rsidRPr="62650EA2">
        <w:rPr>
          <w:rFonts w:ascii="Calibri" w:eastAsia="Calibri" w:hAnsi="Calibri" w:cs="Calibri"/>
          <w:color w:val="000000" w:themeColor="text1"/>
        </w:rPr>
        <w:t xml:space="preserve"> for unmethylated (0-20%) and highly methylated CpGs (90-100%). The performance is similar for low methylated CpGs (20-40%) (Fig</w:t>
      </w:r>
      <w:r w:rsidR="002147A3">
        <w:rPr>
          <w:rFonts w:ascii="Calibri" w:eastAsia="Calibri" w:hAnsi="Calibri" w:cs="Calibri"/>
          <w:color w:val="000000" w:themeColor="text1"/>
        </w:rPr>
        <w:t>.</w:t>
      </w:r>
      <w:r w:rsidR="002147A3" w:rsidRPr="62650EA2">
        <w:rPr>
          <w:rFonts w:ascii="Calibri" w:eastAsia="Calibri" w:hAnsi="Calibri" w:cs="Calibri"/>
          <w:color w:val="000000" w:themeColor="text1"/>
        </w:rPr>
        <w:t xml:space="preserve"> </w:t>
      </w:r>
      <w:r w:rsidR="002147A3">
        <w:rPr>
          <w:rFonts w:ascii="Calibri" w:eastAsia="Calibri" w:hAnsi="Calibri" w:cs="Calibri"/>
          <w:color w:val="000000" w:themeColor="text1"/>
        </w:rPr>
        <w:t>S</w:t>
      </w:r>
      <w:r w:rsidR="00284DCC">
        <w:rPr>
          <w:rFonts w:ascii="Calibri" w:eastAsia="Calibri" w:hAnsi="Calibri" w:cs="Calibri"/>
          <w:color w:val="000000" w:themeColor="text1"/>
        </w:rPr>
        <w:t>7</w:t>
      </w:r>
      <w:r w:rsidR="002147A3" w:rsidRPr="62650EA2">
        <w:rPr>
          <w:rFonts w:ascii="Calibri" w:eastAsia="Calibri" w:hAnsi="Calibri" w:cs="Calibri"/>
          <w:color w:val="000000" w:themeColor="text1"/>
        </w:rPr>
        <w:t>B).</w:t>
      </w:r>
    </w:p>
    <w:p w14:paraId="67F2C9E9" w14:textId="66BE7E65" w:rsidR="00817E64" w:rsidRDefault="00817E64" w:rsidP="00803E19">
      <w:pPr>
        <w:widowControl w:val="0"/>
        <w:spacing w:line="480" w:lineRule="auto"/>
      </w:pPr>
      <w:r>
        <w:rPr>
          <w:rFonts w:ascii="Calibri" w:eastAsia="Calibri" w:hAnsi="Calibri" w:cs="Calibri"/>
          <w:noProof/>
          <w:color w:val="000000" w:themeColor="text1"/>
          <w:lang w:val="en-PH" w:eastAsia="en-PH"/>
        </w:rPr>
        <w:lastRenderedPageBreak/>
        <w:drawing>
          <wp:inline distT="0" distB="0" distL="0" distR="0" wp14:anchorId="269BAAAA" wp14:editId="36CDB66A">
            <wp:extent cx="4844955" cy="581373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45996" cy="5814980"/>
                    </a:xfrm>
                    <a:prstGeom prst="rect">
                      <a:avLst/>
                    </a:prstGeom>
                    <a:noFill/>
                    <a:ln>
                      <a:noFill/>
                    </a:ln>
                  </pic:spPr>
                </pic:pic>
              </a:graphicData>
            </a:graphic>
          </wp:inline>
        </w:drawing>
      </w:r>
    </w:p>
    <w:p w14:paraId="7FDE8500" w14:textId="35355687" w:rsidR="00817E64" w:rsidRDefault="00817E64" w:rsidP="00803E19">
      <w:pPr>
        <w:widowControl w:val="0"/>
        <w:spacing w:line="480" w:lineRule="auto"/>
      </w:pPr>
      <w:r w:rsidRPr="62650EA2">
        <w:rPr>
          <w:b/>
          <w:bCs/>
        </w:rPr>
        <w:t>Fig</w:t>
      </w:r>
      <w:r>
        <w:rPr>
          <w:b/>
          <w:bCs/>
        </w:rPr>
        <w:t>.</w:t>
      </w:r>
      <w:r w:rsidRPr="62650EA2">
        <w:rPr>
          <w:b/>
          <w:bCs/>
        </w:rPr>
        <w:t xml:space="preserve"> </w:t>
      </w:r>
      <w:r>
        <w:rPr>
          <w:b/>
          <w:bCs/>
        </w:rPr>
        <w:t>S</w:t>
      </w:r>
      <w:r w:rsidR="00284DCC">
        <w:rPr>
          <w:b/>
          <w:bCs/>
        </w:rPr>
        <w:t>7</w:t>
      </w:r>
      <w:r w:rsidRPr="62650EA2">
        <w:rPr>
          <w:b/>
          <w:bCs/>
        </w:rPr>
        <w:t xml:space="preserve"> </w:t>
      </w:r>
      <w:r w:rsidRPr="005F71B7">
        <w:t>Comparison of CpG methylation predictions from Guppy and Nanopolish with oxBS</w:t>
      </w:r>
      <w:r w:rsidR="000D2732">
        <w:t xml:space="preserve"> </w:t>
      </w:r>
      <w:r w:rsidR="0033355E">
        <w:t>within each methylation</w:t>
      </w:r>
      <w:r w:rsidR="000D2732">
        <w:t xml:space="preserve"> ratio</w:t>
      </w:r>
      <w:r w:rsidR="0033355E">
        <w:t xml:space="preserve"> group</w:t>
      </w:r>
      <w:r w:rsidRPr="005F71B7">
        <w:t>.</w:t>
      </w:r>
      <w:r w:rsidRPr="62650EA2">
        <w:rPr>
          <w:b/>
          <w:bCs/>
        </w:rPr>
        <w:t xml:space="preserve"> </w:t>
      </w:r>
      <w:r>
        <w:rPr>
          <w:b/>
          <w:bCs/>
        </w:rPr>
        <w:t>A</w:t>
      </w:r>
      <w:r w:rsidRPr="62650EA2">
        <w:rPr>
          <w:b/>
          <w:bCs/>
        </w:rPr>
        <w:t xml:space="preserve"> </w:t>
      </w:r>
      <w:r>
        <w:t xml:space="preserve">Violin plots showing the predicted methylation levels (y-axis) for each control set with a a given proportion of methylated reads (x-axis). The Pearson correlation coefficient, coefficient of determination and RMSE is given for both methods. </w:t>
      </w:r>
      <w:r>
        <w:rPr>
          <w:b/>
          <w:bCs/>
        </w:rPr>
        <w:t>B</w:t>
      </w:r>
      <w:r w:rsidRPr="62650EA2">
        <w:rPr>
          <w:b/>
          <w:bCs/>
        </w:rPr>
        <w:t xml:space="preserve"> </w:t>
      </w:r>
      <w:r w:rsidRPr="0082293A">
        <w:t xml:space="preserve">The number of </w:t>
      </w:r>
      <w:r>
        <w:t>congrugent</w:t>
      </w:r>
      <w:r w:rsidRPr="0082293A">
        <w:t xml:space="preserve"> methylation predictions</w:t>
      </w:r>
      <w:r w:rsidR="00A06BD6">
        <w:t xml:space="preserve"> (y-axis)</w:t>
      </w:r>
      <w:r w:rsidRPr="0082293A">
        <w:t xml:space="preserve"> and the proportion, shown for each methylation window</w:t>
      </w:r>
      <w:r w:rsidR="00A06BD6">
        <w:t xml:space="preserve"> (x-axis)</w:t>
      </w:r>
      <w:r w:rsidRPr="0082293A">
        <w:t>.</w:t>
      </w:r>
      <w:r w:rsidDel="00BE7FD2">
        <w:t xml:space="preserve"> </w:t>
      </w:r>
    </w:p>
    <w:p w14:paraId="76B5A1A2" w14:textId="59CA241A" w:rsidR="0033355E" w:rsidRDefault="0033355E" w:rsidP="00803E19">
      <w:pPr>
        <w:widowControl w:val="0"/>
        <w:spacing w:line="480" w:lineRule="auto"/>
        <w:rPr>
          <w:rFonts w:ascii="Calibri" w:eastAsia="Calibri" w:hAnsi="Calibri" w:cs="Calibri"/>
          <w:color w:val="000000" w:themeColor="text1"/>
        </w:rPr>
      </w:pPr>
      <w:r>
        <w:rPr>
          <w:rFonts w:ascii="Calibri" w:eastAsia="Calibri" w:hAnsi="Calibri" w:cs="Calibri"/>
          <w:color w:val="000000" w:themeColor="text1"/>
        </w:rPr>
        <w:t xml:space="preserve">For each sample we calculated the Pearson correlation coefficeint over all CpGs between the predicted levels by Guppy or Nanopolish and the corresponding oxBS data. The per sample </w:t>
      </w:r>
      <w:r>
        <w:rPr>
          <w:rFonts w:ascii="Calibri" w:eastAsia="Calibri" w:hAnsi="Calibri" w:cs="Calibri"/>
          <w:color w:val="000000" w:themeColor="text1"/>
        </w:rPr>
        <w:lastRenderedPageBreak/>
        <w:t>correlation ranged from 0.64 to 0.93, with average 0.85 (Fig. S8A). There was a similar average strand bias per sample in the two methods, with 0.162 on average per sample for Guppy and 0.16</w:t>
      </w:r>
      <w:r w:rsidR="00402EFC">
        <w:rPr>
          <w:rFonts w:ascii="Calibri" w:eastAsia="Calibri" w:hAnsi="Calibri" w:cs="Calibri"/>
          <w:color w:val="000000" w:themeColor="text1"/>
        </w:rPr>
        <w:t>7</w:t>
      </w:r>
      <w:r>
        <w:rPr>
          <w:rFonts w:ascii="Calibri" w:eastAsia="Calibri" w:hAnsi="Calibri" w:cs="Calibri"/>
          <w:color w:val="000000" w:themeColor="text1"/>
        </w:rPr>
        <w:t xml:space="preserve"> for Nanopolish (Fig. S</w:t>
      </w:r>
      <w:r w:rsidR="00284DCC">
        <w:rPr>
          <w:rFonts w:ascii="Calibri" w:eastAsia="Calibri" w:hAnsi="Calibri" w:cs="Calibri"/>
          <w:color w:val="000000" w:themeColor="text1"/>
        </w:rPr>
        <w:t>8</w:t>
      </w:r>
      <w:r>
        <w:rPr>
          <w:rFonts w:ascii="Calibri" w:eastAsia="Calibri" w:hAnsi="Calibri" w:cs="Calibri"/>
          <w:color w:val="000000" w:themeColor="text1"/>
        </w:rPr>
        <w:t>B)</w:t>
      </w:r>
      <w:r w:rsidR="00284DCC">
        <w:rPr>
          <w:rFonts w:ascii="Calibri" w:eastAsia="Calibri" w:hAnsi="Calibri" w:cs="Calibri"/>
          <w:color w:val="000000" w:themeColor="text1"/>
        </w:rPr>
        <w:t xml:space="preserve"> and similar mean absolute difference between the two methods and oxBS</w:t>
      </w:r>
      <w:r>
        <w:rPr>
          <w:rFonts w:ascii="Calibri" w:eastAsia="Calibri" w:hAnsi="Calibri" w:cs="Calibri"/>
          <w:color w:val="000000" w:themeColor="text1"/>
        </w:rPr>
        <w:t xml:space="preserve">. </w:t>
      </w:r>
      <w:bookmarkStart w:id="1" w:name="_Hlk134789104"/>
    </w:p>
    <w:bookmarkEnd w:id="1"/>
    <w:p w14:paraId="6A8C5F27" w14:textId="77777777" w:rsidR="0033355E" w:rsidRPr="00D417C1" w:rsidRDefault="0033355E" w:rsidP="00803E19">
      <w:pPr>
        <w:widowControl w:val="0"/>
        <w:spacing w:line="480" w:lineRule="auto"/>
      </w:pPr>
    </w:p>
    <w:p w14:paraId="3503E5F9" w14:textId="77777777" w:rsidR="00817E64" w:rsidRDefault="00817E64" w:rsidP="00803E19">
      <w:pPr>
        <w:widowControl w:val="0"/>
        <w:spacing w:line="480" w:lineRule="auto"/>
      </w:pPr>
    </w:p>
    <w:p w14:paraId="455C85B9" w14:textId="0CDBD122" w:rsidR="002147A3" w:rsidRDefault="002F7A51" w:rsidP="00803E19">
      <w:pPr>
        <w:widowControl w:val="0"/>
        <w:spacing w:line="480" w:lineRule="auto"/>
      </w:pPr>
      <w:r>
        <w:rPr>
          <w:noProof/>
          <w:lang w:val="en-PH" w:eastAsia="en-PH"/>
        </w:rPr>
        <w:lastRenderedPageBreak/>
        <w:drawing>
          <wp:inline distT="0" distB="0" distL="0" distR="0" wp14:anchorId="64374951" wp14:editId="01C7BDC9">
            <wp:extent cx="5725160" cy="8591550"/>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5160" cy="8591550"/>
                    </a:xfrm>
                    <a:prstGeom prst="rect">
                      <a:avLst/>
                    </a:prstGeom>
                    <a:noFill/>
                    <a:ln>
                      <a:noFill/>
                    </a:ln>
                  </pic:spPr>
                </pic:pic>
              </a:graphicData>
            </a:graphic>
          </wp:inline>
        </w:drawing>
      </w:r>
    </w:p>
    <w:p w14:paraId="433A1941" w14:textId="5B1C6577" w:rsidR="00D417C1" w:rsidRDefault="002147A3" w:rsidP="00803E19">
      <w:pPr>
        <w:widowControl w:val="0"/>
        <w:spacing w:line="480" w:lineRule="auto"/>
      </w:pPr>
      <w:r w:rsidRPr="62650EA2">
        <w:rPr>
          <w:b/>
          <w:bCs/>
        </w:rPr>
        <w:lastRenderedPageBreak/>
        <w:t>Fig</w:t>
      </w:r>
      <w:r w:rsidR="000D5469">
        <w:rPr>
          <w:b/>
          <w:bCs/>
        </w:rPr>
        <w:t>.</w:t>
      </w:r>
      <w:r w:rsidRPr="62650EA2">
        <w:rPr>
          <w:b/>
          <w:bCs/>
        </w:rPr>
        <w:t xml:space="preserve"> </w:t>
      </w:r>
      <w:r>
        <w:rPr>
          <w:b/>
          <w:bCs/>
        </w:rPr>
        <w:t>S</w:t>
      </w:r>
      <w:r w:rsidR="00284DCC">
        <w:rPr>
          <w:b/>
          <w:bCs/>
        </w:rPr>
        <w:t>8</w:t>
      </w:r>
      <w:r w:rsidRPr="62650EA2">
        <w:rPr>
          <w:b/>
          <w:bCs/>
        </w:rPr>
        <w:t xml:space="preserve"> </w:t>
      </w:r>
      <w:r w:rsidRPr="005F71B7">
        <w:t>Comparison of CpG methylation predictions from Guppy and Nanopolish with oxBS.</w:t>
      </w:r>
      <w:r w:rsidRPr="62650EA2">
        <w:rPr>
          <w:b/>
          <w:bCs/>
        </w:rPr>
        <w:t xml:space="preserve"> </w:t>
      </w:r>
      <w:r>
        <w:rPr>
          <w:b/>
          <w:bCs/>
        </w:rPr>
        <w:t>A</w:t>
      </w:r>
      <w:r w:rsidRPr="62650EA2">
        <w:rPr>
          <w:b/>
          <w:bCs/>
        </w:rPr>
        <w:t xml:space="preserve"> </w:t>
      </w:r>
      <w:r w:rsidR="00A06BD6">
        <w:t>Correlation coefficient (y-axis) per</w:t>
      </w:r>
      <w:r w:rsidR="0033355E">
        <w:t xml:space="preserve"> </w:t>
      </w:r>
      <w:r w:rsidR="00A06BD6">
        <w:t>flowcell (x-axis)</w:t>
      </w:r>
      <w:r>
        <w:t xml:space="preserve">. </w:t>
      </w:r>
      <w:r>
        <w:rPr>
          <w:b/>
          <w:bCs/>
        </w:rPr>
        <w:t>B</w:t>
      </w:r>
      <w:r w:rsidRPr="62650EA2">
        <w:rPr>
          <w:b/>
          <w:bCs/>
        </w:rPr>
        <w:t xml:space="preserve"> </w:t>
      </w:r>
      <w:r w:rsidR="0033355E">
        <w:t xml:space="preserve">Mean strand bias </w:t>
      </w:r>
      <w:r w:rsidR="00A06BD6">
        <w:t xml:space="preserve">(y-axis) </w:t>
      </w:r>
      <w:r w:rsidR="0033355E">
        <w:t xml:space="preserve">per </w:t>
      </w:r>
      <w:r w:rsidR="00A06BD6">
        <w:t>flowcell (x-axis)</w:t>
      </w:r>
      <w:r w:rsidR="0033355E">
        <w:t xml:space="preserve">. </w:t>
      </w:r>
      <w:r w:rsidR="0033355E">
        <w:rPr>
          <w:b/>
          <w:bCs/>
        </w:rPr>
        <w:t xml:space="preserve">C </w:t>
      </w:r>
      <w:r w:rsidR="0033355E">
        <w:t>Mean absalute difference in 5-mCpG between Guppy and oxBS and Nanopolish and oxBS</w:t>
      </w:r>
      <w:r w:rsidR="00A06BD6">
        <w:t xml:space="preserve"> (y-axis) per sample (x-axis)</w:t>
      </w:r>
      <w:r w:rsidR="0033355E">
        <w:t>.</w:t>
      </w:r>
    </w:p>
    <w:p w14:paraId="3B6BA267" w14:textId="77777777" w:rsidR="005A48CD" w:rsidRPr="0033355E" w:rsidRDefault="005A48CD" w:rsidP="00803E19">
      <w:pPr>
        <w:widowControl w:val="0"/>
        <w:spacing w:line="480" w:lineRule="auto"/>
      </w:pPr>
    </w:p>
    <w:p w14:paraId="3545A125" w14:textId="547D9A31" w:rsidR="00A4337D" w:rsidRDefault="00024859" w:rsidP="00803E19">
      <w:pPr>
        <w:widowControl w:val="0"/>
        <w:spacing w:line="480" w:lineRule="auto"/>
        <w:rPr>
          <w:b/>
          <w:bCs/>
        </w:rPr>
      </w:pPr>
      <w:r w:rsidRPr="00881322">
        <w:rPr>
          <w:b/>
          <w:bCs/>
        </w:rPr>
        <w:t xml:space="preserve">1.5 </w:t>
      </w:r>
      <w:r w:rsidR="0082293A" w:rsidRPr="00881322">
        <w:rPr>
          <w:b/>
          <w:bCs/>
        </w:rPr>
        <w:t>Comparison</w:t>
      </w:r>
      <w:r w:rsidR="00D60F79" w:rsidRPr="00881322">
        <w:rPr>
          <w:b/>
          <w:bCs/>
        </w:rPr>
        <w:t xml:space="preserve"> of CpG methylation predictions from nanopore sequencing and SMRT sequencing</w:t>
      </w:r>
    </w:p>
    <w:p w14:paraId="71913074" w14:textId="5B024F48" w:rsidR="004274E4" w:rsidRPr="004274E4" w:rsidRDefault="004274E4" w:rsidP="00803E19">
      <w:pPr>
        <w:widowControl w:val="0"/>
        <w:spacing w:line="480" w:lineRule="auto"/>
        <w:rPr>
          <w:u w:val="single"/>
        </w:rPr>
      </w:pPr>
      <w:r>
        <w:rPr>
          <w:u w:val="single"/>
        </w:rPr>
        <w:t>Sequencing statistics for nanaopore and SMRT sequencing</w:t>
      </w:r>
    </w:p>
    <w:p w14:paraId="13C8903F" w14:textId="5F65EBB6" w:rsidR="004517E7" w:rsidRDefault="005A48CD" w:rsidP="00803E19">
      <w:pPr>
        <w:widowControl w:val="0"/>
        <w:spacing w:line="480" w:lineRule="auto"/>
        <w:rPr>
          <w:b/>
          <w:bCs/>
          <w:sz w:val="26"/>
          <w:szCs w:val="26"/>
        </w:rPr>
      </w:pPr>
      <w:r>
        <w:rPr>
          <w:b/>
          <w:bCs/>
          <w:noProof/>
          <w:sz w:val="26"/>
          <w:szCs w:val="26"/>
          <w:lang w:val="en-PH" w:eastAsia="en-PH"/>
        </w:rPr>
        <w:drawing>
          <wp:inline distT="0" distB="0" distL="0" distR="0" wp14:anchorId="750E997C" wp14:editId="7AE0D880">
            <wp:extent cx="6100549" cy="2035997"/>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02524" cy="2036656"/>
                    </a:xfrm>
                    <a:prstGeom prst="rect">
                      <a:avLst/>
                    </a:prstGeom>
                    <a:noFill/>
                    <a:ln>
                      <a:noFill/>
                    </a:ln>
                  </pic:spPr>
                </pic:pic>
              </a:graphicData>
            </a:graphic>
          </wp:inline>
        </w:drawing>
      </w:r>
    </w:p>
    <w:p w14:paraId="2B65D66F" w14:textId="25BC4F96" w:rsidR="004517E7" w:rsidRDefault="004517E7" w:rsidP="00803E19">
      <w:pPr>
        <w:widowControl w:val="0"/>
        <w:spacing w:line="480" w:lineRule="auto"/>
      </w:pPr>
      <w:bookmarkStart w:id="2" w:name="_Hlk151041015"/>
      <w:r>
        <w:rPr>
          <w:b/>
          <w:bCs/>
        </w:rPr>
        <w:t xml:space="preserve">Figure </w:t>
      </w:r>
      <w:r w:rsidR="00024859">
        <w:rPr>
          <w:b/>
          <w:bCs/>
        </w:rPr>
        <w:t>S9</w:t>
      </w:r>
      <w:r w:rsidR="00625851">
        <w:rPr>
          <w:b/>
          <w:bCs/>
        </w:rPr>
        <w:t xml:space="preserve"> Comparison of sequencing statistics for long-read sequencing techniques. A </w:t>
      </w:r>
      <w:r w:rsidR="00625851">
        <w:t>Boxplot showing the sequencing coverage</w:t>
      </w:r>
      <w:r w:rsidR="00A06BD6">
        <w:t xml:space="preserve"> (y-axis)</w:t>
      </w:r>
      <w:r w:rsidR="00625851">
        <w:t xml:space="preserve"> for each method</w:t>
      </w:r>
      <w:r w:rsidR="00A06BD6">
        <w:t xml:space="preserve"> (x-axis)</w:t>
      </w:r>
      <w:r w:rsidR="00625851">
        <w:t xml:space="preserve">. </w:t>
      </w:r>
      <w:r w:rsidR="00625851">
        <w:rPr>
          <w:b/>
          <w:bCs/>
        </w:rPr>
        <w:t xml:space="preserve">B </w:t>
      </w:r>
      <w:r w:rsidR="00625851">
        <w:t>Box plot s</w:t>
      </w:r>
      <w:r w:rsidR="00A06BD6">
        <w:t>h</w:t>
      </w:r>
      <w:r w:rsidR="00625851">
        <w:t>owing the N50</w:t>
      </w:r>
      <w:r w:rsidR="00A06BD6">
        <w:t xml:space="preserve"> (y-axis)</w:t>
      </w:r>
      <w:r w:rsidR="00625851">
        <w:t xml:space="preserve"> distribution for each method</w:t>
      </w:r>
      <w:r w:rsidR="00A06BD6">
        <w:t xml:space="preserve"> (x-axis)</w:t>
      </w:r>
      <w:r w:rsidR="00625851">
        <w:t xml:space="preserve">. </w:t>
      </w:r>
      <w:r w:rsidR="00625851">
        <w:rPr>
          <w:b/>
          <w:bCs/>
        </w:rPr>
        <w:t xml:space="preserve">C </w:t>
      </w:r>
      <w:r w:rsidR="00625851">
        <w:t xml:space="preserve">Box plot showing the percentage error rate </w:t>
      </w:r>
      <w:r w:rsidR="00A06BD6">
        <w:t xml:space="preserve">(y-axis) </w:t>
      </w:r>
      <w:r w:rsidR="00625851">
        <w:t>for each method</w:t>
      </w:r>
      <w:r w:rsidR="00A06BD6">
        <w:t xml:space="preserve"> (x-axis)</w:t>
      </w:r>
      <w:r w:rsidR="00625851">
        <w:t>.</w:t>
      </w:r>
      <w:r w:rsidR="00701641">
        <w:t xml:space="preserve"> </w:t>
      </w:r>
      <w:r w:rsidR="00701641">
        <w:rPr>
          <w:rFonts w:ascii="Calibri" w:eastAsia="Calibri" w:hAnsi="Calibri" w:cs="Calibri"/>
          <w:color w:val="000000" w:themeColor="text1"/>
        </w:rPr>
        <w:t>The centr</w:t>
      </w:r>
      <w:r w:rsidR="00A06BD6">
        <w:rPr>
          <w:rFonts w:ascii="Calibri" w:eastAsia="Calibri" w:hAnsi="Calibri" w:cs="Calibri"/>
          <w:color w:val="000000" w:themeColor="text1"/>
        </w:rPr>
        <w:t>e</w:t>
      </w:r>
      <w:r w:rsidR="00701641">
        <w:rPr>
          <w:rFonts w:ascii="Calibri" w:eastAsia="Calibri" w:hAnsi="Calibri" w:cs="Calibri"/>
          <w:color w:val="000000" w:themeColor="text1"/>
        </w:rPr>
        <w:t xml:space="preserve"> line (solid black) shown in each box represent the median; the box limits represent upper and lower quartile, whisk</w:t>
      </w:r>
      <w:r w:rsidR="00A06BD6">
        <w:rPr>
          <w:rFonts w:ascii="Calibri" w:eastAsia="Calibri" w:hAnsi="Calibri" w:cs="Calibri"/>
          <w:color w:val="000000" w:themeColor="text1"/>
        </w:rPr>
        <w:t>e</w:t>
      </w:r>
      <w:r w:rsidR="00701641">
        <w:rPr>
          <w:rFonts w:ascii="Calibri" w:eastAsia="Calibri" w:hAnsi="Calibri" w:cs="Calibri"/>
          <w:color w:val="000000" w:themeColor="text1"/>
        </w:rPr>
        <w:t>rs represent 1.5x interquartile range.</w:t>
      </w:r>
    </w:p>
    <w:bookmarkEnd w:id="2"/>
    <w:p w14:paraId="5F69B090" w14:textId="02A860BD" w:rsidR="004274E4" w:rsidRDefault="004274E4" w:rsidP="00803E19">
      <w:pPr>
        <w:widowControl w:val="0"/>
        <w:spacing w:line="480" w:lineRule="auto"/>
        <w:rPr>
          <w:u w:val="single"/>
        </w:rPr>
      </w:pPr>
      <w:r>
        <w:rPr>
          <w:u w:val="single"/>
        </w:rPr>
        <w:t>Subset description</w:t>
      </w:r>
    </w:p>
    <w:p w14:paraId="12D7B4FF" w14:textId="37740021" w:rsidR="00DB1F4C" w:rsidRDefault="006B0DDA" w:rsidP="00803E19">
      <w:pPr>
        <w:widowControl w:val="0"/>
        <w:spacing w:line="480" w:lineRule="auto"/>
      </w:pPr>
      <w:bookmarkStart w:id="3" w:name="_Hlk151726800"/>
      <w:r>
        <w:t xml:space="preserve">Description of the random subset created is shown in Table S3. </w:t>
      </w:r>
      <w:r w:rsidR="004274E4">
        <w:t xml:space="preserve">We note, that some of the differences in APC and MAD observed between methods may be due to differences in age, gender or smoking status of the samples. The effect of these attributes involve relatively few and specific CpGs, considering the &gt;15 million measured CpGs, and the effects tend to be subtle. For this reason, we </w:t>
      </w:r>
      <w:r w:rsidR="004274E4">
        <w:lastRenderedPageBreak/>
        <w:t>assume that these attributes will not have a large effect when comparing all CpGs based on the APC parameter.</w:t>
      </w:r>
    </w:p>
    <w:bookmarkEnd w:id="3"/>
    <w:p w14:paraId="784D4887" w14:textId="023FBAF7" w:rsidR="00B349F0" w:rsidRPr="00B349F0" w:rsidRDefault="00B349F0" w:rsidP="00803E19">
      <w:pPr>
        <w:widowControl w:val="0"/>
        <w:rPr>
          <w:rFonts w:cstheme="minorHAnsi"/>
        </w:rPr>
      </w:pPr>
      <w:r>
        <w:rPr>
          <w:b/>
          <w:bCs/>
        </w:rPr>
        <w:t>Table S3</w:t>
      </w:r>
      <w:r>
        <w:t xml:space="preserve"> Description of the random subset</w:t>
      </w:r>
      <w:r w:rsidR="00EC0994">
        <w:t>s</w:t>
      </w:r>
      <w:r>
        <w:t>, showing gender and year of birth distribution</w:t>
      </w:r>
      <w:r w:rsidR="00EC0994">
        <w:t>. Smoking status was derived from ever smokers versus never smokers phenotype created inhouse.</w:t>
      </w:r>
    </w:p>
    <w:tbl>
      <w:tblPr>
        <w:tblStyle w:val="TableGrid"/>
        <w:tblW w:w="0" w:type="auto"/>
        <w:tblLook w:val="04A0" w:firstRow="1" w:lastRow="0" w:firstColumn="1" w:lastColumn="0" w:noHBand="0" w:noVBand="1"/>
      </w:tblPr>
      <w:tblGrid>
        <w:gridCol w:w="1481"/>
        <w:gridCol w:w="1313"/>
        <w:gridCol w:w="1317"/>
        <w:gridCol w:w="1293"/>
        <w:gridCol w:w="1250"/>
        <w:gridCol w:w="1301"/>
        <w:gridCol w:w="1061"/>
      </w:tblGrid>
      <w:tr w:rsidR="00A4337D" w:rsidRPr="00B349F0" w14:paraId="40964342" w14:textId="42811429" w:rsidTr="00A4337D">
        <w:tc>
          <w:tcPr>
            <w:tcW w:w="1481" w:type="dxa"/>
          </w:tcPr>
          <w:p w14:paraId="3E010D6F" w14:textId="6CAD7FF0" w:rsidR="00A4337D" w:rsidRPr="00B349F0" w:rsidRDefault="00A4337D" w:rsidP="00803E19">
            <w:pPr>
              <w:widowControl w:val="0"/>
              <w:rPr>
                <w:rFonts w:cstheme="minorHAnsi"/>
                <w:b/>
                <w:bCs/>
              </w:rPr>
            </w:pPr>
            <w:r>
              <w:rPr>
                <w:rFonts w:cstheme="minorHAnsi"/>
                <w:b/>
                <w:bCs/>
              </w:rPr>
              <w:t>Method</w:t>
            </w:r>
          </w:p>
        </w:tc>
        <w:tc>
          <w:tcPr>
            <w:tcW w:w="1313" w:type="dxa"/>
          </w:tcPr>
          <w:p w14:paraId="496D2E45" w14:textId="69E59F16" w:rsidR="00A4337D" w:rsidRPr="00B349F0" w:rsidRDefault="00A4337D" w:rsidP="00803E19">
            <w:pPr>
              <w:widowControl w:val="0"/>
              <w:rPr>
                <w:rFonts w:cstheme="minorHAnsi"/>
                <w:b/>
                <w:bCs/>
              </w:rPr>
            </w:pPr>
            <w:r w:rsidRPr="00B349F0">
              <w:rPr>
                <w:rFonts w:cstheme="minorHAnsi"/>
                <w:b/>
                <w:bCs/>
              </w:rPr>
              <w:t>Gender</w:t>
            </w:r>
          </w:p>
        </w:tc>
        <w:tc>
          <w:tcPr>
            <w:tcW w:w="1317" w:type="dxa"/>
          </w:tcPr>
          <w:p w14:paraId="7C94E9D3" w14:textId="143183FF" w:rsidR="00A4337D" w:rsidRPr="00B349F0" w:rsidRDefault="00A4337D" w:rsidP="00803E19">
            <w:pPr>
              <w:widowControl w:val="0"/>
              <w:rPr>
                <w:rFonts w:cstheme="minorHAnsi"/>
                <w:b/>
                <w:bCs/>
              </w:rPr>
            </w:pPr>
            <w:r w:rsidRPr="00B349F0">
              <w:rPr>
                <w:rFonts w:cstheme="minorHAnsi"/>
                <w:b/>
                <w:bCs/>
              </w:rPr>
              <w:t>Number of samples</w:t>
            </w:r>
          </w:p>
        </w:tc>
        <w:tc>
          <w:tcPr>
            <w:tcW w:w="1293" w:type="dxa"/>
          </w:tcPr>
          <w:p w14:paraId="77DB3EE8" w14:textId="1A201076" w:rsidR="00A4337D" w:rsidRPr="00B349F0" w:rsidRDefault="00A4337D" w:rsidP="00803E19">
            <w:pPr>
              <w:widowControl w:val="0"/>
              <w:rPr>
                <w:rFonts w:cstheme="minorHAnsi"/>
                <w:b/>
                <w:bCs/>
              </w:rPr>
            </w:pPr>
            <w:r w:rsidRPr="00B349F0">
              <w:rPr>
                <w:rFonts w:cstheme="minorHAnsi"/>
                <w:b/>
                <w:bCs/>
              </w:rPr>
              <w:t>Earliest YOB</w:t>
            </w:r>
          </w:p>
        </w:tc>
        <w:tc>
          <w:tcPr>
            <w:tcW w:w="1250" w:type="dxa"/>
          </w:tcPr>
          <w:p w14:paraId="310942D8" w14:textId="474F7121" w:rsidR="00A4337D" w:rsidRPr="00B349F0" w:rsidRDefault="00A4337D" w:rsidP="00803E19">
            <w:pPr>
              <w:widowControl w:val="0"/>
              <w:rPr>
                <w:rFonts w:cstheme="minorHAnsi"/>
                <w:b/>
                <w:bCs/>
              </w:rPr>
            </w:pPr>
            <w:r w:rsidRPr="00B349F0">
              <w:rPr>
                <w:rFonts w:cstheme="minorHAnsi"/>
                <w:b/>
                <w:bCs/>
              </w:rPr>
              <w:t>Latest YOB</w:t>
            </w:r>
          </w:p>
        </w:tc>
        <w:tc>
          <w:tcPr>
            <w:tcW w:w="1301" w:type="dxa"/>
          </w:tcPr>
          <w:p w14:paraId="4B5615FC" w14:textId="287FBBAC" w:rsidR="00A4337D" w:rsidRPr="00B349F0" w:rsidRDefault="00A4337D" w:rsidP="00803E19">
            <w:pPr>
              <w:widowControl w:val="0"/>
              <w:rPr>
                <w:rFonts w:cstheme="minorHAnsi"/>
                <w:b/>
                <w:bCs/>
              </w:rPr>
            </w:pPr>
            <w:r w:rsidRPr="00B349F0">
              <w:rPr>
                <w:rFonts w:cstheme="minorHAnsi"/>
                <w:b/>
                <w:bCs/>
              </w:rPr>
              <w:t>Median YOB</w:t>
            </w:r>
          </w:p>
        </w:tc>
        <w:tc>
          <w:tcPr>
            <w:tcW w:w="1061" w:type="dxa"/>
          </w:tcPr>
          <w:p w14:paraId="6CEF3877" w14:textId="4241F28D" w:rsidR="00A4337D" w:rsidRPr="00B349F0" w:rsidRDefault="00A4337D" w:rsidP="00803E19">
            <w:pPr>
              <w:widowControl w:val="0"/>
              <w:rPr>
                <w:rFonts w:cstheme="minorHAnsi"/>
                <w:b/>
                <w:bCs/>
              </w:rPr>
            </w:pPr>
            <w:r>
              <w:rPr>
                <w:rFonts w:cstheme="minorHAnsi"/>
                <w:b/>
                <w:bCs/>
              </w:rPr>
              <w:t>Smokers</w:t>
            </w:r>
          </w:p>
        </w:tc>
      </w:tr>
      <w:tr w:rsidR="00A4337D" w:rsidRPr="00B349F0" w14:paraId="224B10BC" w14:textId="305629B0" w:rsidTr="00A4337D">
        <w:tc>
          <w:tcPr>
            <w:tcW w:w="1481" w:type="dxa"/>
          </w:tcPr>
          <w:p w14:paraId="5F9F053B" w14:textId="3CCAF981" w:rsidR="00A4337D" w:rsidRPr="00B349F0" w:rsidRDefault="00A4337D" w:rsidP="00803E19">
            <w:pPr>
              <w:widowControl w:val="0"/>
              <w:rPr>
                <w:rFonts w:cstheme="minorHAnsi"/>
                <w:b/>
                <w:bCs/>
              </w:rPr>
            </w:pPr>
            <w:r w:rsidRPr="00B349F0">
              <w:rPr>
                <w:rFonts w:cstheme="minorHAnsi"/>
                <w:b/>
                <w:bCs/>
              </w:rPr>
              <w:t>oxBS</w:t>
            </w:r>
          </w:p>
        </w:tc>
        <w:tc>
          <w:tcPr>
            <w:tcW w:w="1313" w:type="dxa"/>
          </w:tcPr>
          <w:p w14:paraId="7298827F" w14:textId="0F3F3A16" w:rsidR="00A4337D" w:rsidRPr="00B349F0" w:rsidRDefault="00A4337D" w:rsidP="00803E19">
            <w:pPr>
              <w:widowControl w:val="0"/>
              <w:rPr>
                <w:rFonts w:cstheme="minorHAnsi"/>
              </w:rPr>
            </w:pPr>
            <w:r>
              <w:rPr>
                <w:rFonts w:cstheme="minorHAnsi"/>
              </w:rPr>
              <w:t>Females</w:t>
            </w:r>
          </w:p>
        </w:tc>
        <w:tc>
          <w:tcPr>
            <w:tcW w:w="1317" w:type="dxa"/>
          </w:tcPr>
          <w:p w14:paraId="5FD328B6" w14:textId="3E2ED3F5" w:rsidR="00A4337D" w:rsidRPr="00B349F0" w:rsidRDefault="00A4337D" w:rsidP="00803E19">
            <w:pPr>
              <w:widowControl w:val="0"/>
              <w:rPr>
                <w:rFonts w:cstheme="minorHAnsi"/>
              </w:rPr>
            </w:pPr>
            <w:r>
              <w:rPr>
                <w:rFonts w:cstheme="minorHAnsi"/>
              </w:rPr>
              <w:t>26</w:t>
            </w:r>
          </w:p>
        </w:tc>
        <w:tc>
          <w:tcPr>
            <w:tcW w:w="1293" w:type="dxa"/>
          </w:tcPr>
          <w:p w14:paraId="42CDC195" w14:textId="56692183" w:rsidR="00A4337D" w:rsidRPr="00B349F0" w:rsidRDefault="00A4337D" w:rsidP="00803E19">
            <w:pPr>
              <w:widowControl w:val="0"/>
              <w:rPr>
                <w:rFonts w:cstheme="minorHAnsi"/>
              </w:rPr>
            </w:pPr>
            <w:r>
              <w:rPr>
                <w:rFonts w:cstheme="minorHAnsi"/>
              </w:rPr>
              <w:t>1923</w:t>
            </w:r>
          </w:p>
        </w:tc>
        <w:tc>
          <w:tcPr>
            <w:tcW w:w="1250" w:type="dxa"/>
          </w:tcPr>
          <w:p w14:paraId="6A884772" w14:textId="504400A2" w:rsidR="00A4337D" w:rsidRPr="00B349F0" w:rsidRDefault="00A4337D" w:rsidP="00803E19">
            <w:pPr>
              <w:widowControl w:val="0"/>
              <w:rPr>
                <w:rFonts w:cstheme="minorHAnsi"/>
              </w:rPr>
            </w:pPr>
            <w:r>
              <w:rPr>
                <w:rFonts w:cstheme="minorHAnsi"/>
              </w:rPr>
              <w:t>1989</w:t>
            </w:r>
          </w:p>
        </w:tc>
        <w:tc>
          <w:tcPr>
            <w:tcW w:w="1301" w:type="dxa"/>
          </w:tcPr>
          <w:p w14:paraId="0929C3D9" w14:textId="43CBE89E" w:rsidR="00A4337D" w:rsidRPr="00B349F0" w:rsidRDefault="00A4337D" w:rsidP="00803E19">
            <w:pPr>
              <w:widowControl w:val="0"/>
              <w:rPr>
                <w:rFonts w:cstheme="minorHAnsi"/>
              </w:rPr>
            </w:pPr>
            <w:r>
              <w:rPr>
                <w:rFonts w:cstheme="minorHAnsi"/>
              </w:rPr>
              <w:t>1952</w:t>
            </w:r>
          </w:p>
        </w:tc>
        <w:tc>
          <w:tcPr>
            <w:tcW w:w="1061" w:type="dxa"/>
          </w:tcPr>
          <w:p w14:paraId="748A1389" w14:textId="123DFB25" w:rsidR="00A4337D" w:rsidRDefault="00A4337D" w:rsidP="00803E19">
            <w:pPr>
              <w:widowControl w:val="0"/>
              <w:rPr>
                <w:rFonts w:cstheme="minorHAnsi"/>
              </w:rPr>
            </w:pPr>
            <w:r>
              <w:rPr>
                <w:rFonts w:cstheme="minorHAnsi"/>
              </w:rPr>
              <w:t>16</w:t>
            </w:r>
          </w:p>
        </w:tc>
      </w:tr>
      <w:tr w:rsidR="00A4337D" w:rsidRPr="00B349F0" w14:paraId="347BA56D" w14:textId="701C5D5C" w:rsidTr="00A4337D">
        <w:tc>
          <w:tcPr>
            <w:tcW w:w="1481" w:type="dxa"/>
          </w:tcPr>
          <w:p w14:paraId="34CDB8EA" w14:textId="326CDC79" w:rsidR="00A4337D" w:rsidRPr="00B349F0" w:rsidRDefault="00A4337D" w:rsidP="00803E19">
            <w:pPr>
              <w:widowControl w:val="0"/>
              <w:rPr>
                <w:rFonts w:cstheme="minorHAnsi"/>
                <w:b/>
                <w:bCs/>
              </w:rPr>
            </w:pPr>
            <w:r w:rsidRPr="00B349F0">
              <w:rPr>
                <w:rFonts w:cstheme="minorHAnsi"/>
                <w:b/>
                <w:bCs/>
              </w:rPr>
              <w:t>oxBS</w:t>
            </w:r>
          </w:p>
        </w:tc>
        <w:tc>
          <w:tcPr>
            <w:tcW w:w="1313" w:type="dxa"/>
          </w:tcPr>
          <w:p w14:paraId="533BC0D3" w14:textId="34EFF143" w:rsidR="00A4337D" w:rsidRPr="00B349F0" w:rsidRDefault="00A4337D" w:rsidP="00803E19">
            <w:pPr>
              <w:widowControl w:val="0"/>
              <w:rPr>
                <w:rFonts w:cstheme="minorHAnsi"/>
              </w:rPr>
            </w:pPr>
            <w:r>
              <w:rPr>
                <w:rFonts w:cstheme="minorHAnsi"/>
              </w:rPr>
              <w:t>Males</w:t>
            </w:r>
          </w:p>
        </w:tc>
        <w:tc>
          <w:tcPr>
            <w:tcW w:w="1317" w:type="dxa"/>
          </w:tcPr>
          <w:p w14:paraId="366133FF" w14:textId="59F8A120" w:rsidR="00A4337D" w:rsidRPr="00B349F0" w:rsidRDefault="00A4337D" w:rsidP="00803E19">
            <w:pPr>
              <w:widowControl w:val="0"/>
              <w:rPr>
                <w:rFonts w:cstheme="minorHAnsi"/>
              </w:rPr>
            </w:pPr>
            <w:r>
              <w:rPr>
                <w:rFonts w:cstheme="minorHAnsi"/>
              </w:rPr>
              <w:t>24</w:t>
            </w:r>
          </w:p>
        </w:tc>
        <w:tc>
          <w:tcPr>
            <w:tcW w:w="1293" w:type="dxa"/>
          </w:tcPr>
          <w:p w14:paraId="4A149334" w14:textId="4EC1681C" w:rsidR="00A4337D" w:rsidRPr="00B349F0" w:rsidRDefault="00A4337D" w:rsidP="00803E19">
            <w:pPr>
              <w:widowControl w:val="0"/>
              <w:rPr>
                <w:rFonts w:cstheme="minorHAnsi"/>
              </w:rPr>
            </w:pPr>
            <w:r>
              <w:rPr>
                <w:rFonts w:cstheme="minorHAnsi"/>
              </w:rPr>
              <w:t>1931</w:t>
            </w:r>
          </w:p>
        </w:tc>
        <w:tc>
          <w:tcPr>
            <w:tcW w:w="1250" w:type="dxa"/>
          </w:tcPr>
          <w:p w14:paraId="12601C5E" w14:textId="7413D791" w:rsidR="00A4337D" w:rsidRPr="00B349F0" w:rsidRDefault="00A4337D" w:rsidP="00803E19">
            <w:pPr>
              <w:widowControl w:val="0"/>
              <w:rPr>
                <w:rFonts w:cstheme="minorHAnsi"/>
              </w:rPr>
            </w:pPr>
            <w:r>
              <w:rPr>
                <w:rFonts w:cstheme="minorHAnsi"/>
              </w:rPr>
              <w:t>1986</w:t>
            </w:r>
          </w:p>
        </w:tc>
        <w:tc>
          <w:tcPr>
            <w:tcW w:w="1301" w:type="dxa"/>
          </w:tcPr>
          <w:p w14:paraId="0C2CF9E6" w14:textId="00CD1A58" w:rsidR="00A4337D" w:rsidRPr="00B349F0" w:rsidRDefault="00A4337D" w:rsidP="00803E19">
            <w:pPr>
              <w:widowControl w:val="0"/>
              <w:rPr>
                <w:rFonts w:cstheme="minorHAnsi"/>
              </w:rPr>
            </w:pPr>
            <w:r>
              <w:rPr>
                <w:rFonts w:cstheme="minorHAnsi"/>
              </w:rPr>
              <w:t>1951</w:t>
            </w:r>
          </w:p>
        </w:tc>
        <w:tc>
          <w:tcPr>
            <w:tcW w:w="1061" w:type="dxa"/>
          </w:tcPr>
          <w:p w14:paraId="0B369686" w14:textId="01878755" w:rsidR="00A4337D" w:rsidRDefault="00A4337D" w:rsidP="00803E19">
            <w:pPr>
              <w:widowControl w:val="0"/>
              <w:rPr>
                <w:rFonts w:cstheme="minorHAnsi"/>
              </w:rPr>
            </w:pPr>
            <w:r>
              <w:rPr>
                <w:rFonts w:cstheme="minorHAnsi"/>
              </w:rPr>
              <w:t>14</w:t>
            </w:r>
          </w:p>
        </w:tc>
      </w:tr>
      <w:tr w:rsidR="00A4337D" w:rsidRPr="00B349F0" w14:paraId="36DF6887" w14:textId="48394F26" w:rsidTr="00A4337D">
        <w:tc>
          <w:tcPr>
            <w:tcW w:w="1481" w:type="dxa"/>
          </w:tcPr>
          <w:p w14:paraId="06861B45" w14:textId="1A62D051" w:rsidR="00A4337D" w:rsidRPr="00B349F0" w:rsidRDefault="00A4337D" w:rsidP="00803E19">
            <w:pPr>
              <w:widowControl w:val="0"/>
              <w:rPr>
                <w:rFonts w:cstheme="minorHAnsi"/>
                <w:b/>
                <w:bCs/>
              </w:rPr>
            </w:pPr>
            <w:r w:rsidRPr="00B349F0">
              <w:rPr>
                <w:rFonts w:cstheme="minorHAnsi"/>
                <w:b/>
                <w:bCs/>
              </w:rPr>
              <w:t>Nanopolish</w:t>
            </w:r>
          </w:p>
        </w:tc>
        <w:tc>
          <w:tcPr>
            <w:tcW w:w="1313" w:type="dxa"/>
          </w:tcPr>
          <w:p w14:paraId="61D0E348" w14:textId="0C14E2CE" w:rsidR="00A4337D" w:rsidRPr="00B349F0" w:rsidRDefault="00A4337D" w:rsidP="00803E19">
            <w:pPr>
              <w:widowControl w:val="0"/>
              <w:rPr>
                <w:rFonts w:cstheme="minorHAnsi"/>
              </w:rPr>
            </w:pPr>
            <w:r>
              <w:rPr>
                <w:rFonts w:cstheme="minorHAnsi"/>
              </w:rPr>
              <w:t>Females</w:t>
            </w:r>
          </w:p>
        </w:tc>
        <w:tc>
          <w:tcPr>
            <w:tcW w:w="1317" w:type="dxa"/>
          </w:tcPr>
          <w:p w14:paraId="25AC2A5C" w14:textId="781A3C3F" w:rsidR="00A4337D" w:rsidRPr="00B349F0" w:rsidRDefault="00A4337D" w:rsidP="00803E19">
            <w:pPr>
              <w:widowControl w:val="0"/>
              <w:rPr>
                <w:rFonts w:cstheme="minorHAnsi"/>
              </w:rPr>
            </w:pPr>
            <w:r>
              <w:rPr>
                <w:rFonts w:cstheme="minorHAnsi"/>
              </w:rPr>
              <w:t>28</w:t>
            </w:r>
          </w:p>
        </w:tc>
        <w:tc>
          <w:tcPr>
            <w:tcW w:w="1293" w:type="dxa"/>
          </w:tcPr>
          <w:p w14:paraId="58E1BFCC" w14:textId="7132EA7A" w:rsidR="00A4337D" w:rsidRPr="00B349F0" w:rsidRDefault="00A4337D" w:rsidP="00803E19">
            <w:pPr>
              <w:widowControl w:val="0"/>
              <w:rPr>
                <w:rFonts w:cstheme="minorHAnsi"/>
              </w:rPr>
            </w:pPr>
            <w:r>
              <w:rPr>
                <w:rFonts w:cstheme="minorHAnsi"/>
              </w:rPr>
              <w:t>2005</w:t>
            </w:r>
          </w:p>
        </w:tc>
        <w:tc>
          <w:tcPr>
            <w:tcW w:w="1250" w:type="dxa"/>
          </w:tcPr>
          <w:p w14:paraId="6787CDAC" w14:textId="259600EC" w:rsidR="00A4337D" w:rsidRPr="00B349F0" w:rsidRDefault="00A4337D" w:rsidP="00803E19">
            <w:pPr>
              <w:widowControl w:val="0"/>
              <w:rPr>
                <w:rFonts w:cstheme="minorHAnsi"/>
              </w:rPr>
            </w:pPr>
            <w:r>
              <w:rPr>
                <w:rFonts w:cstheme="minorHAnsi"/>
              </w:rPr>
              <w:t>1914</w:t>
            </w:r>
          </w:p>
        </w:tc>
        <w:tc>
          <w:tcPr>
            <w:tcW w:w="1301" w:type="dxa"/>
          </w:tcPr>
          <w:p w14:paraId="5FEA3425" w14:textId="30E94903" w:rsidR="00A4337D" w:rsidRPr="00B349F0" w:rsidRDefault="00A4337D" w:rsidP="00803E19">
            <w:pPr>
              <w:widowControl w:val="0"/>
              <w:rPr>
                <w:rFonts w:cstheme="minorHAnsi"/>
              </w:rPr>
            </w:pPr>
            <w:r>
              <w:rPr>
                <w:rFonts w:cstheme="minorHAnsi"/>
              </w:rPr>
              <w:t>1955</w:t>
            </w:r>
          </w:p>
        </w:tc>
        <w:tc>
          <w:tcPr>
            <w:tcW w:w="1061" w:type="dxa"/>
          </w:tcPr>
          <w:p w14:paraId="599E2EAF" w14:textId="5E977602" w:rsidR="00A4337D" w:rsidRDefault="00A4337D" w:rsidP="00803E19">
            <w:pPr>
              <w:widowControl w:val="0"/>
              <w:rPr>
                <w:rFonts w:cstheme="minorHAnsi"/>
              </w:rPr>
            </w:pPr>
            <w:r>
              <w:rPr>
                <w:rFonts w:cstheme="minorHAnsi"/>
              </w:rPr>
              <w:t>7</w:t>
            </w:r>
          </w:p>
        </w:tc>
      </w:tr>
      <w:tr w:rsidR="00A4337D" w:rsidRPr="00B349F0" w14:paraId="23F9CF57" w14:textId="2471CD29" w:rsidTr="00A4337D">
        <w:tc>
          <w:tcPr>
            <w:tcW w:w="1481" w:type="dxa"/>
          </w:tcPr>
          <w:p w14:paraId="33B9CAE6" w14:textId="767F2FB5" w:rsidR="00A4337D" w:rsidRPr="00B349F0" w:rsidRDefault="00A4337D" w:rsidP="00803E19">
            <w:pPr>
              <w:widowControl w:val="0"/>
              <w:rPr>
                <w:rFonts w:cstheme="minorHAnsi"/>
                <w:b/>
                <w:bCs/>
              </w:rPr>
            </w:pPr>
            <w:r w:rsidRPr="00B349F0">
              <w:rPr>
                <w:rFonts w:cstheme="minorHAnsi"/>
                <w:b/>
                <w:bCs/>
              </w:rPr>
              <w:t>Nanopolish</w:t>
            </w:r>
          </w:p>
        </w:tc>
        <w:tc>
          <w:tcPr>
            <w:tcW w:w="1313" w:type="dxa"/>
          </w:tcPr>
          <w:p w14:paraId="79A9BACF" w14:textId="3241DDD0" w:rsidR="00A4337D" w:rsidRPr="00B349F0" w:rsidRDefault="00A4337D" w:rsidP="00803E19">
            <w:pPr>
              <w:widowControl w:val="0"/>
              <w:rPr>
                <w:rFonts w:cstheme="minorHAnsi"/>
              </w:rPr>
            </w:pPr>
            <w:r>
              <w:rPr>
                <w:rFonts w:cstheme="minorHAnsi"/>
              </w:rPr>
              <w:t>Males</w:t>
            </w:r>
          </w:p>
        </w:tc>
        <w:tc>
          <w:tcPr>
            <w:tcW w:w="1317" w:type="dxa"/>
          </w:tcPr>
          <w:p w14:paraId="7F708E8E" w14:textId="7961B1FD" w:rsidR="00A4337D" w:rsidRPr="00B349F0" w:rsidRDefault="00A4337D" w:rsidP="00803E19">
            <w:pPr>
              <w:widowControl w:val="0"/>
              <w:rPr>
                <w:rFonts w:cstheme="minorHAnsi"/>
              </w:rPr>
            </w:pPr>
            <w:r>
              <w:rPr>
                <w:rFonts w:cstheme="minorHAnsi"/>
              </w:rPr>
              <w:t>22</w:t>
            </w:r>
          </w:p>
        </w:tc>
        <w:tc>
          <w:tcPr>
            <w:tcW w:w="1293" w:type="dxa"/>
          </w:tcPr>
          <w:p w14:paraId="1C19EB6D" w14:textId="04453BB7" w:rsidR="00A4337D" w:rsidRPr="00B349F0" w:rsidRDefault="00A4337D" w:rsidP="00803E19">
            <w:pPr>
              <w:widowControl w:val="0"/>
              <w:rPr>
                <w:rFonts w:cstheme="minorHAnsi"/>
              </w:rPr>
            </w:pPr>
            <w:r>
              <w:rPr>
                <w:rFonts w:cstheme="minorHAnsi"/>
              </w:rPr>
              <w:t>2001</w:t>
            </w:r>
          </w:p>
        </w:tc>
        <w:tc>
          <w:tcPr>
            <w:tcW w:w="1250" w:type="dxa"/>
          </w:tcPr>
          <w:p w14:paraId="29698898" w14:textId="7FCB421B" w:rsidR="00A4337D" w:rsidRPr="00B349F0" w:rsidRDefault="00A4337D" w:rsidP="00803E19">
            <w:pPr>
              <w:widowControl w:val="0"/>
              <w:rPr>
                <w:rFonts w:cstheme="minorHAnsi"/>
              </w:rPr>
            </w:pPr>
            <w:r>
              <w:rPr>
                <w:rFonts w:cstheme="minorHAnsi"/>
              </w:rPr>
              <w:t>1902</w:t>
            </w:r>
          </w:p>
        </w:tc>
        <w:tc>
          <w:tcPr>
            <w:tcW w:w="1301" w:type="dxa"/>
          </w:tcPr>
          <w:p w14:paraId="50A9FA72" w14:textId="12C004D8" w:rsidR="00A4337D" w:rsidRPr="00B349F0" w:rsidRDefault="00A4337D" w:rsidP="00803E19">
            <w:pPr>
              <w:widowControl w:val="0"/>
              <w:rPr>
                <w:rFonts w:cstheme="minorHAnsi"/>
              </w:rPr>
            </w:pPr>
            <w:r>
              <w:rPr>
                <w:rFonts w:cstheme="minorHAnsi"/>
              </w:rPr>
              <w:t>1972</w:t>
            </w:r>
          </w:p>
        </w:tc>
        <w:tc>
          <w:tcPr>
            <w:tcW w:w="1061" w:type="dxa"/>
          </w:tcPr>
          <w:p w14:paraId="3CD872B7" w14:textId="2ABE38D8" w:rsidR="00A4337D" w:rsidRDefault="00A4337D" w:rsidP="00803E19">
            <w:pPr>
              <w:widowControl w:val="0"/>
              <w:rPr>
                <w:rFonts w:cstheme="minorHAnsi"/>
              </w:rPr>
            </w:pPr>
            <w:r>
              <w:rPr>
                <w:rFonts w:cstheme="minorHAnsi"/>
              </w:rPr>
              <w:t>6</w:t>
            </w:r>
          </w:p>
        </w:tc>
      </w:tr>
      <w:tr w:rsidR="00A4337D" w:rsidRPr="00B349F0" w14:paraId="09131449" w14:textId="56B5A1A2" w:rsidTr="00A4337D">
        <w:tc>
          <w:tcPr>
            <w:tcW w:w="1481" w:type="dxa"/>
          </w:tcPr>
          <w:p w14:paraId="419413F9" w14:textId="3FFC0847" w:rsidR="00A4337D" w:rsidRPr="00B349F0" w:rsidRDefault="00A4337D" w:rsidP="00803E19">
            <w:pPr>
              <w:widowControl w:val="0"/>
              <w:rPr>
                <w:rFonts w:cstheme="minorHAnsi"/>
                <w:b/>
                <w:bCs/>
              </w:rPr>
            </w:pPr>
            <w:r w:rsidRPr="00B349F0">
              <w:rPr>
                <w:rFonts w:cstheme="minorHAnsi"/>
                <w:b/>
                <w:bCs/>
              </w:rPr>
              <w:t>Guppy_R9.4</w:t>
            </w:r>
          </w:p>
        </w:tc>
        <w:tc>
          <w:tcPr>
            <w:tcW w:w="1313" w:type="dxa"/>
          </w:tcPr>
          <w:p w14:paraId="68CF095A" w14:textId="35C06D87" w:rsidR="00A4337D" w:rsidRPr="00B349F0" w:rsidRDefault="00A4337D" w:rsidP="00803E19">
            <w:pPr>
              <w:widowControl w:val="0"/>
              <w:rPr>
                <w:rFonts w:cstheme="minorHAnsi"/>
              </w:rPr>
            </w:pPr>
            <w:r>
              <w:rPr>
                <w:rFonts w:cstheme="minorHAnsi"/>
              </w:rPr>
              <w:t>Females</w:t>
            </w:r>
          </w:p>
        </w:tc>
        <w:tc>
          <w:tcPr>
            <w:tcW w:w="1317" w:type="dxa"/>
          </w:tcPr>
          <w:p w14:paraId="69A6AFFD" w14:textId="730DA172" w:rsidR="00A4337D" w:rsidRPr="00B349F0" w:rsidRDefault="00A4337D" w:rsidP="00803E19">
            <w:pPr>
              <w:widowControl w:val="0"/>
              <w:rPr>
                <w:rFonts w:cstheme="minorHAnsi"/>
              </w:rPr>
            </w:pPr>
            <w:r>
              <w:rPr>
                <w:rFonts w:cstheme="minorHAnsi"/>
              </w:rPr>
              <w:t>25</w:t>
            </w:r>
          </w:p>
        </w:tc>
        <w:tc>
          <w:tcPr>
            <w:tcW w:w="1293" w:type="dxa"/>
          </w:tcPr>
          <w:p w14:paraId="3ABA6523" w14:textId="6DDAAB66" w:rsidR="00A4337D" w:rsidRPr="00B349F0" w:rsidRDefault="00A4337D" w:rsidP="00803E19">
            <w:pPr>
              <w:widowControl w:val="0"/>
              <w:rPr>
                <w:rFonts w:cstheme="minorHAnsi"/>
              </w:rPr>
            </w:pPr>
            <w:r>
              <w:rPr>
                <w:rFonts w:cstheme="minorHAnsi"/>
              </w:rPr>
              <w:t>1991</w:t>
            </w:r>
          </w:p>
        </w:tc>
        <w:tc>
          <w:tcPr>
            <w:tcW w:w="1250" w:type="dxa"/>
          </w:tcPr>
          <w:p w14:paraId="1BC6BC98" w14:textId="0CF5CA4E" w:rsidR="00A4337D" w:rsidRPr="00B349F0" w:rsidRDefault="00A4337D" w:rsidP="00803E19">
            <w:pPr>
              <w:widowControl w:val="0"/>
              <w:rPr>
                <w:rFonts w:cstheme="minorHAnsi"/>
              </w:rPr>
            </w:pPr>
            <w:r>
              <w:rPr>
                <w:rFonts w:cstheme="minorHAnsi"/>
              </w:rPr>
              <w:t>1895</w:t>
            </w:r>
          </w:p>
        </w:tc>
        <w:tc>
          <w:tcPr>
            <w:tcW w:w="1301" w:type="dxa"/>
          </w:tcPr>
          <w:p w14:paraId="323DD4A2" w14:textId="54AD1BDE" w:rsidR="00A4337D" w:rsidRPr="00B349F0" w:rsidRDefault="00A4337D" w:rsidP="00803E19">
            <w:pPr>
              <w:widowControl w:val="0"/>
              <w:rPr>
                <w:rFonts w:cstheme="minorHAnsi"/>
              </w:rPr>
            </w:pPr>
            <w:r>
              <w:rPr>
                <w:rFonts w:cstheme="minorHAnsi"/>
              </w:rPr>
              <w:t>1952</w:t>
            </w:r>
          </w:p>
        </w:tc>
        <w:tc>
          <w:tcPr>
            <w:tcW w:w="1061" w:type="dxa"/>
          </w:tcPr>
          <w:p w14:paraId="1106A4D0" w14:textId="03C4FE48" w:rsidR="00A4337D" w:rsidRDefault="00A4337D" w:rsidP="00803E19">
            <w:pPr>
              <w:widowControl w:val="0"/>
              <w:rPr>
                <w:rFonts w:cstheme="minorHAnsi"/>
              </w:rPr>
            </w:pPr>
            <w:r>
              <w:rPr>
                <w:rFonts w:cstheme="minorHAnsi"/>
              </w:rPr>
              <w:t>12</w:t>
            </w:r>
          </w:p>
        </w:tc>
      </w:tr>
      <w:tr w:rsidR="00A4337D" w:rsidRPr="00B349F0" w14:paraId="7BEBE0C3" w14:textId="46ED74B0" w:rsidTr="00A4337D">
        <w:tc>
          <w:tcPr>
            <w:tcW w:w="1481" w:type="dxa"/>
          </w:tcPr>
          <w:p w14:paraId="3BFDE84C" w14:textId="618B53DB" w:rsidR="00A4337D" w:rsidRPr="00B349F0" w:rsidRDefault="00A4337D" w:rsidP="00803E19">
            <w:pPr>
              <w:widowControl w:val="0"/>
              <w:rPr>
                <w:rFonts w:cstheme="minorHAnsi"/>
                <w:b/>
                <w:bCs/>
              </w:rPr>
            </w:pPr>
            <w:r w:rsidRPr="00B349F0">
              <w:rPr>
                <w:rFonts w:cstheme="minorHAnsi"/>
                <w:b/>
                <w:bCs/>
              </w:rPr>
              <w:t>Guppy_R9.4</w:t>
            </w:r>
          </w:p>
        </w:tc>
        <w:tc>
          <w:tcPr>
            <w:tcW w:w="1313" w:type="dxa"/>
          </w:tcPr>
          <w:p w14:paraId="16C572CB" w14:textId="3BE2C65D" w:rsidR="00A4337D" w:rsidRPr="00B349F0" w:rsidRDefault="00A4337D" w:rsidP="00803E19">
            <w:pPr>
              <w:widowControl w:val="0"/>
              <w:rPr>
                <w:rFonts w:cstheme="minorHAnsi"/>
              </w:rPr>
            </w:pPr>
            <w:r>
              <w:rPr>
                <w:rFonts w:cstheme="minorHAnsi"/>
              </w:rPr>
              <w:t>Males</w:t>
            </w:r>
          </w:p>
        </w:tc>
        <w:tc>
          <w:tcPr>
            <w:tcW w:w="1317" w:type="dxa"/>
          </w:tcPr>
          <w:p w14:paraId="2FD19EA7" w14:textId="1603088E" w:rsidR="00A4337D" w:rsidRPr="00B349F0" w:rsidRDefault="00A4337D" w:rsidP="00803E19">
            <w:pPr>
              <w:widowControl w:val="0"/>
              <w:rPr>
                <w:rFonts w:cstheme="minorHAnsi"/>
              </w:rPr>
            </w:pPr>
            <w:r>
              <w:rPr>
                <w:rFonts w:cstheme="minorHAnsi"/>
              </w:rPr>
              <w:t>25</w:t>
            </w:r>
          </w:p>
        </w:tc>
        <w:tc>
          <w:tcPr>
            <w:tcW w:w="1293" w:type="dxa"/>
          </w:tcPr>
          <w:p w14:paraId="17C03C65" w14:textId="73BD3DB2" w:rsidR="00A4337D" w:rsidRPr="00B349F0" w:rsidRDefault="00A4337D" w:rsidP="00803E19">
            <w:pPr>
              <w:widowControl w:val="0"/>
              <w:rPr>
                <w:rFonts w:cstheme="minorHAnsi"/>
              </w:rPr>
            </w:pPr>
            <w:r>
              <w:rPr>
                <w:rFonts w:cstheme="minorHAnsi"/>
              </w:rPr>
              <w:t>1998</w:t>
            </w:r>
          </w:p>
        </w:tc>
        <w:tc>
          <w:tcPr>
            <w:tcW w:w="1250" w:type="dxa"/>
          </w:tcPr>
          <w:p w14:paraId="44D9AC5C" w14:textId="10760864" w:rsidR="00A4337D" w:rsidRPr="00B349F0" w:rsidRDefault="00A4337D" w:rsidP="00803E19">
            <w:pPr>
              <w:widowControl w:val="0"/>
              <w:rPr>
                <w:rFonts w:cstheme="minorHAnsi"/>
              </w:rPr>
            </w:pPr>
            <w:r>
              <w:rPr>
                <w:rFonts w:cstheme="minorHAnsi"/>
              </w:rPr>
              <w:t>1921</w:t>
            </w:r>
          </w:p>
        </w:tc>
        <w:tc>
          <w:tcPr>
            <w:tcW w:w="1301" w:type="dxa"/>
          </w:tcPr>
          <w:p w14:paraId="6DB60BB4" w14:textId="6041306E" w:rsidR="00A4337D" w:rsidRPr="00B349F0" w:rsidRDefault="00A4337D" w:rsidP="00803E19">
            <w:pPr>
              <w:widowControl w:val="0"/>
              <w:rPr>
                <w:rFonts w:cstheme="minorHAnsi"/>
              </w:rPr>
            </w:pPr>
            <w:r>
              <w:rPr>
                <w:rFonts w:cstheme="minorHAnsi"/>
              </w:rPr>
              <w:t>1955</w:t>
            </w:r>
          </w:p>
        </w:tc>
        <w:tc>
          <w:tcPr>
            <w:tcW w:w="1061" w:type="dxa"/>
          </w:tcPr>
          <w:p w14:paraId="1EA25576" w14:textId="375BCE1F" w:rsidR="00A4337D" w:rsidRDefault="00A4337D" w:rsidP="00803E19">
            <w:pPr>
              <w:widowControl w:val="0"/>
              <w:rPr>
                <w:rFonts w:cstheme="minorHAnsi"/>
              </w:rPr>
            </w:pPr>
            <w:r>
              <w:rPr>
                <w:rFonts w:cstheme="minorHAnsi"/>
              </w:rPr>
              <w:t>6</w:t>
            </w:r>
          </w:p>
        </w:tc>
      </w:tr>
      <w:tr w:rsidR="00A4337D" w:rsidRPr="00B349F0" w14:paraId="6E4B1947" w14:textId="54B55B52" w:rsidTr="00A4337D">
        <w:tc>
          <w:tcPr>
            <w:tcW w:w="1481" w:type="dxa"/>
          </w:tcPr>
          <w:p w14:paraId="231A9A18" w14:textId="78E825B5" w:rsidR="00A4337D" w:rsidRPr="00B349F0" w:rsidRDefault="00A4337D" w:rsidP="00803E19">
            <w:pPr>
              <w:widowControl w:val="0"/>
              <w:rPr>
                <w:rFonts w:cstheme="minorHAnsi"/>
                <w:b/>
                <w:bCs/>
              </w:rPr>
            </w:pPr>
            <w:r w:rsidRPr="00B349F0">
              <w:rPr>
                <w:rFonts w:cstheme="minorHAnsi"/>
                <w:b/>
                <w:bCs/>
              </w:rPr>
              <w:t>Guppy_R10.4</w:t>
            </w:r>
          </w:p>
        </w:tc>
        <w:tc>
          <w:tcPr>
            <w:tcW w:w="1313" w:type="dxa"/>
          </w:tcPr>
          <w:p w14:paraId="4E964AEF" w14:textId="65745C4C" w:rsidR="00A4337D" w:rsidRPr="00B349F0" w:rsidRDefault="00A4337D" w:rsidP="00803E19">
            <w:pPr>
              <w:widowControl w:val="0"/>
              <w:rPr>
                <w:rFonts w:cstheme="minorHAnsi"/>
              </w:rPr>
            </w:pPr>
            <w:r>
              <w:rPr>
                <w:rFonts w:cstheme="minorHAnsi"/>
              </w:rPr>
              <w:t>Females</w:t>
            </w:r>
          </w:p>
        </w:tc>
        <w:tc>
          <w:tcPr>
            <w:tcW w:w="1317" w:type="dxa"/>
          </w:tcPr>
          <w:p w14:paraId="76C57FD9" w14:textId="3C05CAB8" w:rsidR="00A4337D" w:rsidRPr="00B349F0" w:rsidRDefault="00A4337D" w:rsidP="00803E19">
            <w:pPr>
              <w:widowControl w:val="0"/>
              <w:rPr>
                <w:rFonts w:cstheme="minorHAnsi"/>
              </w:rPr>
            </w:pPr>
            <w:r>
              <w:rPr>
                <w:rFonts w:cstheme="minorHAnsi"/>
              </w:rPr>
              <w:t>9</w:t>
            </w:r>
          </w:p>
        </w:tc>
        <w:tc>
          <w:tcPr>
            <w:tcW w:w="1293" w:type="dxa"/>
          </w:tcPr>
          <w:p w14:paraId="11C69D8C" w14:textId="16F6726C" w:rsidR="00A4337D" w:rsidRPr="00B349F0" w:rsidRDefault="00A4337D" w:rsidP="00803E19">
            <w:pPr>
              <w:widowControl w:val="0"/>
              <w:rPr>
                <w:rFonts w:cstheme="minorHAnsi"/>
              </w:rPr>
            </w:pPr>
            <w:r>
              <w:rPr>
                <w:rFonts w:cstheme="minorHAnsi"/>
              </w:rPr>
              <w:t>1992</w:t>
            </w:r>
          </w:p>
        </w:tc>
        <w:tc>
          <w:tcPr>
            <w:tcW w:w="1250" w:type="dxa"/>
          </w:tcPr>
          <w:p w14:paraId="0B96C520" w14:textId="0BACEBFD" w:rsidR="00A4337D" w:rsidRPr="00B349F0" w:rsidRDefault="00A4337D" w:rsidP="00803E19">
            <w:pPr>
              <w:widowControl w:val="0"/>
              <w:rPr>
                <w:rFonts w:cstheme="minorHAnsi"/>
              </w:rPr>
            </w:pPr>
            <w:r>
              <w:rPr>
                <w:rFonts w:cstheme="minorHAnsi"/>
              </w:rPr>
              <w:t>1948</w:t>
            </w:r>
          </w:p>
        </w:tc>
        <w:tc>
          <w:tcPr>
            <w:tcW w:w="1301" w:type="dxa"/>
          </w:tcPr>
          <w:p w14:paraId="3215181F" w14:textId="5787B2F4" w:rsidR="00A4337D" w:rsidRPr="00B349F0" w:rsidRDefault="00A4337D" w:rsidP="00803E19">
            <w:pPr>
              <w:widowControl w:val="0"/>
              <w:rPr>
                <w:rFonts w:cstheme="minorHAnsi"/>
              </w:rPr>
            </w:pPr>
            <w:r>
              <w:rPr>
                <w:rFonts w:cstheme="minorHAnsi"/>
              </w:rPr>
              <w:t>1979</w:t>
            </w:r>
          </w:p>
        </w:tc>
        <w:tc>
          <w:tcPr>
            <w:tcW w:w="1061" w:type="dxa"/>
          </w:tcPr>
          <w:p w14:paraId="4C7D2F42" w14:textId="7E9A9E4E" w:rsidR="00A4337D" w:rsidRDefault="00A4337D" w:rsidP="00803E19">
            <w:pPr>
              <w:widowControl w:val="0"/>
              <w:rPr>
                <w:rFonts w:cstheme="minorHAnsi"/>
              </w:rPr>
            </w:pPr>
            <w:r>
              <w:rPr>
                <w:rFonts w:cstheme="minorHAnsi"/>
              </w:rPr>
              <w:t>NA</w:t>
            </w:r>
            <w:r w:rsidR="00EC0994" w:rsidRPr="00EC0994">
              <w:rPr>
                <w:rFonts w:cstheme="minorHAnsi"/>
                <w:vertAlign w:val="superscript"/>
              </w:rPr>
              <w:t>*</w:t>
            </w:r>
          </w:p>
        </w:tc>
      </w:tr>
      <w:tr w:rsidR="00A4337D" w:rsidRPr="00B349F0" w14:paraId="1EA65C4D" w14:textId="798AC1FA" w:rsidTr="00A4337D">
        <w:tc>
          <w:tcPr>
            <w:tcW w:w="1481" w:type="dxa"/>
          </w:tcPr>
          <w:p w14:paraId="6D9325F2" w14:textId="76E80E42" w:rsidR="00A4337D" w:rsidRPr="00B349F0" w:rsidRDefault="00A4337D" w:rsidP="00803E19">
            <w:pPr>
              <w:widowControl w:val="0"/>
              <w:rPr>
                <w:rFonts w:cstheme="minorHAnsi"/>
                <w:b/>
                <w:bCs/>
              </w:rPr>
            </w:pPr>
            <w:r w:rsidRPr="00B349F0">
              <w:rPr>
                <w:rFonts w:cstheme="minorHAnsi"/>
                <w:b/>
                <w:bCs/>
              </w:rPr>
              <w:t>Guppy_R10.4</w:t>
            </w:r>
          </w:p>
        </w:tc>
        <w:tc>
          <w:tcPr>
            <w:tcW w:w="1313" w:type="dxa"/>
          </w:tcPr>
          <w:p w14:paraId="41239C77" w14:textId="17017CA1" w:rsidR="00A4337D" w:rsidRPr="00B349F0" w:rsidRDefault="00A4337D" w:rsidP="00803E19">
            <w:pPr>
              <w:widowControl w:val="0"/>
              <w:rPr>
                <w:rFonts w:cstheme="minorHAnsi"/>
              </w:rPr>
            </w:pPr>
            <w:r>
              <w:rPr>
                <w:rFonts w:cstheme="minorHAnsi"/>
              </w:rPr>
              <w:t>Males</w:t>
            </w:r>
          </w:p>
        </w:tc>
        <w:tc>
          <w:tcPr>
            <w:tcW w:w="1317" w:type="dxa"/>
          </w:tcPr>
          <w:p w14:paraId="0E365C46" w14:textId="1C6F8ED6" w:rsidR="00A4337D" w:rsidRPr="00B349F0" w:rsidRDefault="00A4337D" w:rsidP="00803E19">
            <w:pPr>
              <w:widowControl w:val="0"/>
              <w:rPr>
                <w:rFonts w:cstheme="minorHAnsi"/>
              </w:rPr>
            </w:pPr>
            <w:r>
              <w:rPr>
                <w:rFonts w:cstheme="minorHAnsi"/>
              </w:rPr>
              <w:t>11</w:t>
            </w:r>
          </w:p>
        </w:tc>
        <w:tc>
          <w:tcPr>
            <w:tcW w:w="1293" w:type="dxa"/>
          </w:tcPr>
          <w:p w14:paraId="567E9124" w14:textId="098E6263" w:rsidR="00A4337D" w:rsidRPr="00B349F0" w:rsidRDefault="00A4337D" w:rsidP="00803E19">
            <w:pPr>
              <w:widowControl w:val="0"/>
              <w:rPr>
                <w:rFonts w:cstheme="minorHAnsi"/>
              </w:rPr>
            </w:pPr>
            <w:r>
              <w:rPr>
                <w:rFonts w:cstheme="minorHAnsi"/>
              </w:rPr>
              <w:t>2010</w:t>
            </w:r>
          </w:p>
        </w:tc>
        <w:tc>
          <w:tcPr>
            <w:tcW w:w="1250" w:type="dxa"/>
          </w:tcPr>
          <w:p w14:paraId="5092F642" w14:textId="24527260" w:rsidR="00A4337D" w:rsidRPr="00B349F0" w:rsidRDefault="00A4337D" w:rsidP="00803E19">
            <w:pPr>
              <w:widowControl w:val="0"/>
              <w:rPr>
                <w:rFonts w:cstheme="minorHAnsi"/>
              </w:rPr>
            </w:pPr>
            <w:r>
              <w:rPr>
                <w:rFonts w:cstheme="minorHAnsi"/>
              </w:rPr>
              <w:t>1975</w:t>
            </w:r>
          </w:p>
        </w:tc>
        <w:tc>
          <w:tcPr>
            <w:tcW w:w="1301" w:type="dxa"/>
          </w:tcPr>
          <w:p w14:paraId="30FE1632" w14:textId="169BD9AD" w:rsidR="00A4337D" w:rsidRPr="00B349F0" w:rsidRDefault="00A4337D" w:rsidP="00803E19">
            <w:pPr>
              <w:widowControl w:val="0"/>
              <w:rPr>
                <w:rFonts w:cstheme="minorHAnsi"/>
              </w:rPr>
            </w:pPr>
            <w:r>
              <w:rPr>
                <w:rFonts w:cstheme="minorHAnsi"/>
              </w:rPr>
              <w:t>1987</w:t>
            </w:r>
          </w:p>
        </w:tc>
        <w:tc>
          <w:tcPr>
            <w:tcW w:w="1061" w:type="dxa"/>
          </w:tcPr>
          <w:p w14:paraId="5B408D34" w14:textId="0CB8180A" w:rsidR="00A4337D" w:rsidRDefault="00A4337D" w:rsidP="00803E19">
            <w:pPr>
              <w:widowControl w:val="0"/>
              <w:rPr>
                <w:rFonts w:cstheme="minorHAnsi"/>
              </w:rPr>
            </w:pPr>
            <w:r>
              <w:rPr>
                <w:rFonts w:cstheme="minorHAnsi"/>
              </w:rPr>
              <w:t>NA</w:t>
            </w:r>
            <w:r w:rsidR="00EC0994" w:rsidRPr="00EC0994">
              <w:rPr>
                <w:rFonts w:cstheme="minorHAnsi"/>
                <w:vertAlign w:val="superscript"/>
              </w:rPr>
              <w:t>*</w:t>
            </w:r>
          </w:p>
        </w:tc>
      </w:tr>
      <w:tr w:rsidR="00A4337D" w:rsidRPr="00B349F0" w14:paraId="03651F67" w14:textId="5675E79E" w:rsidTr="00A4337D">
        <w:tc>
          <w:tcPr>
            <w:tcW w:w="1481" w:type="dxa"/>
          </w:tcPr>
          <w:p w14:paraId="6F2FAB2B" w14:textId="327E3DA0" w:rsidR="00A4337D" w:rsidRPr="00B349F0" w:rsidRDefault="00A4337D" w:rsidP="00803E19">
            <w:pPr>
              <w:widowControl w:val="0"/>
              <w:rPr>
                <w:rFonts w:cstheme="minorHAnsi"/>
                <w:b/>
                <w:bCs/>
              </w:rPr>
            </w:pPr>
            <w:r w:rsidRPr="00B349F0">
              <w:rPr>
                <w:rFonts w:cstheme="minorHAnsi"/>
                <w:b/>
                <w:bCs/>
              </w:rPr>
              <w:t>PacBio</w:t>
            </w:r>
          </w:p>
        </w:tc>
        <w:tc>
          <w:tcPr>
            <w:tcW w:w="1313" w:type="dxa"/>
          </w:tcPr>
          <w:p w14:paraId="12C68F7A" w14:textId="00650A9F" w:rsidR="00A4337D" w:rsidRPr="00B349F0" w:rsidRDefault="00A4337D" w:rsidP="00803E19">
            <w:pPr>
              <w:widowControl w:val="0"/>
              <w:rPr>
                <w:rFonts w:cstheme="minorHAnsi"/>
              </w:rPr>
            </w:pPr>
            <w:r>
              <w:rPr>
                <w:rFonts w:cstheme="minorHAnsi"/>
              </w:rPr>
              <w:t>Females</w:t>
            </w:r>
          </w:p>
        </w:tc>
        <w:tc>
          <w:tcPr>
            <w:tcW w:w="1317" w:type="dxa"/>
          </w:tcPr>
          <w:p w14:paraId="667B02BA" w14:textId="485DEA48" w:rsidR="00A4337D" w:rsidRPr="00B349F0" w:rsidRDefault="00A4337D" w:rsidP="00803E19">
            <w:pPr>
              <w:widowControl w:val="0"/>
              <w:rPr>
                <w:rFonts w:cstheme="minorHAnsi"/>
              </w:rPr>
            </w:pPr>
            <w:r>
              <w:rPr>
                <w:rFonts w:cstheme="minorHAnsi"/>
              </w:rPr>
              <w:t>29</w:t>
            </w:r>
          </w:p>
        </w:tc>
        <w:tc>
          <w:tcPr>
            <w:tcW w:w="1293" w:type="dxa"/>
          </w:tcPr>
          <w:p w14:paraId="18247762" w14:textId="65502754" w:rsidR="00A4337D" w:rsidRPr="00B349F0" w:rsidRDefault="00A4337D" w:rsidP="00803E19">
            <w:pPr>
              <w:widowControl w:val="0"/>
              <w:rPr>
                <w:rFonts w:cstheme="minorHAnsi"/>
              </w:rPr>
            </w:pPr>
            <w:r>
              <w:rPr>
                <w:rFonts w:cstheme="minorHAnsi"/>
              </w:rPr>
              <w:t>1998</w:t>
            </w:r>
          </w:p>
        </w:tc>
        <w:tc>
          <w:tcPr>
            <w:tcW w:w="1250" w:type="dxa"/>
          </w:tcPr>
          <w:p w14:paraId="4A04ADF6" w14:textId="0A208D0C" w:rsidR="00A4337D" w:rsidRPr="00B349F0" w:rsidRDefault="00A4337D" w:rsidP="00803E19">
            <w:pPr>
              <w:widowControl w:val="0"/>
              <w:rPr>
                <w:rFonts w:cstheme="minorHAnsi"/>
              </w:rPr>
            </w:pPr>
            <w:r>
              <w:rPr>
                <w:rFonts w:cstheme="minorHAnsi"/>
              </w:rPr>
              <w:t>1941</w:t>
            </w:r>
          </w:p>
        </w:tc>
        <w:tc>
          <w:tcPr>
            <w:tcW w:w="1301" w:type="dxa"/>
          </w:tcPr>
          <w:p w14:paraId="30929B86" w14:textId="73351E6A" w:rsidR="00A4337D" w:rsidRPr="00B349F0" w:rsidRDefault="00A4337D" w:rsidP="00803E19">
            <w:pPr>
              <w:widowControl w:val="0"/>
              <w:rPr>
                <w:rFonts w:cstheme="minorHAnsi"/>
              </w:rPr>
            </w:pPr>
            <w:r>
              <w:rPr>
                <w:rFonts w:cstheme="minorHAnsi"/>
              </w:rPr>
              <w:t>1950</w:t>
            </w:r>
          </w:p>
        </w:tc>
        <w:tc>
          <w:tcPr>
            <w:tcW w:w="1061" w:type="dxa"/>
          </w:tcPr>
          <w:p w14:paraId="04438F8A" w14:textId="57FF5D6B" w:rsidR="00A4337D" w:rsidRDefault="00A4337D" w:rsidP="00803E19">
            <w:pPr>
              <w:widowControl w:val="0"/>
              <w:rPr>
                <w:rFonts w:cstheme="minorHAnsi"/>
              </w:rPr>
            </w:pPr>
            <w:r>
              <w:rPr>
                <w:rFonts w:cstheme="minorHAnsi"/>
              </w:rPr>
              <w:t>9</w:t>
            </w:r>
          </w:p>
        </w:tc>
      </w:tr>
      <w:tr w:rsidR="00A4337D" w:rsidRPr="00B349F0" w14:paraId="53C82EE5" w14:textId="2EE64D44" w:rsidTr="00A4337D">
        <w:tc>
          <w:tcPr>
            <w:tcW w:w="1481" w:type="dxa"/>
          </w:tcPr>
          <w:p w14:paraId="5E8DCE1E" w14:textId="63AEA5FA" w:rsidR="00A4337D" w:rsidRPr="00B349F0" w:rsidRDefault="00A4337D" w:rsidP="00803E19">
            <w:pPr>
              <w:widowControl w:val="0"/>
              <w:rPr>
                <w:rFonts w:cstheme="minorHAnsi"/>
                <w:b/>
                <w:bCs/>
              </w:rPr>
            </w:pPr>
            <w:r w:rsidRPr="00B349F0">
              <w:rPr>
                <w:rFonts w:cstheme="minorHAnsi"/>
                <w:b/>
                <w:bCs/>
              </w:rPr>
              <w:t>PacBio</w:t>
            </w:r>
          </w:p>
        </w:tc>
        <w:tc>
          <w:tcPr>
            <w:tcW w:w="1313" w:type="dxa"/>
          </w:tcPr>
          <w:p w14:paraId="01294F69" w14:textId="2890AD54" w:rsidR="00A4337D" w:rsidRDefault="00A4337D" w:rsidP="00803E19">
            <w:pPr>
              <w:widowControl w:val="0"/>
              <w:rPr>
                <w:rFonts w:cstheme="minorHAnsi"/>
              </w:rPr>
            </w:pPr>
            <w:r>
              <w:rPr>
                <w:rFonts w:cstheme="minorHAnsi"/>
              </w:rPr>
              <w:t>Males</w:t>
            </w:r>
          </w:p>
        </w:tc>
        <w:tc>
          <w:tcPr>
            <w:tcW w:w="1317" w:type="dxa"/>
          </w:tcPr>
          <w:p w14:paraId="28D82D69" w14:textId="75A2413A" w:rsidR="00A4337D" w:rsidRDefault="00A4337D" w:rsidP="00803E19">
            <w:pPr>
              <w:widowControl w:val="0"/>
              <w:rPr>
                <w:rFonts w:cstheme="minorHAnsi"/>
              </w:rPr>
            </w:pPr>
            <w:r>
              <w:rPr>
                <w:rFonts w:cstheme="minorHAnsi"/>
              </w:rPr>
              <w:t>21</w:t>
            </w:r>
          </w:p>
        </w:tc>
        <w:tc>
          <w:tcPr>
            <w:tcW w:w="1293" w:type="dxa"/>
          </w:tcPr>
          <w:p w14:paraId="0852ECD1" w14:textId="0614D371" w:rsidR="00A4337D" w:rsidRDefault="00A4337D" w:rsidP="00803E19">
            <w:pPr>
              <w:widowControl w:val="0"/>
              <w:rPr>
                <w:rFonts w:cstheme="minorHAnsi"/>
              </w:rPr>
            </w:pPr>
            <w:r>
              <w:rPr>
                <w:rFonts w:cstheme="minorHAnsi"/>
              </w:rPr>
              <w:t>1998</w:t>
            </w:r>
          </w:p>
        </w:tc>
        <w:tc>
          <w:tcPr>
            <w:tcW w:w="1250" w:type="dxa"/>
          </w:tcPr>
          <w:p w14:paraId="7053BA78" w14:textId="32A5DDAC" w:rsidR="00A4337D" w:rsidRDefault="00A4337D" w:rsidP="00803E19">
            <w:pPr>
              <w:widowControl w:val="0"/>
              <w:rPr>
                <w:rFonts w:cstheme="minorHAnsi"/>
              </w:rPr>
            </w:pPr>
            <w:r>
              <w:rPr>
                <w:rFonts w:cstheme="minorHAnsi"/>
              </w:rPr>
              <w:t>1946</w:t>
            </w:r>
          </w:p>
        </w:tc>
        <w:tc>
          <w:tcPr>
            <w:tcW w:w="1301" w:type="dxa"/>
          </w:tcPr>
          <w:p w14:paraId="57257A0D" w14:textId="7FBD85D9" w:rsidR="00A4337D" w:rsidRDefault="00A4337D" w:rsidP="00803E19">
            <w:pPr>
              <w:widowControl w:val="0"/>
              <w:rPr>
                <w:rFonts w:cstheme="minorHAnsi"/>
              </w:rPr>
            </w:pPr>
            <w:r>
              <w:rPr>
                <w:rFonts w:cstheme="minorHAnsi"/>
              </w:rPr>
              <w:t>1949</w:t>
            </w:r>
          </w:p>
        </w:tc>
        <w:tc>
          <w:tcPr>
            <w:tcW w:w="1061" w:type="dxa"/>
          </w:tcPr>
          <w:p w14:paraId="542F0304" w14:textId="7AAFA9C2" w:rsidR="00A4337D" w:rsidRDefault="00A4337D" w:rsidP="00803E19">
            <w:pPr>
              <w:widowControl w:val="0"/>
              <w:rPr>
                <w:rFonts w:cstheme="minorHAnsi"/>
              </w:rPr>
            </w:pPr>
            <w:r>
              <w:rPr>
                <w:rFonts w:cstheme="minorHAnsi"/>
              </w:rPr>
              <w:t>9</w:t>
            </w:r>
          </w:p>
        </w:tc>
      </w:tr>
    </w:tbl>
    <w:p w14:paraId="03742705" w14:textId="31E6195D" w:rsidR="00B349F0" w:rsidRPr="00EC0994" w:rsidRDefault="00EC0994" w:rsidP="00803E19">
      <w:pPr>
        <w:widowControl w:val="0"/>
        <w:spacing w:line="240" w:lineRule="auto"/>
        <w:rPr>
          <w:sz w:val="26"/>
          <w:szCs w:val="26"/>
          <w:vertAlign w:val="superscript"/>
        </w:rPr>
      </w:pPr>
      <w:r w:rsidRPr="00EC0994">
        <w:rPr>
          <w:sz w:val="26"/>
          <w:szCs w:val="26"/>
          <w:vertAlign w:val="superscript"/>
        </w:rPr>
        <w:t>*</w:t>
      </w:r>
      <w:r>
        <w:rPr>
          <w:sz w:val="26"/>
          <w:szCs w:val="26"/>
          <w:vertAlign w:val="superscript"/>
        </w:rPr>
        <w:t>None of the participants had smoking status available.</w:t>
      </w:r>
    </w:p>
    <w:p w14:paraId="40CC5853" w14:textId="0B5CCD61" w:rsidR="00387118" w:rsidRPr="00881322" w:rsidRDefault="00387118" w:rsidP="00803E19">
      <w:pPr>
        <w:widowControl w:val="0"/>
        <w:spacing w:line="480" w:lineRule="auto"/>
        <w:rPr>
          <w:rFonts w:ascii="Calibri" w:eastAsia="Calibri" w:hAnsi="Calibri" w:cs="Calibri"/>
          <w:color w:val="000000" w:themeColor="text1"/>
          <w:u w:val="single"/>
        </w:rPr>
      </w:pPr>
      <w:r w:rsidRPr="00881322">
        <w:rPr>
          <w:rFonts w:ascii="Calibri" w:eastAsia="Calibri" w:hAnsi="Calibri" w:cs="Calibri"/>
          <w:color w:val="000000" w:themeColor="text1"/>
          <w:u w:val="single"/>
        </w:rPr>
        <w:t xml:space="preserve">Set of </w:t>
      </w:r>
      <w:r w:rsidR="00ED2710" w:rsidRPr="00881322">
        <w:rPr>
          <w:rFonts w:ascii="Calibri" w:eastAsia="Calibri" w:hAnsi="Calibri" w:cs="Calibri"/>
          <w:color w:val="000000" w:themeColor="text1"/>
          <w:u w:val="single"/>
        </w:rPr>
        <w:t>hq-</w:t>
      </w:r>
      <w:r w:rsidRPr="00881322">
        <w:rPr>
          <w:rFonts w:ascii="Calibri" w:eastAsia="Calibri" w:hAnsi="Calibri" w:cs="Calibri"/>
          <w:color w:val="000000" w:themeColor="text1"/>
          <w:u w:val="single"/>
        </w:rPr>
        <w:t>CpGs</w:t>
      </w:r>
    </w:p>
    <w:p w14:paraId="313ECB19" w14:textId="481DCC29" w:rsidR="00183F2D" w:rsidRDefault="00387118" w:rsidP="00803E19">
      <w:pPr>
        <w:widowControl w:val="0"/>
        <w:spacing w:line="480" w:lineRule="auto"/>
        <w:rPr>
          <w:rFonts w:ascii="Calibri" w:eastAsia="Calibri" w:hAnsi="Calibri" w:cs="Calibri"/>
          <w:color w:val="000000" w:themeColor="text1"/>
        </w:rPr>
      </w:pPr>
      <w:r>
        <w:rPr>
          <w:rFonts w:ascii="Calibri" w:eastAsia="Calibri" w:hAnsi="Calibri" w:cs="Calibri"/>
          <w:color w:val="000000" w:themeColor="text1"/>
        </w:rPr>
        <w:t>First, w</w:t>
      </w:r>
      <w:r w:rsidRPr="62650EA2">
        <w:rPr>
          <w:rFonts w:ascii="Calibri" w:eastAsia="Calibri" w:hAnsi="Calibri" w:cs="Calibri"/>
          <w:color w:val="000000" w:themeColor="text1"/>
        </w:rPr>
        <w:t xml:space="preserve">e assess if restricting to the set of </w:t>
      </w:r>
      <w:r w:rsidR="00ED2710">
        <w:rPr>
          <w:rFonts w:ascii="Calibri" w:eastAsia="Calibri" w:hAnsi="Calibri" w:cs="Calibri"/>
          <w:color w:val="000000" w:themeColor="text1"/>
        </w:rPr>
        <w:t>hq-</w:t>
      </w:r>
      <w:r w:rsidRPr="62650EA2">
        <w:rPr>
          <w:rFonts w:ascii="Calibri" w:eastAsia="Calibri" w:hAnsi="Calibri" w:cs="Calibri"/>
          <w:color w:val="000000" w:themeColor="text1"/>
        </w:rPr>
        <w:t xml:space="preserve">CpGs selected using Nanopolish methylation </w:t>
      </w:r>
      <w:r>
        <w:rPr>
          <w:rFonts w:ascii="Calibri" w:eastAsia="Calibri" w:hAnsi="Calibri" w:cs="Calibri"/>
          <w:color w:val="000000" w:themeColor="text1"/>
        </w:rPr>
        <w:t>detection</w:t>
      </w:r>
      <w:r w:rsidRPr="62650EA2">
        <w:rPr>
          <w:rFonts w:ascii="Calibri" w:eastAsia="Calibri" w:hAnsi="Calibri" w:cs="Calibri"/>
          <w:color w:val="000000" w:themeColor="text1"/>
        </w:rPr>
        <w:t xml:space="preserve"> would benefit the Guppy data. </w:t>
      </w:r>
      <w:r w:rsidR="00A06BD6">
        <w:rPr>
          <w:rFonts w:ascii="Calibri" w:eastAsia="Calibri" w:hAnsi="Calibri" w:cs="Calibri"/>
          <w:color w:val="000000" w:themeColor="text1"/>
        </w:rPr>
        <w:t>Guppy</w:t>
      </w:r>
      <w:r w:rsidRPr="62650EA2">
        <w:rPr>
          <w:rFonts w:ascii="Calibri" w:eastAsia="Calibri" w:hAnsi="Calibri" w:cs="Calibri"/>
          <w:color w:val="000000" w:themeColor="text1"/>
        </w:rPr>
        <w:t xml:space="preserve"> benefit from restricting to the set of high-quality CpGs</w:t>
      </w:r>
      <w:r w:rsidR="00183F2D">
        <w:rPr>
          <w:rFonts w:ascii="Calibri" w:eastAsia="Calibri" w:hAnsi="Calibri" w:cs="Calibri"/>
          <w:color w:val="000000" w:themeColor="text1"/>
        </w:rPr>
        <w:t xml:space="preserve"> </w:t>
      </w:r>
      <w:r>
        <w:rPr>
          <w:rFonts w:ascii="Calibri" w:eastAsia="Calibri" w:hAnsi="Calibri" w:cs="Calibri"/>
          <w:color w:val="000000" w:themeColor="text1"/>
        </w:rPr>
        <w:t xml:space="preserve">and we end up with similar correlation between </w:t>
      </w:r>
      <w:r w:rsidRPr="62650EA2">
        <w:rPr>
          <w:rFonts w:ascii="Calibri" w:eastAsia="Calibri" w:hAnsi="Calibri" w:cs="Calibri"/>
          <w:color w:val="000000" w:themeColor="text1"/>
        </w:rPr>
        <w:t xml:space="preserve">Nanopolish </w:t>
      </w:r>
      <w:r>
        <w:rPr>
          <w:rFonts w:ascii="Calibri" w:eastAsia="Calibri" w:hAnsi="Calibri" w:cs="Calibri"/>
          <w:color w:val="000000" w:themeColor="text1"/>
        </w:rPr>
        <w:t xml:space="preserve">and oxBS and Guppy and oxBS, however the Nanopolish data gains </w:t>
      </w:r>
      <w:r w:rsidR="00CF3852">
        <w:rPr>
          <w:rFonts w:ascii="Calibri" w:eastAsia="Calibri" w:hAnsi="Calibri" w:cs="Calibri"/>
          <w:color w:val="000000" w:themeColor="text1"/>
        </w:rPr>
        <w:t>the most</w:t>
      </w:r>
      <w:r>
        <w:rPr>
          <w:rFonts w:ascii="Calibri" w:eastAsia="Calibri" w:hAnsi="Calibri" w:cs="Calibri"/>
          <w:color w:val="000000" w:themeColor="text1"/>
        </w:rPr>
        <w:t xml:space="preserve"> from the filters</w:t>
      </w:r>
      <w:r w:rsidRPr="62650EA2">
        <w:rPr>
          <w:rFonts w:ascii="Calibri" w:eastAsia="Calibri" w:hAnsi="Calibri" w:cs="Calibri"/>
          <w:color w:val="000000" w:themeColor="text1"/>
        </w:rPr>
        <w:t>.</w:t>
      </w:r>
      <w:r>
        <w:rPr>
          <w:rFonts w:ascii="Calibri" w:eastAsia="Calibri" w:hAnsi="Calibri" w:cs="Calibri"/>
          <w:color w:val="000000" w:themeColor="text1"/>
        </w:rPr>
        <w:t xml:space="preserve"> </w:t>
      </w:r>
      <w:r w:rsidR="0082293A">
        <w:rPr>
          <w:rFonts w:ascii="Calibri" w:eastAsia="Calibri" w:hAnsi="Calibri" w:cs="Calibri"/>
          <w:color w:val="000000" w:themeColor="text1"/>
        </w:rPr>
        <w:t xml:space="preserve"> </w:t>
      </w:r>
    </w:p>
    <w:p w14:paraId="0564951D" w14:textId="64E752A7" w:rsidR="00183F2D" w:rsidRDefault="00183F2D" w:rsidP="00803E19">
      <w:pPr>
        <w:widowControl w:val="0"/>
        <w:spacing w:line="480" w:lineRule="auto"/>
        <w:rPr>
          <w:rFonts w:ascii="Calibri" w:eastAsia="Calibri" w:hAnsi="Calibri" w:cs="Calibri"/>
          <w:color w:val="000000" w:themeColor="text1"/>
        </w:rPr>
      </w:pPr>
      <w:r>
        <w:rPr>
          <w:rFonts w:ascii="Calibri" w:eastAsia="Calibri" w:hAnsi="Calibri" w:cs="Calibri"/>
          <w:color w:val="000000" w:themeColor="text1"/>
        </w:rPr>
        <w:t xml:space="preserve">Next we applied the same filters for all methods. </w:t>
      </w:r>
      <w:r w:rsidR="0082293A">
        <w:rPr>
          <w:rFonts w:ascii="Calibri" w:eastAsia="Calibri" w:hAnsi="Calibri" w:cs="Calibri"/>
          <w:color w:val="000000" w:themeColor="text1"/>
        </w:rPr>
        <w:t>Not all filters are applicable for all methods</w:t>
      </w:r>
      <w:r w:rsidR="00A06BD6">
        <w:rPr>
          <w:rFonts w:ascii="Calibri" w:eastAsia="Calibri" w:hAnsi="Calibri" w:cs="Calibri"/>
          <w:color w:val="000000" w:themeColor="text1"/>
        </w:rPr>
        <w:t>,</w:t>
      </w:r>
      <w:r w:rsidR="0082293A">
        <w:rPr>
          <w:rFonts w:ascii="Calibri" w:eastAsia="Calibri" w:hAnsi="Calibri" w:cs="Calibri"/>
          <w:color w:val="000000" w:themeColor="text1"/>
        </w:rPr>
        <w:t xml:space="preserve"> fraction of reliable reads is only filtered for Nanopolish and strand bias is not measured in PacBio as the reading strand information is not known.</w:t>
      </w:r>
      <w:r>
        <w:rPr>
          <w:rFonts w:ascii="Calibri" w:eastAsia="Calibri" w:hAnsi="Calibri" w:cs="Calibri"/>
          <w:color w:val="000000" w:themeColor="text1"/>
        </w:rPr>
        <w:t xml:space="preserve"> Fraction of reliable reads filters could be introduced for PacBio and Guppy</w:t>
      </w:r>
      <w:r w:rsidR="000D6948">
        <w:rPr>
          <w:rFonts w:ascii="Calibri" w:eastAsia="Calibri" w:hAnsi="Calibri" w:cs="Calibri"/>
          <w:color w:val="000000" w:themeColor="text1"/>
        </w:rPr>
        <w:t>, by slightly altering the summary scripts</w:t>
      </w:r>
      <w:r>
        <w:rPr>
          <w:rFonts w:ascii="Calibri" w:eastAsia="Calibri" w:hAnsi="Calibri" w:cs="Calibri"/>
          <w:color w:val="000000" w:themeColor="text1"/>
        </w:rPr>
        <w:t xml:space="preserve">, but preliminary result suggest the benefit is not as great as for Nanopolish data. </w:t>
      </w:r>
      <w:r>
        <w:t>PacBio had higher APC in high</w:t>
      </w:r>
      <w:r w:rsidR="000D6948">
        <w:t xml:space="preserve"> and </w:t>
      </w:r>
      <w:r>
        <w:t>low coverage CpGs and more CpGs filtered out, indicating that this filter may need to be adjusted for PacBio data. Furthermore, PacBio showed the lowest improvement in APC of all methods, suggesting that other filters may be more beneficial for improving PacBio performance. In contrast, Nanopolish data required most filters, which explains why the number of hq-CpGs is lower in this dataset.</w:t>
      </w:r>
    </w:p>
    <w:p w14:paraId="729C968C" w14:textId="5AF47B5A" w:rsidR="00F939E6" w:rsidRDefault="00F939E6" w:rsidP="00803E19">
      <w:pPr>
        <w:widowControl w:val="0"/>
        <w:spacing w:line="480" w:lineRule="auto"/>
      </w:pPr>
      <w:r>
        <w:rPr>
          <w:rFonts w:ascii="Calibri" w:eastAsia="Calibri" w:hAnsi="Calibri" w:cs="Calibri"/>
          <w:color w:val="000000" w:themeColor="text1"/>
        </w:rPr>
        <w:lastRenderedPageBreak/>
        <w:t xml:space="preserve">We found that applying quality filters improved the APC coefficient between long-read sequencing data and oxBS data. Nanopore data retained more CpGs in datasets </w:t>
      </w:r>
      <w:r w:rsidR="000D6948">
        <w:rPr>
          <w:rFonts w:ascii="Calibri" w:eastAsia="Calibri" w:hAnsi="Calibri" w:cs="Calibri"/>
          <w:color w:val="000000" w:themeColor="text1"/>
        </w:rPr>
        <w:t>sequenced using R10.4 flowcells and with more recent</w:t>
      </w:r>
      <w:r>
        <w:rPr>
          <w:rFonts w:ascii="Calibri" w:eastAsia="Calibri" w:hAnsi="Calibri" w:cs="Calibri"/>
          <w:color w:val="000000" w:themeColor="text1"/>
        </w:rPr>
        <w:t xml:space="preserve"> version of </w:t>
      </w:r>
      <w:r w:rsidR="000D6948">
        <w:rPr>
          <w:rFonts w:ascii="Calibri" w:eastAsia="Calibri" w:hAnsi="Calibri" w:cs="Calibri"/>
          <w:color w:val="000000" w:themeColor="text1"/>
        </w:rPr>
        <w:t>Guppy</w:t>
      </w:r>
      <w:r>
        <w:rPr>
          <w:rFonts w:ascii="Calibri" w:eastAsia="Calibri" w:hAnsi="Calibri" w:cs="Calibri"/>
          <w:color w:val="000000" w:themeColor="text1"/>
        </w:rPr>
        <w:t xml:space="preserve">. </w:t>
      </w:r>
      <w:r w:rsidR="00402EFC">
        <w:rPr>
          <w:rFonts w:ascii="Calibri" w:eastAsia="Calibri" w:hAnsi="Calibri" w:cs="Calibri"/>
          <w:color w:val="000000" w:themeColor="text1"/>
        </w:rPr>
        <w:t xml:space="preserve">Guppy applied to R10.4 flowcell and PacBio show higher fraction of high quality in all groups than Guppy applied to R9.4 (Fig. S10). </w:t>
      </w:r>
      <w:r>
        <w:rPr>
          <w:rFonts w:ascii="Calibri" w:eastAsia="Calibri" w:hAnsi="Calibri" w:cs="Calibri"/>
          <w:color w:val="000000" w:themeColor="text1"/>
        </w:rPr>
        <w:t>After filtering</w:t>
      </w:r>
      <w:r w:rsidR="000D6948">
        <w:rPr>
          <w:rFonts w:ascii="Calibri" w:eastAsia="Calibri" w:hAnsi="Calibri" w:cs="Calibri"/>
          <w:color w:val="000000" w:themeColor="text1"/>
        </w:rPr>
        <w:t>,</w:t>
      </w:r>
      <w:r>
        <w:rPr>
          <w:rFonts w:ascii="Calibri" w:eastAsia="Calibri" w:hAnsi="Calibri" w:cs="Calibri"/>
          <w:color w:val="000000" w:themeColor="text1"/>
        </w:rPr>
        <w:t xml:space="preserve"> all datasets showed higher APC coefficient with oxBS data, lower MAD and higher methylation levels, indicating that more low- or unmethylated CpGs were re</w:t>
      </w:r>
      <w:r w:rsidR="000D6948">
        <w:rPr>
          <w:rFonts w:ascii="Calibri" w:eastAsia="Calibri" w:hAnsi="Calibri" w:cs="Calibri"/>
          <w:color w:val="000000" w:themeColor="text1"/>
        </w:rPr>
        <w:t>m</w:t>
      </w:r>
      <w:r w:rsidR="00183F2D">
        <w:rPr>
          <w:rFonts w:ascii="Calibri" w:eastAsia="Calibri" w:hAnsi="Calibri" w:cs="Calibri"/>
          <w:color w:val="000000" w:themeColor="text1"/>
        </w:rPr>
        <w:t>o</w:t>
      </w:r>
      <w:r>
        <w:rPr>
          <w:rFonts w:ascii="Calibri" w:eastAsia="Calibri" w:hAnsi="Calibri" w:cs="Calibri"/>
          <w:color w:val="000000" w:themeColor="text1"/>
        </w:rPr>
        <w:t xml:space="preserve">ved. Guppy called on R10.4 flowcells had the highest number of hq-CpGs followed by PacBio and also highest APC with oxBS data and lowest MAD. R9.4 flowcells methylation called with Guppy and PacBio performed similarly </w:t>
      </w:r>
      <w:r>
        <w:t>(Additional File 2: Table S</w:t>
      </w:r>
      <w:r w:rsidR="0033355E">
        <w:t>4</w:t>
      </w:r>
      <w:r>
        <w:t>, S</w:t>
      </w:r>
      <w:r w:rsidR="0033355E">
        <w:t>5</w:t>
      </w:r>
      <w:r>
        <w:t xml:space="preserve">). </w:t>
      </w:r>
    </w:p>
    <w:p w14:paraId="18F12ABD" w14:textId="77777777" w:rsidR="00402EFC" w:rsidRDefault="00402EFC" w:rsidP="00803E19">
      <w:pPr>
        <w:widowControl w:val="0"/>
        <w:spacing w:line="480" w:lineRule="auto"/>
      </w:pPr>
    </w:p>
    <w:p w14:paraId="4D163FA5" w14:textId="23C4E856" w:rsidR="00930D52" w:rsidRDefault="00930D52" w:rsidP="00803E19">
      <w:pPr>
        <w:widowControl w:val="0"/>
        <w:spacing w:line="480" w:lineRule="auto"/>
      </w:pPr>
      <w:r>
        <w:rPr>
          <w:noProof/>
          <w:lang w:val="en-PH" w:eastAsia="en-PH"/>
        </w:rPr>
        <w:drawing>
          <wp:inline distT="0" distB="0" distL="0" distR="0" wp14:anchorId="1AEFAB8F" wp14:editId="4D640A5D">
            <wp:extent cx="5725160" cy="286575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25160" cy="2865755"/>
                    </a:xfrm>
                    <a:prstGeom prst="rect">
                      <a:avLst/>
                    </a:prstGeom>
                    <a:noFill/>
                    <a:ln>
                      <a:noFill/>
                    </a:ln>
                  </pic:spPr>
                </pic:pic>
              </a:graphicData>
            </a:graphic>
          </wp:inline>
        </w:drawing>
      </w:r>
    </w:p>
    <w:p w14:paraId="500F62AF" w14:textId="702D1FD5" w:rsidR="00251F21" w:rsidRPr="00251F21" w:rsidRDefault="00251F21" w:rsidP="00803E19">
      <w:pPr>
        <w:widowControl w:val="0"/>
        <w:spacing w:line="480" w:lineRule="auto"/>
        <w:rPr>
          <w:rFonts w:ascii="Calibri" w:eastAsia="Calibri" w:hAnsi="Calibri" w:cs="Calibri"/>
          <w:color w:val="000000" w:themeColor="text1"/>
        </w:rPr>
      </w:pPr>
      <w:r>
        <w:rPr>
          <w:rFonts w:ascii="Calibri" w:eastAsia="Calibri" w:hAnsi="Calibri" w:cs="Calibri"/>
          <w:b/>
          <w:bCs/>
          <w:color w:val="000000" w:themeColor="text1"/>
        </w:rPr>
        <w:t>Fig. S</w:t>
      </w:r>
      <w:r w:rsidR="00F679B4">
        <w:rPr>
          <w:rFonts w:ascii="Calibri" w:eastAsia="Calibri" w:hAnsi="Calibri" w:cs="Calibri"/>
          <w:b/>
          <w:bCs/>
          <w:color w:val="000000" w:themeColor="text1"/>
        </w:rPr>
        <w:t>1</w:t>
      </w:r>
      <w:r w:rsidR="00DB1F4C">
        <w:rPr>
          <w:rFonts w:ascii="Calibri" w:eastAsia="Calibri" w:hAnsi="Calibri" w:cs="Calibri"/>
          <w:b/>
          <w:bCs/>
          <w:color w:val="000000" w:themeColor="text1"/>
        </w:rPr>
        <w:t>0</w:t>
      </w:r>
      <w:r>
        <w:rPr>
          <w:rFonts w:ascii="Calibri" w:eastAsia="Calibri" w:hAnsi="Calibri" w:cs="Calibri"/>
          <w:b/>
          <w:bCs/>
          <w:color w:val="000000" w:themeColor="text1"/>
        </w:rPr>
        <w:t xml:space="preserve"> </w:t>
      </w:r>
      <w:r>
        <w:rPr>
          <w:rFonts w:ascii="Calibri" w:eastAsia="Calibri" w:hAnsi="Calibri" w:cs="Calibri"/>
          <w:color w:val="000000" w:themeColor="text1"/>
        </w:rPr>
        <w:t>Fraction of hq-CpGs within each range in 5-mCpG rates, shown for</w:t>
      </w:r>
      <w:r>
        <w:rPr>
          <w:rFonts w:ascii="Calibri" w:eastAsia="Calibri" w:hAnsi="Calibri" w:cs="Calibri"/>
          <w:b/>
          <w:bCs/>
          <w:color w:val="000000" w:themeColor="text1"/>
        </w:rPr>
        <w:t xml:space="preserve"> A</w:t>
      </w:r>
      <w:r>
        <w:rPr>
          <w:rFonts w:ascii="Calibri" w:eastAsia="Calibri" w:hAnsi="Calibri" w:cs="Calibri"/>
          <w:color w:val="000000" w:themeColor="text1"/>
        </w:rPr>
        <w:t xml:space="preserve"> Guppy applied to R9.4 flowcells, </w:t>
      </w:r>
      <w:r>
        <w:rPr>
          <w:rFonts w:ascii="Calibri" w:eastAsia="Calibri" w:hAnsi="Calibri" w:cs="Calibri"/>
          <w:b/>
          <w:bCs/>
          <w:color w:val="000000" w:themeColor="text1"/>
        </w:rPr>
        <w:t xml:space="preserve">B </w:t>
      </w:r>
      <w:r>
        <w:rPr>
          <w:rFonts w:ascii="Calibri" w:eastAsia="Calibri" w:hAnsi="Calibri" w:cs="Calibri"/>
          <w:color w:val="000000" w:themeColor="text1"/>
        </w:rPr>
        <w:t xml:space="preserve">Guppy applied to R10.4 flowcells and </w:t>
      </w:r>
      <w:r>
        <w:rPr>
          <w:rFonts w:ascii="Calibri" w:eastAsia="Calibri" w:hAnsi="Calibri" w:cs="Calibri"/>
          <w:b/>
          <w:bCs/>
          <w:color w:val="000000" w:themeColor="text1"/>
        </w:rPr>
        <w:t xml:space="preserve">C </w:t>
      </w:r>
      <w:r>
        <w:rPr>
          <w:rFonts w:ascii="Calibri" w:eastAsia="Calibri" w:hAnsi="Calibri" w:cs="Calibri"/>
          <w:color w:val="000000" w:themeColor="text1"/>
        </w:rPr>
        <w:t>PacBio.</w:t>
      </w:r>
    </w:p>
    <w:p w14:paraId="205FA702" w14:textId="1039E09D" w:rsidR="00251F21" w:rsidRPr="00251F21" w:rsidRDefault="00251F21" w:rsidP="00803E19">
      <w:pPr>
        <w:widowControl w:val="0"/>
        <w:spacing w:line="480" w:lineRule="auto"/>
        <w:rPr>
          <w:rFonts w:ascii="Calibri" w:eastAsia="Calibri" w:hAnsi="Calibri" w:cs="Calibri"/>
          <w:color w:val="000000" w:themeColor="text1"/>
        </w:rPr>
      </w:pPr>
      <w:r>
        <w:rPr>
          <w:rFonts w:ascii="Calibri" w:eastAsia="Calibri" w:hAnsi="Calibri" w:cs="Calibri"/>
          <w:noProof/>
          <w:color w:val="000000" w:themeColor="text1"/>
          <w:lang w:val="en-PH" w:eastAsia="en-PH"/>
        </w:rPr>
        <w:lastRenderedPageBreak/>
        <w:drawing>
          <wp:inline distT="0" distB="0" distL="0" distR="0" wp14:anchorId="6D1E4D1B" wp14:editId="3691DB55">
            <wp:extent cx="5725160" cy="3814445"/>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25160" cy="3814445"/>
                    </a:xfrm>
                    <a:prstGeom prst="rect">
                      <a:avLst/>
                    </a:prstGeom>
                    <a:noFill/>
                    <a:ln>
                      <a:noFill/>
                    </a:ln>
                  </pic:spPr>
                </pic:pic>
              </a:graphicData>
            </a:graphic>
          </wp:inline>
        </w:drawing>
      </w:r>
    </w:p>
    <w:p w14:paraId="1F871131" w14:textId="0E2B1D0D" w:rsidR="00251F21" w:rsidRDefault="00251F21" w:rsidP="00803E19">
      <w:pPr>
        <w:widowControl w:val="0"/>
        <w:spacing w:line="480" w:lineRule="auto"/>
        <w:rPr>
          <w:rFonts w:ascii="Calibri" w:eastAsia="Calibri" w:hAnsi="Calibri" w:cs="Calibri"/>
          <w:b/>
          <w:bCs/>
          <w:color w:val="000000" w:themeColor="text1"/>
        </w:rPr>
      </w:pPr>
      <w:r>
        <w:rPr>
          <w:rFonts w:ascii="Calibri" w:eastAsia="Calibri" w:hAnsi="Calibri" w:cs="Calibri"/>
          <w:b/>
          <w:bCs/>
          <w:color w:val="000000" w:themeColor="text1"/>
        </w:rPr>
        <w:t>Fig. S1</w:t>
      </w:r>
      <w:r w:rsidR="00DB1F4C">
        <w:rPr>
          <w:rFonts w:ascii="Calibri" w:eastAsia="Calibri" w:hAnsi="Calibri" w:cs="Calibri"/>
          <w:b/>
          <w:bCs/>
          <w:color w:val="000000" w:themeColor="text1"/>
        </w:rPr>
        <w:t>1</w:t>
      </w:r>
      <w:r>
        <w:rPr>
          <w:rFonts w:ascii="Calibri" w:eastAsia="Calibri" w:hAnsi="Calibri" w:cs="Calibri"/>
          <w:b/>
          <w:bCs/>
          <w:color w:val="000000" w:themeColor="text1"/>
        </w:rPr>
        <w:t xml:space="preserve"> </w:t>
      </w:r>
      <w:r>
        <w:rPr>
          <w:rFonts w:ascii="Calibri" w:eastAsia="Calibri" w:hAnsi="Calibri" w:cs="Calibri"/>
          <w:color w:val="000000" w:themeColor="text1"/>
        </w:rPr>
        <w:t xml:space="preserve">Number of CpGs </w:t>
      </w:r>
      <w:r w:rsidR="000D6948">
        <w:rPr>
          <w:rFonts w:ascii="Calibri" w:eastAsia="Calibri" w:hAnsi="Calibri" w:cs="Calibri"/>
          <w:color w:val="000000" w:themeColor="text1"/>
        </w:rPr>
        <w:t xml:space="preserve">(y-axis) </w:t>
      </w:r>
      <w:r>
        <w:rPr>
          <w:rFonts w:ascii="Calibri" w:eastAsia="Calibri" w:hAnsi="Calibri" w:cs="Calibri"/>
          <w:color w:val="000000" w:themeColor="text1"/>
        </w:rPr>
        <w:t>removed from each group</w:t>
      </w:r>
      <w:r w:rsidR="000D6948">
        <w:rPr>
          <w:rFonts w:ascii="Calibri" w:eastAsia="Calibri" w:hAnsi="Calibri" w:cs="Calibri"/>
          <w:color w:val="000000" w:themeColor="text1"/>
        </w:rPr>
        <w:t xml:space="preserve"> (x-axis)</w:t>
      </w:r>
      <w:r>
        <w:rPr>
          <w:rFonts w:ascii="Calibri" w:eastAsia="Calibri" w:hAnsi="Calibri" w:cs="Calibri"/>
          <w:color w:val="000000" w:themeColor="text1"/>
        </w:rPr>
        <w:t xml:space="preserve"> shown for Guppy R9.4 in orange, Guppy R10.4 in green, Nanopolish in purple and PacBio in pink. Strand bias is not measured in PacBio and FRR is only measured for Nanopolish.</w:t>
      </w:r>
    </w:p>
    <w:p w14:paraId="1D226F78" w14:textId="71ECABC8" w:rsidR="00C94B9F" w:rsidRPr="00881322" w:rsidRDefault="00C94B9F" w:rsidP="00803E19">
      <w:pPr>
        <w:widowControl w:val="0"/>
        <w:spacing w:line="480" w:lineRule="auto"/>
        <w:rPr>
          <w:u w:val="single"/>
        </w:rPr>
      </w:pPr>
      <w:r w:rsidRPr="00881322">
        <w:rPr>
          <w:rFonts w:ascii="Calibri" w:eastAsia="Calibri" w:hAnsi="Calibri" w:cs="Calibri"/>
          <w:color w:val="000000" w:themeColor="text1"/>
          <w:u w:val="single"/>
        </w:rPr>
        <w:t>Per-site accuracy of 5-mCpG predictions</w:t>
      </w:r>
      <w:r w:rsidRPr="00881322">
        <w:rPr>
          <w:u w:val="single"/>
        </w:rPr>
        <w:t xml:space="preserve"> in different genomic and methylation context</w:t>
      </w:r>
    </w:p>
    <w:p w14:paraId="4D1B0238" w14:textId="77777777" w:rsidR="00C94B9F" w:rsidRDefault="00C94B9F" w:rsidP="00803E19">
      <w:pPr>
        <w:widowControl w:val="0"/>
        <w:spacing w:line="480" w:lineRule="auto"/>
      </w:pPr>
      <w:r>
        <w:t>To investigate the variation in methylation predictions among the different methods, we categorized the oxBS data into four bins based on the methylation rates and computed the MAD in 5m-CpG rates between all methods and oxBS. We further looked into the MAD for CpG islands, shelves and shores, separately.</w:t>
      </w:r>
    </w:p>
    <w:p w14:paraId="2030FDF4" w14:textId="23F545FD" w:rsidR="00C94B9F" w:rsidRDefault="00C94B9F" w:rsidP="00803E19">
      <w:pPr>
        <w:widowControl w:val="0"/>
        <w:spacing w:line="480" w:lineRule="auto"/>
      </w:pPr>
      <w:r>
        <w:t xml:space="preserve">In terms of the full set of CpGs and methylated CpGs all methods demonstrated similar performance with regards to MAD. </w:t>
      </w:r>
      <w:r w:rsidR="002D5D36">
        <w:t xml:space="preserve">All methods display a higher MAD in low- and intermethylated CpGs and all methods tend to overestimate the 5-mCpG rates compared to oxBS data, Guppy and PacBio more than Nanopolish, which supports the shift in bimodal distribution (Fig. 3., Additional File 1: Fig. S12). </w:t>
      </w:r>
      <w:r>
        <w:t xml:space="preserve">Nanopolish exhibits the lowest MAD in 5-mCpGs when compared to oxBS in unmethylated CpGs and </w:t>
      </w:r>
      <w:r>
        <w:lastRenderedPageBreak/>
        <w:t xml:space="preserve">CpG islands. On the other hand, PacBio has the lowest MAD in intermethylated CpGs. </w:t>
      </w:r>
      <w:r w:rsidR="002D5D36">
        <w:t>Adding</w:t>
      </w:r>
      <w:r w:rsidR="00B76343">
        <w:t xml:space="preserve"> more training data from inter- and lowmethylated CpGs might benefit the methylation detection of all tools.</w:t>
      </w:r>
    </w:p>
    <w:p w14:paraId="128B4ACB" w14:textId="77777777" w:rsidR="00C94B9F" w:rsidRDefault="00C94B9F" w:rsidP="00803E19">
      <w:pPr>
        <w:widowControl w:val="0"/>
        <w:spacing w:line="480" w:lineRule="auto"/>
      </w:pPr>
      <w:r>
        <w:rPr>
          <w:noProof/>
          <w:lang w:val="en-PH" w:eastAsia="en-PH"/>
        </w:rPr>
        <w:drawing>
          <wp:inline distT="0" distB="0" distL="0" distR="0" wp14:anchorId="79B7EC21" wp14:editId="1FEA9D7C">
            <wp:extent cx="5720080" cy="38131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20080" cy="3813175"/>
                    </a:xfrm>
                    <a:prstGeom prst="rect">
                      <a:avLst/>
                    </a:prstGeom>
                    <a:noFill/>
                    <a:ln>
                      <a:noFill/>
                    </a:ln>
                  </pic:spPr>
                </pic:pic>
              </a:graphicData>
            </a:graphic>
          </wp:inline>
        </w:drawing>
      </w:r>
    </w:p>
    <w:p w14:paraId="1C9994A3" w14:textId="138AD2A7" w:rsidR="00F758BA" w:rsidRPr="00387118" w:rsidRDefault="00C94B9F" w:rsidP="00803E19">
      <w:pPr>
        <w:widowControl w:val="0"/>
        <w:spacing w:line="480" w:lineRule="auto"/>
        <w:rPr>
          <w:rFonts w:ascii="Calibri" w:eastAsia="Calibri" w:hAnsi="Calibri" w:cs="Calibri"/>
          <w:color w:val="000000" w:themeColor="text1"/>
        </w:rPr>
      </w:pPr>
      <w:r w:rsidRPr="62650EA2">
        <w:rPr>
          <w:b/>
          <w:bCs/>
        </w:rPr>
        <w:t>Fig</w:t>
      </w:r>
      <w:r>
        <w:rPr>
          <w:b/>
          <w:bCs/>
        </w:rPr>
        <w:t>.</w:t>
      </w:r>
      <w:r w:rsidRPr="62650EA2">
        <w:rPr>
          <w:b/>
          <w:bCs/>
        </w:rPr>
        <w:t xml:space="preserve"> </w:t>
      </w:r>
      <w:r>
        <w:rPr>
          <w:b/>
          <w:bCs/>
        </w:rPr>
        <w:t>S1</w:t>
      </w:r>
      <w:r w:rsidR="00F679B4">
        <w:rPr>
          <w:b/>
          <w:bCs/>
        </w:rPr>
        <w:t xml:space="preserve">2 </w:t>
      </w:r>
      <w:r w:rsidRPr="00357966">
        <w:t xml:space="preserve">Mean </w:t>
      </w:r>
      <w:r>
        <w:t xml:space="preserve">absolute </w:t>
      </w:r>
      <w:r w:rsidRPr="00357966">
        <w:t xml:space="preserve">difference in </w:t>
      </w:r>
      <w:r>
        <w:t>5-mCpG rates</w:t>
      </w:r>
      <w:r w:rsidRPr="00357966">
        <w:t xml:space="preserve"> between the long-read datasets and oxBS data</w:t>
      </w:r>
      <w:r w:rsidRPr="62650EA2">
        <w:rPr>
          <w:b/>
          <w:bCs/>
        </w:rPr>
        <w:t xml:space="preserve">. </w:t>
      </w:r>
      <w:r>
        <w:t>Box plot showing MAD in 5-mCpG rates between all datasets shown separately for different genomic contexts: CpG islands, CpG shores and CpG shelves and for different methylation rates: methylated CpGs, intermethylated CpGs, low methylated CpGs and unmethylated CpGs.</w:t>
      </w:r>
      <w:r w:rsidR="00701641">
        <w:t xml:space="preserve"> </w:t>
      </w:r>
      <w:r w:rsidR="00701641">
        <w:rPr>
          <w:rFonts w:ascii="Calibri" w:eastAsia="Calibri" w:hAnsi="Calibri" w:cs="Calibri"/>
          <w:color w:val="000000" w:themeColor="text1"/>
        </w:rPr>
        <w:t>The cent</w:t>
      </w:r>
      <w:r w:rsidR="00B76343">
        <w:rPr>
          <w:rFonts w:ascii="Calibri" w:eastAsia="Calibri" w:hAnsi="Calibri" w:cs="Calibri"/>
          <w:color w:val="000000" w:themeColor="text1"/>
        </w:rPr>
        <w:t>re</w:t>
      </w:r>
      <w:r w:rsidR="00701641">
        <w:rPr>
          <w:rFonts w:ascii="Calibri" w:eastAsia="Calibri" w:hAnsi="Calibri" w:cs="Calibri"/>
          <w:color w:val="000000" w:themeColor="text1"/>
        </w:rPr>
        <w:t xml:space="preserve"> line (solid black) shown in each box represent the median; the box limits represent upper and lower quartile, whisk</w:t>
      </w:r>
      <w:r w:rsidR="00B76343">
        <w:rPr>
          <w:rFonts w:ascii="Calibri" w:eastAsia="Calibri" w:hAnsi="Calibri" w:cs="Calibri"/>
          <w:color w:val="000000" w:themeColor="text1"/>
        </w:rPr>
        <w:t>e</w:t>
      </w:r>
      <w:r w:rsidR="00701641">
        <w:rPr>
          <w:rFonts w:ascii="Calibri" w:eastAsia="Calibri" w:hAnsi="Calibri" w:cs="Calibri"/>
          <w:color w:val="000000" w:themeColor="text1"/>
        </w:rPr>
        <w:t>rs represent 1.5x interquartile range.</w:t>
      </w:r>
    </w:p>
    <w:p w14:paraId="05C47A14" w14:textId="77777777" w:rsidR="00B76343" w:rsidRDefault="00B76343" w:rsidP="00803E19">
      <w:pPr>
        <w:widowControl w:val="0"/>
      </w:pPr>
    </w:p>
    <w:p w14:paraId="4E2F318B" w14:textId="77777777" w:rsidR="00B76343" w:rsidRDefault="00B76343" w:rsidP="00803E19">
      <w:pPr>
        <w:pStyle w:val="Heading1"/>
        <w:keepNext w:val="0"/>
        <w:keepLines w:val="0"/>
        <w:widowControl w:val="0"/>
        <w:rPr>
          <w:rFonts w:eastAsiaTheme="minorEastAsia"/>
        </w:rPr>
      </w:pPr>
    </w:p>
    <w:p w14:paraId="7FDFAB9A" w14:textId="77777777" w:rsidR="00F758BA" w:rsidRPr="00881322" w:rsidRDefault="00F758BA" w:rsidP="00803E19">
      <w:pPr>
        <w:widowControl w:val="0"/>
        <w:rPr>
          <w:highlight w:val="yellow"/>
        </w:rPr>
      </w:pPr>
    </w:p>
    <w:p w14:paraId="6CA0F8B0" w14:textId="32F19D24" w:rsidR="00107A58" w:rsidRDefault="00F758BA" w:rsidP="00803E19">
      <w:pPr>
        <w:pStyle w:val="Heading1"/>
        <w:keepNext w:val="0"/>
        <w:keepLines w:val="0"/>
        <w:widowControl w:val="0"/>
        <w:rPr>
          <w:rFonts w:eastAsia="Calibri"/>
        </w:rPr>
      </w:pPr>
      <w:r>
        <w:rPr>
          <w:rFonts w:eastAsia="Calibri"/>
        </w:rPr>
        <w:t xml:space="preserve">2. </w:t>
      </w:r>
      <w:r w:rsidR="00C3751A">
        <w:rPr>
          <w:rFonts w:eastAsia="Calibri"/>
        </w:rPr>
        <w:t>Supplementary data description</w:t>
      </w:r>
      <w:r w:rsidR="00B76343">
        <w:rPr>
          <w:rFonts w:eastAsia="Calibri"/>
        </w:rPr>
        <w:br/>
      </w:r>
    </w:p>
    <w:p w14:paraId="2ECC3FCC" w14:textId="6AE3B333" w:rsidR="00E439C2" w:rsidRPr="00881322" w:rsidRDefault="00DC5CA6" w:rsidP="00803E19">
      <w:pPr>
        <w:widowControl w:val="0"/>
        <w:spacing w:line="240" w:lineRule="auto"/>
      </w:pPr>
      <w:r w:rsidRPr="00107A58">
        <w:rPr>
          <w:b/>
          <w:bCs/>
        </w:rPr>
        <w:lastRenderedPageBreak/>
        <w:t xml:space="preserve">Data S1: </w:t>
      </w:r>
      <w:r w:rsidR="00E439C2" w:rsidRPr="00107A58">
        <w:t>Summary statistics for CpG</w:t>
      </w:r>
      <w:r w:rsidR="00107A58">
        <w:t xml:space="preserve"> units</w:t>
      </w:r>
      <w:r w:rsidR="00E439C2" w:rsidRPr="00107A58">
        <w:t xml:space="preserve"> averaged over 7,179 samples sequenced using R9.4 flowcell from ONT</w:t>
      </w:r>
      <w:r w:rsidR="00107A58">
        <w:t xml:space="preserve"> and methylation called using Nanopolish</w:t>
      </w:r>
      <w:r w:rsidR="00E439C2" w:rsidRPr="00107A58">
        <w:t xml:space="preserve">. </w:t>
      </w:r>
      <w:r w:rsidR="00B76343">
        <w:br/>
      </w:r>
      <w:r w:rsidR="00E439C2" w:rsidRPr="00881322">
        <w:rPr>
          <w:b/>
          <w:bCs/>
          <w:i/>
          <w:iCs/>
          <w:sz w:val="20"/>
          <w:szCs w:val="20"/>
        </w:rPr>
        <w:t xml:space="preserve">Chrom: </w:t>
      </w:r>
      <w:r w:rsidR="00E439C2" w:rsidRPr="00881322">
        <w:rPr>
          <w:i/>
          <w:iCs/>
          <w:sz w:val="20"/>
          <w:szCs w:val="20"/>
        </w:rPr>
        <w:t xml:space="preserve">The chromosome of </w:t>
      </w:r>
      <w:r w:rsidR="006839EC">
        <w:rPr>
          <w:i/>
          <w:iCs/>
          <w:sz w:val="20"/>
          <w:szCs w:val="20"/>
        </w:rPr>
        <w:t xml:space="preserve">the </w:t>
      </w:r>
      <w:r w:rsidR="00E439C2" w:rsidRPr="00881322">
        <w:rPr>
          <w:i/>
          <w:iCs/>
          <w:sz w:val="20"/>
          <w:szCs w:val="20"/>
        </w:rPr>
        <w:t>CpG unit</w:t>
      </w:r>
      <w:r w:rsidR="00107A58" w:rsidRPr="00881322">
        <w:rPr>
          <w:i/>
          <w:iCs/>
          <w:sz w:val="20"/>
          <w:szCs w:val="20"/>
        </w:rPr>
        <w:br/>
      </w:r>
      <w:r w:rsidR="00D9398C">
        <w:rPr>
          <w:b/>
          <w:bCs/>
          <w:i/>
          <w:iCs/>
          <w:sz w:val="20"/>
          <w:szCs w:val="20"/>
        </w:rPr>
        <w:t>s</w:t>
      </w:r>
      <w:r w:rsidR="00E439C2" w:rsidRPr="00881322">
        <w:rPr>
          <w:b/>
          <w:bCs/>
          <w:i/>
          <w:iCs/>
          <w:sz w:val="20"/>
          <w:szCs w:val="20"/>
        </w:rPr>
        <w:t xml:space="preserve">tart: </w:t>
      </w:r>
      <w:r w:rsidR="00E439C2" w:rsidRPr="00881322">
        <w:rPr>
          <w:i/>
          <w:iCs/>
          <w:sz w:val="20"/>
          <w:szCs w:val="20"/>
        </w:rPr>
        <w:t>The nucleotide starting position of the CpG unit</w:t>
      </w:r>
      <w:r w:rsidR="0074714A">
        <w:rPr>
          <w:i/>
          <w:iCs/>
          <w:sz w:val="20"/>
          <w:szCs w:val="20"/>
        </w:rPr>
        <w:t>, 0 based</w:t>
      </w:r>
      <w:r w:rsidR="00107A58" w:rsidRPr="00881322">
        <w:rPr>
          <w:i/>
          <w:iCs/>
          <w:sz w:val="20"/>
          <w:szCs w:val="20"/>
        </w:rPr>
        <w:br/>
      </w:r>
      <w:r w:rsidR="00D9398C">
        <w:rPr>
          <w:b/>
          <w:bCs/>
          <w:i/>
          <w:iCs/>
          <w:sz w:val="20"/>
          <w:szCs w:val="20"/>
        </w:rPr>
        <w:t>e</w:t>
      </w:r>
      <w:r w:rsidR="00E439C2" w:rsidRPr="00881322">
        <w:rPr>
          <w:b/>
          <w:bCs/>
          <w:i/>
          <w:iCs/>
          <w:sz w:val="20"/>
          <w:szCs w:val="20"/>
        </w:rPr>
        <w:t xml:space="preserve">nd: </w:t>
      </w:r>
      <w:r w:rsidR="00E439C2" w:rsidRPr="00881322">
        <w:rPr>
          <w:i/>
          <w:iCs/>
          <w:sz w:val="20"/>
          <w:szCs w:val="20"/>
        </w:rPr>
        <w:t>The nucleotide ending position of the CpG unit</w:t>
      </w:r>
      <w:r w:rsidR="00107A58" w:rsidRPr="00881322">
        <w:rPr>
          <w:i/>
          <w:iCs/>
          <w:sz w:val="20"/>
          <w:szCs w:val="20"/>
        </w:rPr>
        <w:br/>
      </w:r>
      <w:r w:rsidR="00D9398C">
        <w:rPr>
          <w:b/>
          <w:bCs/>
          <w:i/>
          <w:iCs/>
          <w:sz w:val="20"/>
          <w:szCs w:val="20"/>
        </w:rPr>
        <w:t>n</w:t>
      </w:r>
      <w:r w:rsidR="00E439C2" w:rsidRPr="00881322">
        <w:rPr>
          <w:b/>
          <w:bCs/>
          <w:i/>
          <w:iCs/>
          <w:sz w:val="20"/>
          <w:szCs w:val="20"/>
        </w:rPr>
        <w:t xml:space="preserve">_reliable: </w:t>
      </w:r>
      <w:r w:rsidR="00E439C2" w:rsidRPr="00881322">
        <w:rPr>
          <w:i/>
          <w:iCs/>
          <w:sz w:val="20"/>
          <w:szCs w:val="20"/>
        </w:rPr>
        <w:t>The number of realiable reads behind the CpG unit. Reliable is defined as having the absalute log likelihood ratio larger than 1.92</w:t>
      </w:r>
      <w:r w:rsidR="00107A58">
        <w:rPr>
          <w:i/>
          <w:iCs/>
          <w:sz w:val="20"/>
          <w:szCs w:val="20"/>
        </w:rPr>
        <w:t>1</w:t>
      </w:r>
      <w:r w:rsidR="00107A58" w:rsidRPr="00881322">
        <w:rPr>
          <w:i/>
          <w:iCs/>
          <w:sz w:val="20"/>
          <w:szCs w:val="20"/>
        </w:rPr>
        <w:br/>
      </w:r>
      <w:r w:rsidR="00D9398C">
        <w:rPr>
          <w:b/>
          <w:bCs/>
          <w:i/>
          <w:iCs/>
          <w:sz w:val="20"/>
          <w:szCs w:val="20"/>
        </w:rPr>
        <w:t>n</w:t>
      </w:r>
      <w:r w:rsidR="00E439C2" w:rsidRPr="00881322">
        <w:rPr>
          <w:b/>
          <w:bCs/>
          <w:i/>
          <w:iCs/>
          <w:sz w:val="20"/>
          <w:szCs w:val="20"/>
        </w:rPr>
        <w:t xml:space="preserve">_total: </w:t>
      </w:r>
      <w:r w:rsidR="00E439C2" w:rsidRPr="00881322">
        <w:rPr>
          <w:i/>
          <w:iCs/>
          <w:sz w:val="20"/>
          <w:szCs w:val="20"/>
        </w:rPr>
        <w:t>Total number of reads behind the CpG unit</w:t>
      </w:r>
      <w:r w:rsidR="00107A58" w:rsidRPr="00881322">
        <w:rPr>
          <w:i/>
          <w:iCs/>
          <w:sz w:val="20"/>
          <w:szCs w:val="20"/>
        </w:rPr>
        <w:br/>
      </w:r>
      <w:r w:rsidR="00E439C2" w:rsidRPr="00881322">
        <w:rPr>
          <w:b/>
          <w:bCs/>
          <w:i/>
          <w:iCs/>
          <w:sz w:val="20"/>
          <w:szCs w:val="20"/>
        </w:rPr>
        <w:t xml:space="preserve">ratio: </w:t>
      </w:r>
      <w:r w:rsidR="00E439C2" w:rsidRPr="00881322">
        <w:rPr>
          <w:i/>
          <w:iCs/>
          <w:sz w:val="20"/>
          <w:szCs w:val="20"/>
        </w:rPr>
        <w:t>The</w:t>
      </w:r>
      <w:r w:rsidR="00107A58">
        <w:rPr>
          <w:i/>
          <w:iCs/>
          <w:sz w:val="20"/>
          <w:szCs w:val="20"/>
        </w:rPr>
        <w:t xml:space="preserve"> methylation ratio</w:t>
      </w:r>
      <w:r w:rsidR="00E439C2" w:rsidRPr="00881322">
        <w:rPr>
          <w:i/>
          <w:iCs/>
          <w:sz w:val="20"/>
          <w:szCs w:val="20"/>
        </w:rPr>
        <w:t>, calculated as number of methylated reliable reads out of all reliable reads.</w:t>
      </w:r>
      <w:r w:rsidR="00107A58" w:rsidRPr="00881322">
        <w:rPr>
          <w:i/>
          <w:iCs/>
          <w:sz w:val="20"/>
          <w:szCs w:val="20"/>
        </w:rPr>
        <w:br/>
      </w:r>
      <w:r w:rsidR="00D9398C">
        <w:rPr>
          <w:b/>
          <w:bCs/>
          <w:i/>
          <w:iCs/>
          <w:sz w:val="20"/>
          <w:szCs w:val="20"/>
        </w:rPr>
        <w:t>s</w:t>
      </w:r>
      <w:r w:rsidR="00E439C2" w:rsidRPr="00881322">
        <w:rPr>
          <w:b/>
          <w:bCs/>
          <w:i/>
          <w:iCs/>
          <w:sz w:val="20"/>
          <w:szCs w:val="20"/>
        </w:rPr>
        <w:t>trand_bias:</w:t>
      </w:r>
      <w:r w:rsidR="00E439C2" w:rsidRPr="00881322">
        <w:rPr>
          <w:i/>
          <w:iCs/>
          <w:sz w:val="20"/>
          <w:szCs w:val="20"/>
        </w:rPr>
        <w:t xml:space="preserve"> Difference between the methylation ratio of forward and reverse strand</w:t>
      </w:r>
      <w:r w:rsidR="00107A58" w:rsidRPr="00881322">
        <w:rPr>
          <w:i/>
          <w:iCs/>
          <w:sz w:val="20"/>
          <w:szCs w:val="20"/>
        </w:rPr>
        <w:br/>
      </w:r>
      <w:r w:rsidR="00E439C2" w:rsidRPr="00881322">
        <w:rPr>
          <w:b/>
          <w:bCs/>
          <w:i/>
          <w:iCs/>
          <w:sz w:val="20"/>
          <w:szCs w:val="20"/>
        </w:rPr>
        <w:t xml:space="preserve">FRR: </w:t>
      </w:r>
      <w:r w:rsidR="00E439C2" w:rsidRPr="00881322">
        <w:rPr>
          <w:i/>
          <w:iCs/>
          <w:sz w:val="20"/>
          <w:szCs w:val="20"/>
        </w:rPr>
        <w:t>Fraction of reliable reads, calculated as n_reliable/n_total</w:t>
      </w:r>
      <w:r w:rsidR="00107A58" w:rsidRPr="00881322">
        <w:rPr>
          <w:i/>
          <w:iCs/>
          <w:sz w:val="20"/>
          <w:szCs w:val="20"/>
        </w:rPr>
        <w:br/>
      </w:r>
      <w:r w:rsidR="00D9398C">
        <w:rPr>
          <w:b/>
          <w:bCs/>
          <w:i/>
          <w:iCs/>
          <w:sz w:val="20"/>
          <w:szCs w:val="20"/>
        </w:rPr>
        <w:t>d</w:t>
      </w:r>
      <w:r w:rsidR="00E439C2" w:rsidRPr="00881322">
        <w:rPr>
          <w:b/>
          <w:bCs/>
          <w:i/>
          <w:iCs/>
          <w:sz w:val="20"/>
          <w:szCs w:val="20"/>
        </w:rPr>
        <w:t xml:space="preserve">ark_region: </w:t>
      </w:r>
      <w:r w:rsidR="00E439C2" w:rsidRPr="00881322">
        <w:rPr>
          <w:i/>
          <w:iCs/>
          <w:sz w:val="20"/>
          <w:szCs w:val="20"/>
        </w:rPr>
        <w:t>Boolean column indication of whether the CpG unit is within dark region. 1 indicates the CpG unit is within a dark region, 0 indicates it is not</w:t>
      </w:r>
      <w:r w:rsidR="00107A58" w:rsidRPr="00881322">
        <w:rPr>
          <w:i/>
          <w:iCs/>
          <w:sz w:val="20"/>
          <w:szCs w:val="20"/>
        </w:rPr>
        <w:br/>
      </w:r>
      <w:r w:rsidR="00E439C2" w:rsidRPr="00881322">
        <w:rPr>
          <w:b/>
          <w:bCs/>
          <w:i/>
          <w:iCs/>
          <w:sz w:val="20"/>
          <w:szCs w:val="20"/>
        </w:rPr>
        <w:t xml:space="preserve">SNP: </w:t>
      </w:r>
      <w:r w:rsidR="00E439C2" w:rsidRPr="00881322">
        <w:rPr>
          <w:i/>
          <w:iCs/>
          <w:sz w:val="20"/>
          <w:szCs w:val="20"/>
        </w:rPr>
        <w:t>Boolean column indicating whether the CpG unit is within 5bp of SNP</w:t>
      </w:r>
      <w:r w:rsidR="00107A58" w:rsidRPr="00881322">
        <w:rPr>
          <w:i/>
          <w:iCs/>
          <w:sz w:val="20"/>
          <w:szCs w:val="20"/>
        </w:rPr>
        <w:br/>
      </w:r>
      <w:r w:rsidR="00D9398C">
        <w:rPr>
          <w:b/>
          <w:bCs/>
          <w:i/>
          <w:iCs/>
          <w:sz w:val="20"/>
          <w:szCs w:val="20"/>
        </w:rPr>
        <w:t>p</w:t>
      </w:r>
      <w:r w:rsidR="00E439C2" w:rsidRPr="00881322">
        <w:rPr>
          <w:b/>
          <w:bCs/>
          <w:i/>
          <w:iCs/>
          <w:sz w:val="20"/>
          <w:szCs w:val="20"/>
        </w:rPr>
        <w:t xml:space="preserve">hased_frac: </w:t>
      </w:r>
      <w:r w:rsidR="00E439C2" w:rsidRPr="00881322">
        <w:rPr>
          <w:i/>
          <w:iCs/>
          <w:sz w:val="20"/>
          <w:szCs w:val="20"/>
        </w:rPr>
        <w:t>Fraction of phased reads</w:t>
      </w:r>
      <w:r w:rsidR="00107A58" w:rsidRPr="00881322">
        <w:rPr>
          <w:i/>
          <w:iCs/>
          <w:sz w:val="20"/>
          <w:szCs w:val="20"/>
        </w:rPr>
        <w:br/>
      </w:r>
      <w:r w:rsidR="00D9398C">
        <w:rPr>
          <w:b/>
          <w:bCs/>
          <w:i/>
          <w:iCs/>
          <w:sz w:val="20"/>
          <w:szCs w:val="20"/>
        </w:rPr>
        <w:t>h</w:t>
      </w:r>
      <w:r w:rsidR="00E439C2" w:rsidRPr="00881322">
        <w:rPr>
          <w:b/>
          <w:bCs/>
          <w:i/>
          <w:iCs/>
          <w:sz w:val="20"/>
          <w:szCs w:val="20"/>
        </w:rPr>
        <w:t xml:space="preserve">q: </w:t>
      </w:r>
      <w:r w:rsidR="00E439C2" w:rsidRPr="00881322">
        <w:rPr>
          <w:i/>
          <w:iCs/>
          <w:sz w:val="20"/>
          <w:szCs w:val="20"/>
        </w:rPr>
        <w:t>Boolean column Indicating whether the CpG unit is high-quality</w:t>
      </w:r>
      <w:r w:rsidR="00107A58" w:rsidRPr="00881322">
        <w:rPr>
          <w:i/>
          <w:iCs/>
          <w:sz w:val="20"/>
          <w:szCs w:val="20"/>
        </w:rPr>
        <w:br/>
      </w:r>
      <w:r w:rsidR="00D9398C">
        <w:rPr>
          <w:b/>
          <w:bCs/>
          <w:i/>
          <w:iCs/>
          <w:sz w:val="20"/>
          <w:szCs w:val="20"/>
        </w:rPr>
        <w:t>h</w:t>
      </w:r>
      <w:r w:rsidR="00E439C2" w:rsidRPr="00881322">
        <w:rPr>
          <w:b/>
          <w:bCs/>
          <w:i/>
          <w:iCs/>
          <w:sz w:val="20"/>
          <w:szCs w:val="20"/>
        </w:rPr>
        <w:t xml:space="preserve">q_phased: </w:t>
      </w:r>
      <w:r w:rsidR="00E439C2" w:rsidRPr="00881322">
        <w:rPr>
          <w:i/>
          <w:iCs/>
          <w:sz w:val="20"/>
          <w:szCs w:val="20"/>
        </w:rPr>
        <w:t>Boolean column indicating whether the CpG unit is high quality with phasing status included</w:t>
      </w:r>
      <w:r w:rsidR="00107A58" w:rsidRPr="00881322">
        <w:rPr>
          <w:i/>
          <w:iCs/>
          <w:sz w:val="20"/>
          <w:szCs w:val="20"/>
        </w:rPr>
        <w:br/>
      </w:r>
      <w:r w:rsidR="00E439C2" w:rsidRPr="00881322">
        <w:rPr>
          <w:b/>
          <w:bCs/>
          <w:i/>
          <w:iCs/>
          <w:sz w:val="20"/>
          <w:szCs w:val="20"/>
        </w:rPr>
        <w:t xml:space="preserve">highSB: </w:t>
      </w:r>
      <w:r w:rsidR="00E439C2" w:rsidRPr="00881322">
        <w:rPr>
          <w:i/>
          <w:iCs/>
          <w:sz w:val="20"/>
          <w:szCs w:val="20"/>
        </w:rPr>
        <w:t>Boolean column indicating whether the CpG unit failes on strand bias test and has strand bias greater than 0.2</w:t>
      </w:r>
      <w:r w:rsidR="00107A58" w:rsidRPr="00881322">
        <w:rPr>
          <w:i/>
          <w:iCs/>
          <w:sz w:val="20"/>
          <w:szCs w:val="20"/>
        </w:rPr>
        <w:br/>
      </w:r>
      <w:r w:rsidR="00E439C2" w:rsidRPr="00881322">
        <w:rPr>
          <w:b/>
          <w:bCs/>
          <w:i/>
          <w:iCs/>
          <w:sz w:val="20"/>
          <w:szCs w:val="20"/>
        </w:rPr>
        <w:t xml:space="preserve">lowFRR: </w:t>
      </w:r>
      <w:r w:rsidR="00E439C2" w:rsidRPr="00881322">
        <w:rPr>
          <w:i/>
          <w:iCs/>
          <w:sz w:val="20"/>
          <w:szCs w:val="20"/>
        </w:rPr>
        <w:t>Boolean column indicating if the CpG unit fails on FRR test and has FRR less than 0.5.</w:t>
      </w:r>
      <w:r w:rsidR="00107A58" w:rsidRPr="00881322">
        <w:rPr>
          <w:i/>
          <w:iCs/>
          <w:sz w:val="20"/>
          <w:szCs w:val="20"/>
        </w:rPr>
        <w:br/>
      </w:r>
      <w:r w:rsidR="00E439C2" w:rsidRPr="00881322">
        <w:rPr>
          <w:b/>
          <w:bCs/>
          <w:i/>
          <w:iCs/>
          <w:sz w:val="20"/>
          <w:szCs w:val="20"/>
        </w:rPr>
        <w:t xml:space="preserve">highCov: </w:t>
      </w:r>
      <w:r w:rsidR="00E439C2" w:rsidRPr="00881322">
        <w:rPr>
          <w:i/>
          <w:iCs/>
          <w:sz w:val="20"/>
          <w:szCs w:val="20"/>
        </w:rPr>
        <w:t>Boolean column indicating if the CpG unit fails on coverage test and has coverage greater than 1.5</w:t>
      </w:r>
      <w:r w:rsidR="00107A58" w:rsidRPr="00881322">
        <w:rPr>
          <w:i/>
          <w:iCs/>
          <w:sz w:val="20"/>
          <w:szCs w:val="20"/>
        </w:rPr>
        <w:t xml:space="preserve"> times the average coverage</w:t>
      </w:r>
      <w:r w:rsidR="00107A58" w:rsidRPr="00881322">
        <w:rPr>
          <w:i/>
          <w:iCs/>
          <w:sz w:val="20"/>
          <w:szCs w:val="20"/>
        </w:rPr>
        <w:br/>
      </w:r>
      <w:r w:rsidR="00107A58" w:rsidRPr="00881322">
        <w:rPr>
          <w:b/>
          <w:bCs/>
          <w:i/>
          <w:iCs/>
          <w:sz w:val="20"/>
          <w:szCs w:val="20"/>
        </w:rPr>
        <w:t xml:space="preserve">lowCov: </w:t>
      </w:r>
      <w:r w:rsidR="00107A58" w:rsidRPr="00881322">
        <w:rPr>
          <w:i/>
          <w:iCs/>
          <w:sz w:val="20"/>
          <w:szCs w:val="20"/>
        </w:rPr>
        <w:t>Boolean column indicating if the CpG unit fails on coverage test and has coverage less than 0.5 times the average coverage</w:t>
      </w:r>
      <w:r w:rsidR="00107A58" w:rsidRPr="00881322">
        <w:rPr>
          <w:i/>
          <w:iCs/>
          <w:sz w:val="20"/>
          <w:szCs w:val="20"/>
        </w:rPr>
        <w:br/>
      </w:r>
      <w:r w:rsidR="00107A58" w:rsidRPr="00881322">
        <w:rPr>
          <w:b/>
          <w:bCs/>
          <w:i/>
          <w:iCs/>
          <w:sz w:val="20"/>
          <w:szCs w:val="20"/>
        </w:rPr>
        <w:t xml:space="preserve">lowPF: </w:t>
      </w:r>
      <w:r w:rsidR="00107A58" w:rsidRPr="00881322">
        <w:rPr>
          <w:i/>
          <w:iCs/>
          <w:sz w:val="20"/>
          <w:szCs w:val="20"/>
        </w:rPr>
        <w:t>Boolean column indicating if the CpG unit fails on phasing fraction and has PF less than 0.3</w:t>
      </w:r>
      <w:r w:rsidR="00B76343">
        <w:rPr>
          <w:b/>
          <w:bCs/>
        </w:rPr>
        <w:br/>
      </w:r>
    </w:p>
    <w:p w14:paraId="03EFFEEF" w14:textId="77777777" w:rsidR="00B76343" w:rsidRPr="00881322" w:rsidRDefault="00B76343" w:rsidP="00803E19">
      <w:pPr>
        <w:widowControl w:val="0"/>
        <w:spacing w:line="240" w:lineRule="auto"/>
        <w:rPr>
          <w:i/>
          <w:iCs/>
          <w:sz w:val="20"/>
          <w:szCs w:val="20"/>
        </w:rPr>
      </w:pPr>
    </w:p>
    <w:p w14:paraId="6CB57070" w14:textId="563B596A" w:rsidR="00107A58" w:rsidRDefault="00DC5CA6" w:rsidP="00803E19">
      <w:pPr>
        <w:widowControl w:val="0"/>
      </w:pPr>
      <w:r>
        <w:rPr>
          <w:b/>
          <w:bCs/>
        </w:rPr>
        <w:t>Data S2:</w:t>
      </w:r>
      <w:r w:rsidR="00107A58">
        <w:rPr>
          <w:b/>
          <w:bCs/>
        </w:rPr>
        <w:t xml:space="preserve"> </w:t>
      </w:r>
      <w:r w:rsidR="00107A58">
        <w:t>Summary statistics for CpGs averaged over 132 samples sequenced using oxBS.</w:t>
      </w:r>
      <w:r w:rsidR="00B76343">
        <w:br/>
      </w:r>
      <w:r w:rsidR="00107A58" w:rsidRPr="00C355E2">
        <w:rPr>
          <w:b/>
          <w:bCs/>
          <w:i/>
          <w:iCs/>
          <w:sz w:val="20"/>
          <w:szCs w:val="20"/>
        </w:rPr>
        <w:t xml:space="preserve">Chrom: </w:t>
      </w:r>
      <w:r w:rsidR="00107A58" w:rsidRPr="00C355E2">
        <w:rPr>
          <w:i/>
          <w:iCs/>
          <w:sz w:val="20"/>
          <w:szCs w:val="20"/>
        </w:rPr>
        <w:t xml:space="preserve">The chromosome of </w:t>
      </w:r>
      <w:r w:rsidR="006839EC">
        <w:rPr>
          <w:i/>
          <w:iCs/>
          <w:sz w:val="20"/>
          <w:szCs w:val="20"/>
        </w:rPr>
        <w:t xml:space="preserve">the </w:t>
      </w:r>
      <w:r w:rsidR="00107A58" w:rsidRPr="00C355E2">
        <w:rPr>
          <w:i/>
          <w:iCs/>
          <w:sz w:val="20"/>
          <w:szCs w:val="20"/>
        </w:rPr>
        <w:t>CpG</w:t>
      </w:r>
      <w:r w:rsidR="00107A58" w:rsidRPr="00C355E2">
        <w:rPr>
          <w:i/>
          <w:iCs/>
          <w:sz w:val="20"/>
          <w:szCs w:val="20"/>
        </w:rPr>
        <w:br/>
      </w:r>
      <w:r w:rsidR="00107A58">
        <w:rPr>
          <w:b/>
          <w:bCs/>
          <w:i/>
          <w:iCs/>
          <w:sz w:val="20"/>
          <w:szCs w:val="20"/>
        </w:rPr>
        <w:t>Pos</w:t>
      </w:r>
      <w:r w:rsidR="00107A58" w:rsidRPr="00C355E2">
        <w:rPr>
          <w:b/>
          <w:bCs/>
          <w:i/>
          <w:iCs/>
          <w:sz w:val="20"/>
          <w:szCs w:val="20"/>
        </w:rPr>
        <w:t xml:space="preserve">: </w:t>
      </w:r>
      <w:r w:rsidR="00107A58" w:rsidRPr="00C355E2">
        <w:rPr>
          <w:i/>
          <w:iCs/>
          <w:sz w:val="20"/>
          <w:szCs w:val="20"/>
        </w:rPr>
        <w:t>The nucleotide starting position of the CpG</w:t>
      </w:r>
      <w:r w:rsidR="0074714A">
        <w:rPr>
          <w:i/>
          <w:iCs/>
          <w:sz w:val="20"/>
          <w:szCs w:val="20"/>
        </w:rPr>
        <w:t>, 0 based</w:t>
      </w:r>
      <w:r w:rsidR="00107A58" w:rsidRPr="00C355E2">
        <w:rPr>
          <w:i/>
          <w:iCs/>
          <w:sz w:val="20"/>
          <w:szCs w:val="20"/>
        </w:rPr>
        <w:br/>
      </w:r>
      <w:r w:rsidR="00107A58" w:rsidRPr="00C355E2">
        <w:rPr>
          <w:b/>
          <w:bCs/>
          <w:i/>
          <w:iCs/>
          <w:sz w:val="20"/>
          <w:szCs w:val="20"/>
        </w:rPr>
        <w:t xml:space="preserve">N_total: </w:t>
      </w:r>
      <w:r w:rsidR="00107A58" w:rsidRPr="00C355E2">
        <w:rPr>
          <w:i/>
          <w:iCs/>
          <w:sz w:val="20"/>
          <w:szCs w:val="20"/>
        </w:rPr>
        <w:t>Total number of reads behind the CpG</w:t>
      </w:r>
      <w:r w:rsidR="00107A58" w:rsidRPr="00C355E2">
        <w:rPr>
          <w:i/>
          <w:iCs/>
          <w:sz w:val="20"/>
          <w:szCs w:val="20"/>
        </w:rPr>
        <w:br/>
      </w:r>
      <w:r w:rsidR="00107A58" w:rsidRPr="00C355E2">
        <w:rPr>
          <w:b/>
          <w:bCs/>
          <w:i/>
          <w:iCs/>
          <w:sz w:val="20"/>
          <w:szCs w:val="20"/>
        </w:rPr>
        <w:t xml:space="preserve">ratio: </w:t>
      </w:r>
      <w:r w:rsidR="00107A58" w:rsidRPr="00C355E2">
        <w:rPr>
          <w:i/>
          <w:iCs/>
          <w:sz w:val="20"/>
          <w:szCs w:val="20"/>
        </w:rPr>
        <w:t xml:space="preserve">The </w:t>
      </w:r>
      <w:r w:rsidR="00107A58">
        <w:rPr>
          <w:i/>
          <w:iCs/>
          <w:sz w:val="20"/>
          <w:szCs w:val="20"/>
        </w:rPr>
        <w:t>methylation ratio</w:t>
      </w:r>
      <w:r w:rsidR="00107A58" w:rsidRPr="00C355E2">
        <w:rPr>
          <w:i/>
          <w:iCs/>
          <w:sz w:val="20"/>
          <w:szCs w:val="20"/>
        </w:rPr>
        <w:t>, calculated as number of methylated reads out of all reads</w:t>
      </w:r>
      <w:r w:rsidR="00107A58" w:rsidRPr="00C355E2">
        <w:rPr>
          <w:i/>
          <w:iCs/>
          <w:sz w:val="20"/>
          <w:szCs w:val="20"/>
        </w:rPr>
        <w:br/>
      </w:r>
      <w:r w:rsidR="00107A58" w:rsidRPr="00C355E2">
        <w:rPr>
          <w:b/>
          <w:bCs/>
          <w:i/>
          <w:iCs/>
          <w:sz w:val="20"/>
          <w:szCs w:val="20"/>
        </w:rPr>
        <w:t>Strand_bias:</w:t>
      </w:r>
      <w:r w:rsidR="00107A58" w:rsidRPr="00C355E2">
        <w:rPr>
          <w:i/>
          <w:iCs/>
          <w:sz w:val="20"/>
          <w:szCs w:val="20"/>
        </w:rPr>
        <w:t xml:space="preserve"> Difference between the methylation ratio of forward and reverse strand</w:t>
      </w:r>
      <w:r w:rsidR="00B76343">
        <w:rPr>
          <w:i/>
          <w:iCs/>
          <w:sz w:val="20"/>
          <w:szCs w:val="20"/>
        </w:rPr>
        <w:br/>
      </w:r>
    </w:p>
    <w:p w14:paraId="65F47151" w14:textId="77777777" w:rsidR="00B76343" w:rsidRPr="00881322" w:rsidRDefault="00B76343" w:rsidP="00803E19">
      <w:pPr>
        <w:widowControl w:val="0"/>
      </w:pPr>
    </w:p>
    <w:p w14:paraId="264CED87" w14:textId="79C51040" w:rsidR="00107A58" w:rsidRPr="00B76343" w:rsidRDefault="00DC5CA6" w:rsidP="00803E19">
      <w:pPr>
        <w:widowControl w:val="0"/>
        <w:rPr>
          <w:b/>
          <w:bCs/>
        </w:rPr>
      </w:pPr>
      <w:r>
        <w:rPr>
          <w:b/>
          <w:bCs/>
        </w:rPr>
        <w:t>Data S3:</w:t>
      </w:r>
      <w:r w:rsidR="00107A58" w:rsidRPr="00107A58">
        <w:t xml:space="preserve"> Summary statistics for CpG</w:t>
      </w:r>
      <w:r w:rsidR="00BF1A3A">
        <w:t xml:space="preserve">s </w:t>
      </w:r>
      <w:r w:rsidR="00107A58" w:rsidRPr="00107A58">
        <w:t xml:space="preserve">averaged over </w:t>
      </w:r>
      <w:r w:rsidR="00F8528B">
        <w:t xml:space="preserve">304 </w:t>
      </w:r>
      <w:r w:rsidR="00107A58" w:rsidRPr="00107A58">
        <w:t>samples sequenced using R9.4 flowcell from ONT</w:t>
      </w:r>
      <w:r w:rsidR="00107A58">
        <w:t xml:space="preserve"> and methylation called using Guppy.</w:t>
      </w:r>
      <w:r w:rsidR="00B76343">
        <w:rPr>
          <w:b/>
          <w:bCs/>
        </w:rPr>
        <w:br/>
      </w:r>
      <w:r w:rsidR="00107A58" w:rsidRPr="00C355E2">
        <w:rPr>
          <w:b/>
          <w:bCs/>
          <w:i/>
          <w:iCs/>
          <w:sz w:val="20"/>
          <w:szCs w:val="20"/>
        </w:rPr>
        <w:t xml:space="preserve">Chrom: </w:t>
      </w:r>
      <w:r w:rsidR="00107A58" w:rsidRPr="00C355E2">
        <w:rPr>
          <w:i/>
          <w:iCs/>
          <w:sz w:val="20"/>
          <w:szCs w:val="20"/>
        </w:rPr>
        <w:t>The chromosome of CpG</w:t>
      </w:r>
      <w:r w:rsidR="00107A58" w:rsidRPr="00C355E2">
        <w:rPr>
          <w:i/>
          <w:iCs/>
          <w:sz w:val="20"/>
          <w:szCs w:val="20"/>
        </w:rPr>
        <w:br/>
      </w:r>
      <w:r w:rsidR="00BF1A3A">
        <w:rPr>
          <w:b/>
          <w:bCs/>
          <w:i/>
          <w:iCs/>
          <w:sz w:val="20"/>
          <w:szCs w:val="20"/>
        </w:rPr>
        <w:t>s</w:t>
      </w:r>
      <w:r w:rsidR="00107A58" w:rsidRPr="00C355E2">
        <w:rPr>
          <w:b/>
          <w:bCs/>
          <w:i/>
          <w:iCs/>
          <w:sz w:val="20"/>
          <w:szCs w:val="20"/>
        </w:rPr>
        <w:t>tart</w:t>
      </w:r>
      <w:r w:rsidR="00107A58">
        <w:rPr>
          <w:b/>
          <w:bCs/>
          <w:i/>
          <w:iCs/>
          <w:sz w:val="20"/>
          <w:szCs w:val="20"/>
        </w:rPr>
        <w:t>x</w:t>
      </w:r>
      <w:r w:rsidR="00107A58" w:rsidRPr="00C355E2">
        <w:rPr>
          <w:b/>
          <w:bCs/>
          <w:i/>
          <w:iCs/>
          <w:sz w:val="20"/>
          <w:szCs w:val="20"/>
        </w:rPr>
        <w:t xml:space="preserve">: </w:t>
      </w:r>
      <w:r w:rsidR="00107A58" w:rsidRPr="00C355E2">
        <w:rPr>
          <w:i/>
          <w:iCs/>
          <w:sz w:val="20"/>
          <w:szCs w:val="20"/>
        </w:rPr>
        <w:t>The nucleotide starting position of the CpG</w:t>
      </w:r>
      <w:r w:rsidR="0074714A">
        <w:rPr>
          <w:i/>
          <w:iCs/>
          <w:sz w:val="20"/>
          <w:szCs w:val="20"/>
        </w:rPr>
        <w:t>, 0 based</w:t>
      </w:r>
      <w:r w:rsidR="00107A58" w:rsidRPr="00C355E2">
        <w:rPr>
          <w:i/>
          <w:iCs/>
          <w:sz w:val="20"/>
          <w:szCs w:val="20"/>
        </w:rPr>
        <w:br/>
      </w:r>
      <w:r w:rsidR="00BF1A3A">
        <w:rPr>
          <w:b/>
          <w:bCs/>
          <w:i/>
          <w:iCs/>
          <w:sz w:val="20"/>
          <w:szCs w:val="20"/>
        </w:rPr>
        <w:t>e</w:t>
      </w:r>
      <w:r w:rsidR="00107A58" w:rsidRPr="00C355E2">
        <w:rPr>
          <w:b/>
          <w:bCs/>
          <w:i/>
          <w:iCs/>
          <w:sz w:val="20"/>
          <w:szCs w:val="20"/>
        </w:rPr>
        <w:t xml:space="preserve">nd: </w:t>
      </w:r>
      <w:r w:rsidR="00107A58" w:rsidRPr="00C355E2">
        <w:rPr>
          <w:i/>
          <w:iCs/>
          <w:sz w:val="20"/>
          <w:szCs w:val="20"/>
        </w:rPr>
        <w:t>The nucleotide ending position of the Cp</w:t>
      </w:r>
      <w:r w:rsidR="00107A58">
        <w:rPr>
          <w:i/>
          <w:iCs/>
          <w:sz w:val="20"/>
          <w:szCs w:val="20"/>
        </w:rPr>
        <w:t>G</w:t>
      </w:r>
      <w:r w:rsidR="00107A58" w:rsidRPr="00C355E2">
        <w:rPr>
          <w:i/>
          <w:iCs/>
          <w:sz w:val="20"/>
          <w:szCs w:val="20"/>
        </w:rPr>
        <w:br/>
      </w:r>
      <w:r w:rsidR="00BF1A3A">
        <w:rPr>
          <w:b/>
          <w:bCs/>
          <w:i/>
          <w:iCs/>
          <w:sz w:val="20"/>
          <w:szCs w:val="20"/>
        </w:rPr>
        <w:t>n</w:t>
      </w:r>
      <w:r w:rsidR="00107A58" w:rsidRPr="00C355E2">
        <w:rPr>
          <w:b/>
          <w:bCs/>
          <w:i/>
          <w:iCs/>
          <w:sz w:val="20"/>
          <w:szCs w:val="20"/>
        </w:rPr>
        <w:t xml:space="preserve">_total: </w:t>
      </w:r>
      <w:r w:rsidR="00107A58" w:rsidRPr="00C355E2">
        <w:rPr>
          <w:i/>
          <w:iCs/>
          <w:sz w:val="20"/>
          <w:szCs w:val="20"/>
        </w:rPr>
        <w:t>Total number of reads behind the CpG</w:t>
      </w:r>
      <w:r w:rsidR="00107A58" w:rsidRPr="00C355E2">
        <w:rPr>
          <w:i/>
          <w:iCs/>
          <w:sz w:val="20"/>
          <w:szCs w:val="20"/>
        </w:rPr>
        <w:br/>
      </w:r>
      <w:r w:rsidR="00107A58" w:rsidRPr="00C355E2">
        <w:rPr>
          <w:b/>
          <w:bCs/>
          <w:i/>
          <w:iCs/>
          <w:sz w:val="20"/>
          <w:szCs w:val="20"/>
        </w:rPr>
        <w:t xml:space="preserve">ratio: </w:t>
      </w:r>
      <w:r w:rsidR="00107A58" w:rsidRPr="00C355E2">
        <w:rPr>
          <w:i/>
          <w:iCs/>
          <w:sz w:val="20"/>
          <w:szCs w:val="20"/>
        </w:rPr>
        <w:t>The</w:t>
      </w:r>
      <w:r w:rsidR="00107A58">
        <w:rPr>
          <w:i/>
          <w:iCs/>
          <w:sz w:val="20"/>
          <w:szCs w:val="20"/>
        </w:rPr>
        <w:t xml:space="preserve"> methylation ratio</w:t>
      </w:r>
      <w:r w:rsidR="00107A58" w:rsidRPr="00C355E2">
        <w:rPr>
          <w:i/>
          <w:iCs/>
          <w:sz w:val="20"/>
          <w:szCs w:val="20"/>
        </w:rPr>
        <w:t>, calculated as number of methylated reads out of all reads.</w:t>
      </w:r>
      <w:r w:rsidR="00107A58" w:rsidRPr="00C355E2">
        <w:rPr>
          <w:i/>
          <w:iCs/>
          <w:sz w:val="20"/>
          <w:szCs w:val="20"/>
        </w:rPr>
        <w:br/>
      </w:r>
      <w:r w:rsidR="00BF1A3A">
        <w:rPr>
          <w:b/>
          <w:bCs/>
          <w:i/>
          <w:iCs/>
          <w:sz w:val="20"/>
          <w:szCs w:val="20"/>
        </w:rPr>
        <w:t>s</w:t>
      </w:r>
      <w:r w:rsidR="00107A58" w:rsidRPr="00C355E2">
        <w:rPr>
          <w:b/>
          <w:bCs/>
          <w:i/>
          <w:iCs/>
          <w:sz w:val="20"/>
          <w:szCs w:val="20"/>
        </w:rPr>
        <w:t>trand_bias:</w:t>
      </w:r>
      <w:r w:rsidR="00107A58" w:rsidRPr="00C355E2">
        <w:rPr>
          <w:i/>
          <w:iCs/>
          <w:sz w:val="20"/>
          <w:szCs w:val="20"/>
        </w:rPr>
        <w:t xml:space="preserve"> Difference between the methylation ratio of forward and reverse strand</w:t>
      </w:r>
      <w:r w:rsidR="00107A58" w:rsidRPr="00C355E2">
        <w:rPr>
          <w:i/>
          <w:iCs/>
          <w:sz w:val="20"/>
          <w:szCs w:val="20"/>
        </w:rPr>
        <w:br/>
      </w:r>
      <w:r w:rsidR="00BF1A3A">
        <w:rPr>
          <w:b/>
          <w:bCs/>
          <w:i/>
          <w:iCs/>
          <w:sz w:val="20"/>
          <w:szCs w:val="20"/>
        </w:rPr>
        <w:t>d</w:t>
      </w:r>
      <w:r w:rsidR="00107A58" w:rsidRPr="00C355E2">
        <w:rPr>
          <w:b/>
          <w:bCs/>
          <w:i/>
          <w:iCs/>
          <w:sz w:val="20"/>
          <w:szCs w:val="20"/>
        </w:rPr>
        <w:t xml:space="preserve">ark_region: </w:t>
      </w:r>
      <w:r w:rsidR="00107A58" w:rsidRPr="00C355E2">
        <w:rPr>
          <w:i/>
          <w:iCs/>
          <w:sz w:val="20"/>
          <w:szCs w:val="20"/>
        </w:rPr>
        <w:t xml:space="preserve">Boolean column </w:t>
      </w:r>
      <w:r w:rsidR="00BF1A3A">
        <w:rPr>
          <w:i/>
          <w:iCs/>
          <w:sz w:val="20"/>
          <w:szCs w:val="20"/>
        </w:rPr>
        <w:t>indicating if</w:t>
      </w:r>
      <w:r w:rsidR="00107A58" w:rsidRPr="00C355E2">
        <w:rPr>
          <w:i/>
          <w:iCs/>
          <w:sz w:val="20"/>
          <w:szCs w:val="20"/>
        </w:rPr>
        <w:t xml:space="preserve"> the CpG is within dark region. 1 indicates the CpG unit is within a dark region, 0 indicates it is not</w:t>
      </w:r>
      <w:r w:rsidR="00107A58" w:rsidRPr="00C355E2">
        <w:rPr>
          <w:i/>
          <w:iCs/>
          <w:sz w:val="20"/>
          <w:szCs w:val="20"/>
        </w:rPr>
        <w:br/>
      </w:r>
      <w:r w:rsidR="00107A58" w:rsidRPr="00C355E2">
        <w:rPr>
          <w:b/>
          <w:bCs/>
          <w:i/>
          <w:iCs/>
          <w:sz w:val="20"/>
          <w:szCs w:val="20"/>
        </w:rPr>
        <w:t xml:space="preserve">SNP: </w:t>
      </w:r>
      <w:r w:rsidR="00107A58" w:rsidRPr="00C355E2">
        <w:rPr>
          <w:i/>
          <w:iCs/>
          <w:sz w:val="20"/>
          <w:szCs w:val="20"/>
        </w:rPr>
        <w:t xml:space="preserve">Boolean column indicating </w:t>
      </w:r>
      <w:r w:rsidR="00BF1A3A">
        <w:rPr>
          <w:i/>
          <w:iCs/>
          <w:sz w:val="20"/>
          <w:szCs w:val="20"/>
        </w:rPr>
        <w:t>if</w:t>
      </w:r>
      <w:r w:rsidR="00107A58" w:rsidRPr="00C355E2">
        <w:rPr>
          <w:i/>
          <w:iCs/>
          <w:sz w:val="20"/>
          <w:szCs w:val="20"/>
        </w:rPr>
        <w:t xml:space="preserve"> the CpG is within 5bp of SNP</w:t>
      </w:r>
      <w:r w:rsidR="00107A58" w:rsidRPr="00C355E2">
        <w:rPr>
          <w:i/>
          <w:iCs/>
          <w:sz w:val="20"/>
          <w:szCs w:val="20"/>
        </w:rPr>
        <w:br/>
      </w:r>
      <w:r w:rsidR="00107A58" w:rsidRPr="00C355E2">
        <w:rPr>
          <w:b/>
          <w:bCs/>
          <w:i/>
          <w:iCs/>
          <w:sz w:val="20"/>
          <w:szCs w:val="20"/>
        </w:rPr>
        <w:t xml:space="preserve">highSB: </w:t>
      </w:r>
      <w:r w:rsidR="00107A58" w:rsidRPr="00C355E2">
        <w:rPr>
          <w:i/>
          <w:iCs/>
          <w:sz w:val="20"/>
          <w:szCs w:val="20"/>
        </w:rPr>
        <w:t xml:space="preserve">Boolean column indicating </w:t>
      </w:r>
      <w:r w:rsidR="00BF1A3A">
        <w:rPr>
          <w:i/>
          <w:iCs/>
          <w:sz w:val="20"/>
          <w:szCs w:val="20"/>
        </w:rPr>
        <w:t>if</w:t>
      </w:r>
      <w:r w:rsidR="00107A58" w:rsidRPr="00C355E2">
        <w:rPr>
          <w:i/>
          <w:iCs/>
          <w:sz w:val="20"/>
          <w:szCs w:val="20"/>
        </w:rPr>
        <w:t xml:space="preserve"> the CpG failes on strand bias test and has strand bias greater than 0.2</w:t>
      </w:r>
      <w:r w:rsidR="00107A58" w:rsidRPr="00C355E2">
        <w:rPr>
          <w:i/>
          <w:iCs/>
          <w:sz w:val="20"/>
          <w:szCs w:val="20"/>
        </w:rPr>
        <w:br/>
      </w:r>
      <w:r w:rsidR="00107A58" w:rsidRPr="00C355E2">
        <w:rPr>
          <w:b/>
          <w:bCs/>
          <w:i/>
          <w:iCs/>
          <w:sz w:val="20"/>
          <w:szCs w:val="20"/>
        </w:rPr>
        <w:t xml:space="preserve">highCov: </w:t>
      </w:r>
      <w:r w:rsidR="00107A58" w:rsidRPr="00C355E2">
        <w:rPr>
          <w:i/>
          <w:iCs/>
          <w:sz w:val="20"/>
          <w:szCs w:val="20"/>
        </w:rPr>
        <w:t>Boolean column indicating if the CpG fails on coverage test and has coverage greater than 1.5 times the average coverage</w:t>
      </w:r>
      <w:r w:rsidR="00107A58" w:rsidRPr="00C355E2">
        <w:rPr>
          <w:i/>
          <w:iCs/>
          <w:sz w:val="20"/>
          <w:szCs w:val="20"/>
        </w:rPr>
        <w:br/>
      </w:r>
      <w:r w:rsidR="00107A58" w:rsidRPr="00C355E2">
        <w:rPr>
          <w:b/>
          <w:bCs/>
          <w:i/>
          <w:iCs/>
          <w:sz w:val="20"/>
          <w:szCs w:val="20"/>
        </w:rPr>
        <w:t xml:space="preserve">lowCov: </w:t>
      </w:r>
      <w:r w:rsidR="00107A58" w:rsidRPr="00C355E2">
        <w:rPr>
          <w:i/>
          <w:iCs/>
          <w:sz w:val="20"/>
          <w:szCs w:val="20"/>
        </w:rPr>
        <w:t>Boolean column indicating if the CpG fails on coverage test and has coverage less than 0.5 times the average coverage</w:t>
      </w:r>
      <w:r w:rsidR="00107A58" w:rsidRPr="00C355E2">
        <w:rPr>
          <w:i/>
          <w:iCs/>
          <w:sz w:val="20"/>
          <w:szCs w:val="20"/>
        </w:rPr>
        <w:br/>
      </w:r>
      <w:r w:rsidR="00BF1A3A">
        <w:rPr>
          <w:b/>
          <w:bCs/>
          <w:i/>
          <w:iCs/>
          <w:sz w:val="20"/>
          <w:szCs w:val="20"/>
        </w:rPr>
        <w:lastRenderedPageBreak/>
        <w:t>h</w:t>
      </w:r>
      <w:r w:rsidR="00BF1A3A" w:rsidRPr="00C355E2">
        <w:rPr>
          <w:b/>
          <w:bCs/>
          <w:i/>
          <w:iCs/>
          <w:sz w:val="20"/>
          <w:szCs w:val="20"/>
        </w:rPr>
        <w:t xml:space="preserve">q: </w:t>
      </w:r>
      <w:r w:rsidR="00BF1A3A" w:rsidRPr="00C355E2">
        <w:rPr>
          <w:i/>
          <w:iCs/>
          <w:sz w:val="20"/>
          <w:szCs w:val="20"/>
        </w:rPr>
        <w:t xml:space="preserve">Boolean column </w:t>
      </w:r>
      <w:r w:rsidR="00BF1A3A">
        <w:rPr>
          <w:i/>
          <w:iCs/>
          <w:sz w:val="20"/>
          <w:szCs w:val="20"/>
        </w:rPr>
        <w:t>i</w:t>
      </w:r>
      <w:r w:rsidR="00BF1A3A" w:rsidRPr="00C355E2">
        <w:rPr>
          <w:i/>
          <w:iCs/>
          <w:sz w:val="20"/>
          <w:szCs w:val="20"/>
        </w:rPr>
        <w:t xml:space="preserve">ndicating </w:t>
      </w:r>
      <w:r w:rsidR="00BF1A3A">
        <w:rPr>
          <w:i/>
          <w:iCs/>
          <w:sz w:val="20"/>
          <w:szCs w:val="20"/>
        </w:rPr>
        <w:t>if</w:t>
      </w:r>
      <w:r w:rsidR="00BF1A3A" w:rsidRPr="00C355E2">
        <w:rPr>
          <w:i/>
          <w:iCs/>
          <w:sz w:val="20"/>
          <w:szCs w:val="20"/>
        </w:rPr>
        <w:t xml:space="preserve"> the CpG is high-quality</w:t>
      </w:r>
    </w:p>
    <w:p w14:paraId="54BE6F51" w14:textId="6DAC2F80" w:rsidR="00107A58" w:rsidRDefault="00107A58" w:rsidP="00803E19">
      <w:pPr>
        <w:widowControl w:val="0"/>
        <w:rPr>
          <w:b/>
          <w:bCs/>
        </w:rPr>
      </w:pPr>
    </w:p>
    <w:p w14:paraId="450420AB" w14:textId="533B766D" w:rsidR="00BF1A3A" w:rsidRPr="00881322" w:rsidRDefault="00DC5CA6" w:rsidP="00803E19">
      <w:pPr>
        <w:widowControl w:val="0"/>
      </w:pPr>
      <w:r>
        <w:rPr>
          <w:b/>
          <w:bCs/>
        </w:rPr>
        <w:t>Data S4:</w:t>
      </w:r>
      <w:r w:rsidR="00BF1A3A">
        <w:rPr>
          <w:b/>
          <w:bCs/>
        </w:rPr>
        <w:t xml:space="preserve"> </w:t>
      </w:r>
      <w:r w:rsidR="00BF1A3A" w:rsidRPr="00107A58">
        <w:t>Summary statistics for CpG</w:t>
      </w:r>
      <w:r w:rsidR="00BF1A3A">
        <w:t xml:space="preserve">s, </w:t>
      </w:r>
      <w:r w:rsidR="00BF1A3A" w:rsidRPr="00107A58">
        <w:t xml:space="preserve">averaged over </w:t>
      </w:r>
      <w:r w:rsidR="00F8528B">
        <w:t>22</w:t>
      </w:r>
      <w:r w:rsidR="00BF1A3A">
        <w:t xml:space="preserve"> </w:t>
      </w:r>
      <w:r w:rsidR="00BF1A3A" w:rsidRPr="00107A58">
        <w:t>samples sequenced using R</w:t>
      </w:r>
      <w:r w:rsidR="00BF1A3A">
        <w:t>10</w:t>
      </w:r>
      <w:r w:rsidR="00BF1A3A" w:rsidRPr="00107A58">
        <w:t>.4 flowcell from ONT</w:t>
      </w:r>
      <w:r w:rsidR="00BF1A3A">
        <w:t xml:space="preserve"> and methylation called using Guppy.</w:t>
      </w:r>
      <w:r w:rsidR="00B76343">
        <w:br/>
      </w:r>
      <w:r w:rsidR="00BF1A3A" w:rsidRPr="00C355E2">
        <w:rPr>
          <w:b/>
          <w:bCs/>
          <w:i/>
          <w:iCs/>
          <w:sz w:val="20"/>
          <w:szCs w:val="20"/>
        </w:rPr>
        <w:t xml:space="preserve">Chrom: </w:t>
      </w:r>
      <w:r w:rsidR="00BF1A3A" w:rsidRPr="00C355E2">
        <w:rPr>
          <w:i/>
          <w:iCs/>
          <w:sz w:val="20"/>
          <w:szCs w:val="20"/>
        </w:rPr>
        <w:t>The chromosome of CpG</w:t>
      </w:r>
      <w:r w:rsidR="00BF1A3A" w:rsidRPr="00C355E2">
        <w:rPr>
          <w:i/>
          <w:iCs/>
          <w:sz w:val="20"/>
          <w:szCs w:val="20"/>
        </w:rPr>
        <w:br/>
      </w:r>
      <w:r w:rsidR="00BF1A3A">
        <w:rPr>
          <w:b/>
          <w:bCs/>
          <w:i/>
          <w:iCs/>
          <w:sz w:val="20"/>
          <w:szCs w:val="20"/>
        </w:rPr>
        <w:t>s</w:t>
      </w:r>
      <w:r w:rsidR="00BF1A3A" w:rsidRPr="00C355E2">
        <w:rPr>
          <w:b/>
          <w:bCs/>
          <w:i/>
          <w:iCs/>
          <w:sz w:val="20"/>
          <w:szCs w:val="20"/>
        </w:rPr>
        <w:t>tart</w:t>
      </w:r>
      <w:r w:rsidR="00BF1A3A">
        <w:rPr>
          <w:b/>
          <w:bCs/>
          <w:i/>
          <w:iCs/>
          <w:sz w:val="20"/>
          <w:szCs w:val="20"/>
        </w:rPr>
        <w:t>x</w:t>
      </w:r>
      <w:r w:rsidR="00BF1A3A" w:rsidRPr="00C355E2">
        <w:rPr>
          <w:b/>
          <w:bCs/>
          <w:i/>
          <w:iCs/>
          <w:sz w:val="20"/>
          <w:szCs w:val="20"/>
        </w:rPr>
        <w:t xml:space="preserve">: </w:t>
      </w:r>
      <w:r w:rsidR="00BF1A3A" w:rsidRPr="00C355E2">
        <w:rPr>
          <w:i/>
          <w:iCs/>
          <w:sz w:val="20"/>
          <w:szCs w:val="20"/>
        </w:rPr>
        <w:t>The nucleotide starting position of the CpG</w:t>
      </w:r>
      <w:r w:rsidR="00BF1A3A">
        <w:rPr>
          <w:i/>
          <w:iCs/>
          <w:sz w:val="20"/>
          <w:szCs w:val="20"/>
        </w:rPr>
        <w:t>, 0 based</w:t>
      </w:r>
      <w:r w:rsidR="00BF1A3A" w:rsidRPr="00C355E2">
        <w:rPr>
          <w:i/>
          <w:iCs/>
          <w:sz w:val="20"/>
          <w:szCs w:val="20"/>
        </w:rPr>
        <w:br/>
      </w:r>
      <w:r w:rsidR="00BF1A3A">
        <w:rPr>
          <w:b/>
          <w:bCs/>
          <w:i/>
          <w:iCs/>
          <w:sz w:val="20"/>
          <w:szCs w:val="20"/>
        </w:rPr>
        <w:t>e</w:t>
      </w:r>
      <w:r w:rsidR="00BF1A3A" w:rsidRPr="00C355E2">
        <w:rPr>
          <w:b/>
          <w:bCs/>
          <w:i/>
          <w:iCs/>
          <w:sz w:val="20"/>
          <w:szCs w:val="20"/>
        </w:rPr>
        <w:t xml:space="preserve">nd: </w:t>
      </w:r>
      <w:r w:rsidR="00BF1A3A" w:rsidRPr="00C355E2">
        <w:rPr>
          <w:i/>
          <w:iCs/>
          <w:sz w:val="20"/>
          <w:szCs w:val="20"/>
        </w:rPr>
        <w:t>The nucleotide ending position of the Cp</w:t>
      </w:r>
      <w:r w:rsidR="00BF1A3A">
        <w:rPr>
          <w:i/>
          <w:iCs/>
          <w:sz w:val="20"/>
          <w:szCs w:val="20"/>
        </w:rPr>
        <w:t>G</w:t>
      </w:r>
      <w:r w:rsidR="00BF1A3A" w:rsidRPr="00C355E2">
        <w:rPr>
          <w:i/>
          <w:iCs/>
          <w:sz w:val="20"/>
          <w:szCs w:val="20"/>
        </w:rPr>
        <w:br/>
      </w:r>
      <w:r w:rsidR="00BF1A3A">
        <w:rPr>
          <w:b/>
          <w:bCs/>
          <w:i/>
          <w:iCs/>
          <w:sz w:val="20"/>
          <w:szCs w:val="20"/>
        </w:rPr>
        <w:t>n</w:t>
      </w:r>
      <w:r w:rsidR="00BF1A3A" w:rsidRPr="00C355E2">
        <w:rPr>
          <w:b/>
          <w:bCs/>
          <w:i/>
          <w:iCs/>
          <w:sz w:val="20"/>
          <w:szCs w:val="20"/>
        </w:rPr>
        <w:t xml:space="preserve">_total: </w:t>
      </w:r>
      <w:r w:rsidR="00BF1A3A" w:rsidRPr="00C355E2">
        <w:rPr>
          <w:i/>
          <w:iCs/>
          <w:sz w:val="20"/>
          <w:szCs w:val="20"/>
        </w:rPr>
        <w:t>Total number of reads behind the CpG</w:t>
      </w:r>
      <w:r w:rsidR="00BF1A3A" w:rsidRPr="00C355E2">
        <w:rPr>
          <w:i/>
          <w:iCs/>
          <w:sz w:val="20"/>
          <w:szCs w:val="20"/>
        </w:rPr>
        <w:br/>
      </w:r>
      <w:r w:rsidR="00BF1A3A" w:rsidRPr="00C355E2">
        <w:rPr>
          <w:b/>
          <w:bCs/>
          <w:i/>
          <w:iCs/>
          <w:sz w:val="20"/>
          <w:szCs w:val="20"/>
        </w:rPr>
        <w:t xml:space="preserve">ratio: </w:t>
      </w:r>
      <w:r w:rsidR="00BF1A3A" w:rsidRPr="00C355E2">
        <w:rPr>
          <w:i/>
          <w:iCs/>
          <w:sz w:val="20"/>
          <w:szCs w:val="20"/>
        </w:rPr>
        <w:t>The</w:t>
      </w:r>
      <w:r w:rsidR="00BF1A3A">
        <w:rPr>
          <w:i/>
          <w:iCs/>
          <w:sz w:val="20"/>
          <w:szCs w:val="20"/>
        </w:rPr>
        <w:t xml:space="preserve"> methylation ratio</w:t>
      </w:r>
      <w:r w:rsidR="00BF1A3A" w:rsidRPr="00C355E2">
        <w:rPr>
          <w:i/>
          <w:iCs/>
          <w:sz w:val="20"/>
          <w:szCs w:val="20"/>
        </w:rPr>
        <w:t>, calculated as number of methylated reads out of all reads.</w:t>
      </w:r>
      <w:r w:rsidR="00BF1A3A" w:rsidRPr="00C355E2">
        <w:rPr>
          <w:i/>
          <w:iCs/>
          <w:sz w:val="20"/>
          <w:szCs w:val="20"/>
        </w:rPr>
        <w:br/>
      </w:r>
      <w:r w:rsidR="00BF1A3A">
        <w:rPr>
          <w:b/>
          <w:bCs/>
          <w:i/>
          <w:iCs/>
          <w:sz w:val="20"/>
          <w:szCs w:val="20"/>
        </w:rPr>
        <w:t>s</w:t>
      </w:r>
      <w:r w:rsidR="00BF1A3A" w:rsidRPr="00C355E2">
        <w:rPr>
          <w:b/>
          <w:bCs/>
          <w:i/>
          <w:iCs/>
          <w:sz w:val="20"/>
          <w:szCs w:val="20"/>
        </w:rPr>
        <w:t>trand_bias:</w:t>
      </w:r>
      <w:r w:rsidR="00BF1A3A" w:rsidRPr="00C355E2">
        <w:rPr>
          <w:i/>
          <w:iCs/>
          <w:sz w:val="20"/>
          <w:szCs w:val="20"/>
        </w:rPr>
        <w:t xml:space="preserve"> Difference between the methylation ratio of forward and reverse strand</w:t>
      </w:r>
      <w:r w:rsidR="00BF1A3A" w:rsidRPr="00C355E2">
        <w:rPr>
          <w:i/>
          <w:iCs/>
          <w:sz w:val="20"/>
          <w:szCs w:val="20"/>
        </w:rPr>
        <w:br/>
      </w:r>
      <w:r w:rsidR="00BF1A3A">
        <w:rPr>
          <w:b/>
          <w:bCs/>
          <w:i/>
          <w:iCs/>
          <w:sz w:val="20"/>
          <w:szCs w:val="20"/>
        </w:rPr>
        <w:t>d</w:t>
      </w:r>
      <w:r w:rsidR="00BF1A3A" w:rsidRPr="00C355E2">
        <w:rPr>
          <w:b/>
          <w:bCs/>
          <w:i/>
          <w:iCs/>
          <w:sz w:val="20"/>
          <w:szCs w:val="20"/>
        </w:rPr>
        <w:t xml:space="preserve">ark_region: </w:t>
      </w:r>
      <w:r w:rsidR="00BF1A3A" w:rsidRPr="00C355E2">
        <w:rPr>
          <w:i/>
          <w:iCs/>
          <w:sz w:val="20"/>
          <w:szCs w:val="20"/>
        </w:rPr>
        <w:t xml:space="preserve">Boolean column </w:t>
      </w:r>
      <w:r w:rsidR="00BF1A3A">
        <w:rPr>
          <w:i/>
          <w:iCs/>
          <w:sz w:val="20"/>
          <w:szCs w:val="20"/>
        </w:rPr>
        <w:t>indicating if</w:t>
      </w:r>
      <w:r w:rsidR="00BF1A3A" w:rsidRPr="00C355E2">
        <w:rPr>
          <w:i/>
          <w:iCs/>
          <w:sz w:val="20"/>
          <w:szCs w:val="20"/>
        </w:rPr>
        <w:t xml:space="preserve"> the CpG is within dark region. 1 indicates the CpG unit is within a dark region, 0 indicates it is not</w:t>
      </w:r>
      <w:r w:rsidR="00BF1A3A" w:rsidRPr="00C355E2">
        <w:rPr>
          <w:i/>
          <w:iCs/>
          <w:sz w:val="20"/>
          <w:szCs w:val="20"/>
        </w:rPr>
        <w:br/>
      </w:r>
      <w:r w:rsidR="00BF1A3A" w:rsidRPr="00C355E2">
        <w:rPr>
          <w:b/>
          <w:bCs/>
          <w:i/>
          <w:iCs/>
          <w:sz w:val="20"/>
          <w:szCs w:val="20"/>
        </w:rPr>
        <w:t xml:space="preserve">SNP: </w:t>
      </w:r>
      <w:r w:rsidR="00BF1A3A" w:rsidRPr="00C355E2">
        <w:rPr>
          <w:i/>
          <w:iCs/>
          <w:sz w:val="20"/>
          <w:szCs w:val="20"/>
        </w:rPr>
        <w:t xml:space="preserve">Boolean column indicating </w:t>
      </w:r>
      <w:r w:rsidR="00BF1A3A">
        <w:rPr>
          <w:i/>
          <w:iCs/>
          <w:sz w:val="20"/>
          <w:szCs w:val="20"/>
        </w:rPr>
        <w:t>if</w:t>
      </w:r>
      <w:r w:rsidR="00BF1A3A" w:rsidRPr="00C355E2">
        <w:rPr>
          <w:i/>
          <w:iCs/>
          <w:sz w:val="20"/>
          <w:szCs w:val="20"/>
        </w:rPr>
        <w:t xml:space="preserve"> the CpG is within 5bp of SNP</w:t>
      </w:r>
      <w:r w:rsidR="00BF1A3A" w:rsidRPr="00C355E2">
        <w:rPr>
          <w:i/>
          <w:iCs/>
          <w:sz w:val="20"/>
          <w:szCs w:val="20"/>
        </w:rPr>
        <w:br/>
      </w:r>
      <w:r w:rsidR="00BF1A3A" w:rsidRPr="00C355E2">
        <w:rPr>
          <w:b/>
          <w:bCs/>
          <w:i/>
          <w:iCs/>
          <w:sz w:val="20"/>
          <w:szCs w:val="20"/>
        </w:rPr>
        <w:t xml:space="preserve">highSB: </w:t>
      </w:r>
      <w:r w:rsidR="00BF1A3A" w:rsidRPr="00C355E2">
        <w:rPr>
          <w:i/>
          <w:iCs/>
          <w:sz w:val="20"/>
          <w:szCs w:val="20"/>
        </w:rPr>
        <w:t xml:space="preserve">Boolean column indicating </w:t>
      </w:r>
      <w:r w:rsidR="00BF1A3A">
        <w:rPr>
          <w:i/>
          <w:iCs/>
          <w:sz w:val="20"/>
          <w:szCs w:val="20"/>
        </w:rPr>
        <w:t>if</w:t>
      </w:r>
      <w:r w:rsidR="00BF1A3A" w:rsidRPr="00C355E2">
        <w:rPr>
          <w:i/>
          <w:iCs/>
          <w:sz w:val="20"/>
          <w:szCs w:val="20"/>
        </w:rPr>
        <w:t xml:space="preserve"> the CpG failes on strand bias test and has strand bias greater than 0.2</w:t>
      </w:r>
      <w:r w:rsidR="00BF1A3A" w:rsidRPr="00C355E2">
        <w:rPr>
          <w:i/>
          <w:iCs/>
          <w:sz w:val="20"/>
          <w:szCs w:val="20"/>
        </w:rPr>
        <w:br/>
      </w:r>
      <w:r w:rsidR="00BF1A3A" w:rsidRPr="00C355E2">
        <w:rPr>
          <w:b/>
          <w:bCs/>
          <w:i/>
          <w:iCs/>
          <w:sz w:val="20"/>
          <w:szCs w:val="20"/>
        </w:rPr>
        <w:t xml:space="preserve">highCov: </w:t>
      </w:r>
      <w:r w:rsidR="00BF1A3A" w:rsidRPr="00C355E2">
        <w:rPr>
          <w:i/>
          <w:iCs/>
          <w:sz w:val="20"/>
          <w:szCs w:val="20"/>
        </w:rPr>
        <w:t>Boolean column indicating if the CpG fails on coverage test and has coverage greater than 1.5 times the average coverage</w:t>
      </w:r>
      <w:r w:rsidR="00BF1A3A" w:rsidRPr="00C355E2">
        <w:rPr>
          <w:i/>
          <w:iCs/>
          <w:sz w:val="20"/>
          <w:szCs w:val="20"/>
        </w:rPr>
        <w:br/>
      </w:r>
      <w:r w:rsidR="00BF1A3A" w:rsidRPr="00C355E2">
        <w:rPr>
          <w:b/>
          <w:bCs/>
          <w:i/>
          <w:iCs/>
          <w:sz w:val="20"/>
          <w:szCs w:val="20"/>
        </w:rPr>
        <w:t xml:space="preserve">lowCov: </w:t>
      </w:r>
      <w:r w:rsidR="00BF1A3A" w:rsidRPr="00C355E2">
        <w:rPr>
          <w:i/>
          <w:iCs/>
          <w:sz w:val="20"/>
          <w:szCs w:val="20"/>
        </w:rPr>
        <w:t>Boolean column indicating if the CpG fails on coverage test and has coverage less than 0.5 times the average coverage</w:t>
      </w:r>
      <w:r w:rsidR="00BF1A3A" w:rsidRPr="00C355E2">
        <w:rPr>
          <w:i/>
          <w:iCs/>
          <w:sz w:val="20"/>
          <w:szCs w:val="20"/>
        </w:rPr>
        <w:br/>
      </w:r>
      <w:r w:rsidR="00BF1A3A">
        <w:rPr>
          <w:b/>
          <w:bCs/>
          <w:i/>
          <w:iCs/>
          <w:sz w:val="20"/>
          <w:szCs w:val="20"/>
        </w:rPr>
        <w:t>h</w:t>
      </w:r>
      <w:r w:rsidR="00BF1A3A" w:rsidRPr="00C355E2">
        <w:rPr>
          <w:b/>
          <w:bCs/>
          <w:i/>
          <w:iCs/>
          <w:sz w:val="20"/>
          <w:szCs w:val="20"/>
        </w:rPr>
        <w:t xml:space="preserve">q: </w:t>
      </w:r>
      <w:r w:rsidR="00BF1A3A" w:rsidRPr="00C355E2">
        <w:rPr>
          <w:i/>
          <w:iCs/>
          <w:sz w:val="20"/>
          <w:szCs w:val="20"/>
        </w:rPr>
        <w:t xml:space="preserve">Boolean column </w:t>
      </w:r>
      <w:r w:rsidR="00BF1A3A">
        <w:rPr>
          <w:i/>
          <w:iCs/>
          <w:sz w:val="20"/>
          <w:szCs w:val="20"/>
        </w:rPr>
        <w:t>i</w:t>
      </w:r>
      <w:r w:rsidR="00BF1A3A" w:rsidRPr="00C355E2">
        <w:rPr>
          <w:i/>
          <w:iCs/>
          <w:sz w:val="20"/>
          <w:szCs w:val="20"/>
        </w:rPr>
        <w:t xml:space="preserve">ndicating </w:t>
      </w:r>
      <w:r w:rsidR="00BF1A3A">
        <w:rPr>
          <w:i/>
          <w:iCs/>
          <w:sz w:val="20"/>
          <w:szCs w:val="20"/>
        </w:rPr>
        <w:t>if</w:t>
      </w:r>
      <w:r w:rsidR="00BF1A3A" w:rsidRPr="00C355E2">
        <w:rPr>
          <w:i/>
          <w:iCs/>
          <w:sz w:val="20"/>
          <w:szCs w:val="20"/>
        </w:rPr>
        <w:t xml:space="preserve"> the CpG is high-quality</w:t>
      </w:r>
    </w:p>
    <w:p w14:paraId="78F29FFE" w14:textId="77777777" w:rsidR="00B76343" w:rsidRDefault="00B76343" w:rsidP="00803E19">
      <w:pPr>
        <w:widowControl w:val="0"/>
        <w:rPr>
          <w:b/>
          <w:bCs/>
        </w:rPr>
      </w:pPr>
    </w:p>
    <w:p w14:paraId="743BC80B" w14:textId="18211179" w:rsidR="00D9398C" w:rsidRDefault="00D9398C" w:rsidP="00803E19">
      <w:pPr>
        <w:widowControl w:val="0"/>
        <w:rPr>
          <w:i/>
          <w:iCs/>
          <w:sz w:val="20"/>
          <w:szCs w:val="20"/>
        </w:rPr>
      </w:pPr>
      <w:r>
        <w:rPr>
          <w:b/>
          <w:bCs/>
        </w:rPr>
        <w:t xml:space="preserve">Data S5: </w:t>
      </w:r>
      <w:r w:rsidRPr="00107A58">
        <w:t>Summary statistics for CpG</w:t>
      </w:r>
      <w:r>
        <w:t xml:space="preserve">s, </w:t>
      </w:r>
      <w:r w:rsidRPr="00107A58">
        <w:t xml:space="preserve">averaged over </w:t>
      </w:r>
      <w:r>
        <w:t xml:space="preserve">50 </w:t>
      </w:r>
      <w:r w:rsidRPr="00107A58">
        <w:t xml:space="preserve">samples sequenced using </w:t>
      </w:r>
      <w:r>
        <w:t>SMRT-sequencing and methylation called using primrose.</w:t>
      </w:r>
      <w:r w:rsidR="00B76343">
        <w:br/>
      </w:r>
      <w:r w:rsidRPr="00C355E2">
        <w:rPr>
          <w:b/>
          <w:bCs/>
          <w:i/>
          <w:iCs/>
          <w:sz w:val="20"/>
          <w:szCs w:val="20"/>
        </w:rPr>
        <w:t xml:space="preserve">Chrom: </w:t>
      </w:r>
      <w:r w:rsidRPr="00C355E2">
        <w:rPr>
          <w:i/>
          <w:iCs/>
          <w:sz w:val="20"/>
          <w:szCs w:val="20"/>
        </w:rPr>
        <w:t>The chromosome of CpG</w:t>
      </w:r>
      <w:r w:rsidRPr="00C355E2">
        <w:rPr>
          <w:i/>
          <w:iCs/>
          <w:sz w:val="20"/>
          <w:szCs w:val="20"/>
        </w:rPr>
        <w:br/>
      </w:r>
      <w:r>
        <w:rPr>
          <w:b/>
          <w:bCs/>
          <w:i/>
          <w:iCs/>
          <w:sz w:val="20"/>
          <w:szCs w:val="20"/>
        </w:rPr>
        <w:t>Pos</w:t>
      </w:r>
      <w:r w:rsidRPr="00C355E2">
        <w:rPr>
          <w:b/>
          <w:bCs/>
          <w:i/>
          <w:iCs/>
          <w:sz w:val="20"/>
          <w:szCs w:val="20"/>
        </w:rPr>
        <w:t xml:space="preserve">: </w:t>
      </w:r>
      <w:r w:rsidRPr="00C355E2">
        <w:rPr>
          <w:i/>
          <w:iCs/>
          <w:sz w:val="20"/>
          <w:szCs w:val="20"/>
        </w:rPr>
        <w:t>The nucleotide position of the CpG</w:t>
      </w:r>
      <w:r>
        <w:rPr>
          <w:i/>
          <w:iCs/>
          <w:sz w:val="20"/>
          <w:szCs w:val="20"/>
        </w:rPr>
        <w:t>, 0 based</w:t>
      </w:r>
      <w:r w:rsidRPr="00C355E2">
        <w:rPr>
          <w:i/>
          <w:iCs/>
          <w:sz w:val="20"/>
          <w:szCs w:val="20"/>
        </w:rPr>
        <w:br/>
      </w:r>
      <w:r>
        <w:rPr>
          <w:b/>
          <w:bCs/>
          <w:i/>
          <w:iCs/>
          <w:sz w:val="20"/>
          <w:szCs w:val="20"/>
        </w:rPr>
        <w:t>n</w:t>
      </w:r>
      <w:r w:rsidRPr="00C355E2">
        <w:rPr>
          <w:b/>
          <w:bCs/>
          <w:i/>
          <w:iCs/>
          <w:sz w:val="20"/>
          <w:szCs w:val="20"/>
        </w:rPr>
        <w:t xml:space="preserve">_total: </w:t>
      </w:r>
      <w:r w:rsidRPr="00C355E2">
        <w:rPr>
          <w:i/>
          <w:iCs/>
          <w:sz w:val="20"/>
          <w:szCs w:val="20"/>
        </w:rPr>
        <w:t>Total number of reads behind the CpG</w:t>
      </w:r>
      <w:r w:rsidRPr="00C355E2">
        <w:rPr>
          <w:i/>
          <w:iCs/>
          <w:sz w:val="20"/>
          <w:szCs w:val="20"/>
        </w:rPr>
        <w:br/>
      </w:r>
      <w:r w:rsidRPr="00C355E2">
        <w:rPr>
          <w:b/>
          <w:bCs/>
          <w:i/>
          <w:iCs/>
          <w:sz w:val="20"/>
          <w:szCs w:val="20"/>
        </w:rPr>
        <w:t xml:space="preserve">ratio: </w:t>
      </w:r>
      <w:r w:rsidRPr="00C355E2">
        <w:rPr>
          <w:i/>
          <w:iCs/>
          <w:sz w:val="20"/>
          <w:szCs w:val="20"/>
        </w:rPr>
        <w:t>The</w:t>
      </w:r>
      <w:r>
        <w:rPr>
          <w:i/>
          <w:iCs/>
          <w:sz w:val="20"/>
          <w:szCs w:val="20"/>
        </w:rPr>
        <w:t xml:space="preserve"> methylation ratio</w:t>
      </w:r>
      <w:r w:rsidRPr="00C355E2">
        <w:rPr>
          <w:i/>
          <w:iCs/>
          <w:sz w:val="20"/>
          <w:szCs w:val="20"/>
        </w:rPr>
        <w:t>, calculated as number of methylated reads out of all reads.</w:t>
      </w:r>
      <w:r w:rsidRPr="00C355E2">
        <w:rPr>
          <w:i/>
          <w:iCs/>
          <w:sz w:val="20"/>
          <w:szCs w:val="20"/>
        </w:rPr>
        <w:br/>
      </w:r>
      <w:r>
        <w:rPr>
          <w:b/>
          <w:bCs/>
          <w:i/>
          <w:iCs/>
          <w:sz w:val="20"/>
          <w:szCs w:val="20"/>
        </w:rPr>
        <w:t>d</w:t>
      </w:r>
      <w:r w:rsidRPr="00C355E2">
        <w:rPr>
          <w:b/>
          <w:bCs/>
          <w:i/>
          <w:iCs/>
          <w:sz w:val="20"/>
          <w:szCs w:val="20"/>
        </w:rPr>
        <w:t xml:space="preserve">ark_region: </w:t>
      </w:r>
      <w:r w:rsidRPr="00C355E2">
        <w:rPr>
          <w:i/>
          <w:iCs/>
          <w:sz w:val="20"/>
          <w:szCs w:val="20"/>
        </w:rPr>
        <w:t xml:space="preserve">Boolean column </w:t>
      </w:r>
      <w:r>
        <w:rPr>
          <w:i/>
          <w:iCs/>
          <w:sz w:val="20"/>
          <w:szCs w:val="20"/>
        </w:rPr>
        <w:t>indicating if</w:t>
      </w:r>
      <w:r w:rsidRPr="00C355E2">
        <w:rPr>
          <w:i/>
          <w:iCs/>
          <w:sz w:val="20"/>
          <w:szCs w:val="20"/>
        </w:rPr>
        <w:t xml:space="preserve"> the CpG is within dark region. 1 indicates the CpG unit is within a dark region, 0 indicates it is not</w:t>
      </w:r>
      <w:r w:rsidRPr="00C355E2">
        <w:rPr>
          <w:i/>
          <w:iCs/>
          <w:sz w:val="20"/>
          <w:szCs w:val="20"/>
        </w:rPr>
        <w:br/>
      </w:r>
      <w:r w:rsidRPr="00C355E2">
        <w:rPr>
          <w:b/>
          <w:bCs/>
          <w:i/>
          <w:iCs/>
          <w:sz w:val="20"/>
          <w:szCs w:val="20"/>
        </w:rPr>
        <w:t xml:space="preserve">SNP: </w:t>
      </w:r>
      <w:r w:rsidRPr="00C355E2">
        <w:rPr>
          <w:i/>
          <w:iCs/>
          <w:sz w:val="20"/>
          <w:szCs w:val="20"/>
        </w:rPr>
        <w:t xml:space="preserve">Boolean column indicating </w:t>
      </w:r>
      <w:r>
        <w:rPr>
          <w:i/>
          <w:iCs/>
          <w:sz w:val="20"/>
          <w:szCs w:val="20"/>
        </w:rPr>
        <w:t>if</w:t>
      </w:r>
      <w:r w:rsidRPr="00C355E2">
        <w:rPr>
          <w:i/>
          <w:iCs/>
          <w:sz w:val="20"/>
          <w:szCs w:val="20"/>
        </w:rPr>
        <w:t xml:space="preserve"> the CpG is within 5bp of SNP</w:t>
      </w:r>
      <w:r w:rsidRPr="00C355E2">
        <w:rPr>
          <w:i/>
          <w:iCs/>
          <w:sz w:val="20"/>
          <w:szCs w:val="20"/>
        </w:rPr>
        <w:br/>
      </w:r>
      <w:r w:rsidRPr="00C355E2">
        <w:rPr>
          <w:b/>
          <w:bCs/>
          <w:i/>
          <w:iCs/>
          <w:sz w:val="20"/>
          <w:szCs w:val="20"/>
        </w:rPr>
        <w:t xml:space="preserve">highCov: </w:t>
      </w:r>
      <w:r w:rsidRPr="00C355E2">
        <w:rPr>
          <w:i/>
          <w:iCs/>
          <w:sz w:val="20"/>
          <w:szCs w:val="20"/>
        </w:rPr>
        <w:t>Boolean column indicating if the CpG fails on coverage test and has coverage greater than 1.5 times the average coverage</w:t>
      </w:r>
      <w:r w:rsidRPr="00C355E2">
        <w:rPr>
          <w:i/>
          <w:iCs/>
          <w:sz w:val="20"/>
          <w:szCs w:val="20"/>
        </w:rPr>
        <w:br/>
      </w:r>
      <w:r w:rsidRPr="00C355E2">
        <w:rPr>
          <w:b/>
          <w:bCs/>
          <w:i/>
          <w:iCs/>
          <w:sz w:val="20"/>
          <w:szCs w:val="20"/>
        </w:rPr>
        <w:t xml:space="preserve">lowCov: </w:t>
      </w:r>
      <w:r w:rsidRPr="00C355E2">
        <w:rPr>
          <w:i/>
          <w:iCs/>
          <w:sz w:val="20"/>
          <w:szCs w:val="20"/>
        </w:rPr>
        <w:t>Boolean column indicating if the CpG fails on coverage test and has coverage less than 0.5 times the average coverage</w:t>
      </w:r>
      <w:r w:rsidRPr="00C355E2">
        <w:rPr>
          <w:i/>
          <w:iCs/>
          <w:sz w:val="20"/>
          <w:szCs w:val="20"/>
        </w:rPr>
        <w:br/>
      </w:r>
      <w:r>
        <w:rPr>
          <w:b/>
          <w:bCs/>
          <w:i/>
          <w:iCs/>
          <w:sz w:val="20"/>
          <w:szCs w:val="20"/>
        </w:rPr>
        <w:t>h</w:t>
      </w:r>
      <w:r w:rsidRPr="00C355E2">
        <w:rPr>
          <w:b/>
          <w:bCs/>
          <w:i/>
          <w:iCs/>
          <w:sz w:val="20"/>
          <w:szCs w:val="20"/>
        </w:rPr>
        <w:t xml:space="preserve">q: </w:t>
      </w:r>
      <w:r w:rsidRPr="00C355E2">
        <w:rPr>
          <w:i/>
          <w:iCs/>
          <w:sz w:val="20"/>
          <w:szCs w:val="20"/>
        </w:rPr>
        <w:t xml:space="preserve">Boolean column </w:t>
      </w:r>
      <w:r>
        <w:rPr>
          <w:i/>
          <w:iCs/>
          <w:sz w:val="20"/>
          <w:szCs w:val="20"/>
        </w:rPr>
        <w:t>i</w:t>
      </w:r>
      <w:r w:rsidRPr="00C355E2">
        <w:rPr>
          <w:i/>
          <w:iCs/>
          <w:sz w:val="20"/>
          <w:szCs w:val="20"/>
        </w:rPr>
        <w:t xml:space="preserve">ndicating </w:t>
      </w:r>
      <w:r>
        <w:rPr>
          <w:i/>
          <w:iCs/>
          <w:sz w:val="20"/>
          <w:szCs w:val="20"/>
        </w:rPr>
        <w:t>if</w:t>
      </w:r>
      <w:r w:rsidRPr="00C355E2">
        <w:rPr>
          <w:i/>
          <w:iCs/>
          <w:sz w:val="20"/>
          <w:szCs w:val="20"/>
        </w:rPr>
        <w:t xml:space="preserve"> the CpG is high-quality</w:t>
      </w:r>
    </w:p>
    <w:p w14:paraId="47A8147E" w14:textId="77777777" w:rsidR="004D6725" w:rsidRPr="00881322" w:rsidRDefault="004D6725" w:rsidP="00803E19">
      <w:pPr>
        <w:widowControl w:val="0"/>
      </w:pPr>
    </w:p>
    <w:p w14:paraId="61317F02" w14:textId="29B9FC45" w:rsidR="004D6725" w:rsidRDefault="004D6725" w:rsidP="00803E19">
      <w:pPr>
        <w:widowControl w:val="0"/>
        <w:rPr>
          <w:i/>
          <w:iCs/>
          <w:sz w:val="20"/>
          <w:szCs w:val="20"/>
        </w:rPr>
      </w:pPr>
      <w:r>
        <w:rPr>
          <w:b/>
          <w:bCs/>
        </w:rPr>
        <w:t xml:space="preserve">Data S6: </w:t>
      </w:r>
      <w:r w:rsidRPr="00107A58">
        <w:t>Summary statistics for CpG</w:t>
      </w:r>
      <w:r>
        <w:t>s, 132 samples sequenced using both oxBS and ONT, filtered on 25x per CpG in oxBS or greater.</w:t>
      </w:r>
      <w:r>
        <w:br/>
      </w:r>
      <w:r w:rsidRPr="00C355E2">
        <w:rPr>
          <w:b/>
          <w:bCs/>
          <w:i/>
          <w:iCs/>
          <w:sz w:val="20"/>
          <w:szCs w:val="20"/>
        </w:rPr>
        <w:t xml:space="preserve">Chrom: </w:t>
      </w:r>
      <w:r w:rsidRPr="00C355E2">
        <w:rPr>
          <w:i/>
          <w:iCs/>
          <w:sz w:val="20"/>
          <w:szCs w:val="20"/>
        </w:rPr>
        <w:t>The chromosome of CpG</w:t>
      </w:r>
      <w:r w:rsidRPr="00C355E2">
        <w:rPr>
          <w:i/>
          <w:iCs/>
          <w:sz w:val="20"/>
          <w:szCs w:val="20"/>
        </w:rPr>
        <w:br/>
      </w:r>
      <w:r>
        <w:rPr>
          <w:b/>
          <w:bCs/>
          <w:i/>
          <w:iCs/>
          <w:sz w:val="20"/>
          <w:szCs w:val="20"/>
        </w:rPr>
        <w:t>pos_ont</w:t>
      </w:r>
      <w:r w:rsidRPr="00C355E2">
        <w:rPr>
          <w:b/>
          <w:bCs/>
          <w:i/>
          <w:iCs/>
          <w:sz w:val="20"/>
          <w:szCs w:val="20"/>
        </w:rPr>
        <w:t xml:space="preserve">: </w:t>
      </w:r>
      <w:r w:rsidRPr="00C355E2">
        <w:rPr>
          <w:i/>
          <w:iCs/>
          <w:sz w:val="20"/>
          <w:szCs w:val="20"/>
        </w:rPr>
        <w:t>The nucleotide</w:t>
      </w:r>
      <w:r>
        <w:rPr>
          <w:i/>
          <w:iCs/>
          <w:sz w:val="20"/>
          <w:szCs w:val="20"/>
        </w:rPr>
        <w:t xml:space="preserve"> start</w:t>
      </w:r>
      <w:r w:rsidRPr="00C355E2">
        <w:rPr>
          <w:i/>
          <w:iCs/>
          <w:sz w:val="20"/>
          <w:szCs w:val="20"/>
        </w:rPr>
        <w:t xml:space="preserve"> position of the CpG</w:t>
      </w:r>
      <w:r>
        <w:rPr>
          <w:i/>
          <w:iCs/>
          <w:sz w:val="20"/>
          <w:szCs w:val="20"/>
        </w:rPr>
        <w:t xml:space="preserve"> in ONT data, 0 based</w:t>
      </w:r>
    </w:p>
    <w:p w14:paraId="5337A0CF" w14:textId="43DF30C9" w:rsidR="004D6725" w:rsidRPr="004D6725" w:rsidRDefault="004D6725" w:rsidP="00803E19">
      <w:pPr>
        <w:widowControl w:val="0"/>
      </w:pPr>
      <w:r>
        <w:rPr>
          <w:b/>
          <w:bCs/>
          <w:i/>
          <w:iCs/>
          <w:sz w:val="20"/>
          <w:szCs w:val="20"/>
        </w:rPr>
        <w:t xml:space="preserve">end_ont: </w:t>
      </w:r>
      <w:r w:rsidRPr="00C355E2">
        <w:rPr>
          <w:i/>
          <w:iCs/>
          <w:sz w:val="20"/>
          <w:szCs w:val="20"/>
        </w:rPr>
        <w:t>The nucleotide</w:t>
      </w:r>
      <w:r>
        <w:rPr>
          <w:i/>
          <w:iCs/>
          <w:sz w:val="20"/>
          <w:szCs w:val="20"/>
        </w:rPr>
        <w:t xml:space="preserve"> end</w:t>
      </w:r>
      <w:r w:rsidRPr="00C355E2">
        <w:rPr>
          <w:i/>
          <w:iCs/>
          <w:sz w:val="20"/>
          <w:szCs w:val="20"/>
        </w:rPr>
        <w:t xml:space="preserve"> position of the CpG</w:t>
      </w:r>
      <w:r>
        <w:rPr>
          <w:i/>
          <w:iCs/>
          <w:sz w:val="20"/>
          <w:szCs w:val="20"/>
        </w:rPr>
        <w:t xml:space="preserve"> in ONT data, 0 based</w:t>
      </w:r>
      <w:r w:rsidRPr="00C355E2">
        <w:rPr>
          <w:i/>
          <w:iCs/>
          <w:sz w:val="20"/>
          <w:szCs w:val="20"/>
        </w:rPr>
        <w:br/>
      </w:r>
      <w:r w:rsidRPr="00C355E2">
        <w:rPr>
          <w:b/>
          <w:bCs/>
          <w:i/>
          <w:iCs/>
          <w:sz w:val="20"/>
          <w:szCs w:val="20"/>
        </w:rPr>
        <w:t>ratio</w:t>
      </w:r>
      <w:r>
        <w:rPr>
          <w:b/>
          <w:bCs/>
          <w:i/>
          <w:iCs/>
          <w:sz w:val="20"/>
          <w:szCs w:val="20"/>
        </w:rPr>
        <w:t>_ont</w:t>
      </w:r>
      <w:r w:rsidRPr="00C355E2">
        <w:rPr>
          <w:b/>
          <w:bCs/>
          <w:i/>
          <w:iCs/>
          <w:sz w:val="20"/>
          <w:szCs w:val="20"/>
        </w:rPr>
        <w:t xml:space="preserve">: </w:t>
      </w:r>
      <w:r w:rsidRPr="00C355E2">
        <w:rPr>
          <w:i/>
          <w:iCs/>
          <w:sz w:val="20"/>
          <w:szCs w:val="20"/>
        </w:rPr>
        <w:t>The</w:t>
      </w:r>
      <w:r>
        <w:rPr>
          <w:i/>
          <w:iCs/>
          <w:sz w:val="20"/>
          <w:szCs w:val="20"/>
        </w:rPr>
        <w:t xml:space="preserve"> methylation ratio</w:t>
      </w:r>
      <w:r w:rsidRPr="00C355E2">
        <w:rPr>
          <w:i/>
          <w:iCs/>
          <w:sz w:val="20"/>
          <w:szCs w:val="20"/>
        </w:rPr>
        <w:t>, calculated as number of methylated reads out of all reads</w:t>
      </w:r>
      <w:r>
        <w:rPr>
          <w:i/>
          <w:iCs/>
          <w:sz w:val="20"/>
          <w:szCs w:val="20"/>
        </w:rPr>
        <w:t xml:space="preserve"> in ONT</w:t>
      </w:r>
      <w:r w:rsidRPr="00C355E2">
        <w:rPr>
          <w:i/>
          <w:iCs/>
          <w:sz w:val="20"/>
          <w:szCs w:val="20"/>
        </w:rPr>
        <w:t>.</w:t>
      </w:r>
      <w:r w:rsidRPr="00C355E2">
        <w:rPr>
          <w:i/>
          <w:iCs/>
          <w:sz w:val="20"/>
          <w:szCs w:val="20"/>
        </w:rPr>
        <w:br/>
      </w:r>
      <w:r>
        <w:rPr>
          <w:b/>
          <w:bCs/>
          <w:i/>
          <w:iCs/>
          <w:sz w:val="20"/>
          <w:szCs w:val="20"/>
        </w:rPr>
        <w:t>pos_oxBS</w:t>
      </w:r>
      <w:r w:rsidRPr="00C355E2">
        <w:rPr>
          <w:b/>
          <w:bCs/>
          <w:i/>
          <w:iCs/>
          <w:sz w:val="20"/>
          <w:szCs w:val="20"/>
        </w:rPr>
        <w:t xml:space="preserve">: </w:t>
      </w:r>
      <w:r w:rsidRPr="00C355E2">
        <w:rPr>
          <w:i/>
          <w:iCs/>
          <w:sz w:val="20"/>
          <w:szCs w:val="20"/>
        </w:rPr>
        <w:t>The nucleotide</w:t>
      </w:r>
      <w:r>
        <w:rPr>
          <w:i/>
          <w:iCs/>
          <w:sz w:val="20"/>
          <w:szCs w:val="20"/>
        </w:rPr>
        <w:t xml:space="preserve"> start</w:t>
      </w:r>
      <w:r w:rsidRPr="00C355E2">
        <w:rPr>
          <w:i/>
          <w:iCs/>
          <w:sz w:val="20"/>
          <w:szCs w:val="20"/>
        </w:rPr>
        <w:t xml:space="preserve"> position of the CpG</w:t>
      </w:r>
      <w:r>
        <w:rPr>
          <w:i/>
          <w:iCs/>
          <w:sz w:val="20"/>
          <w:szCs w:val="20"/>
        </w:rPr>
        <w:t xml:space="preserve"> in oxBS data, 0 based</w:t>
      </w:r>
      <w:r w:rsidRPr="00C355E2">
        <w:rPr>
          <w:i/>
          <w:iCs/>
          <w:sz w:val="20"/>
          <w:szCs w:val="20"/>
        </w:rPr>
        <w:br/>
      </w:r>
      <w:r>
        <w:rPr>
          <w:b/>
          <w:bCs/>
          <w:i/>
          <w:iCs/>
          <w:sz w:val="20"/>
          <w:szCs w:val="20"/>
        </w:rPr>
        <w:t>ratio_oxBS:</w:t>
      </w:r>
      <w:r w:rsidRPr="004D6725">
        <w:rPr>
          <w:i/>
          <w:iCs/>
          <w:sz w:val="20"/>
          <w:szCs w:val="20"/>
        </w:rPr>
        <w:t xml:space="preserve"> </w:t>
      </w:r>
      <w:r w:rsidRPr="00C355E2">
        <w:rPr>
          <w:i/>
          <w:iCs/>
          <w:sz w:val="20"/>
          <w:szCs w:val="20"/>
        </w:rPr>
        <w:t>The</w:t>
      </w:r>
      <w:r>
        <w:rPr>
          <w:i/>
          <w:iCs/>
          <w:sz w:val="20"/>
          <w:szCs w:val="20"/>
        </w:rPr>
        <w:t xml:space="preserve"> methylation ratio</w:t>
      </w:r>
      <w:r w:rsidRPr="00C355E2">
        <w:rPr>
          <w:i/>
          <w:iCs/>
          <w:sz w:val="20"/>
          <w:szCs w:val="20"/>
        </w:rPr>
        <w:t>, calculated as number of methylated reads out of all reads</w:t>
      </w:r>
      <w:r>
        <w:rPr>
          <w:i/>
          <w:iCs/>
          <w:sz w:val="20"/>
          <w:szCs w:val="20"/>
        </w:rPr>
        <w:t xml:space="preserve"> in oxBS</w:t>
      </w:r>
      <w:r w:rsidRPr="00C355E2">
        <w:rPr>
          <w:i/>
          <w:iCs/>
          <w:sz w:val="20"/>
          <w:szCs w:val="20"/>
        </w:rPr>
        <w:t>.</w:t>
      </w:r>
      <w:r>
        <w:rPr>
          <w:b/>
          <w:bCs/>
          <w:i/>
          <w:iCs/>
          <w:sz w:val="20"/>
          <w:szCs w:val="20"/>
        </w:rPr>
        <w:t xml:space="preserve"> </w:t>
      </w:r>
    </w:p>
    <w:p w14:paraId="1AE1FD12" w14:textId="77777777" w:rsidR="00B76343" w:rsidRPr="00881322" w:rsidRDefault="00B76343" w:rsidP="00803E19">
      <w:pPr>
        <w:widowControl w:val="0"/>
      </w:pPr>
    </w:p>
    <w:p w14:paraId="50C7C633" w14:textId="41394A0C" w:rsidR="0003691B" w:rsidRPr="0003691B" w:rsidRDefault="00C3751A" w:rsidP="00803E19">
      <w:pPr>
        <w:pStyle w:val="Heading1"/>
        <w:keepNext w:val="0"/>
        <w:keepLines w:val="0"/>
        <w:widowControl w:val="0"/>
      </w:pPr>
      <w:r>
        <w:t>3. R</w:t>
      </w:r>
      <w:r w:rsidR="0003691B">
        <w:t>eferences</w:t>
      </w:r>
    </w:p>
    <w:sdt>
      <w:sdtPr>
        <w:rPr>
          <w:rFonts w:ascii="Calibri" w:eastAsia="Calibri" w:hAnsi="Calibri" w:cs="Calibri"/>
          <w:color w:val="000000" w:themeColor="text1"/>
        </w:rPr>
        <w:tag w:val="MENDELEY_BIBLIOGRAPHY"/>
        <w:id w:val="-1246961504"/>
        <w:placeholder>
          <w:docPart w:val="DefaultPlaceholder_-1854013440"/>
        </w:placeholder>
      </w:sdtPr>
      <w:sdtEndPr/>
      <w:sdtContent>
        <w:p w14:paraId="4B30B03B" w14:textId="789CEE72" w:rsidR="000D2732" w:rsidRPr="00881322" w:rsidRDefault="000D2732" w:rsidP="00803E19">
          <w:pPr>
            <w:widowControl w:val="0"/>
            <w:autoSpaceDE w:val="0"/>
            <w:autoSpaceDN w:val="0"/>
            <w:ind w:hanging="640"/>
            <w:divId w:val="262692630"/>
            <w:rPr>
              <w:rFonts w:eastAsia="Times New Roman"/>
              <w:sz w:val="24"/>
              <w:szCs w:val="24"/>
            </w:rPr>
          </w:pPr>
          <w:r>
            <w:rPr>
              <w:rFonts w:eastAsia="Times New Roman"/>
            </w:rPr>
            <w:t>1.</w:t>
          </w:r>
          <w:r>
            <w:rPr>
              <w:rFonts w:eastAsia="Times New Roman"/>
            </w:rPr>
            <w:tab/>
            <w:t xml:space="preserve">Beyter D, Ingimundardottir H, Oddsson A, Eggertsson HP, Bjornsson E, Jonsson H, et al. Long-read sequencing of 3,622 Icelanders provides insight into the role of structural variants in human diseases and other traits. Nat Genet. 2021;53(6). </w:t>
          </w:r>
        </w:p>
        <w:p w14:paraId="0BB88A94" w14:textId="55824B3F" w:rsidR="00454296" w:rsidRDefault="001D71F3" w:rsidP="00803E19">
          <w:pPr>
            <w:widowControl w:val="0"/>
            <w:spacing w:line="480" w:lineRule="auto"/>
            <w:sectPr w:rsidR="00454296">
              <w:footerReference w:type="default" r:id="rId21"/>
              <w:pgSz w:w="11906" w:h="16838"/>
              <w:pgMar w:top="1440" w:right="1440" w:bottom="1440" w:left="1440" w:header="708" w:footer="708" w:gutter="0"/>
              <w:cols w:space="708"/>
              <w:docGrid w:linePitch="360"/>
            </w:sectPr>
          </w:pPr>
        </w:p>
      </w:sdtContent>
    </w:sdt>
    <w:p w14:paraId="6F014B07" w14:textId="1B8D7ADD" w:rsidR="00D60F79" w:rsidRDefault="00D60F79" w:rsidP="00803E19">
      <w:pPr>
        <w:pStyle w:val="Heading1"/>
        <w:keepNext w:val="0"/>
        <w:keepLines w:val="0"/>
        <w:widowControl w:val="0"/>
        <w:rPr>
          <w:rFonts w:ascii="Calibri" w:eastAsia="Calibri" w:hAnsi="Calibri" w:cs="Calibri"/>
          <w:b/>
          <w:bCs/>
          <w:color w:val="000000" w:themeColor="text1"/>
        </w:rPr>
      </w:pPr>
    </w:p>
    <w:sectPr w:rsidR="00D60F79" w:rsidSect="00182B7D">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318840" w14:textId="77777777" w:rsidR="001D71F3" w:rsidRDefault="001D71F3" w:rsidP="00DC3CFE">
      <w:pPr>
        <w:spacing w:after="0" w:line="240" w:lineRule="auto"/>
      </w:pPr>
      <w:r>
        <w:separator/>
      </w:r>
    </w:p>
  </w:endnote>
  <w:endnote w:type="continuationSeparator" w:id="0">
    <w:p w14:paraId="6FAE8E0C" w14:textId="77777777" w:rsidR="001D71F3" w:rsidRDefault="001D71F3" w:rsidP="00DC3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066191"/>
      <w:docPartObj>
        <w:docPartGallery w:val="Page Numbers (Bottom of Page)"/>
        <w:docPartUnique/>
      </w:docPartObj>
    </w:sdtPr>
    <w:sdtEndPr>
      <w:rPr>
        <w:noProof/>
      </w:rPr>
    </w:sdtEndPr>
    <w:sdtContent>
      <w:p w14:paraId="6719F216" w14:textId="7EB68E5E" w:rsidR="00DC3CFE" w:rsidRDefault="00DC3CFE">
        <w:pPr>
          <w:pStyle w:val="Footer"/>
          <w:jc w:val="right"/>
        </w:pPr>
        <w:r>
          <w:fldChar w:fldCharType="begin"/>
        </w:r>
        <w:r>
          <w:instrText xml:space="preserve"> PAGE   \* MERGEFORMAT </w:instrText>
        </w:r>
        <w:r>
          <w:fldChar w:fldCharType="separate"/>
        </w:r>
        <w:r w:rsidR="00364C84">
          <w:rPr>
            <w:noProof/>
          </w:rPr>
          <w:t>19</w:t>
        </w:r>
        <w:r>
          <w:rPr>
            <w:noProof/>
          </w:rPr>
          <w:fldChar w:fldCharType="end"/>
        </w:r>
      </w:p>
    </w:sdtContent>
  </w:sdt>
  <w:p w14:paraId="1F34F125" w14:textId="77777777" w:rsidR="00DC3CFE" w:rsidRDefault="00DC3C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42ABCF" w14:textId="77777777" w:rsidR="001D71F3" w:rsidRDefault="001D71F3" w:rsidP="00DC3CFE">
      <w:pPr>
        <w:spacing w:after="0" w:line="240" w:lineRule="auto"/>
      </w:pPr>
      <w:r>
        <w:separator/>
      </w:r>
    </w:p>
  </w:footnote>
  <w:footnote w:type="continuationSeparator" w:id="0">
    <w:p w14:paraId="0745679A" w14:textId="77777777" w:rsidR="001D71F3" w:rsidRDefault="001D71F3" w:rsidP="00DC3C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3167"/>
    <w:multiLevelType w:val="hybridMultilevel"/>
    <w:tmpl w:val="01E8714E"/>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
    <w:nsid w:val="41744CE2"/>
    <w:multiLevelType w:val="hybridMultilevel"/>
    <w:tmpl w:val="6408DFEE"/>
    <w:lvl w:ilvl="0" w:tplc="E81E7C56">
      <w:numFmt w:val="bullet"/>
      <w:lvlText w:val=""/>
      <w:lvlJc w:val="left"/>
      <w:pPr>
        <w:ind w:left="720" w:hanging="360"/>
      </w:pPr>
      <w:rPr>
        <w:rFonts w:ascii="Symbol" w:eastAsiaTheme="minorHAnsi" w:hAnsi="Symbol" w:cstheme="minorBidi"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
    <w:nsid w:val="660B12A6"/>
    <w:multiLevelType w:val="hybridMultilevel"/>
    <w:tmpl w:val="01CA2296"/>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792"/>
  </w:docVars>
  <w:rsids>
    <w:rsidRoot w:val="00C35699"/>
    <w:rsid w:val="000041ED"/>
    <w:rsid w:val="00016279"/>
    <w:rsid w:val="000242A9"/>
    <w:rsid w:val="00024859"/>
    <w:rsid w:val="0003691B"/>
    <w:rsid w:val="0005592F"/>
    <w:rsid w:val="000622C9"/>
    <w:rsid w:val="00062CA7"/>
    <w:rsid w:val="00072984"/>
    <w:rsid w:val="00086F32"/>
    <w:rsid w:val="0009458A"/>
    <w:rsid w:val="000B5DB1"/>
    <w:rsid w:val="000D2732"/>
    <w:rsid w:val="000D5469"/>
    <w:rsid w:val="000D6948"/>
    <w:rsid w:val="000D74C2"/>
    <w:rsid w:val="000E0F1B"/>
    <w:rsid w:val="000E7A24"/>
    <w:rsid w:val="000F5D3D"/>
    <w:rsid w:val="000F7282"/>
    <w:rsid w:val="00103BA8"/>
    <w:rsid w:val="001073E3"/>
    <w:rsid w:val="00107A58"/>
    <w:rsid w:val="0012156C"/>
    <w:rsid w:val="0013566F"/>
    <w:rsid w:val="001418A0"/>
    <w:rsid w:val="00144215"/>
    <w:rsid w:val="00151C8B"/>
    <w:rsid w:val="00182724"/>
    <w:rsid w:val="00182B7D"/>
    <w:rsid w:val="00183F2D"/>
    <w:rsid w:val="001A5F36"/>
    <w:rsid w:val="001B2334"/>
    <w:rsid w:val="001B5042"/>
    <w:rsid w:val="001C21D9"/>
    <w:rsid w:val="001D71F3"/>
    <w:rsid w:val="001E0A16"/>
    <w:rsid w:val="002147A3"/>
    <w:rsid w:val="00226643"/>
    <w:rsid w:val="002354FA"/>
    <w:rsid w:val="002474A1"/>
    <w:rsid w:val="00251F21"/>
    <w:rsid w:val="00256B12"/>
    <w:rsid w:val="00272EE8"/>
    <w:rsid w:val="00274A01"/>
    <w:rsid w:val="00284DCC"/>
    <w:rsid w:val="002A2764"/>
    <w:rsid w:val="002A4B13"/>
    <w:rsid w:val="002B35B3"/>
    <w:rsid w:val="002C01C4"/>
    <w:rsid w:val="002C25C4"/>
    <w:rsid w:val="002D5D36"/>
    <w:rsid w:val="002E22C2"/>
    <w:rsid w:val="002F7A51"/>
    <w:rsid w:val="00312C29"/>
    <w:rsid w:val="00324509"/>
    <w:rsid w:val="0033355E"/>
    <w:rsid w:val="003357C6"/>
    <w:rsid w:val="003401CF"/>
    <w:rsid w:val="00343360"/>
    <w:rsid w:val="0035314D"/>
    <w:rsid w:val="00364C84"/>
    <w:rsid w:val="00387118"/>
    <w:rsid w:val="003965B5"/>
    <w:rsid w:val="003A1A73"/>
    <w:rsid w:val="003B3470"/>
    <w:rsid w:val="003C1A7A"/>
    <w:rsid w:val="003C1DD9"/>
    <w:rsid w:val="00402EFC"/>
    <w:rsid w:val="00403C96"/>
    <w:rsid w:val="00410183"/>
    <w:rsid w:val="004130F6"/>
    <w:rsid w:val="00414A13"/>
    <w:rsid w:val="004274E4"/>
    <w:rsid w:val="00437CAD"/>
    <w:rsid w:val="004517E7"/>
    <w:rsid w:val="00454296"/>
    <w:rsid w:val="004572CA"/>
    <w:rsid w:val="004601B4"/>
    <w:rsid w:val="00463B97"/>
    <w:rsid w:val="0046442B"/>
    <w:rsid w:val="00493F5C"/>
    <w:rsid w:val="004B2EC2"/>
    <w:rsid w:val="004D6725"/>
    <w:rsid w:val="004E5CFE"/>
    <w:rsid w:val="004F6BB0"/>
    <w:rsid w:val="0050210E"/>
    <w:rsid w:val="00502F75"/>
    <w:rsid w:val="0050798B"/>
    <w:rsid w:val="00513E56"/>
    <w:rsid w:val="005142B0"/>
    <w:rsid w:val="00525829"/>
    <w:rsid w:val="005447AD"/>
    <w:rsid w:val="00545D10"/>
    <w:rsid w:val="00547A13"/>
    <w:rsid w:val="00560346"/>
    <w:rsid w:val="005617F3"/>
    <w:rsid w:val="005649BA"/>
    <w:rsid w:val="00580B81"/>
    <w:rsid w:val="00581743"/>
    <w:rsid w:val="00594D48"/>
    <w:rsid w:val="00596458"/>
    <w:rsid w:val="005A48CD"/>
    <w:rsid w:val="005B1583"/>
    <w:rsid w:val="005C7088"/>
    <w:rsid w:val="005D1D89"/>
    <w:rsid w:val="005D7D19"/>
    <w:rsid w:val="005F71B7"/>
    <w:rsid w:val="00601196"/>
    <w:rsid w:val="00607CB0"/>
    <w:rsid w:val="00615497"/>
    <w:rsid w:val="0062165C"/>
    <w:rsid w:val="00625851"/>
    <w:rsid w:val="006428BC"/>
    <w:rsid w:val="006446B4"/>
    <w:rsid w:val="0065163B"/>
    <w:rsid w:val="00661F9B"/>
    <w:rsid w:val="006839EC"/>
    <w:rsid w:val="00692102"/>
    <w:rsid w:val="006A60BE"/>
    <w:rsid w:val="006B0DDA"/>
    <w:rsid w:val="006B511D"/>
    <w:rsid w:val="00701641"/>
    <w:rsid w:val="0070644A"/>
    <w:rsid w:val="0070652E"/>
    <w:rsid w:val="00706F5A"/>
    <w:rsid w:val="0071250F"/>
    <w:rsid w:val="00734A33"/>
    <w:rsid w:val="0074714A"/>
    <w:rsid w:val="00794121"/>
    <w:rsid w:val="007A154A"/>
    <w:rsid w:val="007A5DB8"/>
    <w:rsid w:val="007C49A2"/>
    <w:rsid w:val="007D2B83"/>
    <w:rsid w:val="007E3DE7"/>
    <w:rsid w:val="007E49BD"/>
    <w:rsid w:val="007E5546"/>
    <w:rsid w:val="007E6551"/>
    <w:rsid w:val="007F59A1"/>
    <w:rsid w:val="007F772E"/>
    <w:rsid w:val="007F7CDC"/>
    <w:rsid w:val="00800467"/>
    <w:rsid w:val="00803CED"/>
    <w:rsid w:val="00803E19"/>
    <w:rsid w:val="0080500F"/>
    <w:rsid w:val="00810731"/>
    <w:rsid w:val="0081661F"/>
    <w:rsid w:val="00817C6C"/>
    <w:rsid w:val="00817E64"/>
    <w:rsid w:val="0082293A"/>
    <w:rsid w:val="00823DE5"/>
    <w:rsid w:val="00830645"/>
    <w:rsid w:val="00834144"/>
    <w:rsid w:val="00850288"/>
    <w:rsid w:val="008664AF"/>
    <w:rsid w:val="00875D1A"/>
    <w:rsid w:val="00881322"/>
    <w:rsid w:val="00882C09"/>
    <w:rsid w:val="00883C60"/>
    <w:rsid w:val="00896103"/>
    <w:rsid w:val="00897F63"/>
    <w:rsid w:val="008D150B"/>
    <w:rsid w:val="008D2933"/>
    <w:rsid w:val="008D4828"/>
    <w:rsid w:val="008F65D6"/>
    <w:rsid w:val="0090031E"/>
    <w:rsid w:val="00920680"/>
    <w:rsid w:val="00921142"/>
    <w:rsid w:val="00921F95"/>
    <w:rsid w:val="00930D52"/>
    <w:rsid w:val="009314D3"/>
    <w:rsid w:val="00934E6C"/>
    <w:rsid w:val="009521CD"/>
    <w:rsid w:val="00972A71"/>
    <w:rsid w:val="009A3787"/>
    <w:rsid w:val="009A5AE0"/>
    <w:rsid w:val="009B4BC6"/>
    <w:rsid w:val="009E5F03"/>
    <w:rsid w:val="009E6882"/>
    <w:rsid w:val="009F40E1"/>
    <w:rsid w:val="009F47CF"/>
    <w:rsid w:val="00A06BD6"/>
    <w:rsid w:val="00A17199"/>
    <w:rsid w:val="00A4337D"/>
    <w:rsid w:val="00A66A6D"/>
    <w:rsid w:val="00A711A2"/>
    <w:rsid w:val="00A81470"/>
    <w:rsid w:val="00A96A0B"/>
    <w:rsid w:val="00AB4C94"/>
    <w:rsid w:val="00AC29C6"/>
    <w:rsid w:val="00AF7B79"/>
    <w:rsid w:val="00B101EA"/>
    <w:rsid w:val="00B15763"/>
    <w:rsid w:val="00B349F0"/>
    <w:rsid w:val="00B40ACC"/>
    <w:rsid w:val="00B51C28"/>
    <w:rsid w:val="00B57CFF"/>
    <w:rsid w:val="00B76343"/>
    <w:rsid w:val="00B81E37"/>
    <w:rsid w:val="00B822BD"/>
    <w:rsid w:val="00B838A8"/>
    <w:rsid w:val="00B90970"/>
    <w:rsid w:val="00B90E88"/>
    <w:rsid w:val="00B94067"/>
    <w:rsid w:val="00BA2373"/>
    <w:rsid w:val="00BC4775"/>
    <w:rsid w:val="00BD26AC"/>
    <w:rsid w:val="00BE0A39"/>
    <w:rsid w:val="00BE168A"/>
    <w:rsid w:val="00BE78E4"/>
    <w:rsid w:val="00BE7FD2"/>
    <w:rsid w:val="00BF0545"/>
    <w:rsid w:val="00BF1A3A"/>
    <w:rsid w:val="00BF2C60"/>
    <w:rsid w:val="00C12D18"/>
    <w:rsid w:val="00C14944"/>
    <w:rsid w:val="00C2627E"/>
    <w:rsid w:val="00C35699"/>
    <w:rsid w:val="00C3751A"/>
    <w:rsid w:val="00C44109"/>
    <w:rsid w:val="00C443E9"/>
    <w:rsid w:val="00C620CA"/>
    <w:rsid w:val="00C775AF"/>
    <w:rsid w:val="00C83D9D"/>
    <w:rsid w:val="00C94B9F"/>
    <w:rsid w:val="00CB2BB7"/>
    <w:rsid w:val="00CC15E6"/>
    <w:rsid w:val="00CF31F5"/>
    <w:rsid w:val="00CF3852"/>
    <w:rsid w:val="00CF5FAE"/>
    <w:rsid w:val="00D14648"/>
    <w:rsid w:val="00D16870"/>
    <w:rsid w:val="00D20660"/>
    <w:rsid w:val="00D23EB0"/>
    <w:rsid w:val="00D417C1"/>
    <w:rsid w:val="00D60F79"/>
    <w:rsid w:val="00D64F34"/>
    <w:rsid w:val="00D72447"/>
    <w:rsid w:val="00D75857"/>
    <w:rsid w:val="00D93112"/>
    <w:rsid w:val="00D9398C"/>
    <w:rsid w:val="00DA2A4D"/>
    <w:rsid w:val="00DA379C"/>
    <w:rsid w:val="00DB1F4C"/>
    <w:rsid w:val="00DB2972"/>
    <w:rsid w:val="00DB5CD4"/>
    <w:rsid w:val="00DC0489"/>
    <w:rsid w:val="00DC3CFE"/>
    <w:rsid w:val="00DC5CA6"/>
    <w:rsid w:val="00DD14F7"/>
    <w:rsid w:val="00DE019F"/>
    <w:rsid w:val="00DE1BF3"/>
    <w:rsid w:val="00E1043B"/>
    <w:rsid w:val="00E21905"/>
    <w:rsid w:val="00E27848"/>
    <w:rsid w:val="00E439C2"/>
    <w:rsid w:val="00E5251B"/>
    <w:rsid w:val="00E53C36"/>
    <w:rsid w:val="00E6154E"/>
    <w:rsid w:val="00E66481"/>
    <w:rsid w:val="00E67E0A"/>
    <w:rsid w:val="00E74E63"/>
    <w:rsid w:val="00E74EF8"/>
    <w:rsid w:val="00EA42CA"/>
    <w:rsid w:val="00EC0994"/>
    <w:rsid w:val="00ED2710"/>
    <w:rsid w:val="00EF0756"/>
    <w:rsid w:val="00EF1BA5"/>
    <w:rsid w:val="00F571EB"/>
    <w:rsid w:val="00F679B4"/>
    <w:rsid w:val="00F71036"/>
    <w:rsid w:val="00F758BA"/>
    <w:rsid w:val="00F8528B"/>
    <w:rsid w:val="00F939E6"/>
    <w:rsid w:val="00F94659"/>
    <w:rsid w:val="00FA5A62"/>
    <w:rsid w:val="00FB7764"/>
    <w:rsid w:val="00FE5321"/>
    <w:rsid w:val="00FE6E95"/>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49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9311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C35699"/>
    <w:pPr>
      <w:spacing w:line="240" w:lineRule="auto"/>
    </w:pPr>
    <w:rPr>
      <w:sz w:val="20"/>
      <w:szCs w:val="20"/>
      <w:lang w:val="en-GB"/>
    </w:rPr>
  </w:style>
  <w:style w:type="character" w:customStyle="1" w:styleId="CommentTextChar">
    <w:name w:val="Comment Text Char"/>
    <w:basedOn w:val="DefaultParagraphFont"/>
    <w:link w:val="CommentText"/>
    <w:uiPriority w:val="99"/>
    <w:semiHidden/>
    <w:rsid w:val="00C35699"/>
    <w:rPr>
      <w:sz w:val="20"/>
      <w:szCs w:val="20"/>
      <w:lang w:val="en-GB"/>
    </w:rPr>
  </w:style>
  <w:style w:type="character" w:styleId="CommentReference">
    <w:name w:val="annotation reference"/>
    <w:basedOn w:val="DefaultParagraphFont"/>
    <w:uiPriority w:val="99"/>
    <w:semiHidden/>
    <w:unhideWhenUsed/>
    <w:rsid w:val="00C35699"/>
    <w:rPr>
      <w:sz w:val="16"/>
      <w:szCs w:val="16"/>
    </w:rPr>
  </w:style>
  <w:style w:type="table" w:styleId="TableGrid">
    <w:name w:val="Table Grid"/>
    <w:basedOn w:val="TableNormal"/>
    <w:uiPriority w:val="59"/>
    <w:rsid w:val="00C356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D93112"/>
    <w:rPr>
      <w:color w:val="0563C1" w:themeColor="hyperlink"/>
      <w:u w:val="single"/>
    </w:rPr>
  </w:style>
  <w:style w:type="character" w:customStyle="1" w:styleId="Heading1Char">
    <w:name w:val="Heading 1 Char"/>
    <w:basedOn w:val="DefaultParagraphFont"/>
    <w:link w:val="Heading1"/>
    <w:uiPriority w:val="9"/>
    <w:rsid w:val="00D93112"/>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D93112"/>
    <w:pPr>
      <w:ind w:left="720"/>
      <w:contextualSpacing/>
    </w:pPr>
  </w:style>
  <w:style w:type="paragraph" w:styleId="Revision">
    <w:name w:val="Revision"/>
    <w:hidden/>
    <w:uiPriority w:val="99"/>
    <w:semiHidden/>
    <w:rsid w:val="00661F9B"/>
    <w:pPr>
      <w:spacing w:after="0" w:line="240" w:lineRule="auto"/>
    </w:pPr>
  </w:style>
  <w:style w:type="character" w:styleId="PlaceholderText">
    <w:name w:val="Placeholder Text"/>
    <w:basedOn w:val="DefaultParagraphFont"/>
    <w:uiPriority w:val="99"/>
    <w:semiHidden/>
    <w:rsid w:val="00182724"/>
    <w:rPr>
      <w:color w:val="808080"/>
    </w:rPr>
  </w:style>
  <w:style w:type="paragraph" w:styleId="CommentSubject">
    <w:name w:val="annotation subject"/>
    <w:basedOn w:val="CommentText"/>
    <w:next w:val="CommentText"/>
    <w:link w:val="CommentSubjectChar"/>
    <w:uiPriority w:val="99"/>
    <w:semiHidden/>
    <w:unhideWhenUsed/>
    <w:rsid w:val="00897F63"/>
    <w:rPr>
      <w:b/>
      <w:bCs/>
      <w:lang w:val="is-IS"/>
    </w:rPr>
  </w:style>
  <w:style w:type="character" w:customStyle="1" w:styleId="CommentSubjectChar">
    <w:name w:val="Comment Subject Char"/>
    <w:basedOn w:val="CommentTextChar"/>
    <w:link w:val="CommentSubject"/>
    <w:uiPriority w:val="99"/>
    <w:semiHidden/>
    <w:rsid w:val="00897F63"/>
    <w:rPr>
      <w:b/>
      <w:bCs/>
      <w:sz w:val="20"/>
      <w:szCs w:val="20"/>
      <w:lang w:val="en-GB"/>
    </w:rPr>
  </w:style>
  <w:style w:type="paragraph" w:styleId="Header">
    <w:name w:val="header"/>
    <w:basedOn w:val="Normal"/>
    <w:link w:val="HeaderChar"/>
    <w:uiPriority w:val="99"/>
    <w:unhideWhenUsed/>
    <w:rsid w:val="00DC3C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3CFE"/>
  </w:style>
  <w:style w:type="paragraph" w:styleId="Footer">
    <w:name w:val="footer"/>
    <w:basedOn w:val="Normal"/>
    <w:link w:val="FooterChar"/>
    <w:uiPriority w:val="99"/>
    <w:unhideWhenUsed/>
    <w:rsid w:val="00DC3C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3CFE"/>
  </w:style>
  <w:style w:type="paragraph" w:styleId="BalloonText">
    <w:name w:val="Balloon Text"/>
    <w:basedOn w:val="Normal"/>
    <w:link w:val="BalloonTextChar"/>
    <w:uiPriority w:val="99"/>
    <w:semiHidden/>
    <w:unhideWhenUsed/>
    <w:rsid w:val="00803E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E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9311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C35699"/>
    <w:pPr>
      <w:spacing w:line="240" w:lineRule="auto"/>
    </w:pPr>
    <w:rPr>
      <w:sz w:val="20"/>
      <w:szCs w:val="20"/>
      <w:lang w:val="en-GB"/>
    </w:rPr>
  </w:style>
  <w:style w:type="character" w:customStyle="1" w:styleId="CommentTextChar">
    <w:name w:val="Comment Text Char"/>
    <w:basedOn w:val="DefaultParagraphFont"/>
    <w:link w:val="CommentText"/>
    <w:uiPriority w:val="99"/>
    <w:semiHidden/>
    <w:rsid w:val="00C35699"/>
    <w:rPr>
      <w:sz w:val="20"/>
      <w:szCs w:val="20"/>
      <w:lang w:val="en-GB"/>
    </w:rPr>
  </w:style>
  <w:style w:type="character" w:styleId="CommentReference">
    <w:name w:val="annotation reference"/>
    <w:basedOn w:val="DefaultParagraphFont"/>
    <w:uiPriority w:val="99"/>
    <w:semiHidden/>
    <w:unhideWhenUsed/>
    <w:rsid w:val="00C35699"/>
    <w:rPr>
      <w:sz w:val="16"/>
      <w:szCs w:val="16"/>
    </w:rPr>
  </w:style>
  <w:style w:type="table" w:styleId="TableGrid">
    <w:name w:val="Table Grid"/>
    <w:basedOn w:val="TableNormal"/>
    <w:uiPriority w:val="59"/>
    <w:rsid w:val="00C356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D93112"/>
    <w:rPr>
      <w:color w:val="0563C1" w:themeColor="hyperlink"/>
      <w:u w:val="single"/>
    </w:rPr>
  </w:style>
  <w:style w:type="character" w:customStyle="1" w:styleId="Heading1Char">
    <w:name w:val="Heading 1 Char"/>
    <w:basedOn w:val="DefaultParagraphFont"/>
    <w:link w:val="Heading1"/>
    <w:uiPriority w:val="9"/>
    <w:rsid w:val="00D93112"/>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D93112"/>
    <w:pPr>
      <w:ind w:left="720"/>
      <w:contextualSpacing/>
    </w:pPr>
  </w:style>
  <w:style w:type="paragraph" w:styleId="Revision">
    <w:name w:val="Revision"/>
    <w:hidden/>
    <w:uiPriority w:val="99"/>
    <w:semiHidden/>
    <w:rsid w:val="00661F9B"/>
    <w:pPr>
      <w:spacing w:after="0" w:line="240" w:lineRule="auto"/>
    </w:pPr>
  </w:style>
  <w:style w:type="character" w:styleId="PlaceholderText">
    <w:name w:val="Placeholder Text"/>
    <w:basedOn w:val="DefaultParagraphFont"/>
    <w:uiPriority w:val="99"/>
    <w:semiHidden/>
    <w:rsid w:val="00182724"/>
    <w:rPr>
      <w:color w:val="808080"/>
    </w:rPr>
  </w:style>
  <w:style w:type="paragraph" w:styleId="CommentSubject">
    <w:name w:val="annotation subject"/>
    <w:basedOn w:val="CommentText"/>
    <w:next w:val="CommentText"/>
    <w:link w:val="CommentSubjectChar"/>
    <w:uiPriority w:val="99"/>
    <w:semiHidden/>
    <w:unhideWhenUsed/>
    <w:rsid w:val="00897F63"/>
    <w:rPr>
      <w:b/>
      <w:bCs/>
      <w:lang w:val="is-IS"/>
    </w:rPr>
  </w:style>
  <w:style w:type="character" w:customStyle="1" w:styleId="CommentSubjectChar">
    <w:name w:val="Comment Subject Char"/>
    <w:basedOn w:val="CommentTextChar"/>
    <w:link w:val="CommentSubject"/>
    <w:uiPriority w:val="99"/>
    <w:semiHidden/>
    <w:rsid w:val="00897F63"/>
    <w:rPr>
      <w:b/>
      <w:bCs/>
      <w:sz w:val="20"/>
      <w:szCs w:val="20"/>
      <w:lang w:val="en-GB"/>
    </w:rPr>
  </w:style>
  <w:style w:type="paragraph" w:styleId="Header">
    <w:name w:val="header"/>
    <w:basedOn w:val="Normal"/>
    <w:link w:val="HeaderChar"/>
    <w:uiPriority w:val="99"/>
    <w:unhideWhenUsed/>
    <w:rsid w:val="00DC3C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3CFE"/>
  </w:style>
  <w:style w:type="paragraph" w:styleId="Footer">
    <w:name w:val="footer"/>
    <w:basedOn w:val="Normal"/>
    <w:link w:val="FooterChar"/>
    <w:uiPriority w:val="99"/>
    <w:unhideWhenUsed/>
    <w:rsid w:val="00DC3C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3CFE"/>
  </w:style>
  <w:style w:type="paragraph" w:styleId="BalloonText">
    <w:name w:val="Balloon Text"/>
    <w:basedOn w:val="Normal"/>
    <w:link w:val="BalloonTextChar"/>
    <w:uiPriority w:val="99"/>
    <w:semiHidden/>
    <w:unhideWhenUsed/>
    <w:rsid w:val="00803E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E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133146">
      <w:bodyDiv w:val="1"/>
      <w:marLeft w:val="0"/>
      <w:marRight w:val="0"/>
      <w:marTop w:val="0"/>
      <w:marBottom w:val="0"/>
      <w:divBdr>
        <w:top w:val="none" w:sz="0" w:space="0" w:color="auto"/>
        <w:left w:val="none" w:sz="0" w:space="0" w:color="auto"/>
        <w:bottom w:val="none" w:sz="0" w:space="0" w:color="auto"/>
        <w:right w:val="none" w:sz="0" w:space="0" w:color="auto"/>
      </w:divBdr>
    </w:div>
    <w:div w:id="538322137">
      <w:bodyDiv w:val="1"/>
      <w:marLeft w:val="0"/>
      <w:marRight w:val="0"/>
      <w:marTop w:val="0"/>
      <w:marBottom w:val="0"/>
      <w:divBdr>
        <w:top w:val="none" w:sz="0" w:space="0" w:color="auto"/>
        <w:left w:val="none" w:sz="0" w:space="0" w:color="auto"/>
        <w:bottom w:val="none" w:sz="0" w:space="0" w:color="auto"/>
        <w:right w:val="none" w:sz="0" w:space="0" w:color="auto"/>
      </w:divBdr>
    </w:div>
    <w:div w:id="923028547">
      <w:bodyDiv w:val="1"/>
      <w:marLeft w:val="0"/>
      <w:marRight w:val="0"/>
      <w:marTop w:val="0"/>
      <w:marBottom w:val="0"/>
      <w:divBdr>
        <w:top w:val="none" w:sz="0" w:space="0" w:color="auto"/>
        <w:left w:val="none" w:sz="0" w:space="0" w:color="auto"/>
        <w:bottom w:val="none" w:sz="0" w:space="0" w:color="auto"/>
        <w:right w:val="none" w:sz="0" w:space="0" w:color="auto"/>
      </w:divBdr>
      <w:divsChild>
        <w:div w:id="262692630">
          <w:marLeft w:val="640"/>
          <w:marRight w:val="0"/>
          <w:marTop w:val="0"/>
          <w:marBottom w:val="0"/>
          <w:divBdr>
            <w:top w:val="none" w:sz="0" w:space="0" w:color="auto"/>
            <w:left w:val="none" w:sz="0" w:space="0" w:color="auto"/>
            <w:bottom w:val="none" w:sz="0" w:space="0" w:color="auto"/>
            <w:right w:val="none" w:sz="0" w:space="0" w:color="auto"/>
          </w:divBdr>
        </w:div>
        <w:div w:id="2045057989">
          <w:marLeft w:val="640"/>
          <w:marRight w:val="0"/>
          <w:marTop w:val="0"/>
          <w:marBottom w:val="0"/>
          <w:divBdr>
            <w:top w:val="none" w:sz="0" w:space="0" w:color="auto"/>
            <w:left w:val="none" w:sz="0" w:space="0" w:color="auto"/>
            <w:bottom w:val="none" w:sz="0" w:space="0" w:color="auto"/>
            <w:right w:val="none" w:sz="0" w:space="0" w:color="auto"/>
          </w:divBdr>
        </w:div>
        <w:div w:id="1963075675">
          <w:marLeft w:val="640"/>
          <w:marRight w:val="0"/>
          <w:marTop w:val="0"/>
          <w:marBottom w:val="0"/>
          <w:divBdr>
            <w:top w:val="none" w:sz="0" w:space="0" w:color="auto"/>
            <w:left w:val="none" w:sz="0" w:space="0" w:color="auto"/>
            <w:bottom w:val="none" w:sz="0" w:space="0" w:color="auto"/>
            <w:right w:val="none" w:sz="0" w:space="0" w:color="auto"/>
          </w:divBdr>
        </w:div>
        <w:div w:id="1098257138">
          <w:marLeft w:val="640"/>
          <w:marRight w:val="0"/>
          <w:marTop w:val="0"/>
          <w:marBottom w:val="0"/>
          <w:divBdr>
            <w:top w:val="none" w:sz="0" w:space="0" w:color="auto"/>
            <w:left w:val="none" w:sz="0" w:space="0" w:color="auto"/>
            <w:bottom w:val="none" w:sz="0" w:space="0" w:color="auto"/>
            <w:right w:val="none" w:sz="0" w:space="0" w:color="auto"/>
          </w:divBdr>
        </w:div>
        <w:div w:id="1803763537">
          <w:marLeft w:val="640"/>
          <w:marRight w:val="0"/>
          <w:marTop w:val="0"/>
          <w:marBottom w:val="0"/>
          <w:divBdr>
            <w:top w:val="none" w:sz="0" w:space="0" w:color="auto"/>
            <w:left w:val="none" w:sz="0" w:space="0" w:color="auto"/>
            <w:bottom w:val="none" w:sz="0" w:space="0" w:color="auto"/>
            <w:right w:val="none" w:sz="0" w:space="0" w:color="auto"/>
          </w:divBdr>
        </w:div>
        <w:div w:id="502941240">
          <w:marLeft w:val="640"/>
          <w:marRight w:val="0"/>
          <w:marTop w:val="0"/>
          <w:marBottom w:val="0"/>
          <w:divBdr>
            <w:top w:val="none" w:sz="0" w:space="0" w:color="auto"/>
            <w:left w:val="none" w:sz="0" w:space="0" w:color="auto"/>
            <w:bottom w:val="none" w:sz="0" w:space="0" w:color="auto"/>
            <w:right w:val="none" w:sz="0" w:space="0" w:color="auto"/>
          </w:divBdr>
        </w:div>
        <w:div w:id="1934630028">
          <w:marLeft w:val="640"/>
          <w:marRight w:val="0"/>
          <w:marTop w:val="0"/>
          <w:marBottom w:val="0"/>
          <w:divBdr>
            <w:top w:val="none" w:sz="0" w:space="0" w:color="auto"/>
            <w:left w:val="none" w:sz="0" w:space="0" w:color="auto"/>
            <w:bottom w:val="none" w:sz="0" w:space="0" w:color="auto"/>
            <w:right w:val="none" w:sz="0" w:space="0" w:color="auto"/>
          </w:divBdr>
        </w:div>
      </w:divsChild>
    </w:div>
    <w:div w:id="1039161779">
      <w:bodyDiv w:val="1"/>
      <w:marLeft w:val="0"/>
      <w:marRight w:val="0"/>
      <w:marTop w:val="0"/>
      <w:marBottom w:val="0"/>
      <w:divBdr>
        <w:top w:val="none" w:sz="0" w:space="0" w:color="auto"/>
        <w:left w:val="none" w:sz="0" w:space="0" w:color="auto"/>
        <w:bottom w:val="none" w:sz="0" w:space="0" w:color="auto"/>
        <w:right w:val="none" w:sz="0" w:space="0" w:color="auto"/>
      </w:divBdr>
      <w:divsChild>
        <w:div w:id="1469131494">
          <w:marLeft w:val="640"/>
          <w:marRight w:val="0"/>
          <w:marTop w:val="0"/>
          <w:marBottom w:val="0"/>
          <w:divBdr>
            <w:top w:val="none" w:sz="0" w:space="0" w:color="auto"/>
            <w:left w:val="none" w:sz="0" w:space="0" w:color="auto"/>
            <w:bottom w:val="none" w:sz="0" w:space="0" w:color="auto"/>
            <w:right w:val="none" w:sz="0" w:space="0" w:color="auto"/>
          </w:divBdr>
        </w:div>
        <w:div w:id="1444496871">
          <w:marLeft w:val="640"/>
          <w:marRight w:val="0"/>
          <w:marTop w:val="0"/>
          <w:marBottom w:val="0"/>
          <w:divBdr>
            <w:top w:val="none" w:sz="0" w:space="0" w:color="auto"/>
            <w:left w:val="none" w:sz="0" w:space="0" w:color="auto"/>
            <w:bottom w:val="none" w:sz="0" w:space="0" w:color="auto"/>
            <w:right w:val="none" w:sz="0" w:space="0" w:color="auto"/>
          </w:divBdr>
        </w:div>
        <w:div w:id="1465192612">
          <w:marLeft w:val="640"/>
          <w:marRight w:val="0"/>
          <w:marTop w:val="0"/>
          <w:marBottom w:val="0"/>
          <w:divBdr>
            <w:top w:val="none" w:sz="0" w:space="0" w:color="auto"/>
            <w:left w:val="none" w:sz="0" w:space="0" w:color="auto"/>
            <w:bottom w:val="none" w:sz="0" w:space="0" w:color="auto"/>
            <w:right w:val="none" w:sz="0" w:space="0" w:color="auto"/>
          </w:divBdr>
        </w:div>
        <w:div w:id="1816294731">
          <w:marLeft w:val="640"/>
          <w:marRight w:val="0"/>
          <w:marTop w:val="0"/>
          <w:marBottom w:val="0"/>
          <w:divBdr>
            <w:top w:val="none" w:sz="0" w:space="0" w:color="auto"/>
            <w:left w:val="none" w:sz="0" w:space="0" w:color="auto"/>
            <w:bottom w:val="none" w:sz="0" w:space="0" w:color="auto"/>
            <w:right w:val="none" w:sz="0" w:space="0" w:color="auto"/>
          </w:divBdr>
        </w:div>
        <w:div w:id="1480345865">
          <w:marLeft w:val="640"/>
          <w:marRight w:val="0"/>
          <w:marTop w:val="0"/>
          <w:marBottom w:val="0"/>
          <w:divBdr>
            <w:top w:val="none" w:sz="0" w:space="0" w:color="auto"/>
            <w:left w:val="none" w:sz="0" w:space="0" w:color="auto"/>
            <w:bottom w:val="none" w:sz="0" w:space="0" w:color="auto"/>
            <w:right w:val="none" w:sz="0" w:space="0" w:color="auto"/>
          </w:divBdr>
        </w:div>
        <w:div w:id="1910529808">
          <w:marLeft w:val="640"/>
          <w:marRight w:val="0"/>
          <w:marTop w:val="0"/>
          <w:marBottom w:val="0"/>
          <w:divBdr>
            <w:top w:val="none" w:sz="0" w:space="0" w:color="auto"/>
            <w:left w:val="none" w:sz="0" w:space="0" w:color="auto"/>
            <w:bottom w:val="none" w:sz="0" w:space="0" w:color="auto"/>
            <w:right w:val="none" w:sz="0" w:space="0" w:color="auto"/>
          </w:divBdr>
        </w:div>
        <w:div w:id="91626970">
          <w:marLeft w:val="640"/>
          <w:marRight w:val="0"/>
          <w:marTop w:val="0"/>
          <w:marBottom w:val="0"/>
          <w:divBdr>
            <w:top w:val="none" w:sz="0" w:space="0" w:color="auto"/>
            <w:left w:val="none" w:sz="0" w:space="0" w:color="auto"/>
            <w:bottom w:val="none" w:sz="0" w:space="0" w:color="auto"/>
            <w:right w:val="none" w:sz="0" w:space="0" w:color="auto"/>
          </w:divBdr>
        </w:div>
      </w:divsChild>
    </w:div>
    <w:div w:id="1352605276">
      <w:bodyDiv w:val="1"/>
      <w:marLeft w:val="0"/>
      <w:marRight w:val="0"/>
      <w:marTop w:val="0"/>
      <w:marBottom w:val="0"/>
      <w:divBdr>
        <w:top w:val="none" w:sz="0" w:space="0" w:color="auto"/>
        <w:left w:val="none" w:sz="0" w:space="0" w:color="auto"/>
        <w:bottom w:val="none" w:sz="0" w:space="0" w:color="auto"/>
        <w:right w:val="none" w:sz="0" w:space="0" w:color="auto"/>
      </w:divBdr>
      <w:divsChild>
        <w:div w:id="685331840">
          <w:marLeft w:val="640"/>
          <w:marRight w:val="0"/>
          <w:marTop w:val="0"/>
          <w:marBottom w:val="0"/>
          <w:divBdr>
            <w:top w:val="none" w:sz="0" w:space="0" w:color="auto"/>
            <w:left w:val="none" w:sz="0" w:space="0" w:color="auto"/>
            <w:bottom w:val="none" w:sz="0" w:space="0" w:color="auto"/>
            <w:right w:val="none" w:sz="0" w:space="0" w:color="auto"/>
          </w:divBdr>
        </w:div>
        <w:div w:id="897860481">
          <w:marLeft w:val="640"/>
          <w:marRight w:val="0"/>
          <w:marTop w:val="0"/>
          <w:marBottom w:val="0"/>
          <w:divBdr>
            <w:top w:val="none" w:sz="0" w:space="0" w:color="auto"/>
            <w:left w:val="none" w:sz="0" w:space="0" w:color="auto"/>
            <w:bottom w:val="none" w:sz="0" w:space="0" w:color="auto"/>
            <w:right w:val="none" w:sz="0" w:space="0" w:color="auto"/>
          </w:divBdr>
        </w:div>
        <w:div w:id="993341112">
          <w:marLeft w:val="640"/>
          <w:marRight w:val="0"/>
          <w:marTop w:val="0"/>
          <w:marBottom w:val="0"/>
          <w:divBdr>
            <w:top w:val="none" w:sz="0" w:space="0" w:color="auto"/>
            <w:left w:val="none" w:sz="0" w:space="0" w:color="auto"/>
            <w:bottom w:val="none" w:sz="0" w:space="0" w:color="auto"/>
            <w:right w:val="none" w:sz="0" w:space="0" w:color="auto"/>
          </w:divBdr>
        </w:div>
        <w:div w:id="1148130403">
          <w:marLeft w:val="640"/>
          <w:marRight w:val="0"/>
          <w:marTop w:val="0"/>
          <w:marBottom w:val="0"/>
          <w:divBdr>
            <w:top w:val="none" w:sz="0" w:space="0" w:color="auto"/>
            <w:left w:val="none" w:sz="0" w:space="0" w:color="auto"/>
            <w:bottom w:val="none" w:sz="0" w:space="0" w:color="auto"/>
            <w:right w:val="none" w:sz="0" w:space="0" w:color="auto"/>
          </w:divBdr>
        </w:div>
        <w:div w:id="1155414482">
          <w:marLeft w:val="640"/>
          <w:marRight w:val="0"/>
          <w:marTop w:val="0"/>
          <w:marBottom w:val="0"/>
          <w:divBdr>
            <w:top w:val="none" w:sz="0" w:space="0" w:color="auto"/>
            <w:left w:val="none" w:sz="0" w:space="0" w:color="auto"/>
            <w:bottom w:val="none" w:sz="0" w:space="0" w:color="auto"/>
            <w:right w:val="none" w:sz="0" w:space="0" w:color="auto"/>
          </w:divBdr>
        </w:div>
        <w:div w:id="1399981909">
          <w:marLeft w:val="640"/>
          <w:marRight w:val="0"/>
          <w:marTop w:val="0"/>
          <w:marBottom w:val="0"/>
          <w:divBdr>
            <w:top w:val="none" w:sz="0" w:space="0" w:color="auto"/>
            <w:left w:val="none" w:sz="0" w:space="0" w:color="auto"/>
            <w:bottom w:val="none" w:sz="0" w:space="0" w:color="auto"/>
            <w:right w:val="none" w:sz="0" w:space="0" w:color="auto"/>
          </w:divBdr>
        </w:div>
        <w:div w:id="1898512479">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ral"/>
          <w:gallery w:val="placeholder"/>
        </w:category>
        <w:types>
          <w:type w:val="bbPlcHdr"/>
        </w:types>
        <w:behaviors>
          <w:behavior w:val="content"/>
        </w:behaviors>
        <w:guid w:val="{3B837B36-8EA9-404C-BDB0-A7F8B1385DD5}"/>
      </w:docPartPr>
      <w:docPartBody>
        <w:p w:rsidR="00EF6843" w:rsidRDefault="00D67A2F">
          <w:r w:rsidRPr="00280BE2">
            <w:rPr>
              <w:rStyle w:val="PlaceholderText"/>
            </w:rPr>
            <w:t>Click or tap here to enter text.</w:t>
          </w:r>
        </w:p>
      </w:docPartBody>
    </w:docPart>
    <w:docPart>
      <w:docPartPr>
        <w:name w:val="9A6CD0BBC4FB434E91278F7C7878EB33"/>
        <w:category>
          <w:name w:val="General"/>
          <w:gallery w:val="placeholder"/>
        </w:category>
        <w:types>
          <w:type w:val="bbPlcHdr"/>
        </w:types>
        <w:behaviors>
          <w:behavior w:val="content"/>
        </w:behaviors>
        <w:guid w:val="{EA47B0FA-5FC7-4414-843C-60609475B137}"/>
      </w:docPartPr>
      <w:docPartBody>
        <w:p w:rsidR="00676A33" w:rsidRDefault="00147756">
          <w:pPr>
            <w:pStyle w:val="9A6CD0BBC4FB434E91278F7C7878EB33"/>
          </w:pPr>
          <w:r w:rsidRPr="00280BE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6BB"/>
    <w:rsid w:val="00141427"/>
    <w:rsid w:val="00147756"/>
    <w:rsid w:val="00172043"/>
    <w:rsid w:val="00230CBD"/>
    <w:rsid w:val="00244632"/>
    <w:rsid w:val="002F41ED"/>
    <w:rsid w:val="00345E95"/>
    <w:rsid w:val="0037155E"/>
    <w:rsid w:val="004803C7"/>
    <w:rsid w:val="005A0CD1"/>
    <w:rsid w:val="006656BB"/>
    <w:rsid w:val="00676A33"/>
    <w:rsid w:val="006B4C81"/>
    <w:rsid w:val="007C2233"/>
    <w:rsid w:val="00830E67"/>
    <w:rsid w:val="008C22DB"/>
    <w:rsid w:val="00B7203F"/>
    <w:rsid w:val="00C53A74"/>
    <w:rsid w:val="00CA6843"/>
    <w:rsid w:val="00D67A2F"/>
    <w:rsid w:val="00DC7D1B"/>
    <w:rsid w:val="00E11159"/>
    <w:rsid w:val="00ED4EA9"/>
    <w:rsid w:val="00EF6843"/>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A6CD0BBC4FB434E91278F7C7878EB33">
    <w:name w:val="9A6CD0BBC4FB434E91278F7C7878EB3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A6CD0BBC4FB434E91278F7C7878EB33">
    <w:name w:val="9A6CD0BBC4FB434E91278F7C7878EB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14B0534-B471-4890-9711-DD4ABF8516D8}">
  <we:reference id="wa104382081" version="1.55.1.0" store="en-US" storeType="OMEX"/>
  <we:alternateReferences>
    <we:reference id="wa104382081" version="1.55.1.0" store="en-US" storeType="OMEX"/>
  </we:alternateReferences>
  <we:properties>
    <we:property name="MENDELEY_CITATIONS" value="[{&quot;citationID&quot;:&quot;MENDELEY_CITATION_1113a9a7-f04e-40e2-b4b0-bb0673790bb4&quot;,&quot;properties&quot;:{&quot;noteIndex&quot;:0},&quot;isEdited&quot;:false,&quot;manualOverride&quot;:{&quot;isManuallyOverridden&quot;:false,&quot;citeprocText&quot;:&quot;(1)&quot;,&quot;manualOverrideText&quot;:&quot;&quot;},&quot;citationTag&quot;:&quot;MENDELEY_CITATION_v3_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&quot;,&quot;citationItems&quot;:[{&quot;id&quot;:&quot;2df05f58-827c-30ba-9ae4-ec5c5b55f294&quot;,&quot;itemData&quot;:{&quot;type&quot;:&quot;article-journal&quot;,&quot;id&quot;:&quot;2df05f58-827c-30ba-9ae4-ec5c5b55f294&quot;,&quot;title&quot;:&quot;Long-read sequencing of 3,622 Icelanders provides insight into the role of structural variants in human diseases and other traits&quot;,&quot;author&quot;:[{&quot;family&quot;:&quot;Beyter&quot;,&quot;given&quot;:&quot;Doruk&quot;,&quot;parse-names&quot;:false,&quot;dropping-particle&quot;:&quot;&quot;,&quot;non-dropping-particle&quot;:&quot;&quot;},{&quot;family&quot;:&quot;Ingimundardottir&quot;,&quot;given&quot;:&quot;Helga&quot;,&quot;parse-names&quot;:false,&quot;dropping-particle&quot;:&quot;&quot;,&quot;non-dropping-particle&quot;:&quot;&quot;},{&quot;family&quot;:&quot;Oddsson&quot;,&quot;given&quot;:&quot;Asmundur&quot;,&quot;parse-names&quot;:false,&quot;dropping-particle&quot;:&quot;&quot;,&quot;non-dropping-particle&quot;:&quot;&quot;},{&quot;family&quot;:&quot;Eggertsson&quot;,&quot;given&quot;:&quot;Hannes P.&quot;,&quot;parse-names&quot;:false,&quot;dropping-particle&quot;:&quot;&quot;,&quot;non-dropping-particle&quot;:&quot;&quot;},{&quot;family&quot;:&quot;Bjornsson&quot;,&quot;given&quot;:&quot;Eythor&quot;,&quot;parse-names&quot;:false,&quot;dropping-particle&quot;:&quot;&quot;,&quot;non-dropping-particle&quot;:&quot;&quot;},{&quot;family&quot;:&quot;Jonsson&quot;,&quot;given&quot;:&quot;Hakon&quot;,&quot;parse-names&quot;:false,&quot;dropping-particle&quot;:&quot;&quot;,&quot;non-dropping-particle&quot;:&quot;&quot;},{&quot;family&quot;:&quot;Atlason&quot;,&quot;given&quot;:&quot;Bjarni A.&quot;,&quot;parse-names&quot;:false,&quot;dropping-particle&quot;:&quot;&quot;,&quot;non-dropping-particle&quot;:&quot;&quot;},{&quot;family&quot;:&quot;Kristmundsdottir&quot;,&quot;given&quot;:&quot;Snaedis&quot;,&quot;parse-names&quot;:false,&quot;dropping-particle&quot;:&quot;&quot;,&quot;non-dropping-particle&quot;:&quot;&quot;},{&quot;family&quot;:&quot;Mehringer&quot;,&quot;given&quot;:&quot;Svenja&quot;,&quot;parse-names&quot;:false,&quot;dropping-particle&quot;:&quot;&quot;,&quot;non-dropping-particle&quot;:&quot;&quot;},{&quot;family&quot;:&quot;Hardarson&quot;,&quot;given&quot;:&quot;Marteinn T.&quot;,&quot;parse-names&quot;:false,&quot;dropping-particle&quot;:&quot;&quot;,&quot;non-dropping-particle&quot;:&quot;&quot;},{&quot;family&quot;:&quot;Gudjonsson&quot;,&quot;given&quot;:&quot;Sigurjon A.&quot;,&quot;parse-names&quot;:false,&quot;dropping-particle&quot;:&quot;&quot;,&quot;non-dropping-particle&quot;:&quot;&quot;},{&quot;family&quot;:&quot;Magnusdottir&quot;,&quot;given&quot;:&quot;Droplaug N.&quot;,&quot;parse-names&quot;:false,&quot;dropping-particle&quot;:&quot;&quot;,&quot;non-dropping-particle&quot;:&quot;&quot;},{&quot;family&quot;:&quot;Jonasdottir&quot;,&quot;given&quot;:&quot;Aslaug&quot;,&quot;parse-names&quot;:false,&quot;dropping-particle&quot;:&quot;&quot;,&quot;non-dropping-particle&quot;:&quot;&quot;},{&quot;family&quot;:&quot;Jonasdottir&quot;,&quot;given&quot;:&quot;Adalbjorg&quot;,&quot;parse-names&quot;:false,&quot;dropping-particle&quot;:&quot;&quot;,&quot;non-dropping-particle&quot;:&quot;&quot;},{&quot;family&quot;:&quot;Kristjansson&quot;,&quot;given&quot;:&quot;Ragnar P.&quot;,&quot;parse-names&quot;:false,&quot;dropping-particle&quot;:&quot;&quot;,&quot;non-dropping-particle&quot;:&quot;&quot;},{&quot;family&quot;:&quot;Sverrisson&quot;,&quot;given&quot;:&quot;Sverrir T.&quot;,&quot;parse-names&quot;:false,&quot;dropping-particle&quot;:&quot;&quot;,&quot;non-dropping-particle&quot;:&quot;&quot;},{&quot;family&quot;:&quot;Holley&quot;,&quot;given&quot;:&quot;Guillaume&quot;,&quot;parse-names&quot;:false,&quot;dropping-particle&quot;:&quot;&quot;,&quot;non-dropping-particle&quot;:&quot;&quot;},{&quot;family&quot;:&quot;Palsson&quot;,&quot;given&quot;:&quot;Gunnar&quot;,&quot;parse-names&quot;:false,&quot;dropping-particle&quot;:&quot;&quot;,&quot;non-dropping-particle&quot;:&quot;&quot;},{&quot;family&quot;:&quot;Stefansson&quot;,&quot;given&quot;:&quot;Olafur A.&quot;,&quot;parse-names&quot;:false,&quot;dropping-particle&quot;:&quot;&quot;,&quot;non-dropping-particle&quot;:&quot;&quot;},{&quot;family&quot;:&quot;Eyjolfsson&quot;,&quot;given&quot;:&quot;Gudmundur&quot;,&quot;parse-names&quot;:false,&quot;dropping-particle&quot;:&quot;&quot;,&quot;non-dropping-particle&quot;:&quot;&quot;},{&quot;family&quot;:&quot;Olafsson&quot;,&quot;given&quot;:&quot;Isleifur&quot;,&quot;parse-names&quot;:false,&quot;dropping-particle&quot;:&quot;&quot;,&quot;non-dropping-particle&quot;:&quot;&quot;},{&quot;family&quot;:&quot;Sigurdardottir&quot;,&quot;given&quot;:&quot;Olof&quot;,&quot;parse-names&quot;:false,&quot;dropping-particle&quot;:&quot;&quot;,&quot;non-dropping-particle&quot;:&quot;&quot;},{&quot;family&quot;:&quot;Torfason&quot;,&quot;given&quot;:&quot;Bjarni&quot;,&quot;parse-names&quot;:false,&quot;dropping-particle&quot;:&quot;&quot;,&quot;non-dropping-particle&quot;:&quot;&quot;},{&quot;family&quot;:&quot;Masson&quot;,&quot;given&quot;:&quot;Gisli&quot;,&quot;parse-names&quot;:false,&quot;dropping-particle&quot;:&quot;&quot;,&quot;non-dropping-particle&quot;:&quot;&quot;},{&quot;family&quot;:&quot;Helgason&quot;,&quot;given&quot;:&quot;Agnar&quot;,&quot;parse-names&quot;:false,&quot;dropping-particle&quot;:&quot;&quot;,&quot;non-dropping-particle&quot;:&quot;&quot;},{&quot;family&quot;:&quot;Thorsteinsdottir&quot;,&quot;given&quot;:&quot;Unnur&quot;,&quot;parse-names&quot;:false,&quot;dropping-particle&quot;:&quot;&quot;,&quot;non-dropping-particle&quot;:&quot;&quot;},{&quot;family&quot;:&quot;Holm&quot;,&quot;given&quot;:&quot;Hilma&quot;,&quot;parse-names&quot;:false,&quot;dropping-particle&quot;:&quot;&quot;,&quot;non-dropping-particle&quot;:&quot;&quot;},{&quot;family&quot;:&quot;Gudbjartsson&quot;,&quot;given&quot;:&quot;Daniel F.&quot;,&quot;parse-names&quot;:false,&quot;dropping-particle&quot;:&quot;&quot;,&quot;non-dropping-particle&quot;:&quot;&quot;},{&quot;family&quot;:&quot;Sulem&quot;,&quot;given&quot;:&quot;Patrick&quot;,&quot;parse-names&quot;:false,&quot;dropping-particle&quot;:&quot;&quot;,&quot;non-dropping-particle&quot;:&quot;&quot;},{&quot;family&quot;:&quot;Magnusson&quot;,&quot;given&quot;:&quot;Olafur T.&quot;,&quot;parse-names&quot;:false,&quot;dropping-particle&quot;:&quot;&quot;,&quot;non-dropping-particle&quot;:&quot;&quot;},{&quot;family&quot;:&quot;Halldorsson&quot;,&quot;given&quot;:&quot;Bjarni&quot;,&quot;parse-names&quot;:false,&quot;dropping-particle&quot;:&quot;V.&quot;,&quot;non-dropping-particle&quot;:&quot;&quot;},{&quot;family&quot;:&quot;Stefansson&quot;,&quot;given&quot;:&quot;Kari&quot;,&quot;parse-names&quot;:false,&quot;dropping-particle&quot;:&quot;&quot;,&quot;non-dropping-particle&quot;:&quot;&quot;}],&quot;container-title&quot;:&quot;Nature Genetics&quot;,&quot;container-title-short&quot;:&quot;Nat Genet&quot;,&quot;DOI&quot;:&quot;10.1038/s41588-021-00865-4&quot;,&quot;ISSN&quot;:&quot;15461718&quot;,&quot;issued&quot;:{&quot;date-parts&quot;:[[2021]]},&quot;abstract&quot;:&quot;Long-read sequencing (LRS) promises to improve the characterization of structural variants (SVs). We generated LRS data from 3,622 Icelanders and identified a median of 22,636 SVs per individual (a median of 13,353 insertions and 9,474 deletions). We discovered a set of 133,886 reliably genotyped SV alleles and imputed them into 166,281 individuals to explore their effects on diseases and other traits. We discovered an association of a rare deletion in PCSK9 with lower low-density lipoprotein (LDL) cholesterol levels, compared to the population average. We also discovered an association of a multiallelic SV in ACAN with height; we found 11 alleles that differed in the number of a 57-bp-motif repeat and observed a linear relationship between the number of repeats carried and height. These results show that SVs can be accurately characterized at the population scale using LRS data in a genome-wide non-targeted approach and demonstrate how SVs impact phenotypes.&quot;,&quot;issue&quot;:&quot;6&quot;,&quot;volume&quot;:&quot;53&quot;},&quot;isTemporary&quot;:false}]},{&quot;citationID&quot;:&quot;MENDELEY_CITATION_4ba6d550-c448-4867-8855-4616449c32e9&quot;,&quot;properties&quot;:{&quot;noteIndex&quot;:0},&quot;isEdited&quot;:false,&quot;manualOverride&quot;:{&quot;isManuallyOverridden&quot;:false,&quot;citeprocText&quot;:&quot;(1)&quot;,&quot;manualOverrideText&quot;:&quot;&quot;},&quot;citationTag&quot;:&quot;MENDELEY_CITATION_v3_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&quot;,&quot;citationItems&quot;:[{&quot;id&quot;:&quot;2df05f58-827c-30ba-9ae4-ec5c5b55f294&quot;,&quot;itemData&quot;:{&quot;type&quot;:&quot;article-journal&quot;,&quot;id&quot;:&quot;2df05f58-827c-30ba-9ae4-ec5c5b55f294&quot;,&quot;title&quot;:&quot;Long-read sequencing of 3,622 Icelanders provides insight into the role of structural variants in human diseases and other traits&quot;,&quot;author&quot;:[{&quot;family&quot;:&quot;Beyter&quot;,&quot;given&quot;:&quot;Doruk&quot;,&quot;parse-names&quot;:false,&quot;dropping-particle&quot;:&quot;&quot;,&quot;non-dropping-particle&quot;:&quot;&quot;},{&quot;family&quot;:&quot;Ingimundardottir&quot;,&quot;given&quot;:&quot;Helga&quot;,&quot;parse-names&quot;:false,&quot;dropping-particle&quot;:&quot;&quot;,&quot;non-dropping-particle&quot;:&quot;&quot;},{&quot;family&quot;:&quot;Oddsson&quot;,&quot;given&quot;:&quot;Asmundur&quot;,&quot;parse-names&quot;:false,&quot;dropping-particle&quot;:&quot;&quot;,&quot;non-dropping-particle&quot;:&quot;&quot;},{&quot;family&quot;:&quot;Eggertsson&quot;,&quot;given&quot;:&quot;Hannes P.&quot;,&quot;parse-names&quot;:false,&quot;dropping-particle&quot;:&quot;&quot;,&quot;non-dropping-particle&quot;:&quot;&quot;},{&quot;family&quot;:&quot;Bjornsson&quot;,&quot;given&quot;:&quot;Eythor&quot;,&quot;parse-names&quot;:false,&quot;dropping-particle&quot;:&quot;&quot;,&quot;non-dropping-particle&quot;:&quot;&quot;},{&quot;family&quot;:&quot;Jonsson&quot;,&quot;given&quot;:&quot;Hakon&quot;,&quot;parse-names&quot;:false,&quot;dropping-particle&quot;:&quot;&quot;,&quot;non-dropping-particle&quot;:&quot;&quot;},{&quot;family&quot;:&quot;Atlason&quot;,&quot;given&quot;:&quot;Bjarni A.&quot;,&quot;parse-names&quot;:false,&quot;dropping-particle&quot;:&quot;&quot;,&quot;non-dropping-particle&quot;:&quot;&quot;},{&quot;family&quot;:&quot;Kristmundsdottir&quot;,&quot;given&quot;:&quot;Snaedis&quot;,&quot;parse-names&quot;:false,&quot;dropping-particle&quot;:&quot;&quot;,&quot;non-dropping-particle&quot;:&quot;&quot;},{&quot;family&quot;:&quot;Mehringer&quot;,&quot;given&quot;:&quot;Svenja&quot;,&quot;parse-names&quot;:false,&quot;dropping-particle&quot;:&quot;&quot;,&quot;non-dropping-particle&quot;:&quot;&quot;},{&quot;family&quot;:&quot;Hardarson&quot;,&quot;given&quot;:&quot;Marteinn T.&quot;,&quot;parse-names&quot;:false,&quot;dropping-particle&quot;:&quot;&quot;,&quot;non-dropping-particle&quot;:&quot;&quot;},{&quot;family&quot;:&quot;Gudjonsson&quot;,&quot;given&quot;:&quot;Sigurjon A.&quot;,&quot;parse-names&quot;:false,&quot;dropping-particle&quot;:&quot;&quot;,&quot;non-dropping-particle&quot;:&quot;&quot;},{&quot;family&quot;:&quot;Magnusdottir&quot;,&quot;given&quot;:&quot;Droplaug N.&quot;,&quot;parse-names&quot;:false,&quot;dropping-particle&quot;:&quot;&quot;,&quot;non-dropping-particle&quot;:&quot;&quot;},{&quot;family&quot;:&quot;Jonasdottir&quot;,&quot;given&quot;:&quot;Aslaug&quot;,&quot;parse-names&quot;:false,&quot;dropping-particle&quot;:&quot;&quot;,&quot;non-dropping-particle&quot;:&quot;&quot;},{&quot;family&quot;:&quot;Jonasdottir&quot;,&quot;given&quot;:&quot;Adalbjorg&quot;,&quot;parse-names&quot;:false,&quot;dropping-particle&quot;:&quot;&quot;,&quot;non-dropping-particle&quot;:&quot;&quot;},{&quot;family&quot;:&quot;Kristjansson&quot;,&quot;given&quot;:&quot;Ragnar P.&quot;,&quot;parse-names&quot;:false,&quot;dropping-particle&quot;:&quot;&quot;,&quot;non-dropping-particle&quot;:&quot;&quot;},{&quot;family&quot;:&quot;Sverrisson&quot;,&quot;given&quot;:&quot;Sverrir T.&quot;,&quot;parse-names&quot;:false,&quot;dropping-particle&quot;:&quot;&quot;,&quot;non-dropping-particle&quot;:&quot;&quot;},{&quot;family&quot;:&quot;Holley&quot;,&quot;given&quot;:&quot;Guillaume&quot;,&quot;parse-names&quot;:false,&quot;dropping-particle&quot;:&quot;&quot;,&quot;non-dropping-particle&quot;:&quot;&quot;},{&quot;family&quot;:&quot;Palsson&quot;,&quot;given&quot;:&quot;Gunnar&quot;,&quot;parse-names&quot;:false,&quot;dropping-particle&quot;:&quot;&quot;,&quot;non-dropping-particle&quot;:&quot;&quot;},{&quot;family&quot;:&quot;Stefansson&quot;,&quot;given&quot;:&quot;Olafur A.&quot;,&quot;parse-names&quot;:false,&quot;dropping-particle&quot;:&quot;&quot;,&quot;non-dropping-particle&quot;:&quot;&quot;},{&quot;family&quot;:&quot;Eyjolfsson&quot;,&quot;given&quot;:&quot;Gudmundur&quot;,&quot;parse-names&quot;:false,&quot;dropping-particle&quot;:&quot;&quot;,&quot;non-dropping-particle&quot;:&quot;&quot;},{&quot;family&quot;:&quot;Olafsson&quot;,&quot;given&quot;:&quot;Isleifur&quot;,&quot;parse-names&quot;:false,&quot;dropping-particle&quot;:&quot;&quot;,&quot;non-dropping-particle&quot;:&quot;&quot;},{&quot;family&quot;:&quot;Sigurdardottir&quot;,&quot;given&quot;:&quot;Olof&quot;,&quot;parse-names&quot;:false,&quot;dropping-particle&quot;:&quot;&quot;,&quot;non-dropping-particle&quot;:&quot;&quot;},{&quot;family&quot;:&quot;Torfason&quot;,&quot;given&quot;:&quot;Bjarni&quot;,&quot;parse-names&quot;:false,&quot;dropping-particle&quot;:&quot;&quot;,&quot;non-dropping-particle&quot;:&quot;&quot;},{&quot;family&quot;:&quot;Masson&quot;,&quot;given&quot;:&quot;Gisli&quot;,&quot;parse-names&quot;:false,&quot;dropping-particle&quot;:&quot;&quot;,&quot;non-dropping-particle&quot;:&quot;&quot;},{&quot;family&quot;:&quot;Helgason&quot;,&quot;given&quot;:&quot;Agnar&quot;,&quot;parse-names&quot;:false,&quot;dropping-particle&quot;:&quot;&quot;,&quot;non-dropping-particle&quot;:&quot;&quot;},{&quot;family&quot;:&quot;Thorsteinsdottir&quot;,&quot;given&quot;:&quot;Unnur&quot;,&quot;parse-names&quot;:false,&quot;dropping-particle&quot;:&quot;&quot;,&quot;non-dropping-particle&quot;:&quot;&quot;},{&quot;family&quot;:&quot;Holm&quot;,&quot;given&quot;:&quot;Hilma&quot;,&quot;parse-names&quot;:false,&quot;dropping-particle&quot;:&quot;&quot;,&quot;non-dropping-particle&quot;:&quot;&quot;},{&quot;family&quot;:&quot;Gudbjartsson&quot;,&quot;given&quot;:&quot;Daniel F.&quot;,&quot;parse-names&quot;:false,&quot;dropping-particle&quot;:&quot;&quot;,&quot;non-dropping-particle&quot;:&quot;&quot;},{&quot;family&quot;:&quot;Sulem&quot;,&quot;given&quot;:&quot;Patrick&quot;,&quot;parse-names&quot;:false,&quot;dropping-particle&quot;:&quot;&quot;,&quot;non-dropping-particle&quot;:&quot;&quot;},{&quot;family&quot;:&quot;Magnusson&quot;,&quot;given&quot;:&quot;Olafur T.&quot;,&quot;parse-names&quot;:false,&quot;dropping-particle&quot;:&quot;&quot;,&quot;non-dropping-particle&quot;:&quot;&quot;},{&quot;family&quot;:&quot;Halldorsson&quot;,&quot;given&quot;:&quot;Bjarni&quot;,&quot;parse-names&quot;:false,&quot;dropping-particle&quot;:&quot;V.&quot;,&quot;non-dropping-particle&quot;:&quot;&quot;},{&quot;family&quot;:&quot;Stefansson&quot;,&quot;given&quot;:&quot;Kari&quot;,&quot;parse-names&quot;:false,&quot;dropping-particle&quot;:&quot;&quot;,&quot;non-dropping-particle&quot;:&quot;&quot;}],&quot;container-title&quot;:&quot;Nature Genetics&quot;,&quot;container-title-short&quot;:&quot;Nat Genet&quot;,&quot;DOI&quot;:&quot;10.1038/s41588-021-00865-4&quot;,&quot;ISSN&quot;:&quot;15461718&quot;,&quot;issued&quot;:{&quot;date-parts&quot;:[[2021]]},&quot;abstract&quot;:&quot;Long-read sequencing (LRS) promises to improve the characterization of structural variants (SVs). We generated LRS data from 3,622 Icelanders and identified a median of 22,636 SVs per individual (a median of 13,353 insertions and 9,474 deletions). We discovered a set of 133,886 reliably genotyped SV alleles and imputed them into 166,281 individuals to explore their effects on diseases and other traits. We discovered an association of a rare deletion in PCSK9 with lower low-density lipoprotein (LDL) cholesterol levels, compared to the population average. We also discovered an association of a multiallelic SV in ACAN with height; we found 11 alleles that differed in the number of a 57-bp-motif repeat and observed a linear relationship between the number of repeats carried and height. These results show that SVs can be accurately characterized at the population scale using LRS data in a genome-wide non-targeted approach and demonstrate how SVs impact phenotypes.&quot;,&quot;issue&quot;:&quot;6&quot;,&quot;volume&quot;:&quot;53&quot;},&quot;isTemporary&quot;:false}]},{&quot;citationID&quot;:&quot;MENDELEY_CITATION_7e334c47-bd83-4d40-9bf8-55a3970afbe3&quot;,&quot;properties&quot;:{&quot;noteIndex&quot;:0},&quot;isEdited&quot;:false,&quot;manualOverride&quot;:{&quot;isManuallyOverridden&quot;:false,&quot;citeprocText&quot;:&quot;(2)&quot;,&quot;manualOverrideText&quot;:&quot;&quot;},&quot;citationTag&quot;:&quot;MENDELEY_CITATION_v3_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&quot;,&quot;citationItems&quot;:[{&quot;id&quot;:&quot;2339115a-e326-301f-add2-6971c04b6705&quot;,&quot;itemData&quot;:{&quot;type&quot;:&quot;article-journal&quot;,&quot;id&quot;:&quot;2339115a-e326-301f-add2-6971c04b6705&quot;,&quot;title&quot;:&quot;DNA methylation-calling tools for Oxford Nanopore sequencing: a survey and human epigenome-wide evaluation&quot;,&quot;author&quot;:[{&quot;family&quot;:&quot;Liu&quot;,&quot;given&quot;:&quot;Yang&quot;,&quot;parse-names&quot;:false,&quot;dropping-particle&quot;:&quot;&quot;,&quot;non-dropping-particle&quot;:&quot;&quot;},{&quot;family&quot;:&quot;Rosikiewicz&quot;,&quot;given&quot;:&quot;Wojciech&quot;,&quot;parse-names&quot;:false,&quot;dropping-particle&quot;:&quot;&quot;,&quot;non-dropping-particle&quot;:&quot;&quot;},{&quot;family&quot;:&quot;Pan&quot;,&quot;given&quot;:&quot;Ziwei&quot;,&quot;parse-names&quot;:false,&quot;dropping-particle&quot;:&quot;&quot;,&quot;non-dropping-particle&quot;:&quot;&quot;},{&quot;family&quot;:&quot;Jillette&quot;,&quot;given&quot;:&quot;Nathaniel&quot;,&quot;parse-names&quot;:false,&quot;dropping-particle&quot;:&quot;&quot;,&quot;non-dropping-particle&quot;:&quot;&quot;},{&quot;family&quot;:&quot;Wang&quot;,&quot;given&quot;:&quot;Ping&quot;,&quot;parse-names&quot;:false,&quot;dropping-particle&quot;:&quot;&quot;,&quot;non-dropping-particle&quot;:&quot;&quot;},{&quot;family&quot;:&quot;Taghbalout&quot;,&quot;given&quot;:&quot;Aziz&quot;,&quot;parse-names&quot;:false,&quot;dropping-particle&quot;:&quot;&quot;,&quot;non-dropping-particle&quot;:&quot;&quot;},{&quot;family&quot;:&quot;Foox&quot;,&quot;given&quot;:&quot;Jonathan&quot;,&quot;parse-names&quot;:false,&quot;dropping-particle&quot;:&quot;&quot;,&quot;non-dropping-particle&quot;:&quot;&quot;},{&quot;family&quot;:&quot;Mason&quot;,&quot;given&quot;:&quot;Christopher&quot;,&quot;parse-names&quot;:false,&quot;dropping-particle&quot;:&quot;&quot;,&quot;non-dropping-particle&quot;:&quot;&quot;},{&quot;family&quot;:&quot;Carroll&quot;,&quot;given&quot;:&quot;Martin&quot;,&quot;parse-names&quot;:false,&quot;dropping-particle&quot;:&quot;&quot;,&quot;non-dropping-particle&quot;:&quot;&quot;},{&quot;family&quot;:&quot;Cheng&quot;,&quot;given&quot;:&quot;Albert&quot;,&quot;parse-names&quot;:false,&quot;dropping-particle&quot;:&quot;&quot;,&quot;non-dropping-particle&quot;:&quot;&quot;},{&quot;family&quot;:&quot;Li&quot;,&quot;given&quot;:&quot;Sheng&quot;,&quot;parse-names&quot;:false,&quot;dropping-particle&quot;:&quot;&quot;,&quot;non-dropping-particle&quot;:&quot;&quot;}],&quot;container-title&quot;:&quot;Genome Biology&quot;,&quot;container-title-short&quot;:&quot;Genome Biol&quot;,&quot;DOI&quot;:&quot;10.1186/s13059-021-02510-z&quot;,&quot;ISSN&quot;:&quot;1474760X&quot;,&quot;issued&quot;:{&quot;date-parts&quot;:[[2021]]},&quot;abstract&quot;:&quot;Background: Nanopore long-read sequencing technology greatly expands the capacity of long-range, single-molecule DNA-modification detection. A growing number of analytical tools have been developed to detect DNA methylation from nanopore sequencing reads. Here, we assess the performance of different methylation-calling tools to provide a systematic evaluation to guide researchers performing human epigenome-wide studies. Results: We compare seven analytic tools for detecting DNA methylation from nanopore long-read sequencing data generated from human natural DNA at a whole-genome scale. We evaluate the per-read and per-site performance of CpG methylation prediction across different genomic contexts, CpG site coverage, and computational resources consumed by each tool. The seven tools exhibit different performances across the evaluation criteria. We show that the methylation prediction at regions with discordant DNA methylation patterns, intergenic regions, low CG density regions, and repetitive regions show room for improvement across all tools. Furthermore, we demonstrate that 5hmC levels at least partly contribute to the discrepancy between bisulfite and nanopore sequencing. Lastly, we provide an online DNA methylation database (https://nanome.jax.org) to display the DNA methylation levels detected by nanopore sequencing and bisulfite sequencing data across different genomic contexts. Conclusions: Our study is the first systematic benchmark of computational methods for detection of mammalian whole-genome DNA modifications in nanopore sequencing. We provide a broad foundation for cross-platform standardization and an evaluation of analytical tools designed for genome-scale modified base detection using nanopore sequencing.&quot;,&quot;issue&quot;:&quot;1&quot;,&quot;volume&quot;:&quot;22&quot;},&quot;isTemporary&quot;:false}]},{&quot;citationID&quot;:&quot;MENDELEY_CITATION_80108a07-471e-43f0-a013-ba933c01d84e&quot;,&quot;properties&quot;:{&quot;noteIndex&quot;:0},&quot;isEdited&quot;:false,&quot;manualOverride&quot;:{&quot;isManuallyOverridden&quot;:false,&quot;citeprocText&quot;:&quot;(3)&quot;,&quot;manualOverrideText&quot;:&quot;&quot;},&quot;citationTag&quot;:&quot;MENDELEY_CITATION_v3_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&quot;,&quot;citationItems&quot;:[{&quot;id&quot;:&quot;14046cf6-dc7b-37b5-906e-80a94105164b&quot;,&quot;itemData&quot;:{&quot;type&quot;:&quot;article-journal&quot;,&quot;id&quot;:&quot;14046cf6-dc7b-37b5-906e-80a94105164b&quot;,&quot;title&quot;:&quot;Insights into imprinting from parent-of-origin phased methylomes and transcriptomes&quot;,&quot;author&quot;:[{&quot;family&quot;:&quot;Zink&quot;,&quot;given&quot;:&quot;Florian&quot;,&quot;parse-names&quot;:false,&quot;dropping-particle&quot;:&quot;&quot;,&quot;non-dropping-particle&quot;:&quot;&quot;},{&quot;family&quot;:&quot;Magnusdottir&quot;,&quot;given&quot;:&quot;Droplaug N.&quot;,&quot;parse-names&quot;:false,&quot;dropping-particle&quot;:&quot;&quot;,&quot;non-dropping-particle&quot;:&quot;&quot;},{&quot;family&quot;:&quot;Magnusson&quot;,&quot;given&quot;:&quot;Olafur T.&quot;,&quot;parse-names&quot;:false,&quot;dropping-particle&quot;:&quot;&quot;,&quot;non-dropping-particle&quot;:&quot;&quot;},{&quot;family&quot;:&quot;Walker&quot;,&quot;given&quot;:&quot;Nicolas J.&quot;,&quot;parse-names&quot;:false,&quot;dropping-particle&quot;:&quot;&quot;,&quot;non-dropping-particle&quot;:&quot;&quot;},{&quot;family&quot;:&quot;Morris&quot;,&quot;given&quot;:&quot;Tiffany J.&quot;,&quot;parse-names&quot;:false,&quot;dropping-particle&quot;:&quot;&quot;,&quot;non-dropping-particle&quot;:&quot;&quot;},{&quot;family&quot;:&quot;Sigurdsson&quot;,&quot;given&quot;:&quot;Asgeir&quot;,&quot;parse-names&quot;:false,&quot;dropping-particle&quot;:&quot;&quot;,&quot;non-dropping-particle&quot;:&quot;&quot;},{&quot;family&quot;:&quot;Halldorsson&quot;,&quot;given&quot;:&quot;Gisli H.&quot;,&quot;parse-names&quot;:false,&quot;dropping-particle&quot;:&quot;&quot;,&quot;non-dropping-particle&quot;:&quot;&quot;},{&quot;family&quot;:&quot;Gudjonsson&quot;,&quot;given&quot;:&quot;Sigurjon A.&quot;,&quot;parse-names&quot;:false,&quot;dropping-particle&quot;:&quot;&quot;,&quot;non-dropping-particle&quot;:&quot;&quot;},{&quot;family&quot;:&quot;Melsted&quot;,&quot;given&quot;:&quot;Pall&quot;,&quot;parse-names&quot;:false,&quot;dropping-particle&quot;:&quot;&quot;,&quot;non-dropping-particle&quot;:&quot;&quot;},{&quot;family&quot;:&quot;Ingimundardottir&quot;,&quot;given&quot;:&quot;Helga&quot;,&quot;parse-names&quot;:false,&quot;dropping-particle&quot;:&quot;&quot;,&quot;non-dropping-particle&quot;:&quot;&quot;},{&quot;family&quot;:&quot;Kristmundsdottir&quot;,&quot;given&quot;:&quot;Snædis&quot;,&quot;parse-names&quot;:false,&quot;dropping-particle&quot;:&quot;&quot;,&quot;non-dropping-particle&quot;:&quot;&quot;},{&quot;family&quot;:&quot;Alexandersson&quot;,&quot;given&quot;:&quot;Kristjan F.&quot;,&quot;parse-names&quot;:false,&quot;dropping-particle&quot;:&quot;&quot;,&quot;non-dropping-particle&quot;:&quot;&quot;},{&quot;family&quot;:&quot;Helgadottir&quot;,&quot;given&quot;:&quot;Anna&quot;,&quot;parse-names&quot;:false,&quot;dropping-particle&quot;:&quot;&quot;,&quot;non-dropping-particle&quot;:&quot;&quot;},{&quot;family&quot;:&quot;Gudmundsson&quot;,&quot;given&quot;:&quot;Julius&quot;,&quot;parse-names&quot;:false,&quot;dropping-particle&quot;:&quot;&quot;,&quot;non-dropping-particle&quot;:&quot;&quot;},{&quot;family&quot;:&quot;Rafnar&quot;,&quot;given&quot;:&quot;Thorunn&quot;,&quot;parse-names&quot;:false,&quot;dropping-particle&quot;:&quot;&quot;,&quot;non-dropping-particle&quot;:&quot;&quot;},{&quot;family&quot;:&quot;Jonsdottir&quot;,&quot;given&quot;:&quot;Ingileif&quot;,&quot;parse-names&quot;:false,&quot;dropping-particle&quot;:&quot;&quot;,&quot;non-dropping-particle&quot;:&quot;&quot;},{&quot;family&quot;:&quot;Holm&quot;,&quot;given&quot;:&quot;Hilma&quot;,&quot;parse-names&quot;:false,&quot;dropping-particle&quot;:&quot;&quot;,&quot;non-dropping-particle&quot;:&quot;&quot;},{&quot;family&quot;:&quot;Eyjolfsson&quot;,&quot;given&quot;:&quot;Gudmundur Ingi&quot;,&quot;parse-names&quot;:false,&quot;dropping-particle&quot;:&quot;&quot;,&quot;non-dropping-particle&quot;:&quot;&quot;},{&quot;family&quot;:&quot;Sigurdardottir&quot;,&quot;given&quot;:&quot;Olof&quot;,&quot;parse-names&quot;:false,&quot;dropping-particle&quot;:&quot;&quot;,&quot;non-dropping-particle&quot;:&quot;&quot;},{&quot;family&quot;:&quot;Olafsson&quot;,&quot;given&quot;:&quot;Isleifur&quot;,&quot;parse-names&quot;:false,&quot;dropping-particle&quot;:&quot;&quot;,&quot;non-dropping-particle&quot;:&quot;&quot;},{&quot;family&quot;:&quot;Masson&quot;,&quot;given&quot;:&quot;Gisli&quot;,&quot;parse-names&quot;:false,&quot;dropping-particle&quot;:&quot;&quot;,&quot;non-dropping-particle&quot;:&quot;&quot;},{&quot;family&quot;:&quot;Gudbjartsson&quot;,&quot;given&quot;:&quot;Daniel F.&quot;,&quot;parse-names&quot;:false,&quot;dropping-particle&quot;:&quot;&quot;,&quot;non-dropping-particle&quot;:&quot;&quot;},{&quot;family&quot;:&quot;Thorsteinsdottir&quot;,&quot;given&quot;:&quot;Unnur&quot;,&quot;parse-names&quot;:false,&quot;dropping-particle&quot;:&quot;&quot;,&quot;non-dropping-particle&quot;:&quot;&quot;},{&quot;family&quot;:&quot;Halldorsson&quot;,&quot;given&quot;:&quot;Bjarni&quot;,&quot;parse-names&quot;:false,&quot;dropping-particle&quot;:&quot;V.&quot;,&quot;non-dropping-particle&quot;:&quot;&quot;},{&quot;family&quot;:&quot;Stacey&quot;,&quot;given&quot;:&quot;Simon N.&quot;,&quot;parse-names&quot;:false,&quot;dropping-particle&quot;:&quot;&quot;,&quot;non-dropping-particle&quot;:&quot;&quot;},{&quot;family&quot;:&quot;Stefansson&quot;,&quot;given&quot;:&quot;Kari&quot;,&quot;parse-names&quot;:false,&quot;dropping-particle&quot;:&quot;&quot;,&quot;non-dropping-particle&quot;:&quot;&quot;}],&quot;container-title&quot;:&quot;Nature Genetics&quot;,&quot;container-title-short&quot;:&quot;Nat Genet&quot;,&quot;DOI&quot;:&quot;10.1038/s41588-018-0232-7&quot;,&quot;ISSN&quot;:&quot;15461718&quot;,&quot;issued&quot;:{&quot;date-parts&quot;:[[2018]]},&quot;abstract&quot;:&quot;Imprinting is the preferential expression of one parental allele over the other. It is controlled primarily through differential methylation of cytosine at CpG dinucleotides. Here we combine 285 methylomes and 11,617 transcriptomes from peripheral blood samples with parent-of-origin phased haplotypes, to produce a new map of imprinted methylation and gene expression patterns across the human genome. We demonstrate how imprinted methylation is a continuous rather than a binary characteristic. We describe at high resolution the parent-of-origin methylation pattern at the 15q11.2 Prader–Willi/Angelman syndrome locus, with nearly confluent stochastic paternal methylation punctuated by ‘spikes’ of maternal methylation. We find examples of polymorphic imprinted methylation unrelated (at VTRNA2-1 and PARD6G) or related (at CHRNE) to nearby SNP genotypes. We observe RNA isoform-specific imprinted expression patterns suggestive of a methylation-sensitive transcriptional elongation block. Finally, we gain new insights into parent-of-origin-specific effects on phenotypes at the DLK1/MEG3 and GNAS loci.&quot;,&quot;issue&quot;:&quot;11&quot;,&quot;volume&quot;:&quot;50&quot;},&quot;isTemporary&quot;:false}]},{&quot;citationID&quot;:&quot;MENDELEY_CITATION_2d7e7d95-164c-4b88-8311-aabbb9c18484&quot;,&quot;properties&quot;:{&quot;noteIndex&quot;:0},&quot;isEdited&quot;:false,&quot;manualOverride&quot;:{&quot;isManuallyOverridden&quot;:false,&quot;citeprocText&quot;:&quot;(4)&quot;,&quot;manualOverrideText&quot;:&quot;&quot;},&quot;citationTag&quot;:&quot;MENDELEY_CITATION_v3_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&quot;,&quot;citationItems&quot;:[{&quot;id&quot;:&quot;234bc44f-93dc-3217-aedb-7449c2e57bd8&quot;,&quot;itemData&quot;:{&quot;type&quot;:&quot;article-journal&quot;,&quot;id&quot;:&quot;234bc44f-93dc-3217-aedb-7449c2e57bd8&quot;,&quot;title&quot;:&quot;LongPhase: An ultra-fast chromosome-scale phasing algorithm for small and large variants&quot;,&quot;author&quot;:[{&quot;family&quot;:&quot;Lin&quot;,&quot;given&quot;:&quot;Jyun Hong&quot;,&quot;parse-names&quot;:false,&quot;dropping-particle&quot;:&quot;&quot;,&quot;non-dropping-particle&quot;:&quot;&quot;},{&quot;family&quot;:&quot;Chen&quot;,&quot;given&quot;:&quot;Liang Chi&quot;,&quot;parse-names&quot;:false,&quot;dropping-particle&quot;:&quot;&quot;,&quot;non-dropping-particle&quot;:&quot;&quot;},{&quot;family&quot;:&quot;Yu&quot;,&quot;given&quot;:&quot;Shu Chi&quot;,&quot;parse-names&quot;:false,&quot;dropping-particle&quot;:&quot;&quot;,&quot;non-dropping-particle&quot;:&quot;&quot;},{&quot;family&quot;:&quot;Huang&quot;,&quot;given&quot;:&quot;Yao Ting&quot;,&quot;parse-names&quot;:false,&quot;dropping-particle&quot;:&quot;&quot;,&quot;non-dropping-particle&quot;:&quot;&quot;}],&quot;container-title&quot;:&quot;Bioinformatics&quot;,&quot;DOI&quot;:&quot;10.1093/bioinformatics/btac058&quot;,&quot;ISSN&quot;:&quot;14602059&quot;,&quot;issued&quot;:{&quot;date-parts&quot;:[[2022]]},&quot;abstract&quot;:&quot;Motivation: Long-read phasing has been used for reconstructing diploid genomes, improving variant calling and resolving microbial strains in metagenomics. However, the phasing blocks of existing methods are broken by large Structural Variations (SVs), and the efficiency is unsatisfactory for population-scale phasing. Results: This article presents a novel algorithm, LongPhase, which can simultaneously phase single nucleotide polymorphisms (SNPs) and SVs of a human genome in 10-20 min, 10× faster than the state-of-the-art WhatsHap, HapCUT2 and Margin. In particular, co-phasing SNPs and SVs produces much larger haplotype blocks (N50 = 25 Mbp) than those of existing methods (N50 = 10-15 Mbp). We show that LongPhase combined with Nanopore ultra-long reads is a cost-effective and highly contiguous solution, which can produce between one and 26 blocks per chromosome arm without the need for additional trios, chromosome-conformation and strand-seq data. Availabilityand implementation: LongPhase is freely available at https://github.com/twolinin/LongPhase/.&quot;,&quot;issue&quot;:&quot;7&quot;,&quot;volume&quot;:&quot;38&quot;,&quot;container-title-short&quot;:&quot;&quot;},&quot;isTemporary&quot;:false}]},{&quot;citationID&quot;:&quot;MENDELEY_CITATION_d80c96b7-7e9c-4576-aef4-fda04d564bd8&quot;,&quot;properties&quot;:{&quot;noteIndex&quot;:0},&quot;isEdited&quot;:false,&quot;manualOverride&quot;:{&quot;isManuallyOverridden&quot;:false,&quot;citeprocText&quot;:&quot;(5)&quot;,&quot;manualOverrideText&quot;:&quot;&quot;},&quot;citationTag&quot;:&quot;MENDELEY_CITATION_v3_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&quot;,&quot;citationItems&quot;:[{&quot;id&quot;:&quot;4b7db366-b7c2-3685-8a38-cfb76ee9db42&quot;,&quot;itemData&quot;:{&quot;type&quot;:&quot;article-journal&quot;,&quot;id&quot;:&quot;4b7db366-b7c2-3685-8a38-cfb76ee9db42&quot;,&quot;title&quot;:&quot;Parental origin of sequence variants associated with complex diseases&quot;,&quot;author&quot;:[{&quot;family&quot;:&quot;Kong&quot;,&quot;given&quot;:&quot;Augustine&quot;,&quot;parse-names&quot;:false,&quot;dropping-particle&quot;:&quot;&quot;,&quot;non-dropping-particle&quot;:&quot;&quot;},{&quot;family&quot;:&quot;Steinthorsdottir&quot;,&quot;given&quot;:&quot;Valgerdur&quot;,&quot;parse-names&quot;:false,&quot;dropping-particle&quot;:&quot;&quot;,&quot;non-dropping-particle&quot;:&quot;&quot;},{&quot;family&quot;:&quot;Masson&quot;,&quot;given&quot;:&quot;Gisli&quot;,&quot;parse-names&quot;:false,&quot;dropping-particle&quot;:&quot;&quot;,&quot;non-dropping-particle&quot;:&quot;&quot;},{&quot;family&quot;:&quot;Thorleifsson&quot;,&quot;given&quot;:&quot;Gudmar&quot;,&quot;parse-names&quot;:false,&quot;dropping-particle&quot;:&quot;&quot;,&quot;non-dropping-particle&quot;:&quot;&quot;},{&quot;family&quot;:&quot;Sulem&quot;,&quot;given&quot;:&quot;Patrick&quot;,&quot;parse-names&quot;:false,&quot;dropping-particle&quot;:&quot;&quot;,&quot;non-dropping-particle&quot;:&quot;&quot;},{&quot;family&quot;:&quot;Besenbacher&quot;,&quot;given&quot;:&quot;Soren&quot;,&quot;parse-names&quot;:false,&quot;dropping-particle&quot;:&quot;&quot;,&quot;non-dropping-particle&quot;:&quot;&quot;},{&quot;family&quot;:&quot;Jonasdottir&quot;,&quot;given&quot;:&quot;Aslaug&quot;,&quot;parse-names&quot;:false,&quot;dropping-particle&quot;:&quot;&quot;,&quot;non-dropping-particle&quot;:&quot;&quot;},{&quot;family&quot;:&quot;Sigurdsson&quot;,&quot;given&quot;:&quot;Asgeir&quot;,&quot;parse-names&quot;:false,&quot;dropping-particle&quot;:&quot;&quot;,&quot;non-dropping-particle&quot;:&quot;&quot;},{&quot;family&quot;:&quot;Kristinsson&quot;,&quot;given&quot;:&quot;Kari Th&quot;,&quot;parse-names&quot;:false,&quot;dropping-particle&quot;:&quot;&quot;,&quot;non-dropping-particle&quot;:&quot;&quot;},{&quot;family&quot;:&quot;Jonasdottir&quot;,&quot;given&quot;:&quot;Adalbjorg&quot;,&quot;parse-names&quot;:false,&quot;dropping-particle&quot;:&quot;&quot;,&quot;non-dropping-particle&quot;:&quot;&quot;},{&quot;family&quot;:&quot;Frigge&quot;,&quot;given&quot;:&quot;Michael L.&quot;,&quot;parse-names&quot;:false,&quot;dropping-particle&quot;:&quot;&quot;,&quot;non-dropping-particle&quot;:&quot;&quot;},{&quot;family&quot;:&quot;Gylfason&quot;,&quot;given&quot;:&quot;Arnaldur&quot;,&quot;parse-names&quot;:false,&quot;dropping-particle&quot;:&quot;&quot;,&quot;non-dropping-particle&quot;:&quot;&quot;},{&quot;family&quot;:&quot;Olason&quot;,&quot;given&quot;:&quot;Pall I.&quot;,&quot;parse-names&quot;:false,&quot;dropping-particle&quot;:&quot;&quot;,&quot;non-dropping-particle&quot;:&quot;&quot;},{&quot;family&quot;:&quot;Gudjonsson&quot;,&quot;given&quot;:&quot;Sigurjon A.&quot;,&quot;parse-names&quot;:false,&quot;dropping-particle&quot;:&quot;&quot;,&quot;non-dropping-particle&quot;:&quot;&quot;},{&quot;family&quot;:&quot;Sverrisson&quot;,&quot;given&quot;:&quot;Sverrir&quot;,&quot;parse-names&quot;:false,&quot;dropping-particle&quot;:&quot;&quot;,&quot;non-dropping-particle&quot;:&quot;&quot;},{&quot;family&quot;:&quot;Stacey&quot;,&quot;given&quot;:&quot;Simon N.&quot;,&quot;parse-names&quot;:false,&quot;dropping-particle&quot;:&quot;&quot;,&quot;non-dropping-particle&quot;:&quot;&quot;},{&quot;family&quot;:&quot;Sigurgeirsson&quot;,&quot;given&quot;:&quot;Bardur&quot;,&quot;parse-names&quot;:false,&quot;dropping-particle&quot;:&quot;&quot;,&quot;non-dropping-particle&quot;:&quot;&quot;},{&quot;family&quot;:&quot;Benediktsdottir&quot;,&quot;given&quot;:&quot;Kristrun R.&quot;,&quot;parse-names&quot;:false,&quot;dropping-particle&quot;:&quot;&quot;,&quot;non-dropping-particle&quot;:&quot;&quot;},{&quot;family&quot;:&quot;Sigurdsson&quot;,&quot;given&quot;:&quot;Helgi&quot;,&quot;parse-names&quot;:false,&quot;dropping-particle&quot;:&quot;&quot;,&quot;non-dropping-particle&quot;:&quot;&quot;},{&quot;family&quot;:&quot;Jonsson&quot;,&quot;given&quot;:&quot;Thorvaldur&quot;,&quot;parse-names&quot;:false,&quot;dropping-particle&quot;:&quot;&quot;,&quot;non-dropping-particle&quot;:&quot;&quot;},{&quot;family&quot;:&quot;Benediktsson&quot;,&quot;given&quot;:&quot;Rafn&quot;,&quot;parse-names&quot;:false,&quot;dropping-particle&quot;:&quot;&quot;,&quot;non-dropping-particle&quot;:&quot;&quot;},{&quot;family&quot;:&quot;Olafsson&quot;,&quot;given&quot;:&quot;Jon H.&quot;,&quot;parse-names&quot;:false,&quot;dropping-particle&quot;:&quot;&quot;,&quot;non-dropping-particle&quot;:&quot;&quot;},{&quot;family&quot;:&quot;Johannsson&quot;,&quot;given&quot;:&quot;Oskar Th&quot;,&quot;parse-names&quot;:false,&quot;dropping-particle&quot;:&quot;&quot;,&quot;non-dropping-particle&quot;:&quot;&quot;},{&quot;family&quot;:&quot;Hreidarsson&quot;,&quot;given&quot;:&quot;Astradur B.&quot;,&quot;parse-names&quot;:false,&quot;dropping-particle&quot;:&quot;&quot;,&quot;non-dropping-particle&quot;:&quot;&quot;},{&quot;family&quot;:&quot;Sigurdsson&quot;,&quot;given&quot;:&quot;Gunnar&quot;,&quot;parse-names&quot;:false,&quot;dropping-particle&quot;:&quot;&quot;,&quot;non-dropping-particle&quot;:&quot;&quot;},{&quot;family&quot;:&quot;Ferguson-Smith&quot;,&quot;given&quot;:&quot;Anne C.&quot;,&quot;parse-names&quot;:false,&quot;dropping-particle&quot;:&quot;&quot;,&quot;non-dropping-particle&quot;:&quot;&quot;},{&quot;family&quot;:&quot;Gudbjartsson&quot;,&quot;given&quot;:&quot;Daniel F.&quot;,&quot;parse-names&quot;:false,&quot;dropping-particle&quot;:&quot;&quot;,&quot;non-dropping-particle&quot;:&quot;&quot;},{&quot;family&quot;:&quot;Thorsteinsdottir&quot;,&quot;given&quot;:&quot;Unnur&quot;,&quot;parse-names&quot;:false,&quot;dropping-particle&quot;:&quot;&quot;,&quot;non-dropping-particle&quot;:&quot;&quot;},{&quot;family&quot;:&quot;Stefansson&quot;,&quot;given&quot;:&quot;Kari&quot;,&quot;parse-names&quot;:false,&quot;dropping-particle&quot;:&quot;&quot;,&quot;non-dropping-particle&quot;:&quot;&quot;}],&quot;container-title&quot;:&quot;Nature&quot;,&quot;container-title-short&quot;:&quot;Nature&quot;,&quot;DOI&quot;:&quot;10.1038/nature08625&quot;,&quot;ISSN&quot;:&quot;14764687&quot;,&quot;issued&quot;:{&quot;date-parts&quot;:[[2009]]},&quot;abstract&quot;:&quot;Effects of susceptibility variants may depend on from which parent they are inherited. Although many associations between sequence variants and human traits have been discovered through genome-wide associations, the impact of parental origin has largely been ignored. Here we show that for 38,167 Icelanders genotyped using single nucleotide polymorphism (SNP) chips, the parental origin of most alleles can be determined. For this we used a combination of genealogy and long-range phasing. We then focused on SNPs that associate with diseases and are within 500 kilobases of known imprinted genes. Seven independent SNP associations were examined. Fiveone with breast cancer, one with basal-cell carcinoma and three with type 2 diabeteshave parental-origin-specific associations. These variants are located in two genomic regions, 11p15 and 7q32, each harbouring a cluster of imprinted genes. Furthermore, we observed a novel association between the SNP rs2334499 at 11p15 and type 2 diabetes. Here the allele that confers risk when paternally inherited is protective when maternally transmitted. We identified a differentially methylated CTCF-binding site at 11p15 and demonstrated correlation of rs2334499 with decreased methylation of that site. © 2009 Macmillan Publishers Limited. All rights reserved.&quot;,&quot;issue&quot;:&quot;7275&quot;,&quot;volume&quot;:&quot;462&quot;},&quot;isTemporary&quot;:false}]},{&quot;citationID&quot;:&quot;MENDELEY_CITATION_aeee24fb-38a7-48ed-b248-a4af6925f624&quot;,&quot;properties&quot;:{&quot;noteIndex&quot;:0},&quot;isEdited&quot;:false,&quot;manualOverride&quot;:{&quot;isManuallyOverridden&quot;:false,&quot;citeprocText&quot;:&quot;(6)&quot;,&quot;manualOverrideText&quot;:&quot;&quot;},&quot;citationTag&quot;:&quot;MENDELEY_CITATION_v3_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&quot;,&quot;citationItems&quot;:[{&quot;id&quot;:&quot;03d44d24-33b1-35bc-b30d-d34afca58e73&quot;,&quot;itemData&quot;:{&quot;type&quot;:&quot;article-journal&quot;,&quot;id&quot;:&quot;03d44d24-33b1-35bc-b30d-d34afca58e73&quot;,&quot;title&quot;:&quot;Graphtyper enables population-scale genotyping using pangenome graphs&quot;,&quot;author&quot;:[{&quot;family&quot;:&quot;Eggertsson&quot;,&quot;given&quot;:&quot;Hannes P.&quot;,&quot;parse-names&quot;:false,&quot;dropping-particle&quot;:&quot;&quot;,&quot;non-dropping-particle&quot;:&quot;&quot;},{&quot;family&quot;:&quot;Jonsson&quot;,&quot;given&quot;:&quot;Hakon&quot;,&quot;parse-names&quot;:false,&quot;dropping-particle&quot;:&quot;&quot;,&quot;non-dropping-particle&quot;:&quot;&quot;},{&quot;family&quot;:&quot;Kristmundsdottir&quot;,&quot;given&quot;:&quot;Snaedis&quot;,&quot;parse-names&quot;:false,&quot;dropping-particle&quot;:&quot;&quot;,&quot;non-dropping-particle&quot;:&quot;&quot;},{&quot;family&quot;:&quot;Hjartarson&quot;,&quot;given&quot;:&quot;Eirikur&quot;,&quot;parse-names&quot;:false,&quot;dropping-particle&quot;:&quot;&quot;,&quot;non-dropping-particle&quot;:&quot;&quot;},{&quot;family&quot;:&quot;Kehr&quot;,&quot;given&quot;:&quot;Birte&quot;,&quot;parse-names&quot;:false,&quot;dropping-particle&quot;:&quot;&quot;,&quot;non-dropping-particle&quot;:&quot;&quot;},{&quot;family&quot;:&quot;Masson&quot;,&quot;given&quot;:&quot;Gisli&quot;,&quot;parse-names&quot;:false,&quot;dropping-particle&quot;:&quot;&quot;,&quot;non-dropping-particle&quot;:&quot;&quot;},{&quot;family&quot;:&quot;Zink&quot;,&quot;given&quot;:&quot;Florian&quot;,&quot;parse-names&quot;:false,&quot;dropping-particle&quot;:&quot;&quot;,&quot;non-dropping-particle&quot;:&quot;&quot;},{&quot;family&quot;:&quot;Hjorleifsson&quot;,&quot;given&quot;:&quot;Kristjan E.&quot;,&quot;parse-names&quot;:false,&quot;dropping-particle&quot;:&quot;&quot;,&quot;non-dropping-particle&quot;:&quot;&quot;},{&quot;family&quot;:&quot;Jonasdottir&quot;,&quot;given&quot;:&quot;Aslaug&quot;,&quot;parse-names&quot;:false,&quot;dropping-particle&quot;:&quot;&quot;,&quot;non-dropping-particle&quot;:&quot;&quot;},{&quot;family&quot;:&quot;Jonasdottir&quot;,&quot;given&quot;:&quot;Adalbjorg&quot;,&quot;parse-names&quot;:false,&quot;dropping-particle&quot;:&quot;&quot;,&quot;non-dropping-particle&quot;:&quot;&quot;},{&quot;family&quot;:&quot;Jonsdottir&quot;,&quot;given&quot;:&quot;Ingileif&quot;,&quot;parse-names&quot;:false,&quot;dropping-particle&quot;:&quot;&quot;,&quot;non-dropping-particle&quot;:&quot;&quot;},{&quot;family&quot;:&quot;Gudbjartsson&quot;,&quot;given&quot;:&quot;Daniel F.&quot;,&quot;parse-names&quot;:false,&quot;dropping-particle&quot;:&quot;&quot;,&quot;non-dropping-particle&quot;:&quot;&quot;},{&quot;family&quot;:&quot;Melsted&quot;,&quot;given&quot;:&quot;Pall&quot;,&quot;parse-names&quot;:false,&quot;dropping-particle&quot;:&quot;&quot;,&quot;non-dropping-particle&quot;:&quot;&quot;},{&quot;family&quot;:&quot;Stefansson&quot;,&quot;given&quot;:&quot;Kari&quot;,&quot;parse-names&quot;:false,&quot;dropping-particle&quot;:&quot;&quot;,&quot;non-dropping-particle&quot;:&quot;&quot;},{&quot;family&quot;:&quot;Halldorsson&quot;,&quot;given&quot;:&quot;Bjarni&quot;,&quot;parse-names&quot;:false,&quot;dropping-particle&quot;:&quot;v.&quot;,&quot;non-dropping-particle&quot;:&quot;&quot;}],&quot;container-title&quot;:&quot;Nature Genetics&quot;,&quot;container-title-short&quot;:&quot;Nat Genet&quot;,&quot;DOI&quot;:&quot;10.1038/ng.3964&quot;,&quot;ISSN&quot;:&quot;15461718&quot;,&quot;issued&quot;:{&quot;date-parts&quot;:[[2017]]},&quot;abstract&quot;:&quot;A fundamental requirement for genetic studies is an accurate determination of sequence variation. While human genome sequence diversity is increasingly well characterized, there is a need for efficient ways to use this knowledge in sequence analysis. Here we present Graphtyper, a publicly available novel algorithm and software for discovering and genotyping sequence variants. Graphtyper realigns short-read sequence data to a pangenome, a variation-aware graph structure that encodes sequence variation within a population by representing possible haplotypes as graph paths. Our results show that Graphtyper is fast, highly scalable, and provides sensitive and accurate genotype calls. Graphtyper genotyped 89.4 million sequence variants in the whole genomes of 28,075 Icelanders using less than 100,000 CPU days, including detailed genotyping of six human leukocyte antigen (HLA) genes. We show that Graphtyper is a valuable tool in characterizing sequence variation in both small and population-scale sequencing studies.&quot;,&quot;issue&quot;:&quot;11&quot;,&quot;volume&quot;:&quot;49&quot;},&quot;isTemporary&quot;:false}]},{&quot;citationID&quot;:&quot;MENDELEY_CITATION_5b5b149d-0bae-4b8e-962c-ccf6e6f80d82&quot;,&quot;properties&quot;:{&quot;noteIndex&quot;:0},&quot;isEdited&quot;:false,&quot;manualOverride&quot;:{&quot;isManuallyOverridden&quot;:false,&quot;citeprocText&quot;:&quot;(5)&quot;,&quot;manualOverrideText&quot;:&quot;&quot;},&quot;citationTag&quot;:&quot;MENDELEY_CITATION_v3_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&quot;,&quot;citationItems&quot;:[{&quot;id&quot;:&quot;4b7db366-b7c2-3685-8a38-cfb76ee9db42&quot;,&quot;itemData&quot;:{&quot;type&quot;:&quot;article-journal&quot;,&quot;id&quot;:&quot;4b7db366-b7c2-3685-8a38-cfb76ee9db42&quot;,&quot;title&quot;:&quot;Parental origin of sequence variants associated with complex diseases&quot;,&quot;author&quot;:[{&quot;family&quot;:&quot;Kong&quot;,&quot;given&quot;:&quot;Augustine&quot;,&quot;parse-names&quot;:false,&quot;dropping-particle&quot;:&quot;&quot;,&quot;non-dropping-particle&quot;:&quot;&quot;},{&quot;family&quot;:&quot;Steinthorsdottir&quot;,&quot;given&quot;:&quot;Valgerdur&quot;,&quot;parse-names&quot;:false,&quot;dropping-particle&quot;:&quot;&quot;,&quot;non-dropping-particle&quot;:&quot;&quot;},{&quot;family&quot;:&quot;Masson&quot;,&quot;given&quot;:&quot;Gisli&quot;,&quot;parse-names&quot;:false,&quot;dropping-particle&quot;:&quot;&quot;,&quot;non-dropping-particle&quot;:&quot;&quot;},{&quot;family&quot;:&quot;Thorleifsson&quot;,&quot;given&quot;:&quot;Gudmar&quot;,&quot;parse-names&quot;:false,&quot;dropping-particle&quot;:&quot;&quot;,&quot;non-dropping-particle&quot;:&quot;&quot;},{&quot;family&quot;:&quot;Sulem&quot;,&quot;given&quot;:&quot;Patrick&quot;,&quot;parse-names&quot;:false,&quot;dropping-particle&quot;:&quot;&quot;,&quot;non-dropping-particle&quot;:&quot;&quot;},{&quot;family&quot;:&quot;Besenbacher&quot;,&quot;given&quot;:&quot;Soren&quot;,&quot;parse-names&quot;:false,&quot;dropping-particle&quot;:&quot;&quot;,&quot;non-dropping-particle&quot;:&quot;&quot;},{&quot;family&quot;:&quot;Jonasdottir&quot;,&quot;given&quot;:&quot;Aslaug&quot;,&quot;parse-names&quot;:false,&quot;dropping-particle&quot;:&quot;&quot;,&quot;non-dropping-particle&quot;:&quot;&quot;},{&quot;family&quot;:&quot;Sigurdsson&quot;,&quot;given&quot;:&quot;Asgeir&quot;,&quot;parse-names&quot;:false,&quot;dropping-particle&quot;:&quot;&quot;,&quot;non-dropping-particle&quot;:&quot;&quot;},{&quot;family&quot;:&quot;Kristinsson&quot;,&quot;given&quot;:&quot;Kari Th&quot;,&quot;parse-names&quot;:false,&quot;dropping-particle&quot;:&quot;&quot;,&quot;non-dropping-particle&quot;:&quot;&quot;},{&quot;family&quot;:&quot;Jonasdottir&quot;,&quot;given&quot;:&quot;Adalbjorg&quot;,&quot;parse-names&quot;:false,&quot;dropping-particle&quot;:&quot;&quot;,&quot;non-dropping-particle&quot;:&quot;&quot;},{&quot;family&quot;:&quot;Frigge&quot;,&quot;given&quot;:&quot;Michael L.&quot;,&quot;parse-names&quot;:false,&quot;dropping-particle&quot;:&quot;&quot;,&quot;non-dropping-particle&quot;:&quot;&quot;},{&quot;family&quot;:&quot;Gylfason&quot;,&quot;given&quot;:&quot;Arnaldur&quot;,&quot;parse-names&quot;:false,&quot;dropping-particle&quot;:&quot;&quot;,&quot;non-dropping-particle&quot;:&quot;&quot;},{&quot;family&quot;:&quot;Olason&quot;,&quot;given&quot;:&quot;Pall I.&quot;,&quot;parse-names&quot;:false,&quot;dropping-particle&quot;:&quot;&quot;,&quot;non-dropping-particle&quot;:&quot;&quot;},{&quot;family&quot;:&quot;Gudjonsson&quot;,&quot;given&quot;:&quot;Sigurjon A.&quot;,&quot;parse-names&quot;:false,&quot;dropping-particle&quot;:&quot;&quot;,&quot;non-dropping-particle&quot;:&quot;&quot;},{&quot;family&quot;:&quot;Sverrisson&quot;,&quot;given&quot;:&quot;Sverrir&quot;,&quot;parse-names&quot;:false,&quot;dropping-particle&quot;:&quot;&quot;,&quot;non-dropping-particle&quot;:&quot;&quot;},{&quot;family&quot;:&quot;Stacey&quot;,&quot;given&quot;:&quot;Simon N.&quot;,&quot;parse-names&quot;:false,&quot;dropping-particle&quot;:&quot;&quot;,&quot;non-dropping-particle&quot;:&quot;&quot;},{&quot;family&quot;:&quot;Sigurgeirsson&quot;,&quot;given&quot;:&quot;Bardur&quot;,&quot;parse-names&quot;:false,&quot;dropping-particle&quot;:&quot;&quot;,&quot;non-dropping-particle&quot;:&quot;&quot;},{&quot;family&quot;:&quot;Benediktsdottir&quot;,&quot;given&quot;:&quot;Kristrun R.&quot;,&quot;parse-names&quot;:false,&quot;dropping-particle&quot;:&quot;&quot;,&quot;non-dropping-particle&quot;:&quot;&quot;},{&quot;family&quot;:&quot;Sigurdsson&quot;,&quot;given&quot;:&quot;Helgi&quot;,&quot;parse-names&quot;:false,&quot;dropping-particle&quot;:&quot;&quot;,&quot;non-dropping-particle&quot;:&quot;&quot;},{&quot;family&quot;:&quot;Jonsson&quot;,&quot;given&quot;:&quot;Thorvaldur&quot;,&quot;parse-names&quot;:false,&quot;dropping-particle&quot;:&quot;&quot;,&quot;non-dropping-particle&quot;:&quot;&quot;},{&quot;family&quot;:&quot;Benediktsson&quot;,&quot;given&quot;:&quot;Rafn&quot;,&quot;parse-names&quot;:false,&quot;dropping-particle&quot;:&quot;&quot;,&quot;non-dropping-particle&quot;:&quot;&quot;},{&quot;family&quot;:&quot;Olafsson&quot;,&quot;given&quot;:&quot;Jon H.&quot;,&quot;parse-names&quot;:false,&quot;dropping-particle&quot;:&quot;&quot;,&quot;non-dropping-particle&quot;:&quot;&quot;},{&quot;family&quot;:&quot;Johannsson&quot;,&quot;given&quot;:&quot;Oskar Th&quot;,&quot;parse-names&quot;:false,&quot;dropping-particle&quot;:&quot;&quot;,&quot;non-dropping-particle&quot;:&quot;&quot;},{&quot;family&quot;:&quot;Hreidarsson&quot;,&quot;given&quot;:&quot;Astradur B.&quot;,&quot;parse-names&quot;:false,&quot;dropping-particle&quot;:&quot;&quot;,&quot;non-dropping-particle&quot;:&quot;&quot;},{&quot;family&quot;:&quot;Sigurdsson&quot;,&quot;given&quot;:&quot;Gunnar&quot;,&quot;parse-names&quot;:false,&quot;dropping-particle&quot;:&quot;&quot;,&quot;non-dropping-particle&quot;:&quot;&quot;},{&quot;family&quot;:&quot;Ferguson-Smith&quot;,&quot;given&quot;:&quot;Anne C.&quot;,&quot;parse-names&quot;:false,&quot;dropping-particle&quot;:&quot;&quot;,&quot;non-dropping-particle&quot;:&quot;&quot;},{&quot;family&quot;:&quot;Gudbjartsson&quot;,&quot;given&quot;:&quot;Daniel F.&quot;,&quot;parse-names&quot;:false,&quot;dropping-particle&quot;:&quot;&quot;,&quot;non-dropping-particle&quot;:&quot;&quot;},{&quot;family&quot;:&quot;Thorsteinsdottir&quot;,&quot;given&quot;:&quot;Unnur&quot;,&quot;parse-names&quot;:false,&quot;dropping-particle&quot;:&quot;&quot;,&quot;non-dropping-particle&quot;:&quot;&quot;},{&quot;family&quot;:&quot;Stefansson&quot;,&quot;given&quot;:&quot;Kari&quot;,&quot;parse-names&quot;:false,&quot;dropping-particle&quot;:&quot;&quot;,&quot;non-dropping-particle&quot;:&quot;&quot;}],&quot;container-title&quot;:&quot;Nature&quot;,&quot;container-title-short&quot;:&quot;Nature&quot;,&quot;DOI&quot;:&quot;10.1038/nature08625&quot;,&quot;ISSN&quot;:&quot;14764687&quot;,&quot;issued&quot;:{&quot;date-parts&quot;:[[2009]]},&quot;abstract&quot;:&quot;Effects of susceptibility variants may depend on from which parent they are inherited. Although many associations between sequence variants and human traits have been discovered through genome-wide associations, the impact of parental origin has largely been ignored. Here we show that for 38,167 Icelanders genotyped using single nucleotide polymorphism (SNP) chips, the parental origin of most alleles can be determined. For this we used a combination of genealogy and long-range phasing. We then focused on SNPs that associate with diseases and are within 500 kilobases of known imprinted genes. Seven independent SNP associations were examined. Fiveone with breast cancer, one with basal-cell carcinoma and three with type 2 diabeteshave parental-origin-specific associations. These variants are located in two genomic regions, 11p15 and 7q32, each harbouring a cluster of imprinted genes. Furthermore, we observed a novel association between the SNP rs2334499 at 11p15 and type 2 diabetes. Here the allele that confers risk when paternally inherited is protective when maternally transmitted. We identified a differentially methylated CTCF-binding site at 11p15 and demonstrated correlation of rs2334499 with decreased methylation of that site. © 2009 Macmillan Publishers Limited. All rights reserved.&quot;,&quot;issue&quot;:&quot;7275&quot;,&quot;volume&quot;:&quot;462&quot;},&quot;isTemporary&quot;:false}]},{&quot;citationID&quot;:&quot;MENDELEY_CITATION_ea1ad9ba-abf9-473f-85e1-4852884fc21e&quot;,&quot;properties&quot;:{&quot;noteIndex&quot;:0},&quot;isEdited&quot;:false,&quot;manualOverride&quot;:{&quot;isManuallyOverridden&quot;:false,&quot;citeprocText&quot;:&quot;(7)&quot;,&quot;manualOverrideText&quot;:&quot;&quot;},&quot;citationTag&quot;:&quot;MENDELEY_CITATION_v3_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&quot;,&quot;citationItems&quot;:[{&quot;id&quot;:&quot;9ab3a093-e227-3396-b41f-614aa2c3bdc0&quot;,&quot;itemData&quot;:{&quot;type&quot;:&quot;article-journal&quot;,&quot;id&quot;:&quot;9ab3a093-e227-3396-b41f-614aa2c3bdc0&quot;,&quot;title&quot;:&quot;The rate of meiotic gene conversion varies by sex and age&quot;,&quot;author&quot;:[{&quot;family&quot;:&quot;Halldorsson&quot;,&quot;given&quot;:&quot;Bjarni&quot;,&quot;parse-names&quot;:false,&quot;dropping-particle&quot;:&quot;v.&quot;,&quot;non-dropping-particle&quot;:&quot;&quot;},{&quot;family&quot;:&quot;Hardarson&quot;,&quot;given&quot;:&quot;Marteinn T.&quot;,&quot;parse-names&quot;:false,&quot;dropping-particle&quot;:&quot;&quot;,&quot;non-dropping-particle&quot;:&quot;&quot;},{&quot;family&quot;:&quot;Kehr&quot;,&quot;given&quot;:&quot;Birte&quot;,&quot;parse-names&quot;:false,&quot;dropping-particle&quot;:&quot;&quot;,&quot;non-dropping-particle&quot;:&quot;&quot;},{&quot;family&quot;:&quot;Styrkarsdottir&quot;,&quot;given&quot;:&quot;Unnur&quot;,&quot;parse-names&quot;:false,&quot;dropping-particle&quot;:&quot;&quot;,&quot;non-dropping-particle&quot;:&quot;&quot;},{&quot;family&quot;:&quot;Gylfason&quot;,&quot;given&quot;:&quot;Arnaldur&quot;,&quot;parse-names&quot;:false,&quot;dropping-particle&quot;:&quot;&quot;,&quot;non-dropping-particle&quot;:&quot;&quot;},{&quot;family&quot;:&quot;Thorleifsson&quot;,&quot;given&quot;:&quot;Gudmar&quot;,&quot;parse-names&quot;:false,&quot;dropping-particle&quot;:&quot;&quot;,&quot;non-dropping-particle&quot;:&quot;&quot;},{&quot;family&quot;:&quot;Zink&quot;,&quot;given&quot;:&quot;Florian&quot;,&quot;parse-names&quot;:false,&quot;dropping-particle&quot;:&quot;&quot;,&quot;non-dropping-particle&quot;:&quot;&quot;},{&quot;family&quot;:&quot;Jonasdottir&quot;,&quot;given&quot;:&quot;Adalbjorg&quot;,&quot;parse-names&quot;:false,&quot;dropping-particle&quot;:&quot;&quot;,&quot;non-dropping-particle&quot;:&quot;&quot;},{&quot;family&quot;:&quot;Jonasdottir&quot;,&quot;given&quot;:&quot;Aslaug&quot;,&quot;parse-names&quot;:false,&quot;dropping-particle&quot;:&quot;&quot;,&quot;non-dropping-particle&quot;:&quot;&quot;},{&quot;family&quot;:&quot;Sulem&quot;,&quot;given&quot;:&quot;Patrick&quot;,&quot;parse-names&quot;:false,&quot;dropping-particle&quot;:&quot;&quot;,&quot;non-dropping-particle&quot;:&quot;&quot;},{&quot;family&quot;:&quot;Masson&quot;,&quot;given&quot;:&quot;Gisli&quot;,&quot;parse-names&quot;:false,&quot;dropping-particle&quot;:&quot;&quot;,&quot;non-dropping-particle&quot;:&quot;&quot;},{&quot;family&quot;:&quot;Thorsteinsdottir&quot;,&quot;given&quot;:&quot;Unnur&quot;,&quot;parse-names&quot;:false,&quot;dropping-particle&quot;:&quot;&quot;,&quot;non-dropping-particle&quot;:&quot;&quot;},{&quot;family&quot;:&quot;Helgason&quot;,&quot;given&quot;:&quot;Agnar&quot;,&quot;parse-names&quot;:false,&quot;dropping-particle&quot;:&quot;&quot;,&quot;non-dropping-particle&quot;:&quot;&quot;},{&quot;family&quot;:&quot;Kong&quot;,&quot;given&quot;:&quot;Augustine&quot;,&quot;parse-names&quot;:false,&quot;dropping-particle&quot;:&quot;&quot;,&quot;non-dropping-particle&quot;:&quot;&quot;},{&quot;family&quot;:&quot;Gudbjartsson&quot;,&quot;given&quot;:&quot;Daniel F.&quot;,&quot;parse-names&quot;:false,&quot;dropping-particle&quot;:&quot;&quot;,&quot;non-dropping-particle&quot;:&quot;&quot;},{&quot;family&quot;:&quot;Stefansson&quot;,&quot;given&quot;:&quot;Kari&quot;,&quot;parse-names&quot;:false,&quot;dropping-particle&quot;:&quot;&quot;,&quot;non-dropping-particle&quot;:&quot;&quot;}],&quot;container-title&quot;:&quot;Nature Genetics&quot;,&quot;container-title-short&quot;:&quot;Nat Genet&quot;,&quot;accessed&quot;:{&quot;date-parts&quot;:[[2020,8,11]]},&quot;DOI&quot;:&quot;10.1038/ng.3669&quot;,&quot;ISSN&quot;:&quot;15461718&quot;,&quot;URL&quot;:&quot;/pmc/articles/PMC5083143/?report=abstract&quot;,&quot;issued&quot;:{&quot;date-parts&quot;:[[2016,11,1]]},&quot;page&quot;:&quot;1377-1384&quot;,&quot;abstract&quot;:&quot;Meiotic recombination involves a combination of gene conversion and crossover events that, along with mutations, produce germline genetic diversity. Here we report the discovery of 3,176 SNP and 61 indel gene conversions. Our estimate of the non-crossover (NCO) gene conversion rate (G) is 7.0 for SNPs and 5.8 for indels per megabase per generation, and the GC bias is 67.6%. For indels, we demonstrate a 65.6% preference for the shorter allele. NCO gene conversions from mothers are longer than those from fathers, and G is 2.17 times greater in mothers. Notably, G increases with the age of mothers, but not the age of fathers. A disproportionate number of NCO gene conversions in older mothers occur outside double-strand break (DSB) regions and in regions with relatively low GC content. This points to age-related changes in the mechanisms of meiotic gene conversion in oocytes.&quot;,&quot;publisher&quot;:&quot;Nature Publishing Group&quot;,&quot;issue&quot;:&quot;11&quot;,&quot;volume&quot;:&quot;48&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F4986-3A66-46E9-A178-C8123FE85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2792</TotalTime>
  <Pages>19</Pages>
  <Words>3023</Words>
  <Characters>17236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deCODE genetics</Company>
  <LinksUpToDate>false</LinksUpToDate>
  <CharactersWithSpaces>20219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Brynja Sigurpálsdóttir</dc:creator>
  <cp:keywords/>
  <dc:description/>
  <cp:lastModifiedBy>E744616</cp:lastModifiedBy>
  <cp:revision>8</cp:revision>
  <cp:lastPrinted>2023-11-07T15:48:00Z</cp:lastPrinted>
  <dcterms:created xsi:type="dcterms:W3CDTF">2024-02-19T10:26:00Z</dcterms:created>
  <dcterms:modified xsi:type="dcterms:W3CDTF">2024-03-06T11:36:00Z</dcterms:modified>
</cp:coreProperties>
</file>