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E7420" w:rsidRDefault="00000000">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6E7420"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6E7420"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100932D5" w14:textId="77777777" w:rsidR="00E436F9" w:rsidRDefault="00E436F9">
      <w:pPr>
        <w:spacing w:after="0" w:line="240" w:lineRule="auto"/>
        <w:rPr>
          <w:rFonts w:ascii="Times New Roman" w:eastAsia="Times New Roman" w:hAnsi="Times New Roman" w:cs="Times New Roman"/>
          <w:b/>
        </w:rPr>
      </w:pPr>
    </w:p>
    <w:p w14:paraId="00000005" w14:textId="77777777" w:rsidR="006E7420"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 xml:space="preserve">Were you able to assess all statistics in the manuscript, including the appropriateness of statistical tests used? </w:t>
      </w:r>
    </w:p>
    <w:p w14:paraId="00000006" w14:textId="33DA5358" w:rsidR="006E7420" w:rsidRDefault="00E436F9">
      <w:pPr>
        <w:spacing w:after="0" w:line="240" w:lineRule="auto"/>
      </w:pPr>
      <w:r>
        <w:rPr>
          <w:b/>
          <w:bCs/>
        </w:rPr>
        <w:t>Yes:</w:t>
      </w:r>
      <w:r>
        <w:t xml:space="preserve"> The authors have provided a </w:t>
      </w:r>
      <w:proofErr w:type="spellStart"/>
      <w:r>
        <w:t>github</w:t>
      </w:r>
      <w:proofErr w:type="spellEnd"/>
      <w:r>
        <w:t xml:space="preserve"> repo containing all the analysis details.</w:t>
      </w:r>
    </w:p>
    <w:p w14:paraId="2386C86D" w14:textId="77777777" w:rsidR="00E436F9" w:rsidRDefault="00E436F9">
      <w:pPr>
        <w:spacing w:after="0" w:line="240" w:lineRule="auto"/>
        <w:rPr>
          <w:rFonts w:ascii="Times New Roman" w:eastAsia="Times New Roman" w:hAnsi="Times New Roman" w:cs="Times New Roman"/>
          <w:b/>
          <w:color w:val="000033"/>
          <w:highlight w:val="white"/>
        </w:rPr>
      </w:pPr>
    </w:p>
    <w:p w14:paraId="00000007" w14:textId="77777777" w:rsidR="006E7420" w:rsidRDefault="00000000">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14:paraId="00000008" w14:textId="241F44B2" w:rsidR="006E7420" w:rsidRDefault="00E436F9">
      <w:pPr>
        <w:spacing w:after="0" w:line="240" w:lineRule="auto"/>
        <w:rPr>
          <w:rFonts w:ascii="Times New Roman" w:eastAsia="Times New Roman" w:hAnsi="Times New Roman" w:cs="Times New Roman"/>
        </w:rPr>
      </w:pPr>
      <w:r>
        <w:rPr>
          <w:rFonts w:ascii="Times New Roman" w:eastAsia="Times New Roman" w:hAnsi="Times New Roman" w:cs="Times New Roman"/>
        </w:rPr>
        <w:t>Yes</w:t>
      </w:r>
    </w:p>
    <w:p w14:paraId="02264F4D" w14:textId="77777777" w:rsidR="00E436F9" w:rsidRDefault="00E436F9">
      <w:pPr>
        <w:spacing w:after="0" w:line="240" w:lineRule="auto"/>
        <w:rPr>
          <w:rFonts w:ascii="Times New Roman" w:eastAsia="Times New Roman" w:hAnsi="Times New Roman" w:cs="Times New Roman"/>
        </w:rPr>
      </w:pPr>
    </w:p>
    <w:p w14:paraId="00000009" w14:textId="77777777" w:rsidR="006E7420"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A" w14:textId="0B3338E8" w:rsidR="006E7420" w:rsidRDefault="00E436F9">
      <w:pPr>
        <w:spacing w:after="0" w:line="240" w:lineRule="auto"/>
        <w:rPr>
          <w:rFonts w:ascii="Times New Roman" w:eastAsia="Times New Roman" w:hAnsi="Times New Roman" w:cs="Times New Roman"/>
        </w:rPr>
      </w:pPr>
      <w:r>
        <w:t xml:space="preserve">My major concerns are the following: </w:t>
      </w:r>
      <w:r>
        <w:br/>
      </w:r>
      <w:r>
        <w:br/>
        <w:t xml:space="preserve">1. Important details in the </w:t>
      </w:r>
      <w:proofErr w:type="spellStart"/>
      <w:r>
        <w:t>scHolography</w:t>
      </w:r>
      <w:proofErr w:type="spellEnd"/>
      <w:r>
        <w:t xml:space="preserve"> workflow are missing. The authors omitted the details of how ST and SC data are integrated and the details of Gale--Shapley for matching and </w:t>
      </w:r>
      <w:proofErr w:type="spellStart"/>
      <w:r>
        <w:t>Fruchterman</w:t>
      </w:r>
      <w:proofErr w:type="spellEnd"/>
      <w:r>
        <w:t xml:space="preserve">--Reingold for graph construction. While FR is mostly for visualization, GS is critical for all the downstream results. I suggest that the authors add more detailed description of these steps and benchmark the performance of GS against other matching algorithms. The latter is particularly important as GS was originally designed for completely different settings that has little to do with geometry. </w:t>
      </w:r>
      <w:r>
        <w:br/>
      </w:r>
      <w:r>
        <w:br/>
        <w:t xml:space="preserve">2. There is no clear evidence favoring 3D embedding. After reading the manuscript, I was left wondering what if one only uses </w:t>
      </w:r>
      <w:proofErr w:type="spellStart"/>
      <w:r>
        <w:t>Fruchterman</w:t>
      </w:r>
      <w:proofErr w:type="spellEnd"/>
      <w:r>
        <w:t xml:space="preserve">--Reingold for 2D embedding and how the result 2D embedding would compare with other cell charting methods. I was not able to find convincing evidence in the manuscript that 3D embedding is necessary. Moreover, the distance comparison is in Figure 2e, 2i, etc. is not very meaningful, for the same reason as why one should not use distance in UMAP embedding space to quantify (dis)similarity. </w:t>
      </w:r>
      <w:r>
        <w:br/>
      </w:r>
      <w:r>
        <w:br/>
        <w:t xml:space="preserve">3. There is no clear evidence that the findings enabled by </w:t>
      </w:r>
      <w:proofErr w:type="spellStart"/>
      <w:r>
        <w:t>scHolography</w:t>
      </w:r>
      <w:proofErr w:type="spellEnd"/>
      <w:r>
        <w:t xml:space="preserve"> cannot be achieved by deconvolution of spot-level spatial transcriptomics data. Given the approach requires ST data to start with, the use case of </w:t>
      </w:r>
      <w:proofErr w:type="spellStart"/>
      <w:r>
        <w:t>scHolography</w:t>
      </w:r>
      <w:proofErr w:type="spellEnd"/>
      <w:r>
        <w:t xml:space="preserve"> is not entirely clear. It would be much more convincing if the authors can demonstrate one case where </w:t>
      </w:r>
      <w:proofErr w:type="spellStart"/>
      <w:r>
        <w:t>scHolography</w:t>
      </w:r>
      <w:proofErr w:type="spellEnd"/>
      <w:r>
        <w:t xml:space="preserve"> can discover something that appropriate spot deconvolution cannot achieve.</w:t>
      </w:r>
    </w:p>
    <w:p w14:paraId="0000000B" w14:textId="77777777" w:rsidR="006E7420" w:rsidRDefault="006E7420">
      <w:pPr>
        <w:spacing w:after="0" w:line="240" w:lineRule="auto"/>
        <w:rPr>
          <w:rFonts w:ascii="Times New Roman" w:eastAsia="Times New Roman" w:hAnsi="Times New Roman" w:cs="Times New Roman"/>
        </w:rPr>
      </w:pPr>
    </w:p>
    <w:p w14:paraId="035EF1E4" w14:textId="77777777" w:rsidR="00E436F9" w:rsidRDefault="00E436F9">
      <w:pPr>
        <w:spacing w:after="0" w:line="240" w:lineRule="auto"/>
        <w:rPr>
          <w:rFonts w:ascii="Times New Roman" w:eastAsia="Times New Roman" w:hAnsi="Times New Roman" w:cs="Times New Roman"/>
        </w:rPr>
      </w:pPr>
    </w:p>
    <w:p w14:paraId="0000000C" w14:textId="77777777" w:rsidR="006E7420"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0D" w14:textId="77777777" w:rsidR="006E7420"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E" w14:textId="3900DF14" w:rsidR="006E7420" w:rsidRPr="00E436F9" w:rsidRDefault="00E436F9">
      <w:pPr>
        <w:spacing w:after="0" w:line="240" w:lineRule="auto"/>
        <w:rPr>
          <w:rFonts w:ascii="Times New Roman" w:eastAsia="Times New Roman" w:hAnsi="Times New Roman" w:cs="Times New Roman"/>
          <w:bCs/>
          <w:color w:val="000033"/>
          <w:highlight w:val="white"/>
        </w:rPr>
      </w:pPr>
      <w:r>
        <w:rPr>
          <w:rFonts w:ascii="Times New Roman" w:eastAsia="Times New Roman" w:hAnsi="Times New Roman" w:cs="Times New Roman"/>
          <w:bCs/>
          <w:color w:val="000033"/>
          <w:highlight w:val="white"/>
        </w:rPr>
        <w:t>No</w:t>
      </w:r>
    </w:p>
    <w:p w14:paraId="0000000F" w14:textId="77777777" w:rsidR="006E7420"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10" w14:textId="280EDEA1" w:rsidR="006E7420" w:rsidRDefault="00E436F9">
      <w:pPr>
        <w:rPr>
          <w:rFonts w:ascii="Times New Roman" w:eastAsia="Times New Roman" w:hAnsi="Times New Roman" w:cs="Times New Roman"/>
        </w:rPr>
      </w:pPr>
      <w:r>
        <w:rPr>
          <w:rFonts w:ascii="Times New Roman" w:eastAsia="Times New Roman" w:hAnsi="Times New Roman" w:cs="Times New Roman"/>
        </w:rPr>
        <w:t>Yes</w:t>
      </w:r>
    </w:p>
    <w:p w14:paraId="00000011" w14:textId="77777777" w:rsidR="006E7420" w:rsidRDefault="00000000">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2" w14:textId="28C5B7E1" w:rsidR="006E7420" w:rsidRDefault="00E436F9">
      <w:r>
        <w:t xml:space="preserve">This manuscript introduces </w:t>
      </w:r>
      <w:proofErr w:type="spellStart"/>
      <w:r>
        <w:t>scHolography</w:t>
      </w:r>
      <w:proofErr w:type="spellEnd"/>
      <w:r>
        <w:t xml:space="preserve">, a novel framework for characterizing tissue spatial neighborhoods at single-cell resolution using </w:t>
      </w:r>
      <w:proofErr w:type="spellStart"/>
      <w:r>
        <w:t>scRNA</w:t>
      </w:r>
      <w:proofErr w:type="spellEnd"/>
      <w:r>
        <w:t xml:space="preserve">-seq data. </w:t>
      </w:r>
      <w:proofErr w:type="spellStart"/>
      <w:r>
        <w:t>scHolography</w:t>
      </w:r>
      <w:proofErr w:type="spellEnd"/>
      <w:r>
        <w:t xml:space="preserve"> incorporates neural networks and the Gale-Shapley algorithm to learn 3D information from 2D spatial transcriptomics (ST) reference data and identify stable-matching neighbors (SMNs) for each cell. The major innovations of </w:t>
      </w:r>
      <w:proofErr w:type="spellStart"/>
      <w:r>
        <w:lastRenderedPageBreak/>
        <w:t>scHolography</w:t>
      </w:r>
      <w:proofErr w:type="spellEnd"/>
      <w:r>
        <w:t xml:space="preserve"> include the use of 3D coordinates to define spatial identity instead of 2D coordinates and the reconstruction of 3D tissue by projecting the cell-cell spatial connections onto an undirected SMN graph. The authors demonstrated the superior performance of </w:t>
      </w:r>
      <w:proofErr w:type="spellStart"/>
      <w:r>
        <w:t>scHolography</w:t>
      </w:r>
      <w:proofErr w:type="spellEnd"/>
      <w:r>
        <w:t xml:space="preserve"> in reconstructing spatial neighborhoods on both sequencing- and imaging-based ST datasets, including the 10X Xenium mouse hippocampus, 10X </w:t>
      </w:r>
      <w:proofErr w:type="spellStart"/>
      <w:r>
        <w:t>Visium</w:t>
      </w:r>
      <w:proofErr w:type="spellEnd"/>
      <w:r>
        <w:t xml:space="preserve"> mouse brain, Slide-seqV2 mouse hippocampus, and MERFISH anterior preoptic mouse brain.</w:t>
      </w:r>
      <w:r>
        <w:br/>
        <w:t xml:space="preserve">Overall, </w:t>
      </w:r>
      <w:proofErr w:type="spellStart"/>
      <w:r>
        <w:t>scHolography</w:t>
      </w:r>
      <w:proofErr w:type="spellEnd"/>
      <w:r>
        <w:t xml:space="preserve"> looks to be a very promising method for spatial neighborhood reconstruction, with a significant improvement in accuracy over competing methods. However, the authors should address several critical issues regarding the design of the algorithm and the evaluation of the performance. First, the authors only use Seurat CCA as integration methods in performance evaluation. It is important to demonstrate the stability of </w:t>
      </w:r>
      <w:proofErr w:type="spellStart"/>
      <w:r>
        <w:t>scHolography</w:t>
      </w:r>
      <w:proofErr w:type="spellEnd"/>
      <w:r>
        <w:t xml:space="preserve"> by using alternative integration methods. Second, the authors compared </w:t>
      </w:r>
      <w:proofErr w:type="spellStart"/>
      <w:r>
        <w:t>scHolography's</w:t>
      </w:r>
      <w:proofErr w:type="spellEnd"/>
      <w:r>
        <w:t xml:space="preserve"> 3D reconstruction performance in one unmatching sample. Examining the broader applicability of </w:t>
      </w:r>
      <w:proofErr w:type="spellStart"/>
      <w:r>
        <w:t>scHolography</w:t>
      </w:r>
      <w:proofErr w:type="spellEnd"/>
      <w:r>
        <w:t xml:space="preserve"> in other situation would provide valuable insights. Third, the authors should interpret the result from a biological perspective. Additionally, </w:t>
      </w:r>
      <w:proofErr w:type="spellStart"/>
      <w:r>
        <w:t>scHolography</w:t>
      </w:r>
      <w:proofErr w:type="spellEnd"/>
      <w:r>
        <w:t xml:space="preserve"> assigns a fixed number of neighboring cells to each cell, which is inconsistent with the fact that different regions within a tissue can exhibit distinct cell densities. I have the following suggestions to improve the manuscript. </w:t>
      </w:r>
      <w:r>
        <w:br/>
        <w:t xml:space="preserve">1. Integration: The initial step of </w:t>
      </w:r>
      <w:proofErr w:type="spellStart"/>
      <w:r>
        <w:t>scHolography</w:t>
      </w:r>
      <w:proofErr w:type="spellEnd"/>
      <w:r>
        <w:t xml:space="preserve"> involves integrating </w:t>
      </w:r>
      <w:proofErr w:type="spellStart"/>
      <w:r>
        <w:t>scRNA</w:t>
      </w:r>
      <w:proofErr w:type="spellEnd"/>
      <w:r>
        <w:t>-seq data with ST data. However, it seems that the authors relied exclusively on Seurat CCA for this integration process. To ensure the robustness and reliability of the results, it is strongly recommended that the authors perform additional validation using alternative integration methods.</w:t>
      </w:r>
      <w:r>
        <w:br/>
        <w:t xml:space="preserve">2. Benchmark: The authors discussed a limitation of 2D spatial cell charting methods in cases where there are mismatches between ST and SC data, as shown in Figure 2d. However, it is crucial for the authors to provide a more comprehensive evaluation of </w:t>
      </w:r>
      <w:proofErr w:type="spellStart"/>
      <w:r>
        <w:t>scHolography</w:t>
      </w:r>
      <w:proofErr w:type="spellEnd"/>
      <w:r>
        <w:t xml:space="preserve"> by comparing it with other existing tools using matched datasets. While Figure 2d highlights a specific instance of mismatch, a single comparison may not be sufficient to rigorously evaluate the performance of </w:t>
      </w:r>
      <w:proofErr w:type="spellStart"/>
      <w:r>
        <w:t>scHolography</w:t>
      </w:r>
      <w:proofErr w:type="spellEnd"/>
      <w:r>
        <w:t xml:space="preserve">. </w:t>
      </w:r>
      <w:r>
        <w:br/>
        <w:t xml:space="preserve">3. Robustness: In Figure 3d-f, the authors demonstrate </w:t>
      </w:r>
      <w:proofErr w:type="spellStart"/>
      <w:r>
        <w:t>scHolography's</w:t>
      </w:r>
      <w:proofErr w:type="spellEnd"/>
      <w:r>
        <w:t xml:space="preserve"> ability to reconstruct 3D tissue from a 2D reference, specifically using slice 400 as the reference. However, to further assess the robustness of </w:t>
      </w:r>
      <w:proofErr w:type="spellStart"/>
      <w:r>
        <w:t>scHolography</w:t>
      </w:r>
      <w:proofErr w:type="spellEnd"/>
      <w:r>
        <w:t xml:space="preserve">, it is recommended that the authors present additional results using other slices as references. Including these supplementary results in the manuscript or as supplementary material would provide a more comprehensive understanding of </w:t>
      </w:r>
      <w:proofErr w:type="spellStart"/>
      <w:r>
        <w:t>scHolography's</w:t>
      </w:r>
      <w:proofErr w:type="spellEnd"/>
      <w:r>
        <w:t xml:space="preserve"> performance across different slices and validate its consistency in reconstructing 3D tissue structures from various reference points.</w:t>
      </w:r>
      <w:r>
        <w:br/>
        <w:t xml:space="preserve">4. Interpretability of the algorithm. Are the most stable matching neighbors identified by </w:t>
      </w:r>
      <w:proofErr w:type="spellStart"/>
      <w:r>
        <w:t>scHolography</w:t>
      </w:r>
      <w:proofErr w:type="spellEnd"/>
      <w:r>
        <w:t xml:space="preserve"> interpretable? How can we interpret the result from a biological perspective?</w:t>
      </w:r>
      <w:r>
        <w:br/>
        <w:t xml:space="preserve">5. Tissue heterogeneity: It is crucial for the authors to address the issue of tissue heterogeneity in their manuscript. Different regions within a tissue can indeed exhibit distinct cell densities, and this variation should be acknowledged. Currently, </w:t>
      </w:r>
      <w:proofErr w:type="spellStart"/>
      <w:r>
        <w:t>scHolography</w:t>
      </w:r>
      <w:proofErr w:type="spellEnd"/>
      <w:r>
        <w:t xml:space="preserve"> assigns a fixed number of neighboring cells (default 30) to each cell, which may not accurately capture the true spatial relationships in tissues with varying densities.</w:t>
      </w:r>
    </w:p>
    <w:p w14:paraId="671F7021" w14:textId="77777777" w:rsidR="00E436F9" w:rsidRDefault="00E436F9">
      <w:pPr>
        <w:rPr>
          <w:rFonts w:ascii="Times New Roman" w:eastAsia="Times New Roman" w:hAnsi="Times New Roman" w:cs="Times New Roman"/>
        </w:rPr>
      </w:pPr>
    </w:p>
    <w:p w14:paraId="00000013" w14:textId="77777777" w:rsidR="006E7420" w:rsidRDefault="00000000">
      <w:pPr>
        <w:rPr>
          <w:rFonts w:ascii="Times New Roman" w:eastAsia="Times New Roman" w:hAnsi="Times New Roman" w:cs="Times New Roman"/>
          <w:b/>
        </w:rPr>
      </w:pPr>
      <w:r>
        <w:rPr>
          <w:rFonts w:ascii="Times New Roman" w:eastAsia="Times New Roman" w:hAnsi="Times New Roman" w:cs="Times New Roman"/>
          <w:b/>
        </w:rPr>
        <w:lastRenderedPageBreak/>
        <w:t>Authors Response</w:t>
      </w:r>
    </w:p>
    <w:p w14:paraId="00000014" w14:textId="77777777" w:rsidR="006E7420" w:rsidRDefault="00000000">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3AE262D5" w14:textId="77777777" w:rsidR="00E436F9" w:rsidRPr="00F835B2" w:rsidRDefault="00E436F9" w:rsidP="00E436F9">
      <w:pPr>
        <w:rPr>
          <w:rFonts w:ascii="Arial" w:hAnsi="Arial" w:cs="Arial"/>
          <w:color w:val="424242"/>
          <w:shd w:val="clear" w:color="auto" w:fill="FFFFFF"/>
        </w:rPr>
      </w:pPr>
      <w:r w:rsidRPr="00685811">
        <w:rPr>
          <w:rFonts w:ascii="Arial" w:eastAsia="Times New Roman" w:hAnsi="Arial" w:cs="Arial"/>
          <w:color w:val="424242"/>
          <w:shd w:val="clear" w:color="auto" w:fill="FFFFFF"/>
        </w:rPr>
        <w:t>Reviewer #1: My major concerns are the following:</w:t>
      </w:r>
      <w:r w:rsidRPr="00685811">
        <w:rPr>
          <w:rFonts w:ascii="Arial" w:eastAsia="Times New Roman" w:hAnsi="Arial" w:cs="Arial"/>
          <w:color w:val="424242"/>
        </w:rPr>
        <w:br/>
      </w:r>
      <w:r w:rsidRPr="00685811">
        <w:rPr>
          <w:rFonts w:ascii="Arial" w:eastAsia="Times New Roman" w:hAnsi="Arial" w:cs="Arial"/>
          <w:color w:val="424242"/>
          <w:shd w:val="clear" w:color="auto" w:fill="FFFFFF"/>
        </w:rPr>
        <w:t xml:space="preserve">1. Important details in the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workflow are missing. The authors omitted the details of how ST and SC data are integrated and the details of Gale--Shapley for matching and </w:t>
      </w:r>
      <w:proofErr w:type="spellStart"/>
      <w:r w:rsidRPr="00685811">
        <w:rPr>
          <w:rFonts w:ascii="Arial" w:eastAsia="Times New Roman" w:hAnsi="Arial" w:cs="Arial"/>
          <w:color w:val="424242"/>
          <w:shd w:val="clear" w:color="auto" w:fill="FFFFFF"/>
        </w:rPr>
        <w:t>Fruchterman</w:t>
      </w:r>
      <w:proofErr w:type="spellEnd"/>
      <w:r w:rsidRPr="00685811">
        <w:rPr>
          <w:rFonts w:ascii="Arial" w:eastAsia="Times New Roman" w:hAnsi="Arial" w:cs="Arial"/>
          <w:color w:val="424242"/>
          <w:shd w:val="clear" w:color="auto" w:fill="FFFFFF"/>
        </w:rPr>
        <w:t xml:space="preserve">--Reingold for graph construction. While FR is mostly for visualization, GS is critical for all the downstream results. </w:t>
      </w:r>
      <w:r w:rsidRPr="00343F56">
        <w:rPr>
          <w:rFonts w:ascii="Arial" w:eastAsia="Times New Roman" w:hAnsi="Arial" w:cs="Arial"/>
          <w:color w:val="424242"/>
          <w:shd w:val="clear" w:color="auto" w:fill="FFFFFF"/>
        </w:rPr>
        <w:t>I suggest that the authors add more detailed description of these steps and benchmark the performance of GS against other matching algorithms. The latter is particularly important as GS was originally designed for completely different settings that has little to do with geometry.</w:t>
      </w:r>
    </w:p>
    <w:p w14:paraId="17E424BB" w14:textId="2064AA90" w:rsidR="00E436F9" w:rsidRDefault="00E436F9" w:rsidP="00E436F9">
      <w:pPr>
        <w:ind w:firstLine="360"/>
        <w:rPr>
          <w:rFonts w:ascii="Arial" w:eastAsia="Times New Roman" w:hAnsi="Arial" w:cs="Arial"/>
          <w:color w:val="4F81BD" w:themeColor="accent1"/>
        </w:rPr>
      </w:pPr>
      <w:r w:rsidRPr="00A53B73">
        <w:rPr>
          <w:rFonts w:ascii="Arial" w:eastAsia="Times New Roman" w:hAnsi="Arial" w:cs="Arial"/>
          <w:color w:val="4F81BD" w:themeColor="accent1"/>
        </w:rPr>
        <w:t>We thank the reviewers for the insightful comments</w:t>
      </w:r>
      <w:r w:rsidRPr="00A36C4D">
        <w:rPr>
          <w:rFonts w:ascii="Arial" w:eastAsia="Times New Roman" w:hAnsi="Arial" w:cs="Arial"/>
          <w:color w:val="4F81BD" w:themeColor="accent1"/>
        </w:rPr>
        <w:t>. We have added detailed description in Methods section for the integration of ST and SC data. W</w:t>
      </w:r>
      <w:r w:rsidRPr="00A36C4D">
        <w:rPr>
          <w:rFonts w:ascii="Arial" w:eastAsia="Times New Roman" w:hAnsi="Arial" w:cs="Arial"/>
          <w:color w:val="4F81BD" w:themeColor="accent1"/>
          <w:shd w:val="clear" w:color="auto" w:fill="FFFFFF"/>
        </w:rPr>
        <w:t xml:space="preserve">e compared additional </w:t>
      </w:r>
      <w:proofErr w:type="spellStart"/>
      <w:r w:rsidRPr="00A36C4D">
        <w:rPr>
          <w:rFonts w:ascii="Arial" w:eastAsia="Times New Roman" w:hAnsi="Arial" w:cs="Arial"/>
          <w:color w:val="4F81BD" w:themeColor="accent1"/>
          <w:shd w:val="clear" w:color="auto" w:fill="FFFFFF"/>
        </w:rPr>
        <w:t>scHolography</w:t>
      </w:r>
      <w:proofErr w:type="spellEnd"/>
      <w:r w:rsidRPr="00A36C4D">
        <w:rPr>
          <w:rFonts w:ascii="Arial" w:eastAsia="Times New Roman" w:hAnsi="Arial" w:cs="Arial"/>
          <w:color w:val="4F81BD" w:themeColor="accent1"/>
          <w:shd w:val="clear" w:color="auto" w:fill="FFFFFF"/>
        </w:rPr>
        <w:t xml:space="preserve"> results when using</w:t>
      </w:r>
      <w:r w:rsidRPr="00A341A2">
        <w:rPr>
          <w:rFonts w:ascii="Arial" w:eastAsia="Times New Roman" w:hAnsi="Arial" w:cs="Arial"/>
          <w:color w:val="4F81BD" w:themeColor="accent1"/>
          <w:shd w:val="clear" w:color="auto" w:fill="FFFFFF"/>
        </w:rPr>
        <w:t xml:space="preserve"> LIGER </w:t>
      </w:r>
      <w:r w:rsidRPr="00A341A2">
        <w:rPr>
          <w:rFonts w:ascii="Arial" w:eastAsia="Times New Roman" w:hAnsi="Arial" w:cs="Arial"/>
          <w:color w:val="4F81BD" w:themeColor="accent1"/>
          <w:shd w:val="clear" w:color="auto" w:fill="FFFFFF"/>
        </w:rPr>
        <w:fldChar w:fldCharType="begin"/>
      </w:r>
      <w:r w:rsidRPr="00A341A2">
        <w:rPr>
          <w:rFonts w:ascii="Arial" w:eastAsia="Times New Roman" w:hAnsi="Arial" w:cs="Arial"/>
          <w:color w:val="4F81BD" w:themeColor="accent1"/>
          <w:shd w:val="clear" w:color="auto" w:fill="FFFFFF"/>
        </w:rPr>
        <w:instrText xml:space="preserve"> ADDIN EN.CITE &lt;EndNote&gt;&lt;Cite&gt;&lt;Author&gt;Welch&lt;/Author&gt;&lt;Year&gt;2019&lt;/Year&gt;&lt;RecNum&gt;0&lt;/RecNum&gt;&lt;IDText&gt;Single-Cell Multi-omic Integration Compares and Contrasts Features of Brain Cell Identity&lt;/IDText&gt;&lt;DisplayText&gt;(Welch et al., 2019)&lt;/DisplayText&gt;&lt;record&gt;&lt;dates&gt;&lt;pub-dates&gt;&lt;date&gt;06&lt;/date&gt;&lt;/pub-dates&gt;&lt;year&gt;2019&lt;/year&gt;&lt;/dates&gt;&lt;keywords&gt;&lt;keyword&gt;bed nucleus of the stria terminalis&lt;/keyword&gt;&lt;keyword&gt;data integration&lt;/keyword&gt;&lt;keyword&gt;single-cell genomics&lt;/keyword&gt;&lt;keyword&gt;substantia nigra&lt;/keyword&gt;&lt;/keywords&gt;&lt;urls&gt;&lt;related-urls&gt;&lt;url&gt;https://www.ncbi.nlm.nih.gov/pubmed/31178122&lt;/url&gt;&lt;/related-urls&gt;&lt;/urls&gt;&lt;isbn&gt;1097-4172&lt;/isbn&gt;&lt;custom2&gt;PMC6716797&lt;/custom2&gt;&lt;titles&gt;&lt;title&gt;Single-Cell Multi-omic Integration Compares and Contrasts Features of Brain Cell Identity&lt;/title&gt;&lt;secondary-title&gt;Cell&lt;/secondary-title&gt;&lt;/titles&gt;&lt;pages&gt;1873-1887.e17&lt;/pages&gt;&lt;number&gt;7&lt;/number&gt;&lt;contributors&gt;&lt;authors&gt;&lt;author&gt;Welch, J. D.&lt;/author&gt;&lt;author&gt;Kozareva, V.&lt;/author&gt;&lt;author&gt;Ferreira, A.&lt;/author&gt;&lt;author&gt;Vanderburg, C.&lt;/author&gt;&lt;author&gt;Martin, C.&lt;/author&gt;&lt;author&gt;Macosko, E. Z.&lt;/author&gt;&lt;/authors&gt;&lt;/contributors&gt;&lt;edition&gt;2019/06/06&lt;/edition&gt;&lt;language&gt;eng&lt;/language&gt;&lt;added-date format="utc"&gt;1583813761&lt;/added-date&gt;&lt;ref-type name="Journal Article"&gt;17&lt;/ref-type&gt;&lt;rec-number&gt;53&lt;/rec-number&gt;&lt;last-updated-date format="utc"&gt;1583813761&lt;/last-updated-date&gt;&lt;accession-num&gt;31178122&lt;/accession-num&gt;&lt;electronic-resource-num&gt;10.1016/j.cell.2019.05.006&lt;/electronic-resource-num&gt;&lt;volume&gt;177&lt;/volume&gt;&lt;/record&gt;&lt;/Cite&gt;&lt;/EndNote&gt;</w:instrText>
      </w:r>
      <w:r w:rsidRPr="00A341A2">
        <w:rPr>
          <w:rFonts w:ascii="Arial" w:eastAsia="Times New Roman" w:hAnsi="Arial" w:cs="Arial"/>
          <w:color w:val="4F81BD" w:themeColor="accent1"/>
          <w:shd w:val="clear" w:color="auto" w:fill="FFFFFF"/>
        </w:rPr>
        <w:fldChar w:fldCharType="separate"/>
      </w:r>
      <w:r w:rsidRPr="00A341A2">
        <w:rPr>
          <w:rFonts w:ascii="Arial" w:eastAsia="Times New Roman" w:hAnsi="Arial" w:cs="Arial"/>
          <w:noProof/>
          <w:color w:val="4F81BD" w:themeColor="accent1"/>
          <w:shd w:val="clear" w:color="auto" w:fill="FFFFFF"/>
        </w:rPr>
        <w:t>(Welch et al., 2019)</w:t>
      </w:r>
      <w:r w:rsidRPr="00A341A2">
        <w:rPr>
          <w:rFonts w:ascii="Arial" w:eastAsia="Times New Roman" w:hAnsi="Arial" w:cs="Arial"/>
          <w:color w:val="4F81BD" w:themeColor="accent1"/>
          <w:shd w:val="clear" w:color="auto" w:fill="FFFFFF"/>
        </w:rPr>
        <w:fldChar w:fldCharType="end"/>
      </w:r>
      <w:r w:rsidRPr="00A341A2">
        <w:rPr>
          <w:rFonts w:ascii="Arial" w:eastAsia="Times New Roman" w:hAnsi="Arial" w:cs="Arial"/>
          <w:color w:val="4F81BD" w:themeColor="accent1"/>
          <w:shd w:val="clear" w:color="auto" w:fill="FFFFFF"/>
        </w:rPr>
        <w:t xml:space="preserve">, Harmony </w:t>
      </w:r>
      <w:r w:rsidRPr="00A341A2">
        <w:rPr>
          <w:rFonts w:ascii="Arial" w:eastAsia="Times New Roman" w:hAnsi="Arial" w:cs="Arial"/>
          <w:color w:val="4F81BD" w:themeColor="accent1"/>
          <w:shd w:val="clear" w:color="auto" w:fill="FFFFFF"/>
        </w:rPr>
        <w:fldChar w:fldCharType="begin">
          <w:fldData xml:space="preserve">PEVuZE5vdGU+PENpdGU+PEF1dGhvcj5Lb3JzdW5za3k8L0F1dGhvcj48WWVhcj4yMDE5PC9ZZWFy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</w:fldData>
        </w:fldChar>
      </w:r>
      <w:r w:rsidRPr="00A341A2">
        <w:rPr>
          <w:rFonts w:ascii="Arial" w:eastAsia="Times New Roman" w:hAnsi="Arial" w:cs="Arial"/>
          <w:color w:val="4F81BD" w:themeColor="accent1"/>
          <w:shd w:val="clear" w:color="auto" w:fill="FFFFFF"/>
        </w:rPr>
        <w:instrText xml:space="preserve"> ADDIN EN.CITE </w:instrText>
      </w:r>
      <w:r w:rsidRPr="00A341A2">
        <w:rPr>
          <w:rFonts w:ascii="Arial" w:eastAsia="Times New Roman" w:hAnsi="Arial" w:cs="Arial"/>
          <w:color w:val="4F81BD" w:themeColor="accent1"/>
          <w:shd w:val="clear" w:color="auto" w:fill="FFFFFF"/>
        </w:rPr>
        <w:fldChar w:fldCharType="begin">
          <w:fldData xml:space="preserve">PEVuZE5vdGU+PENpdGU+PEF1dGhvcj5Lb3JzdW5za3k8L0F1dGhvcj48WWVhcj4yMDE5PC9ZZWFy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</w:fldData>
        </w:fldChar>
      </w:r>
      <w:r w:rsidRPr="00A341A2">
        <w:rPr>
          <w:rFonts w:ascii="Arial" w:eastAsia="Times New Roman" w:hAnsi="Arial" w:cs="Arial"/>
          <w:color w:val="4F81BD" w:themeColor="accent1"/>
          <w:shd w:val="clear" w:color="auto" w:fill="FFFFFF"/>
        </w:rPr>
        <w:instrText xml:space="preserve"> ADDIN EN.CITE.DATA </w:instrText>
      </w:r>
      <w:r w:rsidRPr="00A341A2">
        <w:rPr>
          <w:rFonts w:ascii="Arial" w:eastAsia="Times New Roman" w:hAnsi="Arial" w:cs="Arial"/>
          <w:color w:val="4F81BD" w:themeColor="accent1"/>
          <w:shd w:val="clear" w:color="auto" w:fill="FFFFFF"/>
        </w:rPr>
      </w:r>
      <w:r w:rsidRPr="00A341A2">
        <w:rPr>
          <w:rFonts w:ascii="Arial" w:eastAsia="Times New Roman" w:hAnsi="Arial" w:cs="Arial"/>
          <w:color w:val="4F81BD" w:themeColor="accent1"/>
          <w:shd w:val="clear" w:color="auto" w:fill="FFFFFF"/>
        </w:rPr>
        <w:fldChar w:fldCharType="end"/>
      </w:r>
      <w:r w:rsidRPr="00A341A2">
        <w:rPr>
          <w:rFonts w:ascii="Arial" w:eastAsia="Times New Roman" w:hAnsi="Arial" w:cs="Arial"/>
          <w:color w:val="4F81BD" w:themeColor="accent1"/>
          <w:shd w:val="clear" w:color="auto" w:fill="FFFFFF"/>
        </w:rPr>
      </w:r>
      <w:r w:rsidRPr="00A341A2">
        <w:rPr>
          <w:rFonts w:ascii="Arial" w:eastAsia="Times New Roman" w:hAnsi="Arial" w:cs="Arial"/>
          <w:color w:val="4F81BD" w:themeColor="accent1"/>
          <w:shd w:val="clear" w:color="auto" w:fill="FFFFFF"/>
        </w:rPr>
        <w:fldChar w:fldCharType="separate"/>
      </w:r>
      <w:r w:rsidRPr="00A341A2">
        <w:rPr>
          <w:rFonts w:ascii="Arial" w:eastAsia="Times New Roman" w:hAnsi="Arial" w:cs="Arial"/>
          <w:noProof/>
          <w:color w:val="4F81BD" w:themeColor="accent1"/>
          <w:shd w:val="clear" w:color="auto" w:fill="FFFFFF"/>
        </w:rPr>
        <w:t>(Korsunsky et al., 2019)</w:t>
      </w:r>
      <w:r w:rsidRPr="00A341A2">
        <w:rPr>
          <w:rFonts w:ascii="Arial" w:eastAsia="Times New Roman" w:hAnsi="Arial" w:cs="Arial"/>
          <w:color w:val="4F81BD" w:themeColor="accent1"/>
          <w:shd w:val="clear" w:color="auto" w:fill="FFFFFF"/>
        </w:rPr>
        <w:fldChar w:fldCharType="end"/>
      </w:r>
      <w:r w:rsidRPr="00A341A2">
        <w:rPr>
          <w:rFonts w:ascii="Arial" w:eastAsia="Times New Roman" w:hAnsi="Arial" w:cs="Arial"/>
          <w:color w:val="4F81BD" w:themeColor="accent1"/>
          <w:shd w:val="clear" w:color="auto" w:fill="FFFFFF"/>
        </w:rPr>
        <w:t xml:space="preserve">, and </w:t>
      </w:r>
      <w:proofErr w:type="spellStart"/>
      <w:r w:rsidRPr="00A341A2">
        <w:rPr>
          <w:rFonts w:ascii="Arial" w:eastAsia="Times New Roman" w:hAnsi="Arial" w:cs="Arial"/>
          <w:color w:val="4F81BD" w:themeColor="accent1"/>
          <w:shd w:val="clear" w:color="auto" w:fill="FFFFFF"/>
        </w:rPr>
        <w:t>fastMNN</w:t>
      </w:r>
      <w:proofErr w:type="spellEnd"/>
      <w:r w:rsidRPr="00A341A2">
        <w:rPr>
          <w:rFonts w:ascii="Arial" w:eastAsia="Times New Roman" w:hAnsi="Arial" w:cs="Arial"/>
          <w:color w:val="4F81BD" w:themeColor="accent1"/>
          <w:shd w:val="clear" w:color="auto" w:fill="FFFFFF"/>
        </w:rPr>
        <w:t xml:space="preserve"> </w:t>
      </w:r>
      <w:r w:rsidRPr="00A341A2">
        <w:rPr>
          <w:rFonts w:ascii="Arial" w:eastAsia="Times New Roman" w:hAnsi="Arial" w:cs="Arial"/>
          <w:color w:val="4F81BD" w:themeColor="accent1"/>
          <w:shd w:val="clear" w:color="auto" w:fill="FFFFFF"/>
        </w:rPr>
        <w:fldChar w:fldCharType="begin"/>
      </w:r>
      <w:r w:rsidRPr="00A341A2">
        <w:rPr>
          <w:rFonts w:ascii="Arial" w:eastAsia="Times New Roman" w:hAnsi="Arial" w:cs="Arial"/>
          <w:color w:val="4F81BD" w:themeColor="accent1"/>
          <w:shd w:val="clear" w:color="auto" w:fill="FFFFFF"/>
        </w:rPr>
        <w:instrText xml:space="preserve"> ADDIN EN.CITE &lt;EndNote&gt;&lt;Cite&gt;&lt;Author&gt;Haghverdi&lt;/Author&gt;&lt;Year&gt;2018&lt;/Year&gt;&lt;RecNum&gt;0&lt;/RecNum&gt;&lt;IDText&gt;Batch effects in single-cell RNA-sequencing data are corrected by matching mutual nearest neighbors&lt;/IDText&gt;&lt;DisplayText&gt;(Haghverdi et al., 2018)&lt;/DisplayText&gt;&lt;record&gt;&lt;isbn&gt;1546-1696&lt;/isbn&gt;&lt;titles&gt;&lt;title&gt;Batch effects in single-cell RNA-sequencing data are corrected by matching mutual nearest neighbors&lt;/title&gt;&lt;secondary-title&gt;Nature biotechnology&lt;/secondary-title&gt;&lt;/titles&gt;&lt;pages&gt;421-427&lt;/pages&gt;&lt;number&gt;5&lt;/number&gt;&lt;contributors&gt;&lt;authors&gt;&lt;author&gt;Haghverdi, Laleh&lt;/author&gt;&lt;author&gt;Lun, Aaron TL&lt;/author&gt;&lt;author&gt;Morgan, Michael D&lt;/author&gt;&lt;author&gt;Marioni, John C&lt;/author&gt;&lt;/authors&gt;&lt;/contributors&gt;&lt;added-date format="utc"&gt;1582690814&lt;/added-date&gt;&lt;ref-type name="Journal Article"&gt;17&lt;/ref-type&gt;&lt;dates&gt;&lt;year&gt;2018&lt;/year&gt;&lt;/dates&gt;&lt;rec-number&gt;4&lt;/rec-number&gt;&lt;last-updated-date format="utc"&gt;1582690814&lt;/last-updated-date&gt;&lt;volume&gt;36&lt;/volume&gt;&lt;/record&gt;&lt;/Cite&gt;&lt;/EndNote&gt;</w:instrText>
      </w:r>
      <w:r w:rsidRPr="00A341A2">
        <w:rPr>
          <w:rFonts w:ascii="Arial" w:eastAsia="Times New Roman" w:hAnsi="Arial" w:cs="Arial"/>
          <w:color w:val="4F81BD" w:themeColor="accent1"/>
          <w:shd w:val="clear" w:color="auto" w:fill="FFFFFF"/>
        </w:rPr>
        <w:fldChar w:fldCharType="separate"/>
      </w:r>
      <w:r w:rsidRPr="00A341A2">
        <w:rPr>
          <w:rFonts w:ascii="Arial" w:eastAsia="Times New Roman" w:hAnsi="Arial" w:cs="Arial"/>
          <w:noProof/>
          <w:color w:val="4F81BD" w:themeColor="accent1"/>
          <w:shd w:val="clear" w:color="auto" w:fill="FFFFFF"/>
        </w:rPr>
        <w:t>(Haghverdi et al., 2018)</w:t>
      </w:r>
      <w:r w:rsidRPr="00A341A2">
        <w:rPr>
          <w:rFonts w:ascii="Arial" w:eastAsia="Times New Roman" w:hAnsi="Arial" w:cs="Arial"/>
          <w:color w:val="4F81BD" w:themeColor="accent1"/>
          <w:shd w:val="clear" w:color="auto" w:fill="FFFFFF"/>
        </w:rPr>
        <w:fldChar w:fldCharType="end"/>
      </w:r>
      <w:r w:rsidRPr="00A341A2">
        <w:rPr>
          <w:rFonts w:ascii="Arial" w:eastAsia="Times New Roman" w:hAnsi="Arial" w:cs="Arial"/>
          <w:color w:val="4F81BD" w:themeColor="accent1"/>
          <w:shd w:val="clear" w:color="auto" w:fill="FFFFFF"/>
        </w:rPr>
        <w:t xml:space="preserve">. As shown in </w:t>
      </w:r>
      <w:r w:rsidRPr="00A36C4D">
        <w:rPr>
          <w:rFonts w:ascii="Arial" w:eastAsia="Times New Roman" w:hAnsi="Arial" w:cs="Arial"/>
          <w:color w:val="4F81BD" w:themeColor="accent1"/>
          <w:shd w:val="clear" w:color="auto" w:fill="FFFFFF"/>
        </w:rPr>
        <w:t>Figure 1</w:t>
      </w:r>
      <w:r w:rsidRPr="00A341A2">
        <w:rPr>
          <w:rFonts w:ascii="Arial" w:eastAsia="Times New Roman" w:hAnsi="Arial" w:cs="Arial"/>
          <w:color w:val="4F81BD" w:themeColor="accent1"/>
          <w:shd w:val="clear" w:color="auto" w:fill="FFFFFF"/>
        </w:rPr>
        <w:t>, Seurat CCA integration resulted in the lowest mean K-L divergence and the highest mean correlation with the ground truth cell-cell distance for the simulated mouse hippocampus data. Using different integration methods, we also inspected the separation of CA1</w:t>
      </w:r>
      <w:r>
        <w:rPr>
          <w:rFonts w:ascii="Arial" w:eastAsia="Times New Roman" w:hAnsi="Arial" w:cs="Arial"/>
          <w:color w:val="4F81BD" w:themeColor="accent1"/>
          <w:shd w:val="clear" w:color="auto" w:fill="FFFFFF"/>
        </w:rPr>
        <w:t>/CA2/</w:t>
      </w:r>
      <w:r w:rsidRPr="00A341A2">
        <w:rPr>
          <w:rFonts w:ascii="Arial" w:eastAsia="Times New Roman" w:hAnsi="Arial" w:cs="Arial"/>
          <w:color w:val="4F81BD" w:themeColor="accent1"/>
          <w:shd w:val="clear" w:color="auto" w:fill="FFFFFF"/>
        </w:rPr>
        <w:t xml:space="preserve">CA3 hippocampus regions of the </w:t>
      </w:r>
      <w:proofErr w:type="spellStart"/>
      <w:r w:rsidRPr="00A341A2">
        <w:rPr>
          <w:rFonts w:ascii="Arial" w:eastAsia="Times New Roman" w:hAnsi="Arial" w:cs="Arial"/>
          <w:color w:val="4F81BD" w:themeColor="accent1"/>
          <w:shd w:val="clear" w:color="auto" w:fill="FFFFFF"/>
        </w:rPr>
        <w:t>scHolography</w:t>
      </w:r>
      <w:proofErr w:type="spellEnd"/>
      <w:r w:rsidRPr="00A341A2">
        <w:rPr>
          <w:rFonts w:ascii="Arial" w:eastAsia="Times New Roman" w:hAnsi="Arial" w:cs="Arial"/>
          <w:color w:val="4F81BD" w:themeColor="accent1"/>
          <w:shd w:val="clear" w:color="auto" w:fill="FFFFFF"/>
        </w:rPr>
        <w:t xml:space="preserve"> construction. Besides Seurat CCA, Harmony is the only method that successfully separates the three regions (</w:t>
      </w:r>
      <w:r w:rsidRPr="00A36C4D">
        <w:rPr>
          <w:rFonts w:ascii="Arial" w:eastAsia="Times New Roman" w:hAnsi="Arial" w:cs="Arial"/>
          <w:color w:val="4F81BD" w:themeColor="accent1"/>
          <w:shd w:val="clear" w:color="auto" w:fill="FFFFFF"/>
        </w:rPr>
        <w:t>Fig. 1g-l</w:t>
      </w:r>
      <w:r w:rsidRPr="00A341A2">
        <w:rPr>
          <w:rFonts w:ascii="Arial" w:eastAsia="Times New Roman" w:hAnsi="Arial" w:cs="Arial"/>
          <w:color w:val="4F81BD" w:themeColor="accent1"/>
          <w:shd w:val="clear" w:color="auto" w:fill="FFFFFF"/>
        </w:rPr>
        <w:t xml:space="preserve">). Considering these results, we choose to use Seurat CCA integration as the default setting for our method default. We note, however, users can easily apply their preferred integration method before </w:t>
      </w:r>
      <w:proofErr w:type="spellStart"/>
      <w:r w:rsidRPr="00A341A2">
        <w:rPr>
          <w:rFonts w:ascii="Arial" w:eastAsia="Times New Roman" w:hAnsi="Arial" w:cs="Arial"/>
          <w:color w:val="4F81BD" w:themeColor="accent1"/>
          <w:shd w:val="clear" w:color="auto" w:fill="FFFFFF"/>
        </w:rPr>
        <w:t>scHolography</w:t>
      </w:r>
      <w:proofErr w:type="spellEnd"/>
      <w:r w:rsidRPr="00A341A2">
        <w:rPr>
          <w:rFonts w:ascii="Arial" w:eastAsia="Times New Roman" w:hAnsi="Arial" w:cs="Arial"/>
          <w:color w:val="4F81BD" w:themeColor="accent1"/>
          <w:shd w:val="clear" w:color="auto" w:fill="FFFFFF"/>
        </w:rPr>
        <w:t xml:space="preserve"> NN training and SMN graph construction. This gives the user flexibility if their datasets are better served by other integration methods. </w:t>
      </w:r>
      <w:r>
        <w:rPr>
          <w:rFonts w:ascii="Arial" w:eastAsia="Times New Roman" w:hAnsi="Arial" w:cs="Arial"/>
          <w:color w:val="4F81BD" w:themeColor="accent1"/>
        </w:rPr>
        <w:t xml:space="preserve"> </w:t>
      </w:r>
      <w:r w:rsidRPr="00A53B73">
        <w:rPr>
          <w:rFonts w:ascii="Arial" w:eastAsia="Times New Roman" w:hAnsi="Arial" w:cs="Arial"/>
          <w:color w:val="4F81BD" w:themeColor="accent1"/>
        </w:rPr>
        <w:t xml:space="preserve"> </w:t>
      </w:r>
    </w:p>
    <w:p w14:paraId="2661D8CD" w14:textId="77777777" w:rsidR="00E436F9" w:rsidRPr="00A93028" w:rsidRDefault="00E436F9" w:rsidP="00E436F9">
      <w:pPr>
        <w:rPr>
          <w:rFonts w:ascii="Arial" w:hAnsi="Arial" w:cs="Arial"/>
          <w:sz w:val="18"/>
          <w:szCs w:val="18"/>
        </w:rPr>
      </w:pPr>
      <w:r>
        <w:rPr>
          <w:rFonts w:ascii="Arial" w:eastAsia="Times New Roman" w:hAnsi="Arial" w:cs="Arial"/>
          <w:noProof/>
          <w:color w:val="4F81BD" w:themeColor="accent1"/>
        </w:rPr>
        <w:lastRenderedPageBreak/>
        <w:drawing>
          <wp:anchor distT="0" distB="0" distL="114300" distR="114300" simplePos="0" relativeHeight="251661312" behindDoc="0" locked="0" layoutInCell="1" allowOverlap="1" wp14:anchorId="45DBDB8D" wp14:editId="1E8296A7">
            <wp:simplePos x="0" y="0"/>
            <wp:positionH relativeFrom="column">
              <wp:posOffset>-635</wp:posOffset>
            </wp:positionH>
            <wp:positionV relativeFrom="paragraph">
              <wp:posOffset>42545</wp:posOffset>
            </wp:positionV>
            <wp:extent cx="4528185" cy="3714750"/>
            <wp:effectExtent l="0" t="0" r="5715" b="6350"/>
            <wp:wrapTight wrapText="bothSides">
              <wp:wrapPolygon edited="0">
                <wp:start x="0" y="0"/>
                <wp:lineTo x="0" y="21563"/>
                <wp:lineTo x="21567" y="21563"/>
                <wp:lineTo x="21567" y="0"/>
                <wp:lineTo x="0" y="0"/>
              </wp:wrapPolygon>
            </wp:wrapTight>
            <wp:docPr id="1861383049" name="Picture 1" descr="A collage of different colore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83049" name="Picture 1" descr="A collage of different colored graphs&#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28185" cy="3714750"/>
                    </a:xfrm>
                    <a:prstGeom prst="rect">
                      <a:avLst/>
                    </a:prstGeom>
                  </pic:spPr>
                </pic:pic>
              </a:graphicData>
            </a:graphic>
            <wp14:sizeRelH relativeFrom="margin">
              <wp14:pctWidth>0</wp14:pctWidth>
            </wp14:sizeRelH>
            <wp14:sizeRelV relativeFrom="margin">
              <wp14:pctHeight>0</wp14:pctHeight>
            </wp14:sizeRelV>
          </wp:anchor>
        </w:drawing>
      </w:r>
      <w:r w:rsidRPr="00F54A7E">
        <w:rPr>
          <w:rFonts w:ascii="Arial" w:hAnsi="Arial" w:cs="Arial"/>
          <w:b/>
          <w:bCs/>
          <w:sz w:val="18"/>
          <w:szCs w:val="18"/>
        </w:rPr>
        <w:t xml:space="preserve"> </w:t>
      </w:r>
      <w:r w:rsidRPr="0023093E">
        <w:rPr>
          <w:rFonts w:ascii="Arial" w:hAnsi="Arial" w:cs="Arial"/>
          <w:b/>
          <w:bCs/>
          <w:sz w:val="18"/>
          <w:szCs w:val="18"/>
        </w:rPr>
        <w:t xml:space="preserve">Figure </w:t>
      </w:r>
      <w:r>
        <w:rPr>
          <w:rFonts w:ascii="Arial" w:hAnsi="Arial" w:cs="Arial"/>
          <w:b/>
          <w:bCs/>
          <w:sz w:val="18"/>
          <w:szCs w:val="18"/>
        </w:rPr>
        <w:t>1</w:t>
      </w:r>
      <w:r w:rsidRPr="0023093E">
        <w:rPr>
          <w:rFonts w:ascii="Arial" w:hAnsi="Arial" w:cs="Arial"/>
          <w:b/>
          <w:bCs/>
          <w:sz w:val="18"/>
          <w:szCs w:val="18"/>
        </w:rPr>
        <w:t>. a</w:t>
      </w:r>
      <w:r>
        <w:rPr>
          <w:rFonts w:ascii="Arial" w:hAnsi="Arial" w:cs="Arial"/>
          <w:b/>
          <w:bCs/>
          <w:sz w:val="18"/>
          <w:szCs w:val="18"/>
        </w:rPr>
        <w:t>-d</w:t>
      </w:r>
      <w:r w:rsidRPr="0023093E">
        <w:rPr>
          <w:rFonts w:ascii="Arial" w:hAnsi="Arial" w:cs="Arial"/>
          <w:b/>
          <w:bCs/>
          <w:sz w:val="18"/>
          <w:szCs w:val="18"/>
        </w:rPr>
        <w:t>,</w:t>
      </w:r>
      <w:r w:rsidRPr="0023093E">
        <w:rPr>
          <w:rFonts w:ascii="Arial" w:hAnsi="Arial" w:cs="Arial"/>
          <w:sz w:val="18"/>
          <w:szCs w:val="18"/>
        </w:rPr>
        <w:t xml:space="preserve"> UMAP plot of Seurat CCA</w:t>
      </w:r>
      <w:r>
        <w:rPr>
          <w:rFonts w:ascii="Arial" w:hAnsi="Arial" w:cs="Arial"/>
          <w:sz w:val="18"/>
          <w:szCs w:val="18"/>
        </w:rPr>
        <w:t xml:space="preserve">, </w:t>
      </w:r>
      <w:r w:rsidRPr="00AE78E6">
        <w:rPr>
          <w:rFonts w:ascii="Arial" w:hAnsi="Arial" w:cs="Arial"/>
          <w:sz w:val="18"/>
          <w:szCs w:val="18"/>
        </w:rPr>
        <w:t>Harmony</w:t>
      </w:r>
      <w:r>
        <w:rPr>
          <w:rFonts w:ascii="Arial" w:hAnsi="Arial" w:cs="Arial"/>
          <w:sz w:val="18"/>
          <w:szCs w:val="18"/>
        </w:rPr>
        <w:t xml:space="preserve">, LIGER, and </w:t>
      </w:r>
      <w:proofErr w:type="spellStart"/>
      <w:r>
        <w:rPr>
          <w:rFonts w:ascii="Arial" w:hAnsi="Arial" w:cs="Arial"/>
          <w:sz w:val="18"/>
          <w:szCs w:val="18"/>
        </w:rPr>
        <w:t>fastMNN</w:t>
      </w:r>
      <w:proofErr w:type="spellEnd"/>
      <w:r w:rsidRPr="0023093E">
        <w:rPr>
          <w:rFonts w:ascii="Arial" w:hAnsi="Arial" w:cs="Arial"/>
          <w:sz w:val="18"/>
          <w:szCs w:val="18"/>
        </w:rPr>
        <w:t xml:space="preserve"> integration of </w:t>
      </w:r>
      <w:proofErr w:type="spellStart"/>
      <w:r w:rsidRPr="0023093E">
        <w:rPr>
          <w:rFonts w:ascii="Arial" w:hAnsi="Arial" w:cs="Arial"/>
          <w:sz w:val="18"/>
          <w:szCs w:val="18"/>
        </w:rPr>
        <w:t>scRNA</w:t>
      </w:r>
      <w:proofErr w:type="spellEnd"/>
      <w:r w:rsidRPr="0023093E">
        <w:rPr>
          <w:rFonts w:ascii="Arial" w:hAnsi="Arial" w:cs="Arial"/>
          <w:sz w:val="18"/>
          <w:szCs w:val="18"/>
        </w:rPr>
        <w:t xml:space="preserve">-seq and ST data. </w:t>
      </w:r>
      <w:r w:rsidRPr="0023093E">
        <w:rPr>
          <w:rFonts w:ascii="Arial" w:hAnsi="Arial" w:cs="Arial"/>
          <w:b/>
          <w:bCs/>
          <w:sz w:val="18"/>
          <w:szCs w:val="18"/>
        </w:rPr>
        <w:t>e,</w:t>
      </w:r>
      <w:r w:rsidRPr="0023093E">
        <w:rPr>
          <w:rFonts w:ascii="Arial" w:hAnsi="Arial" w:cs="Arial"/>
          <w:sz w:val="18"/>
          <w:szCs w:val="18"/>
        </w:rPr>
        <w:t xml:space="preserve"> KL-divergence of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predictions powered by different integration methods for simulated mouse hippocampus data as ground truth. </w:t>
      </w:r>
      <w:r w:rsidRPr="0023093E">
        <w:rPr>
          <w:rFonts w:ascii="Arial" w:hAnsi="Arial" w:cs="Arial"/>
          <w:b/>
          <w:bCs/>
          <w:sz w:val="18"/>
          <w:szCs w:val="18"/>
        </w:rPr>
        <w:t>f,</w:t>
      </w:r>
      <w:r w:rsidRPr="0023093E">
        <w:rPr>
          <w:rFonts w:ascii="Arial" w:hAnsi="Arial" w:cs="Arial"/>
          <w:sz w:val="18"/>
          <w:szCs w:val="18"/>
        </w:rPr>
        <w:t xml:space="preserve"> Spearman correlation between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cell-cell SMN distance powered by different integration methods and simulated mouse hippocampus cell-cell distance. </w:t>
      </w:r>
      <w:r w:rsidRPr="0023093E">
        <w:rPr>
          <w:rFonts w:ascii="Arial" w:hAnsi="Arial" w:cs="Arial"/>
          <w:b/>
          <w:bCs/>
          <w:sz w:val="18"/>
          <w:szCs w:val="18"/>
        </w:rPr>
        <w:t>g-</w:t>
      </w:r>
      <w:proofErr w:type="spellStart"/>
      <w:r w:rsidRPr="0023093E">
        <w:rPr>
          <w:rFonts w:ascii="Arial" w:hAnsi="Arial" w:cs="Arial"/>
          <w:b/>
          <w:bCs/>
          <w:sz w:val="18"/>
          <w:szCs w:val="18"/>
        </w:rPr>
        <w:t>i</w:t>
      </w:r>
      <w:proofErr w:type="spellEnd"/>
      <w:r w:rsidRPr="0023093E">
        <w:rPr>
          <w:rFonts w:ascii="Arial" w:hAnsi="Arial" w:cs="Arial"/>
          <w:b/>
          <w:bCs/>
          <w:sz w:val="18"/>
          <w:szCs w:val="18"/>
        </w:rPr>
        <w:t>,</w:t>
      </w:r>
      <w:r w:rsidRPr="0023093E">
        <w:rPr>
          <w:rFonts w:ascii="Arial" w:hAnsi="Arial" w:cs="Arial"/>
          <w:sz w:val="18"/>
          <w:szCs w:val="18"/>
        </w:rPr>
        <w:t xml:space="preserve"> Visualization of Harmony, LIGER, and </w:t>
      </w:r>
      <w:proofErr w:type="spellStart"/>
      <w:r w:rsidRPr="0023093E">
        <w:rPr>
          <w:rFonts w:ascii="Arial" w:hAnsi="Arial" w:cs="Arial"/>
          <w:sz w:val="18"/>
          <w:szCs w:val="18"/>
        </w:rPr>
        <w:t>fastMNN</w:t>
      </w:r>
      <w:proofErr w:type="spellEnd"/>
      <w:r w:rsidRPr="0023093E">
        <w:rPr>
          <w:rFonts w:ascii="Arial" w:hAnsi="Arial" w:cs="Arial"/>
          <w:sz w:val="18"/>
          <w:szCs w:val="18"/>
        </w:rPr>
        <w:t xml:space="preserve"> powered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prediction results. </w:t>
      </w:r>
      <w:r w:rsidRPr="0023093E">
        <w:rPr>
          <w:rFonts w:ascii="Arial" w:hAnsi="Arial" w:cs="Arial"/>
          <w:b/>
          <w:bCs/>
          <w:sz w:val="18"/>
          <w:szCs w:val="18"/>
        </w:rPr>
        <w:t xml:space="preserve">j-l, </w:t>
      </w:r>
      <w:r w:rsidRPr="0023093E">
        <w:rPr>
          <w:rFonts w:ascii="Arial" w:hAnsi="Arial" w:cs="Arial"/>
          <w:sz w:val="18"/>
          <w:szCs w:val="18"/>
        </w:rPr>
        <w:t xml:space="preserve">Comparison of Harmony, LIGER, and </w:t>
      </w:r>
      <w:proofErr w:type="spellStart"/>
      <w:r w:rsidRPr="0023093E">
        <w:rPr>
          <w:rFonts w:ascii="Arial" w:hAnsi="Arial" w:cs="Arial"/>
          <w:sz w:val="18"/>
          <w:szCs w:val="18"/>
        </w:rPr>
        <w:t>fastMNN</w:t>
      </w:r>
      <w:proofErr w:type="spellEnd"/>
      <w:r w:rsidRPr="0023093E">
        <w:rPr>
          <w:rFonts w:ascii="Arial" w:hAnsi="Arial" w:cs="Arial"/>
          <w:sz w:val="18"/>
          <w:szCs w:val="18"/>
        </w:rPr>
        <w:t xml:space="preserve"> powered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reconstruction results for CA1, CA2, and CA3 cell distance to CA3 cells. Cell distances were normalized for each method by the mean distance between CA3 cells and CA3 cells</w:t>
      </w:r>
      <w:r>
        <w:rPr>
          <w:rFonts w:ascii="Arial" w:hAnsi="Arial" w:cs="Arial"/>
          <w:sz w:val="18"/>
          <w:szCs w:val="18"/>
        </w:rPr>
        <w:t>.</w:t>
      </w:r>
    </w:p>
    <w:p w14:paraId="12C6F329" w14:textId="77777777" w:rsidR="00E436F9" w:rsidRDefault="00E436F9" w:rsidP="00E436F9">
      <w:pPr>
        <w:rPr>
          <w:rFonts w:ascii="Arial" w:eastAsia="Times New Roman" w:hAnsi="Arial" w:cs="Arial"/>
          <w:color w:val="4F81BD" w:themeColor="accent1"/>
        </w:rPr>
      </w:pPr>
    </w:p>
    <w:p w14:paraId="756B38B1" w14:textId="77777777" w:rsidR="00E436F9" w:rsidRPr="0022270E" w:rsidRDefault="00E436F9" w:rsidP="00E436F9">
      <w:pPr>
        <w:ind w:firstLine="720"/>
        <w:rPr>
          <w:rFonts w:ascii="Arial" w:eastAsia="Times New Roman" w:hAnsi="Arial" w:cs="Arial"/>
          <w:color w:val="4F81BD" w:themeColor="accent1"/>
        </w:rPr>
      </w:pPr>
      <w:r w:rsidRPr="0022270E">
        <w:rPr>
          <w:rFonts w:ascii="Arial" w:eastAsia="Times New Roman" w:hAnsi="Arial" w:cs="Arial"/>
          <w:color w:val="4F81BD" w:themeColor="accent1"/>
        </w:rPr>
        <w:t>We also appreciate the insightful comments about the use of GS in our workflow. We note that it is our innovation to use GS algorithm to reconstruct single-cell spatial neighborhoods. The GS method pairs up subjects based on their preferences and ensures the stability of matching. Under the assumption that the SC sample comes from the same piece of tissue and the data contains the true spatial neighbors of cells, we apply this stable matching idea to single cells to assign each cell with other cells as spatial neighbors based on their predicted spatial affinity as the preference such that no cells will prefer other cells over their assigned neighbors. This application will ensure the optimal assignment of single cells and no two cells will occupy the same spot. To the best of our knowledge, among matching algorithms, the GS algorithm is the widely used one that achieves this stable matching task. Other matching methods, such as maximum weight matching like the Hungarian algorithm, can also solve assignment problems</w:t>
      </w:r>
      <w:r>
        <w:rPr>
          <w:rFonts w:ascii="Arial" w:eastAsia="Times New Roman" w:hAnsi="Arial" w:cs="Arial"/>
          <w:color w:val="4F81BD" w:themeColor="accent1"/>
        </w:rPr>
        <w:t xml:space="preserve"> </w:t>
      </w:r>
      <w:r>
        <w:rPr>
          <w:rFonts w:ascii="Arial" w:eastAsia="Times New Roman" w:hAnsi="Arial" w:cs="Arial"/>
          <w:color w:val="4F81BD" w:themeColor="accent1"/>
        </w:rPr>
        <w:fldChar w:fldCharType="begin"/>
      </w:r>
      <w:r>
        <w:rPr>
          <w:rFonts w:ascii="Arial" w:eastAsia="Times New Roman" w:hAnsi="Arial" w:cs="Arial"/>
          <w:color w:val="4F81BD" w:themeColor="accent1"/>
        </w:rPr>
        <w:instrText xml:space="preserve"> ADDIN EN.CITE &lt;EndNote&gt;&lt;Cite&gt;&lt;Author&gt;Fredman&lt;/Author&gt;&lt;Year&gt;1987&lt;/Year&gt;&lt;RecNum&gt;0&lt;/RecNum&gt;&lt;IDText&gt;Fibonacci heaps and their uses in improved network optimization algorithms&lt;/IDText&gt;&lt;DisplayText&gt;(Fredman &amp;amp; Tarjan, 1987)&lt;/DisplayText&gt;&lt;record&gt;&lt;isbn&gt;0004-5411&lt;/isbn&gt;&lt;titles&gt;&lt;title&gt;Fibonacci heaps and their uses in improved network optimization algorithms&lt;/title&gt;&lt;secondary-title&gt;Journal of the ACM (JACM)&lt;/secondary-title&gt;&lt;/titles&gt;&lt;pages&gt;596-615&lt;/pages&gt;&lt;number&gt;3&lt;/number&gt;&lt;contributors&gt;&lt;authors&gt;&lt;author&gt;Fredman, Michael L&lt;/author&gt;&lt;author&gt;Tarjan, Robert Endre&lt;/author&gt;&lt;/authors&gt;&lt;/contributors&gt;&lt;added-date format="utc"&gt;1709829469&lt;/added-date&gt;&lt;ref-type name="Journal Article"&gt;17&lt;/ref-type&gt;&lt;dates&gt;&lt;year&gt;1987&lt;/year&gt;&lt;/dates&gt;&lt;rec-number&gt;386&lt;/rec-number&gt;&lt;last-updated-date format="utc"&gt;1709829469&lt;/last-updated-date&gt;&lt;volume&gt;34&lt;/volume&gt;&lt;/record&gt;&lt;/Cite&gt;&lt;/EndNote&gt;</w:instrText>
      </w:r>
      <w:r>
        <w:rPr>
          <w:rFonts w:ascii="Arial" w:eastAsia="Times New Roman" w:hAnsi="Arial" w:cs="Arial"/>
          <w:color w:val="4F81BD" w:themeColor="accent1"/>
        </w:rPr>
        <w:fldChar w:fldCharType="separate"/>
      </w:r>
      <w:r>
        <w:rPr>
          <w:rFonts w:ascii="Arial" w:eastAsia="Times New Roman" w:hAnsi="Arial" w:cs="Arial"/>
          <w:noProof/>
          <w:color w:val="4F81BD" w:themeColor="accent1"/>
        </w:rPr>
        <w:t>(Fredman &amp; Tarjan, 1987)</w:t>
      </w:r>
      <w:r>
        <w:rPr>
          <w:rFonts w:ascii="Arial" w:eastAsia="Times New Roman" w:hAnsi="Arial" w:cs="Arial"/>
          <w:color w:val="4F81BD" w:themeColor="accent1"/>
        </w:rPr>
        <w:fldChar w:fldCharType="end"/>
      </w:r>
      <w:r w:rsidRPr="0022270E">
        <w:rPr>
          <w:rFonts w:ascii="Arial" w:eastAsia="Times New Roman" w:hAnsi="Arial" w:cs="Arial"/>
          <w:color w:val="4F81BD" w:themeColor="accent1"/>
        </w:rPr>
        <w:t>. However, the GS is more efficient with a polynomial time complexity O(n²) than the complexity O(n</w:t>
      </w:r>
      <w:r w:rsidRPr="0022270E">
        <w:rPr>
          <w:rFonts w:ascii="Arial" w:eastAsia="Times New Roman" w:hAnsi="Arial" w:cs="Arial"/>
          <w:color w:val="4F81BD" w:themeColor="accent1"/>
          <w:vertAlign w:val="superscript"/>
        </w:rPr>
        <w:t>3</w:t>
      </w:r>
      <w:r w:rsidRPr="0022270E">
        <w:rPr>
          <w:rFonts w:ascii="Arial" w:eastAsia="Times New Roman" w:hAnsi="Arial" w:cs="Arial"/>
          <w:color w:val="4F81BD" w:themeColor="accent1"/>
        </w:rPr>
        <w:t xml:space="preserve">) of the Hungarian algorithm, where n is the number of total cells </w:t>
      </w:r>
      <w:r w:rsidRPr="0022270E">
        <w:rPr>
          <w:rFonts w:ascii="Arial" w:eastAsia="Times New Roman" w:hAnsi="Arial" w:cs="Arial"/>
          <w:color w:val="4F81BD" w:themeColor="accent1"/>
        </w:rPr>
        <w:fldChar w:fldCharType="begin"/>
      </w:r>
      <w:r w:rsidRPr="0022270E">
        <w:rPr>
          <w:rFonts w:ascii="Arial" w:eastAsia="Times New Roman" w:hAnsi="Arial" w:cs="Arial"/>
          <w:color w:val="4F81BD" w:themeColor="accent1"/>
        </w:rPr>
        <w:instrText xml:space="preserve"> ADDIN EN.CITE &lt;EndNote&gt;&lt;Cite&gt;&lt;Author&gt;Pavlopoulos&lt;/Author&gt;&lt;Year&gt;2018&lt;/Year&gt;&lt;RecNum&gt;0&lt;/RecNum&gt;&lt;IDText&gt;Bipartite graphs in systems biology and medicine: a survey of methods and applications&lt;/IDText&gt;&lt;DisplayText&gt;(Pavlopoulos et al., 2018)&lt;/DisplayText&gt;&lt;record&gt;&lt;dates&gt;&lt;pub-dates&gt;&lt;date&gt;Apr 01&lt;/date&gt;&lt;/pub-dates&gt;&lt;year&gt;2018&lt;/year&gt;&lt;/dates&gt;&lt;keywords&gt;&lt;keyword&gt;Computer Graphics&lt;/keyword&gt;&lt;keyword&gt;Medicine&lt;/keyword&gt;&lt;keyword&gt;Systems Biology&lt;/keyword&gt;&lt;/keywords&gt;&lt;urls&gt;&lt;related-urls&gt;&lt;url&gt;https://www.ncbi.nlm.nih.gov/pubmed/29648623&lt;/url&gt;&lt;/related-urls&gt;&lt;/urls&gt;&lt;isbn&gt;2047-217X&lt;/isbn&gt;&lt;custom2&gt;PMC6333914&lt;/custom2&gt;&lt;titles&gt;&lt;title&gt;Bipartite graphs in systems biology and medicine: a survey of methods and applications&lt;/title&gt;&lt;secondary-title&gt;Gigascience&lt;/secondary-title&gt;&lt;/titles&gt;&lt;pages&gt;1-31&lt;/pages&gt;&lt;number&gt;4&lt;/number&gt;&lt;contributors&gt;&lt;authors&gt;&lt;author&gt;Pavlopoulos, G. A.&lt;/author&gt;&lt;author&gt;Kontou, P. I.&lt;/author&gt;&lt;author&gt;Pavlopoulou, A.&lt;/author&gt;&lt;author&gt;Bouyioukos, C.&lt;/author&gt;&lt;author&gt;Markou, E.&lt;/author&gt;&lt;author&gt;Bagos, P. G.&lt;/author&gt;&lt;/authors&gt;&lt;/contributors&gt;&lt;language&gt;eng&lt;/language&gt;&lt;added-date format="utc"&gt;1704535592&lt;/added-date&gt;&lt;ref-type name="Journal Article"&gt;17&lt;/ref-type&gt;&lt;auth-address&gt;Lawrence Berkeley Labs, DOE Joint Genome Institute, 2800 Mitchell Drive, Walnut Creek, CA 94598, USA. University of Thessaly, Department of Computer Science and Biomedical Informatics, Papasiopoulou 2-4, Lamia, 35100, Greece. Izmir International Biomedicine and Genome Institute (iBG-Izmir), Dokuz Eylül University, 35340, Turkey. Université Paris Diderot, Sorbonne Paris Cité, Epigenetics and Cell Fate, UMR7216, CNRS, France.&lt;/auth-address&gt;&lt;rec-number&gt;381&lt;/rec-number&gt;&lt;last-updated-date format="utc"&gt;1704535592&lt;/last-updated-date&gt;&lt;accession-num&gt;29648623&lt;/accession-num&gt;&lt;electronic-resource-num&gt;10.1093/gigascience/giy014&lt;/electronic-resource-num&gt;&lt;volume&gt;7&lt;/volume&gt;&lt;/record&gt;&lt;/Cite&gt;&lt;/EndNote&gt;</w:instrText>
      </w:r>
      <w:r w:rsidRPr="0022270E">
        <w:rPr>
          <w:rFonts w:ascii="Arial" w:eastAsia="Times New Roman" w:hAnsi="Arial" w:cs="Arial"/>
          <w:color w:val="4F81BD" w:themeColor="accent1"/>
        </w:rPr>
        <w:fldChar w:fldCharType="separate"/>
      </w:r>
      <w:r w:rsidRPr="0022270E">
        <w:rPr>
          <w:rFonts w:ascii="Arial" w:eastAsia="Times New Roman" w:hAnsi="Arial" w:cs="Arial"/>
          <w:noProof/>
          <w:color w:val="4F81BD" w:themeColor="accent1"/>
        </w:rPr>
        <w:t>(Pavlopoulos et al., 2018)</w:t>
      </w:r>
      <w:r w:rsidRPr="0022270E">
        <w:rPr>
          <w:rFonts w:ascii="Arial" w:eastAsia="Times New Roman" w:hAnsi="Arial" w:cs="Arial"/>
          <w:color w:val="4F81BD" w:themeColor="accent1"/>
        </w:rPr>
        <w:fldChar w:fldCharType="end"/>
      </w:r>
      <w:r w:rsidRPr="0022270E">
        <w:rPr>
          <w:rFonts w:ascii="Arial" w:eastAsia="Times New Roman" w:hAnsi="Arial" w:cs="Arial"/>
          <w:color w:val="4F81BD" w:themeColor="accent1"/>
        </w:rPr>
        <w:t xml:space="preserve">. Furthermore, we have extensively tested </w:t>
      </w:r>
      <w:proofErr w:type="spellStart"/>
      <w:r w:rsidRPr="0022270E">
        <w:rPr>
          <w:rFonts w:ascii="Arial" w:eastAsia="Times New Roman" w:hAnsi="Arial" w:cs="Arial"/>
          <w:color w:val="4F81BD" w:themeColor="accent1"/>
        </w:rPr>
        <w:t>scHolography</w:t>
      </w:r>
      <w:proofErr w:type="spellEnd"/>
      <w:r w:rsidRPr="0022270E">
        <w:rPr>
          <w:rFonts w:ascii="Arial" w:eastAsia="Times New Roman" w:hAnsi="Arial" w:cs="Arial"/>
          <w:color w:val="4F81BD" w:themeColor="accent1"/>
        </w:rPr>
        <w:t xml:space="preserve"> with the application of GS algorithm and demonstrated the efficacy of the performance. We acknowledge that future development in cell assignment could further improve our algorithm, and we have added this point into Discussion. </w:t>
      </w:r>
    </w:p>
    <w:p w14:paraId="2D6AE579" w14:textId="77777777" w:rsidR="00E436F9" w:rsidRPr="001A606B" w:rsidRDefault="00E436F9" w:rsidP="00E436F9">
      <w:pPr>
        <w:rPr>
          <w:rFonts w:ascii="Arial" w:eastAsia="Times New Roman" w:hAnsi="Arial" w:cs="Arial"/>
          <w:color w:val="424242"/>
        </w:rPr>
      </w:pPr>
      <w:r w:rsidRPr="00685811">
        <w:rPr>
          <w:rFonts w:ascii="Arial" w:eastAsia="Times New Roman" w:hAnsi="Arial" w:cs="Arial"/>
          <w:color w:val="424242"/>
        </w:rPr>
        <w:br/>
      </w:r>
      <w:r w:rsidRPr="00685811">
        <w:rPr>
          <w:rFonts w:ascii="Arial" w:eastAsia="Times New Roman" w:hAnsi="Arial" w:cs="Arial"/>
          <w:color w:val="424242"/>
          <w:shd w:val="clear" w:color="auto" w:fill="FFFFFF"/>
        </w:rPr>
        <w:t xml:space="preserve">2. There is no clear evidence favoring 3D embedding. After reading the manuscript, I was left </w:t>
      </w:r>
      <w:r w:rsidRPr="00685811">
        <w:rPr>
          <w:rFonts w:ascii="Arial" w:eastAsia="Times New Roman" w:hAnsi="Arial" w:cs="Arial"/>
          <w:color w:val="424242"/>
          <w:shd w:val="clear" w:color="auto" w:fill="FFFFFF"/>
        </w:rPr>
        <w:lastRenderedPageBreak/>
        <w:t xml:space="preserve">wondering what if one only uses </w:t>
      </w:r>
      <w:proofErr w:type="spellStart"/>
      <w:r w:rsidRPr="00685811">
        <w:rPr>
          <w:rFonts w:ascii="Arial" w:eastAsia="Times New Roman" w:hAnsi="Arial" w:cs="Arial"/>
          <w:color w:val="424242"/>
          <w:shd w:val="clear" w:color="auto" w:fill="FFFFFF"/>
        </w:rPr>
        <w:t>Fruchterman</w:t>
      </w:r>
      <w:proofErr w:type="spellEnd"/>
      <w:r w:rsidRPr="00685811">
        <w:rPr>
          <w:rFonts w:ascii="Arial" w:eastAsia="Times New Roman" w:hAnsi="Arial" w:cs="Arial"/>
          <w:color w:val="424242"/>
          <w:shd w:val="clear" w:color="auto" w:fill="FFFFFF"/>
        </w:rPr>
        <w:t xml:space="preserve">--Reingold for 2D embedding and how the result 2D embedding would compare with other cell charting </w:t>
      </w:r>
      <w:r w:rsidRPr="00CE1BC3">
        <w:rPr>
          <w:rFonts w:ascii="Arial" w:eastAsia="Times New Roman" w:hAnsi="Arial" w:cs="Arial"/>
          <w:color w:val="424242"/>
          <w:shd w:val="clear" w:color="auto" w:fill="FFFFFF"/>
        </w:rPr>
        <w:t>methods. I was not able to find convincing evidence in the manuscript that 3D embedding is necessary. Moreover, the distance comparison is in Figure 2e, 2i, etc. is not very meaningful, for the same reason as why one should not use distance in UMAP embedding space to quantify (dis)similarity.</w:t>
      </w:r>
      <w:r w:rsidRPr="00685811">
        <w:rPr>
          <w:rFonts w:ascii="Arial" w:eastAsia="Times New Roman" w:hAnsi="Arial" w:cs="Arial"/>
          <w:color w:val="424242"/>
          <w:shd w:val="clear" w:color="auto" w:fill="FFFFFF"/>
        </w:rPr>
        <w:t>  </w:t>
      </w:r>
    </w:p>
    <w:p w14:paraId="78F22081" w14:textId="77777777" w:rsidR="00E436F9" w:rsidRPr="00FC4792" w:rsidRDefault="00E436F9" w:rsidP="00E436F9">
      <w:pPr>
        <w:ind w:firstLine="720"/>
        <w:rPr>
          <w:rFonts w:ascii="Arial" w:hAnsi="Arial" w:cs="Arial"/>
          <w:color w:val="4F81BD" w:themeColor="accent1"/>
        </w:rPr>
      </w:pPr>
      <w:r>
        <w:rPr>
          <w:rFonts w:ascii="Arial" w:hAnsi="Arial" w:cs="Arial"/>
          <w:color w:val="4F81BD" w:themeColor="accent1"/>
          <w:shd w:val="clear" w:color="auto" w:fill="FFFFFF"/>
        </w:rPr>
        <w:t xml:space="preserve">We thank the reviewer for raising this important question </w:t>
      </w:r>
      <w:proofErr w:type="gramStart"/>
      <w:r>
        <w:rPr>
          <w:rFonts w:ascii="Arial" w:hAnsi="Arial" w:cs="Arial"/>
          <w:color w:val="4F81BD" w:themeColor="accent1"/>
          <w:shd w:val="clear" w:color="auto" w:fill="FFFFFF"/>
        </w:rPr>
        <w:t>with regard to</w:t>
      </w:r>
      <w:proofErr w:type="gramEnd"/>
      <w:r>
        <w:rPr>
          <w:rFonts w:ascii="Arial" w:hAnsi="Arial" w:cs="Arial"/>
          <w:color w:val="4F81BD" w:themeColor="accent1"/>
          <w:shd w:val="clear" w:color="auto" w:fill="FFFFFF"/>
        </w:rPr>
        <w:t xml:space="preserve"> 3D embedding. </w:t>
      </w:r>
      <w:r w:rsidRPr="00E00E52">
        <w:rPr>
          <w:rFonts w:ascii="Arial" w:hAnsi="Arial" w:cs="Arial"/>
          <w:color w:val="4F81BD" w:themeColor="accent1"/>
          <w:shd w:val="clear" w:color="auto" w:fill="FFFFFF"/>
        </w:rPr>
        <w:t xml:space="preserve">One of the main </w:t>
      </w:r>
      <w:r>
        <w:rPr>
          <w:rFonts w:ascii="Arial" w:hAnsi="Arial" w:cs="Arial"/>
          <w:color w:val="4F81BD" w:themeColor="accent1"/>
          <w:shd w:val="clear" w:color="auto" w:fill="FFFFFF"/>
        </w:rPr>
        <w:t>goals</w:t>
      </w:r>
      <w:r w:rsidRPr="00E00E52">
        <w:rPr>
          <w:rFonts w:ascii="Arial" w:hAnsi="Arial" w:cs="Arial"/>
          <w:color w:val="4F81BD" w:themeColor="accent1"/>
          <w:shd w:val="clear" w:color="auto" w:fill="FFFFFF"/>
        </w:rPr>
        <w:t xml:space="preserve"> for us to develop </w:t>
      </w:r>
      <w:proofErr w:type="spellStart"/>
      <w:r w:rsidRPr="00E00E52">
        <w:rPr>
          <w:rFonts w:ascii="Arial" w:hAnsi="Arial" w:cs="Arial"/>
          <w:color w:val="4F81BD" w:themeColor="accent1"/>
          <w:shd w:val="clear" w:color="auto" w:fill="FFFFFF"/>
        </w:rPr>
        <w:t>scHolography</w:t>
      </w:r>
      <w:proofErr w:type="spellEnd"/>
      <w:r w:rsidRPr="00E00E52">
        <w:rPr>
          <w:rFonts w:ascii="Arial" w:hAnsi="Arial" w:cs="Arial"/>
          <w:color w:val="4F81BD" w:themeColor="accent1"/>
          <w:shd w:val="clear" w:color="auto" w:fill="FFFFFF"/>
        </w:rPr>
        <w:t xml:space="preserve"> for 3D tissue reconstruction and analysis is to study cell-cell interaction and microenvironment that exist in 3D rather than 2D. In </w:t>
      </w:r>
      <w:r>
        <w:rPr>
          <w:rFonts w:ascii="Arial" w:hAnsi="Arial" w:cs="Arial"/>
          <w:color w:val="4F81BD" w:themeColor="accent1"/>
          <w:shd w:val="clear" w:color="auto" w:fill="FFFFFF"/>
        </w:rPr>
        <w:t>contrast</w:t>
      </w:r>
      <w:r w:rsidRPr="00E00E52">
        <w:rPr>
          <w:rFonts w:ascii="Arial" w:hAnsi="Arial" w:cs="Arial"/>
          <w:color w:val="4F81BD" w:themeColor="accent1"/>
          <w:shd w:val="clear" w:color="auto" w:fill="FFFFFF"/>
        </w:rPr>
        <w:t>, most existing cell charting tools</w:t>
      </w:r>
      <w:r>
        <w:rPr>
          <w:rFonts w:ascii="Arial" w:hAnsi="Arial" w:cs="Arial"/>
          <w:color w:val="4F81BD" w:themeColor="accent1"/>
          <w:shd w:val="clear" w:color="auto" w:fill="FFFFFF"/>
        </w:rPr>
        <w:t xml:space="preserve">, such as </w:t>
      </w:r>
      <w:proofErr w:type="spellStart"/>
      <w:r>
        <w:rPr>
          <w:rFonts w:ascii="Arial" w:hAnsi="Arial" w:cs="Arial"/>
          <w:color w:val="4F81BD" w:themeColor="accent1"/>
          <w:shd w:val="clear" w:color="auto" w:fill="FFFFFF"/>
        </w:rPr>
        <w:t>CellTrek</w:t>
      </w:r>
      <w:proofErr w:type="spellEnd"/>
      <w:r>
        <w:rPr>
          <w:rFonts w:ascii="Arial" w:hAnsi="Arial" w:cs="Arial"/>
          <w:color w:val="4F81BD" w:themeColor="accent1"/>
          <w:shd w:val="clear" w:color="auto" w:fill="FFFFFF"/>
        </w:rPr>
        <w:t xml:space="preserve"> and </w:t>
      </w:r>
      <w:proofErr w:type="spellStart"/>
      <w:r>
        <w:rPr>
          <w:rFonts w:ascii="Arial" w:hAnsi="Arial" w:cs="Arial"/>
          <w:color w:val="4F81BD" w:themeColor="accent1"/>
          <w:shd w:val="clear" w:color="auto" w:fill="FFFFFF"/>
        </w:rPr>
        <w:t>CytoSPACE</w:t>
      </w:r>
      <w:proofErr w:type="spellEnd"/>
      <w:r>
        <w:rPr>
          <w:rFonts w:ascii="Arial" w:hAnsi="Arial" w:cs="Arial"/>
          <w:color w:val="4F81BD" w:themeColor="accent1"/>
          <w:shd w:val="clear" w:color="auto" w:fill="FFFFFF"/>
        </w:rPr>
        <w:t>,</w:t>
      </w:r>
      <w:r w:rsidRPr="00E00E52">
        <w:rPr>
          <w:rFonts w:ascii="Arial" w:hAnsi="Arial" w:cs="Arial"/>
          <w:color w:val="4F81BD" w:themeColor="accent1"/>
          <w:shd w:val="clear" w:color="auto" w:fill="FFFFFF"/>
        </w:rPr>
        <w:t xml:space="preserve"> assign single cells and their associated transcriptome back to 2D space that is defined by spatial transcriptomic results. </w:t>
      </w:r>
      <w:r>
        <w:rPr>
          <w:rFonts w:ascii="Arial" w:hAnsi="Arial" w:cs="Arial"/>
          <w:color w:val="4F81BD" w:themeColor="accent1"/>
          <w:shd w:val="clear" w:color="auto" w:fill="FFFFFF"/>
        </w:rPr>
        <w:t>I</w:t>
      </w:r>
      <w:r w:rsidRPr="00E00E52">
        <w:rPr>
          <w:rFonts w:ascii="Arial" w:hAnsi="Arial" w:cs="Arial"/>
          <w:color w:val="4F81BD" w:themeColor="accent1"/>
          <w:shd w:val="clear" w:color="auto" w:fill="FFFFFF"/>
        </w:rPr>
        <w:t xml:space="preserve">t is </w:t>
      </w:r>
      <w:r>
        <w:rPr>
          <w:rFonts w:ascii="Arial" w:hAnsi="Arial" w:cs="Arial"/>
          <w:color w:val="4F81BD" w:themeColor="accent1"/>
          <w:shd w:val="clear" w:color="auto" w:fill="FFFFFF"/>
        </w:rPr>
        <w:t xml:space="preserve">also </w:t>
      </w:r>
      <w:r w:rsidRPr="00E00E52">
        <w:rPr>
          <w:rFonts w:ascii="Arial" w:hAnsi="Arial" w:cs="Arial"/>
          <w:color w:val="4F81BD" w:themeColor="accent1"/>
          <w:shd w:val="clear" w:color="auto" w:fill="FFFFFF"/>
        </w:rPr>
        <w:t>important to note that</w:t>
      </w:r>
      <w:r>
        <w:rPr>
          <w:rFonts w:ascii="Arial" w:hAnsi="Arial" w:cs="Arial"/>
          <w:color w:val="4F81BD" w:themeColor="accent1"/>
          <w:shd w:val="clear" w:color="auto" w:fill="FFFFFF"/>
        </w:rPr>
        <w:t xml:space="preserve"> 2D projection or embedding assumes that </w:t>
      </w:r>
      <w:r w:rsidRPr="00E00E52">
        <w:rPr>
          <w:rFonts w:ascii="Arial" w:hAnsi="Arial" w:cs="Arial"/>
          <w:color w:val="4F81BD" w:themeColor="accent1"/>
          <w:shd w:val="clear" w:color="auto" w:fill="FFFFFF"/>
        </w:rPr>
        <w:t>all single cells are derived from the same 2D slice</w:t>
      </w:r>
      <w:r>
        <w:rPr>
          <w:rFonts w:ascii="Arial" w:hAnsi="Arial" w:cs="Arial"/>
          <w:color w:val="4F81BD" w:themeColor="accent1"/>
          <w:shd w:val="clear" w:color="auto" w:fill="FFFFFF"/>
        </w:rPr>
        <w:t xml:space="preserve">, which is not the case. Thus, we believe that it is an innovative and important step forward to analyze single-cell and spatial transcriptomic data in 3D. To demonstrate the feasibility and utility of our approach, we show: 1) </w:t>
      </w:r>
      <w:proofErr w:type="spellStart"/>
      <w:r>
        <w:rPr>
          <w:rFonts w:ascii="Arial" w:hAnsi="Arial" w:cs="Arial"/>
          <w:color w:val="4F81BD" w:themeColor="accent1"/>
          <w:shd w:val="clear" w:color="auto" w:fill="FFFFFF"/>
        </w:rPr>
        <w:t>scHolography</w:t>
      </w:r>
      <w:proofErr w:type="spellEnd"/>
      <w:r>
        <w:rPr>
          <w:rFonts w:ascii="Arial" w:hAnsi="Arial" w:cs="Arial"/>
          <w:color w:val="4F81BD" w:themeColor="accent1"/>
          <w:shd w:val="clear" w:color="auto" w:fill="FFFFFF"/>
        </w:rPr>
        <w:t xml:space="preserve"> can learn 3D information from 2D spatial transcriptomic reference; 2) 3D assignment performs better than 2D assignment in benchmarks; 3) 3D based results provide biologically meaningful information. </w:t>
      </w:r>
      <w:r w:rsidRPr="002B2E98">
        <w:rPr>
          <w:rFonts w:ascii="Arial" w:hAnsi="Arial" w:cs="Arial"/>
          <w:color w:val="4F81BD" w:themeColor="accent1"/>
          <w:u w:val="single"/>
          <w:shd w:val="clear" w:color="auto" w:fill="FFFFFF"/>
        </w:rPr>
        <w:t>First</w:t>
      </w:r>
      <w:r>
        <w:rPr>
          <w:rFonts w:ascii="Arial" w:hAnsi="Arial" w:cs="Arial"/>
          <w:color w:val="4F81BD" w:themeColor="accent1"/>
          <w:shd w:val="clear" w:color="auto" w:fill="FFFFFF"/>
        </w:rPr>
        <w:t>, i</w:t>
      </w:r>
      <w:r w:rsidRPr="00E00E52">
        <w:rPr>
          <w:rFonts w:ascii="Arial" w:hAnsi="Arial" w:cs="Arial"/>
          <w:color w:val="4F81BD" w:themeColor="accent1"/>
          <w:shd w:val="clear" w:color="auto" w:fill="FFFFFF"/>
        </w:rPr>
        <w:t xml:space="preserve">n the revised manuscript, we have </w:t>
      </w:r>
      <w:r>
        <w:rPr>
          <w:rFonts w:ascii="Arial" w:hAnsi="Arial" w:cs="Arial"/>
          <w:color w:val="4F81BD" w:themeColor="accent1"/>
          <w:shd w:val="clear" w:color="auto" w:fill="FFFFFF"/>
        </w:rPr>
        <w:t>further</w:t>
      </w:r>
      <w:r w:rsidRPr="00E00E52">
        <w:rPr>
          <w:rFonts w:ascii="Arial" w:hAnsi="Arial" w:cs="Arial"/>
          <w:color w:val="4F81BD" w:themeColor="accent1"/>
          <w:shd w:val="clear" w:color="auto" w:fill="FFFFFF"/>
        </w:rPr>
        <w:t xml:space="preserve"> confirmed that </w:t>
      </w:r>
      <w:proofErr w:type="spellStart"/>
      <w:r w:rsidRPr="00E00E52">
        <w:rPr>
          <w:rFonts w:ascii="Arial" w:hAnsi="Arial" w:cs="Arial"/>
          <w:color w:val="4F81BD" w:themeColor="accent1"/>
        </w:rPr>
        <w:t>scHolography</w:t>
      </w:r>
      <w:proofErr w:type="spellEnd"/>
      <w:r w:rsidRPr="00E00E52">
        <w:rPr>
          <w:rFonts w:ascii="Arial" w:hAnsi="Arial" w:cs="Arial"/>
          <w:color w:val="4F81BD" w:themeColor="accent1"/>
        </w:rPr>
        <w:t xml:space="preserve"> effectively learns 3D information from 2D tissue slices</w:t>
      </w:r>
      <w:r>
        <w:rPr>
          <w:rFonts w:ascii="Arial" w:hAnsi="Arial" w:cs="Arial"/>
          <w:color w:val="4F81BD" w:themeColor="accent1"/>
        </w:rPr>
        <w:t xml:space="preserve"> by learning from a single slice of multiple serial sections and reconstructing the tissue (</w:t>
      </w:r>
      <w:r w:rsidRPr="00CE58CE">
        <w:rPr>
          <w:rFonts w:ascii="Arial" w:hAnsi="Arial" w:cs="Arial"/>
          <w:color w:val="4F81BD" w:themeColor="accent1"/>
        </w:rPr>
        <w:t>new Fig. S5-6 in the manuscript</w:t>
      </w:r>
      <w:r>
        <w:rPr>
          <w:rFonts w:ascii="Arial" w:hAnsi="Arial" w:cs="Arial"/>
          <w:color w:val="4F81BD" w:themeColor="accent1"/>
        </w:rPr>
        <w:t>)</w:t>
      </w:r>
      <w:r w:rsidRPr="00E00E52">
        <w:rPr>
          <w:rFonts w:ascii="Arial" w:hAnsi="Arial" w:cs="Arial"/>
          <w:color w:val="4F81BD" w:themeColor="accent1"/>
        </w:rPr>
        <w:t>.</w:t>
      </w:r>
      <w:r>
        <w:rPr>
          <w:rFonts w:ascii="Arial" w:hAnsi="Arial" w:cs="Arial"/>
          <w:color w:val="4F81BD" w:themeColor="accent1"/>
        </w:rPr>
        <w:t xml:space="preserve"> In revision, we have additionally applied </w:t>
      </w:r>
      <w:proofErr w:type="spellStart"/>
      <w:r>
        <w:rPr>
          <w:rFonts w:ascii="Arial" w:hAnsi="Arial" w:cs="Arial"/>
          <w:color w:val="4F81BD" w:themeColor="accent1"/>
        </w:rPr>
        <w:t>scHolography</w:t>
      </w:r>
      <w:proofErr w:type="spellEnd"/>
      <w:r>
        <w:rPr>
          <w:rFonts w:ascii="Arial" w:hAnsi="Arial" w:cs="Arial"/>
          <w:color w:val="4F81BD" w:themeColor="accent1"/>
        </w:rPr>
        <w:t xml:space="preserve"> to a mouse kidney dataset, where 3D tissue organization is well appreciated. By learning from a 2D spatial reference slice, our </w:t>
      </w:r>
      <w:proofErr w:type="spellStart"/>
      <w:r>
        <w:rPr>
          <w:rFonts w:ascii="Arial" w:hAnsi="Arial" w:cs="Arial"/>
          <w:color w:val="4F81BD" w:themeColor="accent1"/>
        </w:rPr>
        <w:t>scHolography</w:t>
      </w:r>
      <w:proofErr w:type="spellEnd"/>
      <w:r>
        <w:rPr>
          <w:rFonts w:ascii="Arial" w:hAnsi="Arial" w:cs="Arial"/>
          <w:color w:val="4F81BD" w:themeColor="accent1"/>
        </w:rPr>
        <w:t xml:space="preserve"> reconstruction has corrected identified xx cell populations that are organized in 3D rather </w:t>
      </w:r>
      <w:r w:rsidRPr="00636F87">
        <w:rPr>
          <w:rFonts w:ascii="Arial" w:hAnsi="Arial" w:cs="Arial"/>
          <w:color w:val="4F81BD" w:themeColor="accent1"/>
        </w:rPr>
        <w:t>than 2D (new Fig. 7 in the manuscript</w:t>
      </w:r>
      <w:r>
        <w:rPr>
          <w:rFonts w:ascii="Arial" w:hAnsi="Arial" w:cs="Arial"/>
          <w:color w:val="4F81BD" w:themeColor="accent1"/>
        </w:rPr>
        <w:t>). This real-world result further highlights the ability to learn 3D information from a 2D tissue slice.</w:t>
      </w:r>
      <w:r w:rsidRPr="00E00E52">
        <w:rPr>
          <w:rFonts w:ascii="Arial" w:hAnsi="Arial" w:cs="Arial"/>
          <w:color w:val="4F81BD" w:themeColor="accent1"/>
        </w:rPr>
        <w:t xml:space="preserve"> </w:t>
      </w:r>
      <w:r w:rsidRPr="002B2E98">
        <w:rPr>
          <w:rFonts w:ascii="Arial" w:hAnsi="Arial" w:cs="Arial"/>
          <w:color w:val="4F81BD" w:themeColor="accent1"/>
          <w:u w:val="single"/>
        </w:rPr>
        <w:t>Second</w:t>
      </w:r>
      <w:r>
        <w:rPr>
          <w:rFonts w:ascii="Arial" w:hAnsi="Arial" w:cs="Arial"/>
          <w:color w:val="4F81BD" w:themeColor="accent1"/>
        </w:rPr>
        <w:t xml:space="preserve">, we show that </w:t>
      </w:r>
      <w:proofErr w:type="spellStart"/>
      <w:r>
        <w:rPr>
          <w:rFonts w:ascii="Arial" w:hAnsi="Arial" w:cs="Arial"/>
          <w:color w:val="4F81BD" w:themeColor="accent1"/>
        </w:rPr>
        <w:t>scHolography</w:t>
      </w:r>
      <w:proofErr w:type="spellEnd"/>
      <w:r>
        <w:rPr>
          <w:rFonts w:ascii="Arial" w:hAnsi="Arial" w:cs="Arial"/>
          <w:color w:val="4F81BD" w:themeColor="accent1"/>
        </w:rPr>
        <w:t xml:space="preserve"> </w:t>
      </w:r>
      <w:r w:rsidRPr="00E00E52">
        <w:rPr>
          <w:rFonts w:ascii="Arial" w:hAnsi="Arial"/>
          <w:color w:val="4F81BD" w:themeColor="accent1"/>
          <w:shd w:val="clear" w:color="auto" w:fill="FFFFFF"/>
        </w:rPr>
        <w:t>measure</w:t>
      </w:r>
      <w:r>
        <w:rPr>
          <w:rFonts w:ascii="Arial" w:hAnsi="Arial"/>
          <w:color w:val="4F81BD" w:themeColor="accent1"/>
          <w:shd w:val="clear" w:color="auto" w:fill="FFFFFF"/>
        </w:rPr>
        <w:t>s</w:t>
      </w:r>
      <w:r w:rsidRPr="00E00E52">
        <w:rPr>
          <w:rFonts w:ascii="Arial" w:hAnsi="Arial"/>
          <w:color w:val="4F81BD" w:themeColor="accent1"/>
          <w:shd w:val="clear" w:color="auto" w:fill="FFFFFF"/>
        </w:rPr>
        <w:t xml:space="preserve"> the SMN distance between different cell types, quantified their layered organization and evaluated the global spatial reconstruction quality by using K-L divergence – a rigorous approach allowing statistical tests, rather than eyeballing the similar or different cell organizations in our reconstruction. Thus, our method is built on quantitative evaluations of tissue organization.</w:t>
      </w:r>
      <w:r>
        <w:rPr>
          <w:rFonts w:ascii="Arial" w:hAnsi="Arial"/>
          <w:color w:val="4F81BD" w:themeColor="accent1"/>
          <w:shd w:val="clear" w:color="auto" w:fill="FFFFFF"/>
        </w:rPr>
        <w:t xml:space="preserve"> </w:t>
      </w:r>
      <w:r w:rsidRPr="00FC4792">
        <w:rPr>
          <w:rFonts w:ascii="Arial" w:hAnsi="Arial"/>
          <w:color w:val="4F81BD" w:themeColor="accent1"/>
          <w:u w:val="single"/>
          <w:shd w:val="clear" w:color="auto" w:fill="FFFFFF"/>
        </w:rPr>
        <w:t>Third</w:t>
      </w:r>
      <w:r>
        <w:rPr>
          <w:rFonts w:ascii="Arial" w:hAnsi="Arial"/>
          <w:color w:val="4F81BD" w:themeColor="accent1"/>
          <w:shd w:val="clear" w:color="auto" w:fill="FFFFFF"/>
        </w:rPr>
        <w:t xml:space="preserve">, our neighborhood analysis </w:t>
      </w:r>
      <w:r w:rsidRPr="00E00E52">
        <w:rPr>
          <w:rFonts w:ascii="Arial" w:hAnsi="Arial" w:cs="Arial"/>
          <w:color w:val="4F81BD" w:themeColor="accent1"/>
          <w:shd w:val="clear" w:color="auto" w:fill="FFFFFF"/>
        </w:rPr>
        <w:t>integrate</w:t>
      </w:r>
      <w:r>
        <w:rPr>
          <w:rFonts w:ascii="Arial" w:hAnsi="Arial" w:cs="Arial"/>
          <w:color w:val="4F81BD" w:themeColor="accent1"/>
          <w:shd w:val="clear" w:color="auto" w:fill="FFFFFF"/>
        </w:rPr>
        <w:t>s</w:t>
      </w:r>
      <w:r w:rsidRPr="00E00E52">
        <w:rPr>
          <w:rFonts w:ascii="Arial" w:hAnsi="Arial" w:cs="Arial"/>
          <w:color w:val="4F81BD" w:themeColor="accent1"/>
          <w:shd w:val="clear" w:color="auto" w:fill="FFFFFF"/>
        </w:rPr>
        <w:t xml:space="preserve"> the single-cell transcriptome of all cells from a given neighborhood into a spatially defined “mini-bulk” transcriptome. This </w:t>
      </w:r>
      <w:r>
        <w:rPr>
          <w:rFonts w:ascii="Arial" w:hAnsi="Arial" w:cs="Arial"/>
          <w:color w:val="4F81BD" w:themeColor="accent1"/>
          <w:shd w:val="clear" w:color="auto" w:fill="FFFFFF"/>
        </w:rPr>
        <w:t>approach</w:t>
      </w:r>
      <w:r w:rsidRPr="00E00E52">
        <w:rPr>
          <w:rFonts w:ascii="Arial" w:hAnsi="Arial" w:cs="Arial"/>
          <w:color w:val="4F81BD" w:themeColor="accent1"/>
          <w:shd w:val="clear" w:color="auto" w:fill="FFFFFF"/>
        </w:rPr>
        <w:t xml:space="preserve"> has significantly enhanced our ability to 1) demarcate spatial cell clusters by not only the cell type composition but also their collective transcriptome; 2) identify key marker genes, many of which are important signaling molecules, by using the mini-bulk transcriptome for functional analysis; 3) examine cell-cell interactions with spatially defined ligand-receptor analysis.</w:t>
      </w:r>
      <w:r>
        <w:rPr>
          <w:rFonts w:ascii="Arial" w:hAnsi="Arial" w:cs="Arial"/>
          <w:color w:val="4F81BD" w:themeColor="accent1"/>
          <w:shd w:val="clear" w:color="auto" w:fill="FFFFFF"/>
        </w:rPr>
        <w:t xml:space="preserve"> </w:t>
      </w:r>
      <w:r w:rsidRPr="00FC4792">
        <w:rPr>
          <w:rFonts w:ascii="Arial" w:hAnsi="Arial" w:cs="Arial"/>
          <w:color w:val="4F81BD" w:themeColor="accent1"/>
          <w:u w:val="single"/>
          <w:shd w:val="clear" w:color="auto" w:fill="FFFFFF"/>
        </w:rPr>
        <w:t>Finally</w:t>
      </w:r>
      <w:r>
        <w:rPr>
          <w:rFonts w:ascii="Arial" w:hAnsi="Arial" w:cs="Arial"/>
          <w:color w:val="4F81BD" w:themeColor="accent1"/>
          <w:shd w:val="clear" w:color="auto" w:fill="FFFFFF"/>
        </w:rPr>
        <w:t xml:space="preserve">, in response to the reviewer’s comment, we have embedded our results in 2D rather than 3D as shown in </w:t>
      </w:r>
      <w:r w:rsidRPr="00FB4A17">
        <w:rPr>
          <w:rFonts w:ascii="Arial" w:hAnsi="Arial" w:cs="Arial"/>
          <w:color w:val="4F81BD" w:themeColor="accent1"/>
          <w:shd w:val="clear" w:color="auto" w:fill="FFFFFF"/>
        </w:rPr>
        <w:t>Figure 2b</w:t>
      </w:r>
      <w:r>
        <w:rPr>
          <w:rFonts w:ascii="Arial" w:hAnsi="Arial" w:cs="Arial"/>
          <w:color w:val="4F81BD" w:themeColor="accent1"/>
          <w:shd w:val="clear" w:color="auto" w:fill="FFFFFF"/>
        </w:rPr>
        <w:t xml:space="preserve"> below. Such embedding loses layered tissue organization of the foreskin sample and performs poorly as judged by Spearman Correlation (</w:t>
      </w:r>
      <w:r w:rsidRPr="009F156B">
        <w:rPr>
          <w:rFonts w:ascii="Arial" w:hAnsi="Arial" w:cs="Arial"/>
          <w:color w:val="4F81BD" w:themeColor="accent1"/>
          <w:shd w:val="clear" w:color="auto" w:fill="FFFFFF"/>
        </w:rPr>
        <w:t>Fig. 2c</w:t>
      </w:r>
      <w:r>
        <w:rPr>
          <w:rFonts w:ascii="Arial" w:hAnsi="Arial" w:cs="Arial"/>
          <w:color w:val="4F81BD" w:themeColor="accent1"/>
          <w:shd w:val="clear" w:color="auto" w:fill="FFFFFF"/>
        </w:rPr>
        <w:t xml:space="preserve">). </w:t>
      </w:r>
      <w:r w:rsidRPr="00E00E52">
        <w:rPr>
          <w:rFonts w:ascii="Arial" w:hAnsi="Arial" w:cs="Arial"/>
          <w:color w:val="4F81BD" w:themeColor="accent1"/>
          <w:shd w:val="clear" w:color="auto" w:fill="FFFFFF"/>
        </w:rPr>
        <w:t xml:space="preserve">Together, we hope the reviewer would agree that </w:t>
      </w:r>
      <w:proofErr w:type="spellStart"/>
      <w:r w:rsidRPr="00E00E52">
        <w:rPr>
          <w:rFonts w:ascii="Arial" w:hAnsi="Arial" w:cs="Arial"/>
          <w:color w:val="4F81BD" w:themeColor="accent1"/>
          <w:shd w:val="clear" w:color="auto" w:fill="FFFFFF"/>
        </w:rPr>
        <w:t>scHolography</w:t>
      </w:r>
      <w:proofErr w:type="spellEnd"/>
      <w:r w:rsidRPr="00E00E52">
        <w:rPr>
          <w:rFonts w:ascii="Arial" w:hAnsi="Arial" w:cs="Arial"/>
          <w:color w:val="4F81BD" w:themeColor="accent1"/>
          <w:shd w:val="clear" w:color="auto" w:fill="FFFFFF"/>
        </w:rPr>
        <w:t xml:space="preserve"> is </w:t>
      </w:r>
      <w:r>
        <w:rPr>
          <w:rFonts w:ascii="Arial" w:hAnsi="Arial" w:cs="Arial"/>
          <w:color w:val="4F81BD" w:themeColor="accent1"/>
          <w:shd w:val="clear" w:color="auto" w:fill="FFFFFF"/>
        </w:rPr>
        <w:t xml:space="preserve">a </w:t>
      </w:r>
      <w:r w:rsidRPr="00E00E52">
        <w:rPr>
          <w:rFonts w:ascii="Arial" w:hAnsi="Arial" w:cs="Arial"/>
          <w:color w:val="4F81BD" w:themeColor="accent1"/>
          <w:shd w:val="clear" w:color="auto" w:fill="FFFFFF"/>
        </w:rPr>
        <w:t xml:space="preserve">3D visualization method. It translates high-dimensional spatial transcriptomics data into actionable insights about tissue organization and cellular microenvironment. </w:t>
      </w:r>
    </w:p>
    <w:p w14:paraId="7BD5F4FD" w14:textId="77777777" w:rsidR="00E436F9" w:rsidRPr="00270E00" w:rsidRDefault="00E436F9" w:rsidP="00E436F9">
      <w:r>
        <w:rPr>
          <w:rFonts w:ascii="Arial" w:eastAsia="Times New Roman" w:hAnsi="Arial" w:cs="Arial"/>
          <w:noProof/>
          <w:color w:val="4BACC6" w:themeColor="accent5"/>
        </w:rPr>
        <w:lastRenderedPageBreak/>
        <w:drawing>
          <wp:anchor distT="0" distB="0" distL="114300" distR="114300" simplePos="0" relativeHeight="251662336" behindDoc="1" locked="0" layoutInCell="1" allowOverlap="1" wp14:anchorId="12DA43C3" wp14:editId="5A664111">
            <wp:simplePos x="0" y="0"/>
            <wp:positionH relativeFrom="column">
              <wp:posOffset>18415</wp:posOffset>
            </wp:positionH>
            <wp:positionV relativeFrom="paragraph">
              <wp:posOffset>154047</wp:posOffset>
            </wp:positionV>
            <wp:extent cx="4618355" cy="1741805"/>
            <wp:effectExtent l="0" t="0" r="4445" b="0"/>
            <wp:wrapTight wrapText="bothSides">
              <wp:wrapPolygon edited="0">
                <wp:start x="0" y="0"/>
                <wp:lineTo x="0" y="21419"/>
                <wp:lineTo x="21561" y="21419"/>
                <wp:lineTo x="21561" y="0"/>
                <wp:lineTo x="0" y="0"/>
              </wp:wrapPolygon>
            </wp:wrapTight>
            <wp:docPr id="1146861588" name="Picture 6" descr="A diagram of a diagram of a body p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61588" name="Picture 6" descr="A diagram of a diagram of a body part&#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18355" cy="1741805"/>
                    </a:xfrm>
                    <a:prstGeom prst="rect">
                      <a:avLst/>
                    </a:prstGeom>
                  </pic:spPr>
                </pic:pic>
              </a:graphicData>
            </a:graphic>
            <wp14:sizeRelH relativeFrom="page">
              <wp14:pctWidth>0</wp14:pctWidth>
            </wp14:sizeRelH>
            <wp14:sizeRelV relativeFrom="page">
              <wp14:pctHeight>0</wp14:pctHeight>
            </wp14:sizeRelV>
          </wp:anchor>
        </w:drawing>
      </w:r>
      <w:r w:rsidRPr="00AE78E6">
        <w:rPr>
          <w:rFonts w:ascii="Arial" w:hAnsi="Arial" w:cs="Arial"/>
          <w:b/>
          <w:bCs/>
          <w:sz w:val="18"/>
          <w:szCs w:val="18"/>
        </w:rPr>
        <w:t xml:space="preserve">Figure </w:t>
      </w:r>
      <w:r>
        <w:rPr>
          <w:rFonts w:ascii="Arial" w:hAnsi="Arial" w:cs="Arial"/>
          <w:b/>
          <w:bCs/>
          <w:sz w:val="18"/>
          <w:szCs w:val="18"/>
        </w:rPr>
        <w:t>2</w:t>
      </w:r>
      <w:r w:rsidRPr="00AE78E6">
        <w:rPr>
          <w:rFonts w:ascii="Arial" w:hAnsi="Arial" w:cs="Arial"/>
          <w:b/>
          <w:bCs/>
          <w:sz w:val="18"/>
          <w:szCs w:val="18"/>
        </w:rPr>
        <w:t>.</w:t>
      </w:r>
      <w:r>
        <w:rPr>
          <w:rFonts w:ascii="Arial" w:hAnsi="Arial" w:cs="Arial"/>
          <w:b/>
          <w:bCs/>
          <w:sz w:val="18"/>
          <w:szCs w:val="18"/>
        </w:rPr>
        <w:t xml:space="preserve"> </w:t>
      </w:r>
      <w:proofErr w:type="gramStart"/>
      <w:r>
        <w:rPr>
          <w:rFonts w:ascii="Arial" w:hAnsi="Arial" w:cs="Arial"/>
          <w:b/>
          <w:bCs/>
          <w:sz w:val="18"/>
          <w:szCs w:val="18"/>
        </w:rPr>
        <w:t>a,</w:t>
      </w:r>
      <w:proofErr w:type="gramEnd"/>
      <w:r>
        <w:rPr>
          <w:rFonts w:ascii="Arial" w:hAnsi="Arial" w:cs="Arial"/>
          <w:b/>
          <w:bCs/>
          <w:sz w:val="18"/>
          <w:szCs w:val="18"/>
        </w:rPr>
        <w:t xml:space="preserve"> </w:t>
      </w:r>
      <w:r w:rsidRPr="0023093E">
        <w:rPr>
          <w:rFonts w:ascii="Arial" w:hAnsi="Arial" w:cs="Arial"/>
          <w:sz w:val="18"/>
          <w:szCs w:val="18"/>
        </w:rPr>
        <w:t>Spearman</w:t>
      </w:r>
      <w:r>
        <w:rPr>
          <w:rFonts w:ascii="Arial" w:hAnsi="Arial" w:cs="Arial"/>
          <w:b/>
          <w:bCs/>
          <w:sz w:val="18"/>
          <w:szCs w:val="18"/>
        </w:rPr>
        <w:t xml:space="preserve"> </w:t>
      </w:r>
      <w:r w:rsidRPr="0023093E">
        <w:rPr>
          <w:rFonts w:ascii="Arial" w:hAnsi="Arial" w:cs="Arial"/>
          <w:sz w:val="18"/>
          <w:szCs w:val="18"/>
        </w:rPr>
        <w:t xml:space="preserve">correlation between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inferred cell-cell SMN distance and the ground-truth cell-cell spatial distance with cell-cell embedding distance on 2D and 3D PCA and UMAP embeddings. </w:t>
      </w:r>
      <w:r>
        <w:rPr>
          <w:rFonts w:ascii="Arial" w:hAnsi="Arial" w:cs="Arial"/>
          <w:b/>
          <w:bCs/>
          <w:sz w:val="18"/>
          <w:szCs w:val="18"/>
        </w:rPr>
        <w:t xml:space="preserve">b, </w:t>
      </w:r>
      <w:r w:rsidRPr="0023093E">
        <w:rPr>
          <w:rFonts w:ascii="Arial" w:hAnsi="Arial" w:cs="Arial"/>
          <w:sz w:val="18"/>
          <w:szCs w:val="18"/>
        </w:rPr>
        <w:t>2D FR</w:t>
      </w:r>
      <w:r>
        <w:rPr>
          <w:rFonts w:ascii="Arial" w:hAnsi="Arial" w:cs="Arial"/>
          <w:sz w:val="18"/>
          <w:szCs w:val="18"/>
        </w:rPr>
        <w:t xml:space="preserve"> embeddings of human skin.</w:t>
      </w:r>
      <w:r>
        <w:rPr>
          <w:rFonts w:ascii="Arial" w:hAnsi="Arial" w:cs="Arial"/>
          <w:b/>
          <w:bCs/>
          <w:sz w:val="18"/>
          <w:szCs w:val="18"/>
        </w:rPr>
        <w:t xml:space="preserve"> c, </w:t>
      </w:r>
      <w:r w:rsidRPr="0023093E">
        <w:rPr>
          <w:rFonts w:ascii="Arial" w:hAnsi="Arial" w:cs="Arial"/>
          <w:sz w:val="18"/>
          <w:szCs w:val="18"/>
        </w:rPr>
        <w:t xml:space="preserve">Spearman correlation between SMN graph distance and </w:t>
      </w:r>
      <w:r>
        <w:rPr>
          <w:rFonts w:ascii="Arial" w:hAnsi="Arial" w:cs="Arial"/>
          <w:sz w:val="18"/>
          <w:szCs w:val="18"/>
        </w:rPr>
        <w:t xml:space="preserve">2D and 3D </w:t>
      </w:r>
      <w:r w:rsidRPr="0023093E">
        <w:rPr>
          <w:rFonts w:ascii="Arial" w:hAnsi="Arial" w:cs="Arial"/>
          <w:sz w:val="18"/>
          <w:szCs w:val="18"/>
        </w:rPr>
        <w:t>FR embedding distance between cell pairs</w:t>
      </w:r>
      <w:r>
        <w:rPr>
          <w:rFonts w:ascii="Arial" w:hAnsi="Arial" w:cs="Arial"/>
          <w:sz w:val="18"/>
          <w:szCs w:val="18"/>
        </w:rPr>
        <w:t>.</w:t>
      </w:r>
    </w:p>
    <w:p w14:paraId="5A247F20" w14:textId="77777777" w:rsidR="00E436F9" w:rsidRDefault="00E436F9" w:rsidP="00E436F9">
      <w:pPr>
        <w:rPr>
          <w:rFonts w:ascii="Arial" w:eastAsia="Times New Roman" w:hAnsi="Arial" w:cs="Arial"/>
          <w:color w:val="4F81BD" w:themeColor="accent1"/>
        </w:rPr>
      </w:pPr>
    </w:p>
    <w:p w14:paraId="452DDA26" w14:textId="77777777" w:rsidR="00E436F9" w:rsidRDefault="00E436F9" w:rsidP="00E436F9">
      <w:pPr>
        <w:ind w:firstLine="720"/>
        <w:rPr>
          <w:rFonts w:ascii="Arial" w:eastAsia="Times New Roman" w:hAnsi="Arial" w:cs="Arial"/>
          <w:color w:val="4F81BD" w:themeColor="accent1"/>
        </w:rPr>
      </w:pPr>
      <w:r w:rsidRPr="00EF75B9">
        <w:rPr>
          <w:rFonts w:ascii="Arial" w:eastAsia="Times New Roman" w:hAnsi="Arial" w:cs="Arial"/>
          <w:color w:val="4F81BD" w:themeColor="accent1"/>
        </w:rPr>
        <w:t xml:space="preserve">For the spatial analysis based on the SMN distance, we note that the core of our method is to construct a stable matching neighbor (SMN) graph of cells. To get the SMN distance, we first used the real measurement of </w:t>
      </w:r>
      <w:r>
        <w:rPr>
          <w:rFonts w:ascii="Arial" w:eastAsia="Times New Roman" w:hAnsi="Arial" w:cs="Arial"/>
          <w:color w:val="4F81BD" w:themeColor="accent1"/>
        </w:rPr>
        <w:t>pixel</w:t>
      </w:r>
      <w:r w:rsidRPr="00EF75B9">
        <w:rPr>
          <w:rFonts w:ascii="Arial" w:eastAsia="Times New Roman" w:hAnsi="Arial" w:cs="Arial"/>
          <w:color w:val="4F81BD" w:themeColor="accent1"/>
        </w:rPr>
        <w:t>-</w:t>
      </w:r>
      <w:r>
        <w:rPr>
          <w:rFonts w:ascii="Arial" w:eastAsia="Times New Roman" w:hAnsi="Arial" w:cs="Arial"/>
          <w:color w:val="4F81BD" w:themeColor="accent1"/>
        </w:rPr>
        <w:t>pixel</w:t>
      </w:r>
      <w:r w:rsidRPr="00EF75B9">
        <w:rPr>
          <w:rFonts w:ascii="Arial" w:eastAsia="Times New Roman" w:hAnsi="Arial" w:cs="Arial"/>
          <w:color w:val="4F81BD" w:themeColor="accent1"/>
        </w:rPr>
        <w:t xml:space="preserve"> distance from ST datasets to generate the SICs. We next used a machine learning approach to learn the transcriptome-to-distance transformation. Finally, we used the GS algorithm to identify the SMN of each query cell. Because of these transformation</w:t>
      </w:r>
      <w:r>
        <w:rPr>
          <w:rFonts w:ascii="Arial" w:eastAsia="Times New Roman" w:hAnsi="Arial" w:cs="Arial"/>
          <w:color w:val="4F81BD" w:themeColor="accent1"/>
        </w:rPr>
        <w:t>s</w:t>
      </w:r>
      <w:r w:rsidRPr="00EF75B9">
        <w:rPr>
          <w:rFonts w:ascii="Arial" w:eastAsia="Times New Roman" w:hAnsi="Arial" w:cs="Arial"/>
          <w:color w:val="4F81BD" w:themeColor="accent1"/>
        </w:rPr>
        <w:t xml:space="preserve">, we prefer not to refer the SMN distance as the spatial distance. However, unlike dimensionality reduction methods widely used for transcriptome analysis, the SMN distance is a derivative from the spatial distance, and it describes the spatial </w:t>
      </w:r>
      <w:r>
        <w:rPr>
          <w:rFonts w:ascii="Arial" w:eastAsia="Times New Roman" w:hAnsi="Arial" w:cs="Arial"/>
          <w:color w:val="4F81BD" w:themeColor="accent1"/>
        </w:rPr>
        <w:t>relationship</w:t>
      </w:r>
      <w:r w:rsidRPr="00EF75B9">
        <w:rPr>
          <w:rFonts w:ascii="Arial" w:eastAsia="Times New Roman" w:hAnsi="Arial" w:cs="Arial"/>
          <w:color w:val="4F81BD" w:themeColor="accent1"/>
        </w:rPr>
        <w:t xml:space="preserve"> among cells such that the shorter </w:t>
      </w:r>
      <w:r>
        <w:rPr>
          <w:rFonts w:ascii="Arial" w:eastAsia="Times New Roman" w:hAnsi="Arial" w:cs="Arial"/>
          <w:color w:val="4F81BD" w:themeColor="accent1"/>
        </w:rPr>
        <w:t xml:space="preserve">SMN </w:t>
      </w:r>
      <w:r w:rsidRPr="00EF75B9">
        <w:rPr>
          <w:rFonts w:ascii="Arial" w:eastAsia="Times New Roman" w:hAnsi="Arial" w:cs="Arial"/>
          <w:color w:val="4F81BD" w:themeColor="accent1"/>
        </w:rPr>
        <w:t xml:space="preserve">distance indicates the </w:t>
      </w:r>
      <w:r>
        <w:rPr>
          <w:rFonts w:ascii="Arial" w:eastAsia="Times New Roman" w:hAnsi="Arial" w:cs="Arial"/>
          <w:color w:val="4F81BD" w:themeColor="accent1"/>
        </w:rPr>
        <w:t>closer</w:t>
      </w:r>
      <w:r w:rsidRPr="00EF75B9">
        <w:rPr>
          <w:rFonts w:ascii="Arial" w:eastAsia="Times New Roman" w:hAnsi="Arial" w:cs="Arial"/>
          <w:color w:val="4F81BD" w:themeColor="accent1"/>
        </w:rPr>
        <w:t xml:space="preserve"> </w:t>
      </w:r>
      <w:r>
        <w:rPr>
          <w:rFonts w:ascii="Arial" w:eastAsia="Times New Roman" w:hAnsi="Arial" w:cs="Arial"/>
          <w:color w:val="4F81BD" w:themeColor="accent1"/>
        </w:rPr>
        <w:t>relationship between cells</w:t>
      </w:r>
      <w:r w:rsidRPr="00EF75B9">
        <w:rPr>
          <w:rFonts w:ascii="Arial" w:eastAsia="Times New Roman" w:hAnsi="Arial" w:cs="Arial"/>
          <w:color w:val="4F81BD" w:themeColor="accent1"/>
        </w:rPr>
        <w:t xml:space="preserve">. Our existing data of spatial neighborhood analysis from human foreskin samples recapitulated experimental observations of the layered organization of distinct epithelial and dermal cells by using the SMN distance. To further demonstrate that the SMN distance is meaningful in capturing biological tissue structure, we made a new comparison of the correlation between </w:t>
      </w:r>
      <w:proofErr w:type="spellStart"/>
      <w:r w:rsidRPr="00EF75B9">
        <w:rPr>
          <w:rFonts w:ascii="Arial" w:eastAsia="Times New Roman" w:hAnsi="Arial" w:cs="Arial"/>
          <w:color w:val="4F81BD" w:themeColor="accent1"/>
        </w:rPr>
        <w:t>scHolography</w:t>
      </w:r>
      <w:proofErr w:type="spellEnd"/>
      <w:r w:rsidRPr="00EF75B9">
        <w:rPr>
          <w:rFonts w:ascii="Arial" w:eastAsia="Times New Roman" w:hAnsi="Arial" w:cs="Arial"/>
          <w:color w:val="4F81BD" w:themeColor="accent1"/>
        </w:rPr>
        <w:t xml:space="preserve"> inferred cell-cell SMN distance and the ground-truth cell-cell spatial distance with cell-cell embedding distance on 2D and 3D PCA and UMAP embeddings (</w:t>
      </w:r>
      <w:r w:rsidRPr="00B830B4">
        <w:rPr>
          <w:rFonts w:ascii="Arial" w:eastAsia="Times New Roman" w:hAnsi="Arial" w:cs="Arial"/>
          <w:color w:val="4F81BD" w:themeColor="accent1"/>
        </w:rPr>
        <w:t>Fig. 2a</w:t>
      </w:r>
      <w:r w:rsidRPr="00EF75B9">
        <w:rPr>
          <w:rFonts w:ascii="Arial" w:eastAsia="Times New Roman" w:hAnsi="Arial" w:cs="Arial"/>
          <w:color w:val="4F81BD" w:themeColor="accent1"/>
        </w:rPr>
        <w:t xml:space="preserve">). The SMN distance used by </w:t>
      </w:r>
      <w:proofErr w:type="spellStart"/>
      <w:r w:rsidRPr="00EF75B9">
        <w:rPr>
          <w:rFonts w:ascii="Arial" w:eastAsia="Times New Roman" w:hAnsi="Arial" w:cs="Arial"/>
          <w:color w:val="4F81BD" w:themeColor="accent1"/>
        </w:rPr>
        <w:t>scHolography</w:t>
      </w:r>
      <w:proofErr w:type="spellEnd"/>
      <w:r w:rsidRPr="00EF75B9">
        <w:rPr>
          <w:rFonts w:ascii="Arial" w:eastAsia="Times New Roman" w:hAnsi="Arial" w:cs="Arial"/>
          <w:color w:val="4F81BD" w:themeColor="accent1"/>
        </w:rPr>
        <w:t xml:space="preserve"> significantly outperforms the other cell-cell embedding distance, validating our approach. </w:t>
      </w:r>
    </w:p>
    <w:p w14:paraId="0B16B063" w14:textId="77777777" w:rsidR="00E436F9" w:rsidRDefault="00E436F9" w:rsidP="00E436F9">
      <w:pPr>
        <w:rPr>
          <w:rFonts w:ascii="Arial" w:eastAsia="Times New Roman" w:hAnsi="Arial" w:cs="Arial"/>
          <w:color w:val="000000" w:themeColor="text1"/>
          <w:shd w:val="clear" w:color="auto" w:fill="FFFFFF"/>
        </w:rPr>
      </w:pPr>
      <w:r w:rsidRPr="00685811">
        <w:rPr>
          <w:rFonts w:ascii="Arial" w:eastAsia="Times New Roman" w:hAnsi="Arial" w:cs="Arial"/>
          <w:color w:val="424242"/>
        </w:rPr>
        <w:br/>
      </w:r>
      <w:r w:rsidRPr="00685811">
        <w:rPr>
          <w:rFonts w:ascii="Arial" w:eastAsia="Times New Roman" w:hAnsi="Arial" w:cs="Arial"/>
          <w:color w:val="424242"/>
          <w:shd w:val="clear" w:color="auto" w:fill="FFFFFF"/>
        </w:rPr>
        <w:t xml:space="preserve">3. There is no clear evidence that the findings enabled by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cannot be achieved by deconvolution of spot-level spatial transcriptomics data. Given the approach requires ST data to start with, the use case of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is not entirely clear</w:t>
      </w:r>
      <w:r w:rsidRPr="00094DBF">
        <w:rPr>
          <w:rFonts w:ascii="Arial" w:eastAsia="Times New Roman" w:hAnsi="Arial" w:cs="Arial"/>
          <w:color w:val="424242"/>
          <w:shd w:val="clear" w:color="auto" w:fill="FFFFFF"/>
        </w:rPr>
        <w:t xml:space="preserve">. It would be much more convincing if the authors can demonstrate one case where </w:t>
      </w:r>
      <w:proofErr w:type="spellStart"/>
      <w:r w:rsidRPr="00094DBF">
        <w:rPr>
          <w:rFonts w:ascii="Arial" w:eastAsia="Times New Roman" w:hAnsi="Arial" w:cs="Arial"/>
          <w:color w:val="424242"/>
          <w:shd w:val="clear" w:color="auto" w:fill="FFFFFF"/>
        </w:rPr>
        <w:t>scHolography</w:t>
      </w:r>
      <w:proofErr w:type="spellEnd"/>
      <w:r w:rsidRPr="00094DBF">
        <w:rPr>
          <w:rFonts w:ascii="Arial" w:eastAsia="Times New Roman" w:hAnsi="Arial" w:cs="Arial"/>
          <w:color w:val="424242"/>
          <w:shd w:val="clear" w:color="auto" w:fill="FFFFFF"/>
        </w:rPr>
        <w:t xml:space="preserve"> can discover something that appropriate spot deconvolution </w:t>
      </w:r>
      <w:r w:rsidRPr="00094DBF">
        <w:rPr>
          <w:rFonts w:ascii="Arial" w:eastAsia="Times New Roman" w:hAnsi="Arial" w:cs="Arial"/>
          <w:color w:val="000000" w:themeColor="text1"/>
          <w:shd w:val="clear" w:color="auto" w:fill="FFFFFF"/>
        </w:rPr>
        <w:t>cannot achieve.</w:t>
      </w:r>
    </w:p>
    <w:p w14:paraId="00796B82" w14:textId="77777777" w:rsidR="00E436F9" w:rsidRPr="00422B57" w:rsidRDefault="00E436F9" w:rsidP="00E436F9">
      <w:pPr>
        <w:ind w:firstLine="720"/>
        <w:rPr>
          <w:rFonts w:ascii="Arial" w:hAnsi="Arial" w:cs="Arial"/>
          <w:color w:val="4F81BD" w:themeColor="accent1"/>
          <w:shd w:val="clear" w:color="auto" w:fill="FFFFFF"/>
        </w:rPr>
      </w:pPr>
      <w:r w:rsidRPr="00422B57">
        <w:rPr>
          <w:rFonts w:ascii="Arial" w:hAnsi="Arial" w:cs="Arial"/>
          <w:color w:val="4F81BD" w:themeColor="accent1"/>
          <w:shd w:val="clear" w:color="auto" w:fill="FFFFFF"/>
        </w:rPr>
        <w:t xml:space="preserve">To compare the performance between </w:t>
      </w:r>
      <w:proofErr w:type="spellStart"/>
      <w:r w:rsidRPr="00422B57">
        <w:rPr>
          <w:rFonts w:ascii="Arial" w:hAnsi="Arial" w:cs="Arial"/>
          <w:color w:val="4F81BD" w:themeColor="accent1"/>
          <w:shd w:val="clear" w:color="auto" w:fill="FFFFFF"/>
        </w:rPr>
        <w:t>scHolography</w:t>
      </w:r>
      <w:proofErr w:type="spellEnd"/>
      <w:r w:rsidRPr="00422B57">
        <w:rPr>
          <w:rFonts w:ascii="Arial" w:hAnsi="Arial" w:cs="Arial"/>
          <w:color w:val="4F81BD" w:themeColor="accent1"/>
          <w:shd w:val="clear" w:color="auto" w:fill="FFFFFF"/>
        </w:rPr>
        <w:t xml:space="preserve"> and spot deconvolution-based method, we have applied </w:t>
      </w:r>
      <w:proofErr w:type="spellStart"/>
      <w:r w:rsidRPr="00422B57">
        <w:rPr>
          <w:rFonts w:ascii="Arial" w:hAnsi="Arial" w:cs="Arial"/>
          <w:color w:val="4F81BD" w:themeColor="accent1"/>
          <w:shd w:val="clear" w:color="auto" w:fill="FFFFFF"/>
        </w:rPr>
        <w:t>SPOTlight</w:t>
      </w:r>
      <w:proofErr w:type="spellEnd"/>
      <w:r w:rsidRPr="00422B57">
        <w:rPr>
          <w:rFonts w:ascii="Arial" w:hAnsi="Arial" w:cs="Arial"/>
          <w:color w:val="4F81BD" w:themeColor="accent1"/>
          <w:shd w:val="clear" w:color="auto" w:fill="FFFFFF"/>
        </w:rPr>
        <w:t xml:space="preserve"> decomposition (Elosua-Bayes M et al., Nucleic Acids Research 2021, cited by 324) to human dermal cells, which we have already analyzed with </w:t>
      </w:r>
      <w:proofErr w:type="spellStart"/>
      <w:r w:rsidRPr="00422B57">
        <w:rPr>
          <w:rFonts w:ascii="Arial" w:hAnsi="Arial" w:cs="Arial"/>
          <w:color w:val="4F81BD" w:themeColor="accent1"/>
          <w:shd w:val="clear" w:color="auto" w:fill="FFFFFF"/>
        </w:rPr>
        <w:t>scHolography</w:t>
      </w:r>
      <w:proofErr w:type="spellEnd"/>
      <w:r w:rsidRPr="00422B57">
        <w:rPr>
          <w:rFonts w:ascii="Arial" w:hAnsi="Arial" w:cs="Arial"/>
          <w:color w:val="4F81BD" w:themeColor="accent1"/>
          <w:shd w:val="clear" w:color="auto" w:fill="FFFFFF"/>
        </w:rPr>
        <w:t xml:space="preserve">. As shown in Figure </w:t>
      </w:r>
      <w:r w:rsidRPr="00AF79B4">
        <w:rPr>
          <w:rFonts w:ascii="Arial" w:hAnsi="Arial" w:cs="Arial"/>
          <w:color w:val="4F81BD" w:themeColor="accent1"/>
          <w:shd w:val="clear" w:color="auto" w:fill="FFFFFF"/>
        </w:rPr>
        <w:t>3a-b</w:t>
      </w:r>
      <w:r w:rsidRPr="00422B57">
        <w:rPr>
          <w:rFonts w:ascii="Arial" w:hAnsi="Arial" w:cs="Arial"/>
          <w:color w:val="4F81BD" w:themeColor="accent1"/>
          <w:shd w:val="clear" w:color="auto" w:fill="FFFFFF"/>
        </w:rPr>
        <w:t xml:space="preserve"> below, </w:t>
      </w:r>
      <w:proofErr w:type="spellStart"/>
      <w:r w:rsidRPr="00422B57">
        <w:rPr>
          <w:rFonts w:ascii="Arial" w:hAnsi="Arial" w:cs="Arial"/>
          <w:color w:val="4F81BD" w:themeColor="accent1"/>
          <w:shd w:val="clear" w:color="auto" w:fill="FFFFFF"/>
        </w:rPr>
        <w:t>SPOTlight</w:t>
      </w:r>
      <w:proofErr w:type="spellEnd"/>
      <w:r w:rsidRPr="00422B57">
        <w:rPr>
          <w:rFonts w:ascii="Arial" w:hAnsi="Arial" w:cs="Arial"/>
          <w:color w:val="4F81BD" w:themeColor="accent1"/>
          <w:shd w:val="clear" w:color="auto" w:fill="FFFFFF"/>
        </w:rPr>
        <w:t xml:space="preserve"> decomposition resolves each spot into several cell types based on the mixed transcriptome. Next, because </w:t>
      </w:r>
      <w:proofErr w:type="spellStart"/>
      <w:r w:rsidRPr="00422B57">
        <w:rPr>
          <w:rFonts w:ascii="Arial" w:hAnsi="Arial" w:cs="Arial"/>
          <w:color w:val="4F81BD" w:themeColor="accent1"/>
          <w:shd w:val="clear" w:color="auto" w:fill="FFFFFF"/>
        </w:rPr>
        <w:t>SPOTlight</w:t>
      </w:r>
      <w:proofErr w:type="spellEnd"/>
      <w:r w:rsidRPr="00422B57">
        <w:rPr>
          <w:rFonts w:ascii="Arial" w:hAnsi="Arial" w:cs="Arial"/>
          <w:color w:val="4F81BD" w:themeColor="accent1"/>
          <w:shd w:val="clear" w:color="auto" w:fill="FFFFFF"/>
        </w:rPr>
        <w:t xml:space="preserve"> decomposition doesn’t have a spatial neighborhood analysis function, we used the </w:t>
      </w:r>
      <w:r w:rsidRPr="00422B57">
        <w:rPr>
          <w:rFonts w:ascii="Arial" w:hAnsi="Arial" w:cs="Arial"/>
          <w:color w:val="4F81BD" w:themeColor="accent1"/>
          <w:shd w:val="clear" w:color="auto" w:fill="FFFFFF"/>
        </w:rPr>
        <w:lastRenderedPageBreak/>
        <w:t>“</w:t>
      </w:r>
      <w:proofErr w:type="spellStart"/>
      <w:r w:rsidRPr="0078188E">
        <w:rPr>
          <w:rFonts w:ascii="Arial" w:hAnsi="Arial" w:cs="Arial"/>
          <w:color w:val="4F81BD" w:themeColor="accent1"/>
          <w:shd w:val="clear" w:color="auto" w:fill="FFFFFF"/>
        </w:rPr>
        <w:t>BuildNicheAssay</w:t>
      </w:r>
      <w:proofErr w:type="spellEnd"/>
      <w:r w:rsidRPr="00422B57">
        <w:rPr>
          <w:rFonts w:ascii="Arial" w:hAnsi="Arial" w:cs="Arial"/>
          <w:color w:val="4F81BD" w:themeColor="accent1"/>
          <w:shd w:val="clear" w:color="auto" w:fill="FFFFFF"/>
        </w:rPr>
        <w:t xml:space="preserve">” approach, described by Seurat V5, to identify 4 dermal niches (Fig. 3c). Finally, we identified enriched gene expression in each spatial niche (Fig. 3d). In contrast to our result from </w:t>
      </w:r>
      <w:proofErr w:type="spellStart"/>
      <w:r w:rsidRPr="00422B57">
        <w:rPr>
          <w:rFonts w:ascii="Arial" w:hAnsi="Arial" w:cs="Arial"/>
          <w:color w:val="4F81BD" w:themeColor="accent1"/>
          <w:shd w:val="clear" w:color="auto" w:fill="FFFFFF"/>
        </w:rPr>
        <w:t>scHolography</w:t>
      </w:r>
      <w:proofErr w:type="spellEnd"/>
      <w:r w:rsidRPr="00422B57">
        <w:rPr>
          <w:rFonts w:ascii="Arial" w:hAnsi="Arial" w:cs="Arial"/>
          <w:color w:val="4F81BD" w:themeColor="accent1"/>
          <w:shd w:val="clear" w:color="auto" w:fill="FFFFFF"/>
        </w:rPr>
        <w:t xml:space="preserve">, </w:t>
      </w:r>
      <w:proofErr w:type="spellStart"/>
      <w:r w:rsidRPr="00422B57">
        <w:rPr>
          <w:rFonts w:ascii="Arial" w:hAnsi="Arial" w:cs="Arial"/>
          <w:color w:val="4F81BD" w:themeColor="accent1"/>
          <w:shd w:val="clear" w:color="auto" w:fill="FFFFFF"/>
        </w:rPr>
        <w:t>SPOTlight</w:t>
      </w:r>
      <w:proofErr w:type="spellEnd"/>
      <w:r w:rsidRPr="00422B57">
        <w:rPr>
          <w:rFonts w:ascii="Arial" w:hAnsi="Arial" w:cs="Arial"/>
          <w:color w:val="4F81BD" w:themeColor="accent1"/>
          <w:shd w:val="clear" w:color="auto" w:fill="FFFFFF"/>
        </w:rPr>
        <w:t xml:space="preserve"> decomposition-based approach didn’t identify distinct dermal cell neighborhood, judging by the enriched genes from each neighborhood. This result </w:t>
      </w:r>
      <w:proofErr w:type="gramStart"/>
      <w:r w:rsidRPr="00422B57">
        <w:rPr>
          <w:rFonts w:ascii="Arial" w:hAnsi="Arial" w:cs="Arial"/>
          <w:color w:val="4F81BD" w:themeColor="accent1"/>
          <w:shd w:val="clear" w:color="auto" w:fill="FFFFFF"/>
        </w:rPr>
        <w:t>was in contrast to</w:t>
      </w:r>
      <w:proofErr w:type="gramEnd"/>
      <w:r w:rsidRPr="00422B57">
        <w:rPr>
          <w:rFonts w:ascii="Arial" w:hAnsi="Arial" w:cs="Arial"/>
          <w:color w:val="4F81BD" w:themeColor="accent1"/>
          <w:shd w:val="clear" w:color="auto" w:fill="FFFFFF"/>
        </w:rPr>
        <w:t xml:space="preserve"> our identification of 4 experimentally validated, distinct neighborhoods (see Fig. 6</w:t>
      </w:r>
      <w:r>
        <w:rPr>
          <w:rFonts w:ascii="Arial" w:hAnsi="Arial" w:cs="Arial"/>
          <w:color w:val="4F81BD" w:themeColor="accent1"/>
          <w:shd w:val="clear" w:color="auto" w:fill="FFFFFF"/>
        </w:rPr>
        <w:t>c-e</w:t>
      </w:r>
      <w:r w:rsidRPr="00422B57">
        <w:rPr>
          <w:rFonts w:ascii="Arial" w:hAnsi="Arial" w:cs="Arial"/>
          <w:color w:val="4F81BD" w:themeColor="accent1"/>
          <w:shd w:val="clear" w:color="auto" w:fill="FFFFFF"/>
        </w:rPr>
        <w:t xml:space="preserve"> in the manuscript). For example, </w:t>
      </w:r>
      <w:r w:rsidRPr="00422B57">
        <w:rPr>
          <w:rFonts w:ascii="Arial" w:eastAsia="Times New Roman" w:hAnsi="Arial" w:cs="Arial"/>
          <w:color w:val="4F81BD" w:themeColor="accent1"/>
        </w:rPr>
        <w:t xml:space="preserve">as we showed in our human skin dermal spatial neighborhood analysis, our method can identify spatial neighborhoods of papillary and reticular dermal cells as well as RGS5+ pericytes, which were experimentally validated </w:t>
      </w:r>
      <w:r w:rsidRPr="00422B57">
        <w:rPr>
          <w:rFonts w:ascii="Arial" w:eastAsia="Times New Roman" w:hAnsi="Arial" w:cs="Arial"/>
          <w:color w:val="4F81BD" w:themeColor="accent1"/>
        </w:rPr>
        <w:fldChar w:fldCharType="begin">
          <w:fldData xml:space="preserve">PEVuZE5vdGU+PENpdGU+PEF1dGhvcj5QaGlsaXBwZW9zPC9BdXRob3I+PFllYXI+MjAxODwvWWVh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</w:fldData>
        </w:fldChar>
      </w:r>
      <w:r w:rsidRPr="00422B57">
        <w:rPr>
          <w:rFonts w:ascii="Arial" w:eastAsia="Times New Roman" w:hAnsi="Arial" w:cs="Arial"/>
          <w:color w:val="4F81BD" w:themeColor="accent1"/>
        </w:rPr>
        <w:instrText xml:space="preserve"> ADDIN EN.CITE </w:instrText>
      </w:r>
      <w:r w:rsidRPr="00422B57">
        <w:rPr>
          <w:rFonts w:ascii="Arial" w:eastAsia="Times New Roman" w:hAnsi="Arial" w:cs="Arial"/>
          <w:color w:val="4F81BD" w:themeColor="accent1"/>
        </w:rPr>
        <w:fldChar w:fldCharType="begin">
          <w:fldData xml:space="preserve">PEVuZE5vdGU+PENpdGU+PEF1dGhvcj5QaGlsaXBwZW9zPC9BdXRob3I+PFllYXI+MjAxODwvWWVh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</w:fldData>
        </w:fldChar>
      </w:r>
      <w:r w:rsidRPr="00422B57">
        <w:rPr>
          <w:rFonts w:ascii="Arial" w:eastAsia="Times New Roman" w:hAnsi="Arial" w:cs="Arial"/>
          <w:color w:val="4F81BD" w:themeColor="accent1"/>
        </w:rPr>
        <w:instrText xml:space="preserve"> ADDIN EN.CITE.DATA </w:instrText>
      </w:r>
      <w:r w:rsidRPr="00422B57">
        <w:rPr>
          <w:rFonts w:ascii="Arial" w:eastAsia="Times New Roman" w:hAnsi="Arial" w:cs="Arial"/>
          <w:color w:val="4F81BD" w:themeColor="accent1"/>
        </w:rPr>
      </w:r>
      <w:r w:rsidRPr="00422B57">
        <w:rPr>
          <w:rFonts w:ascii="Arial" w:eastAsia="Times New Roman" w:hAnsi="Arial" w:cs="Arial"/>
          <w:color w:val="4F81BD" w:themeColor="accent1"/>
        </w:rPr>
        <w:fldChar w:fldCharType="end"/>
      </w:r>
      <w:r w:rsidRPr="00422B57">
        <w:rPr>
          <w:rFonts w:ascii="Arial" w:eastAsia="Times New Roman" w:hAnsi="Arial" w:cs="Arial"/>
          <w:color w:val="4F81BD" w:themeColor="accent1"/>
        </w:rPr>
      </w:r>
      <w:r w:rsidRPr="00422B57">
        <w:rPr>
          <w:rFonts w:ascii="Arial" w:eastAsia="Times New Roman" w:hAnsi="Arial" w:cs="Arial"/>
          <w:color w:val="4F81BD" w:themeColor="accent1"/>
        </w:rPr>
        <w:fldChar w:fldCharType="separate"/>
      </w:r>
      <w:r w:rsidRPr="00422B57">
        <w:rPr>
          <w:rFonts w:ascii="Arial" w:eastAsia="Times New Roman" w:hAnsi="Arial" w:cs="Arial"/>
          <w:noProof/>
          <w:color w:val="4F81BD" w:themeColor="accent1"/>
        </w:rPr>
        <w:t>(Philippeos et al., 2018)</w:t>
      </w:r>
      <w:r w:rsidRPr="00422B57">
        <w:rPr>
          <w:rFonts w:ascii="Arial" w:eastAsia="Times New Roman" w:hAnsi="Arial" w:cs="Arial"/>
          <w:color w:val="4F81BD" w:themeColor="accent1"/>
        </w:rPr>
        <w:fldChar w:fldCharType="end"/>
      </w:r>
      <w:r w:rsidRPr="00422B57">
        <w:rPr>
          <w:rFonts w:ascii="Arial" w:eastAsia="Times New Roman" w:hAnsi="Arial" w:cs="Arial"/>
          <w:color w:val="4F81BD" w:themeColor="accent1"/>
        </w:rPr>
        <w:t xml:space="preserve">. When we did the niche analysis with </w:t>
      </w:r>
      <w:proofErr w:type="spellStart"/>
      <w:r w:rsidRPr="00422B57">
        <w:rPr>
          <w:rFonts w:ascii="Arial" w:eastAsia="Times New Roman" w:hAnsi="Arial" w:cs="Arial"/>
          <w:color w:val="4F81BD" w:themeColor="accent1"/>
        </w:rPr>
        <w:t>SPOTlight</w:t>
      </w:r>
      <w:proofErr w:type="spellEnd"/>
      <w:r w:rsidRPr="00422B57">
        <w:rPr>
          <w:rFonts w:ascii="Arial" w:eastAsia="Times New Roman" w:hAnsi="Arial" w:cs="Arial"/>
          <w:color w:val="4F81BD" w:themeColor="accent1"/>
        </w:rPr>
        <w:t xml:space="preserve"> decomposition for the same number of neighborhoods, no such observation can be made.</w:t>
      </w:r>
      <w:r w:rsidRPr="00422B57">
        <w:rPr>
          <w:rFonts w:ascii="Arial" w:hAnsi="Arial" w:cs="Arial"/>
          <w:color w:val="4F81BD" w:themeColor="accent1"/>
          <w:shd w:val="clear" w:color="auto" w:fill="FFFFFF"/>
        </w:rPr>
        <w:t xml:space="preserve"> </w:t>
      </w:r>
    </w:p>
    <w:p w14:paraId="4D1E0DC7" w14:textId="77777777" w:rsidR="00E436F9" w:rsidRDefault="00E436F9" w:rsidP="00E436F9">
      <w:pPr>
        <w:ind w:firstLine="720"/>
        <w:rPr>
          <w:rFonts w:ascii="Arial" w:hAnsi="Arial" w:cs="Arial"/>
          <w:color w:val="4F81BD" w:themeColor="accent1"/>
          <w:shd w:val="clear" w:color="auto" w:fill="FFFFFF"/>
        </w:rPr>
      </w:pPr>
      <w:r w:rsidRPr="00422B57">
        <w:rPr>
          <w:rFonts w:ascii="Arial" w:eastAsia="Times New Roman" w:hAnsi="Arial" w:cs="Arial"/>
          <w:noProof/>
          <w:color w:val="4F81BD" w:themeColor="accent1"/>
          <w:u w:val="single"/>
        </w:rPr>
        <w:drawing>
          <wp:anchor distT="0" distB="0" distL="114300" distR="114300" simplePos="0" relativeHeight="251659264" behindDoc="1" locked="0" layoutInCell="1" allowOverlap="1" wp14:anchorId="1FDB0FFB" wp14:editId="3200CBC1">
            <wp:simplePos x="0" y="0"/>
            <wp:positionH relativeFrom="column">
              <wp:posOffset>0</wp:posOffset>
            </wp:positionH>
            <wp:positionV relativeFrom="paragraph">
              <wp:posOffset>1967338</wp:posOffset>
            </wp:positionV>
            <wp:extent cx="3895725" cy="5280025"/>
            <wp:effectExtent l="0" t="0" r="3175" b="3175"/>
            <wp:wrapTight wrapText="bothSides">
              <wp:wrapPolygon edited="0">
                <wp:start x="0" y="0"/>
                <wp:lineTo x="0" y="21561"/>
                <wp:lineTo x="21547" y="21561"/>
                <wp:lineTo x="21547" y="0"/>
                <wp:lineTo x="0" y="0"/>
              </wp:wrapPolygon>
            </wp:wrapTight>
            <wp:docPr id="460347188" name="Picture 1" descr="A collage of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13595" name="Picture 1" descr="A collage of different colored dot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95725" cy="5280025"/>
                    </a:xfrm>
                    <a:prstGeom prst="rect">
                      <a:avLst/>
                    </a:prstGeom>
                  </pic:spPr>
                </pic:pic>
              </a:graphicData>
            </a:graphic>
            <wp14:sizeRelH relativeFrom="page">
              <wp14:pctWidth>0</wp14:pctWidth>
            </wp14:sizeRelH>
            <wp14:sizeRelV relativeFrom="page">
              <wp14:pctHeight>0</wp14:pctHeight>
            </wp14:sizeRelV>
          </wp:anchor>
        </w:drawing>
      </w:r>
      <w:r w:rsidRPr="00422B57">
        <w:rPr>
          <w:rFonts w:ascii="Arial" w:hAnsi="Arial" w:cs="Arial"/>
          <w:color w:val="4F81BD" w:themeColor="accent1"/>
          <w:shd w:val="clear" w:color="auto" w:fill="FFFFFF"/>
        </w:rPr>
        <w:t xml:space="preserve">To understand why </w:t>
      </w:r>
      <w:proofErr w:type="spellStart"/>
      <w:r w:rsidRPr="00422B57">
        <w:rPr>
          <w:rFonts w:ascii="Arial" w:hAnsi="Arial" w:cs="Arial"/>
          <w:color w:val="4F81BD" w:themeColor="accent1"/>
          <w:shd w:val="clear" w:color="auto" w:fill="FFFFFF"/>
        </w:rPr>
        <w:t>scHolography</w:t>
      </w:r>
      <w:proofErr w:type="spellEnd"/>
      <w:r w:rsidRPr="00422B57">
        <w:rPr>
          <w:rFonts w:ascii="Arial" w:hAnsi="Arial" w:cs="Arial"/>
          <w:color w:val="4F81BD" w:themeColor="accent1"/>
          <w:shd w:val="clear" w:color="auto" w:fill="FFFFFF"/>
        </w:rPr>
        <w:t xml:space="preserve"> outperforms </w:t>
      </w:r>
      <w:proofErr w:type="spellStart"/>
      <w:r w:rsidRPr="00422B57">
        <w:rPr>
          <w:rFonts w:ascii="Arial" w:hAnsi="Arial" w:cs="Arial"/>
          <w:color w:val="4F81BD" w:themeColor="accent1"/>
          <w:shd w:val="clear" w:color="auto" w:fill="FFFFFF"/>
        </w:rPr>
        <w:t>SPOTlight</w:t>
      </w:r>
      <w:proofErr w:type="spellEnd"/>
      <w:r w:rsidRPr="00422B57">
        <w:rPr>
          <w:rFonts w:ascii="Arial" w:hAnsi="Arial" w:cs="Arial"/>
          <w:color w:val="4F81BD" w:themeColor="accent1"/>
          <w:shd w:val="clear" w:color="auto" w:fill="FFFFFF"/>
        </w:rPr>
        <w:t xml:space="preserve"> decomposition or spot deconvolution methods in general, we examined more deeply how each method reconstructs the spatial neighbor based on single cell and spatial data. We note </w:t>
      </w:r>
      <w:r>
        <w:rPr>
          <w:rFonts w:ascii="Arial" w:hAnsi="Arial" w:cs="Arial"/>
          <w:color w:val="4F81BD" w:themeColor="accent1"/>
          <w:shd w:val="clear" w:color="auto" w:fill="FFFFFF"/>
        </w:rPr>
        <w:t xml:space="preserve">that </w:t>
      </w:r>
      <w:r w:rsidRPr="00422B57">
        <w:rPr>
          <w:rFonts w:ascii="Arial" w:hAnsi="Arial" w:cs="Arial"/>
          <w:color w:val="4F81BD" w:themeColor="accent1"/>
          <w:shd w:val="clear" w:color="auto" w:fill="FFFFFF"/>
        </w:rPr>
        <w:t xml:space="preserve">some fundamental differences </w:t>
      </w:r>
      <w:r>
        <w:rPr>
          <w:rFonts w:ascii="Arial" w:hAnsi="Arial" w:cs="Arial"/>
          <w:color w:val="4F81BD" w:themeColor="accent1"/>
          <w:shd w:val="clear" w:color="auto" w:fill="FFFFFF"/>
        </w:rPr>
        <w:t>exist</w:t>
      </w:r>
      <w:r w:rsidRPr="00422B57">
        <w:rPr>
          <w:rFonts w:ascii="Arial" w:hAnsi="Arial" w:cs="Arial"/>
          <w:color w:val="4F81BD" w:themeColor="accent1"/>
          <w:shd w:val="clear" w:color="auto" w:fill="FFFFFF"/>
        </w:rPr>
        <w:t xml:space="preserve"> between our approach and decomposition methods.</w:t>
      </w:r>
      <w:r>
        <w:rPr>
          <w:rFonts w:ascii="Arial" w:hAnsi="Arial" w:cs="Arial"/>
          <w:color w:val="4F81BD" w:themeColor="accent1"/>
          <w:shd w:val="clear" w:color="auto" w:fill="FFFFFF"/>
        </w:rPr>
        <w:t xml:space="preserve"> </w:t>
      </w:r>
      <w:r w:rsidRPr="00F2703D">
        <w:rPr>
          <w:rFonts w:ascii="Arial" w:hAnsi="Arial"/>
          <w:color w:val="4F81BD" w:themeColor="accent1"/>
          <w:u w:val="single"/>
          <w:shd w:val="clear" w:color="auto" w:fill="FFFFFF"/>
        </w:rPr>
        <w:t>First</w:t>
      </w:r>
      <w:r w:rsidRPr="00F2703D">
        <w:rPr>
          <w:rFonts w:ascii="Arial" w:hAnsi="Arial"/>
          <w:color w:val="4F81BD" w:themeColor="accent1"/>
          <w:shd w:val="clear" w:color="auto" w:fill="FFFFFF"/>
        </w:rPr>
        <w:t xml:space="preserve">, decomposition methods break down the composition of each spatial pixel by single-cell types but </w:t>
      </w:r>
      <w:proofErr w:type="spellStart"/>
      <w:r w:rsidRPr="00F2703D">
        <w:rPr>
          <w:rFonts w:ascii="Arial" w:hAnsi="Arial"/>
          <w:color w:val="4F81BD" w:themeColor="accent1"/>
          <w:shd w:val="clear" w:color="auto" w:fill="FFFFFF"/>
        </w:rPr>
        <w:t>not</w:t>
      </w:r>
      <w:proofErr w:type="spellEnd"/>
      <w:r w:rsidRPr="00F2703D">
        <w:rPr>
          <w:rFonts w:ascii="Arial" w:hAnsi="Arial"/>
          <w:color w:val="4F81BD" w:themeColor="accent1"/>
          <w:shd w:val="clear" w:color="auto" w:fill="FFFFFF"/>
        </w:rPr>
        <w:t xml:space="preserve"> single cells. Thus, for dermal cells in different spatial pixels, the identical, cell type-based transcriptome is used, and the spatial niche is defined by the differences in the composition of discrete cell types. This approach loses the resolution in the single-cell transcriptome.</w:t>
      </w:r>
      <w:r>
        <w:rPr>
          <w:rFonts w:ascii="Arial" w:hAnsi="Arial" w:cs="Arial"/>
          <w:color w:val="4F81BD" w:themeColor="accent1"/>
          <w:shd w:val="clear" w:color="auto" w:fill="FFFFFF"/>
        </w:rPr>
        <w:t xml:space="preserve"> </w:t>
      </w:r>
      <w:r w:rsidRPr="00571DF5">
        <w:rPr>
          <w:rFonts w:ascii="Arial" w:hAnsi="Arial" w:cs="Arial"/>
          <w:color w:val="4F81BD" w:themeColor="accent1"/>
          <w:u w:val="single"/>
          <w:shd w:val="clear" w:color="auto" w:fill="FFFFFF"/>
        </w:rPr>
        <w:t>Second</w:t>
      </w:r>
      <w:r w:rsidRPr="00422B57">
        <w:rPr>
          <w:rFonts w:ascii="Arial" w:hAnsi="Arial" w:cs="Arial"/>
          <w:color w:val="4F81BD" w:themeColor="accent1"/>
          <w:shd w:val="clear" w:color="auto" w:fill="FFFFFF"/>
        </w:rPr>
        <w:t>, the overall strategy of decomposition methods is to treat spatial data as the query and single</w:t>
      </w:r>
      <w:r>
        <w:rPr>
          <w:rFonts w:ascii="Arial" w:hAnsi="Arial" w:cs="Arial"/>
          <w:color w:val="4F81BD" w:themeColor="accent1"/>
          <w:shd w:val="clear" w:color="auto" w:fill="FFFFFF"/>
        </w:rPr>
        <w:t>-</w:t>
      </w:r>
      <w:r w:rsidRPr="00422B57">
        <w:rPr>
          <w:rFonts w:ascii="Arial" w:hAnsi="Arial" w:cs="Arial"/>
          <w:color w:val="4F81BD" w:themeColor="accent1"/>
          <w:shd w:val="clear" w:color="auto" w:fill="FFFFFF"/>
        </w:rPr>
        <w:t>cell data as the reference. As outlined above, this approach loses transcriptome heterogeneity detected by high-dimensional single</w:t>
      </w:r>
      <w:r>
        <w:rPr>
          <w:rFonts w:ascii="Arial" w:hAnsi="Arial" w:cs="Arial"/>
          <w:color w:val="4F81BD" w:themeColor="accent1"/>
          <w:shd w:val="clear" w:color="auto" w:fill="FFFFFF"/>
        </w:rPr>
        <w:t>-</w:t>
      </w:r>
      <w:r w:rsidRPr="00422B57">
        <w:rPr>
          <w:rFonts w:ascii="Arial" w:hAnsi="Arial" w:cs="Arial"/>
          <w:color w:val="4F81BD" w:themeColor="accent1"/>
          <w:shd w:val="clear" w:color="auto" w:fill="FFFFFF"/>
        </w:rPr>
        <w:t xml:space="preserve">cell data. In contrast, </w:t>
      </w:r>
      <w:proofErr w:type="spellStart"/>
      <w:r w:rsidRPr="00422B57">
        <w:rPr>
          <w:rFonts w:ascii="Arial" w:hAnsi="Arial" w:cs="Arial"/>
          <w:color w:val="4F81BD" w:themeColor="accent1"/>
          <w:shd w:val="clear" w:color="auto" w:fill="FFFFFF"/>
        </w:rPr>
        <w:t>scHolography</w:t>
      </w:r>
      <w:proofErr w:type="spellEnd"/>
      <w:r w:rsidRPr="00422B57">
        <w:rPr>
          <w:rFonts w:ascii="Arial" w:hAnsi="Arial" w:cs="Arial"/>
          <w:color w:val="4F81BD" w:themeColor="accent1"/>
          <w:shd w:val="clear" w:color="auto" w:fill="FFFFFF"/>
        </w:rPr>
        <w:t xml:space="preserve"> uses single</w:t>
      </w:r>
      <w:r>
        <w:rPr>
          <w:rFonts w:ascii="Arial" w:hAnsi="Arial" w:cs="Arial"/>
          <w:color w:val="4F81BD" w:themeColor="accent1"/>
          <w:shd w:val="clear" w:color="auto" w:fill="FFFFFF"/>
        </w:rPr>
        <w:t>-</w:t>
      </w:r>
      <w:r w:rsidRPr="00422B57">
        <w:rPr>
          <w:rFonts w:ascii="Arial" w:hAnsi="Arial" w:cs="Arial"/>
          <w:color w:val="4F81BD" w:themeColor="accent1"/>
          <w:shd w:val="clear" w:color="auto" w:fill="FFFFFF"/>
        </w:rPr>
        <w:t>cell data as the query and spatial data as the reference. We can make inference</w:t>
      </w:r>
      <w:r>
        <w:rPr>
          <w:rFonts w:ascii="Arial" w:hAnsi="Arial" w:cs="Arial"/>
          <w:color w:val="4F81BD" w:themeColor="accent1"/>
          <w:shd w:val="clear" w:color="auto" w:fill="FFFFFF"/>
        </w:rPr>
        <w:t>s</w:t>
      </w:r>
      <w:r w:rsidRPr="00422B57">
        <w:rPr>
          <w:rFonts w:ascii="Arial" w:hAnsi="Arial" w:cs="Arial"/>
          <w:color w:val="4F81BD" w:themeColor="accent1"/>
          <w:shd w:val="clear" w:color="auto" w:fill="FFFFFF"/>
        </w:rPr>
        <w:t xml:space="preserve"> on single cells with a higher resolution. Distinct from other cell charting methods, </w:t>
      </w:r>
      <w:proofErr w:type="spellStart"/>
      <w:r w:rsidRPr="00422B57">
        <w:rPr>
          <w:rFonts w:ascii="Arial" w:hAnsi="Arial" w:cs="Arial"/>
          <w:color w:val="4F81BD" w:themeColor="accent1"/>
          <w:shd w:val="clear" w:color="auto" w:fill="FFFFFF"/>
        </w:rPr>
        <w:t>scHolography</w:t>
      </w:r>
      <w:proofErr w:type="spellEnd"/>
      <w:r w:rsidRPr="00422B57">
        <w:rPr>
          <w:rFonts w:ascii="Arial" w:hAnsi="Arial" w:cs="Arial"/>
          <w:color w:val="4F81BD" w:themeColor="accent1"/>
          <w:shd w:val="clear" w:color="auto" w:fill="FFFFFF"/>
        </w:rPr>
        <w:t xml:space="preserve"> further capture</w:t>
      </w:r>
      <w:r>
        <w:rPr>
          <w:rFonts w:ascii="Arial" w:hAnsi="Arial" w:cs="Arial"/>
          <w:color w:val="4F81BD" w:themeColor="accent1"/>
          <w:shd w:val="clear" w:color="auto" w:fill="FFFFFF"/>
        </w:rPr>
        <w:t>s</w:t>
      </w:r>
      <w:r w:rsidRPr="00422B57">
        <w:rPr>
          <w:rFonts w:ascii="Arial" w:hAnsi="Arial" w:cs="Arial"/>
          <w:color w:val="4F81BD" w:themeColor="accent1"/>
          <w:shd w:val="clear" w:color="auto" w:fill="FFFFFF"/>
        </w:rPr>
        <w:t xml:space="preserve"> spatial patterns by using a high-dimensional distance matrix of pairwise </w:t>
      </w:r>
      <w:r>
        <w:rPr>
          <w:rFonts w:ascii="Arial" w:hAnsi="Arial" w:cs="Arial"/>
          <w:color w:val="4F81BD" w:themeColor="accent1"/>
          <w:shd w:val="clear" w:color="auto" w:fill="FFFFFF"/>
        </w:rPr>
        <w:lastRenderedPageBreak/>
        <w:t>pixel</w:t>
      </w:r>
      <w:r w:rsidRPr="00422B57">
        <w:rPr>
          <w:rFonts w:ascii="Arial" w:hAnsi="Arial" w:cs="Arial"/>
          <w:color w:val="4F81BD" w:themeColor="accent1"/>
          <w:shd w:val="clear" w:color="auto" w:fill="FFFFFF"/>
        </w:rPr>
        <w:t>-</w:t>
      </w:r>
      <w:r>
        <w:rPr>
          <w:rFonts w:ascii="Arial" w:hAnsi="Arial" w:cs="Arial"/>
          <w:color w:val="4F81BD" w:themeColor="accent1"/>
          <w:shd w:val="clear" w:color="auto" w:fill="FFFFFF"/>
        </w:rPr>
        <w:t>pixel</w:t>
      </w:r>
      <w:r w:rsidRPr="00422B57">
        <w:rPr>
          <w:rFonts w:ascii="Arial" w:hAnsi="Arial" w:cs="Arial"/>
          <w:color w:val="4F81BD" w:themeColor="accent1"/>
          <w:shd w:val="clear" w:color="auto" w:fill="FFFFFF"/>
        </w:rPr>
        <w:t xml:space="preserve"> distances from spatial registration. After neural network training and stable matching neighbor assignment, </w:t>
      </w:r>
      <w:proofErr w:type="spellStart"/>
      <w:r w:rsidRPr="00422B57">
        <w:rPr>
          <w:rFonts w:ascii="Arial" w:hAnsi="Arial" w:cs="Arial"/>
          <w:color w:val="4F81BD" w:themeColor="accent1"/>
          <w:shd w:val="clear" w:color="auto" w:fill="FFFFFF"/>
        </w:rPr>
        <w:t>scHolography</w:t>
      </w:r>
      <w:proofErr w:type="spellEnd"/>
      <w:r w:rsidRPr="00422B57">
        <w:rPr>
          <w:rFonts w:ascii="Arial" w:hAnsi="Arial" w:cs="Arial"/>
          <w:color w:val="4F81BD" w:themeColor="accent1"/>
          <w:shd w:val="clear" w:color="auto" w:fill="FFFFFF"/>
        </w:rPr>
        <w:t xml:space="preserve"> reconstructs the tissue organization with a much higher resolution and precision, as demonstrated by the spatial gene gradient as well as the identification of distinct spatial neighborhoods that are experimentally detected by previous studies. We have added this line of discussion in the revised manuscript,</w:t>
      </w:r>
      <w:r>
        <w:rPr>
          <w:rFonts w:ascii="Arial" w:hAnsi="Arial" w:cs="Arial"/>
          <w:color w:val="4F81BD" w:themeColor="accent1"/>
          <w:shd w:val="clear" w:color="auto" w:fill="FFFFFF"/>
        </w:rPr>
        <w:t xml:space="preserve"> and we thank the reviewer for this great suggestion.</w:t>
      </w:r>
      <w:r w:rsidRPr="00422B57">
        <w:rPr>
          <w:rFonts w:ascii="Arial" w:hAnsi="Arial" w:cs="Arial"/>
          <w:color w:val="4F81BD" w:themeColor="accent1"/>
          <w:shd w:val="clear" w:color="auto" w:fill="FFFFFF"/>
        </w:rPr>
        <w:t xml:space="preserve">  </w:t>
      </w:r>
    </w:p>
    <w:p w14:paraId="150363F0" w14:textId="77777777" w:rsidR="00E436F9" w:rsidRDefault="00E436F9" w:rsidP="00E436F9">
      <w:pPr>
        <w:rPr>
          <w:rFonts w:ascii="Arial" w:hAnsi="Arial" w:cs="Arial"/>
          <w:b/>
          <w:bCs/>
          <w:sz w:val="18"/>
          <w:szCs w:val="18"/>
        </w:rPr>
      </w:pPr>
    </w:p>
    <w:p w14:paraId="3E1DA88F" w14:textId="77777777" w:rsidR="00E436F9" w:rsidRPr="00EC57D7" w:rsidRDefault="00E436F9" w:rsidP="00E436F9">
      <w:r w:rsidRPr="00AE78E6">
        <w:rPr>
          <w:rFonts w:ascii="Arial" w:hAnsi="Arial" w:cs="Arial"/>
          <w:b/>
          <w:bCs/>
          <w:sz w:val="18"/>
          <w:szCs w:val="18"/>
        </w:rPr>
        <w:t xml:space="preserve">Figure </w:t>
      </w:r>
      <w:r>
        <w:rPr>
          <w:rFonts w:ascii="Arial" w:hAnsi="Arial" w:cs="Arial"/>
          <w:b/>
          <w:bCs/>
          <w:sz w:val="18"/>
          <w:szCs w:val="18"/>
        </w:rPr>
        <w:t>3</w:t>
      </w:r>
      <w:r w:rsidRPr="00AE78E6">
        <w:rPr>
          <w:rFonts w:ascii="Arial" w:hAnsi="Arial" w:cs="Arial"/>
          <w:b/>
          <w:bCs/>
          <w:sz w:val="18"/>
          <w:szCs w:val="18"/>
        </w:rPr>
        <w:t>.</w:t>
      </w:r>
      <w:r>
        <w:rPr>
          <w:rFonts w:ascii="Arial" w:hAnsi="Arial" w:cs="Arial"/>
          <w:b/>
          <w:bCs/>
          <w:sz w:val="18"/>
          <w:szCs w:val="18"/>
        </w:rPr>
        <w:t xml:space="preserve"> </w:t>
      </w:r>
      <w:proofErr w:type="gramStart"/>
      <w:r>
        <w:rPr>
          <w:rFonts w:ascii="Arial" w:hAnsi="Arial" w:cs="Arial"/>
          <w:b/>
          <w:bCs/>
          <w:sz w:val="18"/>
          <w:szCs w:val="18"/>
        </w:rPr>
        <w:t>a,</w:t>
      </w:r>
      <w:proofErr w:type="gramEnd"/>
      <w:r>
        <w:rPr>
          <w:rFonts w:ascii="Arial" w:hAnsi="Arial" w:cs="Arial"/>
          <w:b/>
          <w:bCs/>
          <w:sz w:val="18"/>
          <w:szCs w:val="18"/>
        </w:rPr>
        <w:t xml:space="preserve"> </w:t>
      </w:r>
      <w:proofErr w:type="spellStart"/>
      <w:r w:rsidRPr="0023093E">
        <w:rPr>
          <w:rFonts w:ascii="Arial" w:hAnsi="Arial" w:cs="Arial"/>
          <w:sz w:val="18"/>
          <w:szCs w:val="18"/>
        </w:rPr>
        <w:t>SPOTlight</w:t>
      </w:r>
      <w:proofErr w:type="spellEnd"/>
      <w:r w:rsidRPr="0023093E">
        <w:rPr>
          <w:rFonts w:ascii="Arial" w:hAnsi="Arial" w:cs="Arial"/>
          <w:sz w:val="18"/>
          <w:szCs w:val="18"/>
        </w:rPr>
        <w:t xml:space="preserve"> deconvolution results for human skin 10X </w:t>
      </w:r>
      <w:proofErr w:type="spellStart"/>
      <w:r w:rsidRPr="0023093E">
        <w:rPr>
          <w:rFonts w:ascii="Arial" w:hAnsi="Arial" w:cs="Arial"/>
          <w:sz w:val="18"/>
          <w:szCs w:val="18"/>
        </w:rPr>
        <w:t>Visium</w:t>
      </w:r>
      <w:proofErr w:type="spellEnd"/>
      <w:r w:rsidRPr="0023093E">
        <w:rPr>
          <w:rFonts w:ascii="Arial" w:hAnsi="Arial" w:cs="Arial"/>
          <w:sz w:val="18"/>
          <w:szCs w:val="18"/>
        </w:rPr>
        <w:t xml:space="preserve"> data. </w:t>
      </w:r>
      <w:r w:rsidRPr="00EC57D7">
        <w:rPr>
          <w:rFonts w:ascii="Arial" w:hAnsi="Arial" w:cs="Arial"/>
          <w:b/>
          <w:bCs/>
          <w:sz w:val="18"/>
          <w:szCs w:val="18"/>
        </w:rPr>
        <w:t>b,</w:t>
      </w:r>
      <w:r w:rsidRPr="0023093E">
        <w:rPr>
          <w:rFonts w:ascii="Arial" w:hAnsi="Arial" w:cs="Arial"/>
          <w:sz w:val="18"/>
          <w:szCs w:val="18"/>
        </w:rPr>
        <w:t xml:space="preserve"> Defined dermal cell-containing spatial spots.</w:t>
      </w:r>
      <w:r>
        <w:rPr>
          <w:rFonts w:ascii="Arial" w:hAnsi="Arial" w:cs="Arial"/>
          <w:sz w:val="18"/>
          <w:szCs w:val="18"/>
        </w:rPr>
        <w:t xml:space="preserve"> </w:t>
      </w:r>
      <w:r w:rsidRPr="00EC57D7">
        <w:rPr>
          <w:rFonts w:ascii="Arial" w:hAnsi="Arial" w:cs="Arial"/>
          <w:b/>
          <w:bCs/>
          <w:sz w:val="18"/>
          <w:szCs w:val="18"/>
        </w:rPr>
        <w:t xml:space="preserve">c, </w:t>
      </w:r>
      <w:r w:rsidRPr="0023093E">
        <w:rPr>
          <w:rFonts w:ascii="Arial" w:hAnsi="Arial" w:cs="Arial"/>
          <w:sz w:val="18"/>
          <w:szCs w:val="18"/>
        </w:rPr>
        <w:t xml:space="preserve">Spatial niche analysis for dermal cell-containing spatial spots. </w:t>
      </w:r>
      <w:r w:rsidRPr="00EC57D7">
        <w:rPr>
          <w:rFonts w:ascii="Arial" w:hAnsi="Arial" w:cs="Arial"/>
          <w:b/>
          <w:bCs/>
          <w:sz w:val="18"/>
          <w:szCs w:val="18"/>
        </w:rPr>
        <w:t>d,</w:t>
      </w:r>
      <w:r w:rsidRPr="0023093E">
        <w:rPr>
          <w:rFonts w:ascii="Arial" w:hAnsi="Arial" w:cs="Arial"/>
          <w:sz w:val="18"/>
          <w:szCs w:val="18"/>
        </w:rPr>
        <w:t xml:space="preserve"> Heatmap of top </w:t>
      </w:r>
      <w:r>
        <w:rPr>
          <w:rFonts w:ascii="Arial" w:hAnsi="Arial" w:cs="Arial"/>
          <w:sz w:val="18"/>
          <w:szCs w:val="18"/>
        </w:rPr>
        <w:t>differentially expressed genes</w:t>
      </w:r>
      <w:r w:rsidRPr="0023093E">
        <w:rPr>
          <w:rFonts w:ascii="Arial" w:hAnsi="Arial" w:cs="Arial"/>
          <w:sz w:val="18"/>
          <w:szCs w:val="18"/>
        </w:rPr>
        <w:t xml:space="preserve"> for each spatial niche.</w:t>
      </w:r>
    </w:p>
    <w:p w14:paraId="12D83C89" w14:textId="77777777" w:rsidR="00E436F9" w:rsidRPr="001A606B" w:rsidRDefault="00E436F9" w:rsidP="00E436F9">
      <w:pPr>
        <w:rPr>
          <w:rFonts w:ascii="Arial" w:eastAsia="Times New Roman" w:hAnsi="Arial" w:cs="Arial"/>
        </w:rPr>
      </w:pPr>
      <w:r w:rsidRPr="001A606B">
        <w:rPr>
          <w:rFonts w:ascii="Arial" w:eastAsia="Times New Roman" w:hAnsi="Arial" w:cs="Arial"/>
        </w:rPr>
        <w:br w:type="page"/>
      </w:r>
    </w:p>
    <w:p w14:paraId="0C970B4B" w14:textId="77777777" w:rsidR="00E436F9" w:rsidRDefault="00E436F9" w:rsidP="00E436F9">
      <w:pPr>
        <w:rPr>
          <w:rFonts w:ascii="Arial" w:eastAsia="Times New Roman" w:hAnsi="Arial" w:cs="Arial"/>
          <w:color w:val="424242"/>
          <w:shd w:val="clear" w:color="auto" w:fill="FFFFFF"/>
        </w:rPr>
      </w:pPr>
      <w:r w:rsidRPr="00685811">
        <w:rPr>
          <w:rFonts w:ascii="Arial" w:eastAsia="Times New Roman" w:hAnsi="Arial" w:cs="Arial"/>
          <w:color w:val="424242"/>
          <w:shd w:val="clear" w:color="auto" w:fill="FFFFFF"/>
        </w:rPr>
        <w:lastRenderedPageBreak/>
        <w:t xml:space="preserve">Reviewer #2: This manuscript introduces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a novel framework for characterizing tissue spatial neighborhoods at single-cell resolution using </w:t>
      </w:r>
      <w:proofErr w:type="spellStart"/>
      <w:r w:rsidRPr="00685811">
        <w:rPr>
          <w:rFonts w:ascii="Arial" w:eastAsia="Times New Roman" w:hAnsi="Arial" w:cs="Arial"/>
          <w:color w:val="424242"/>
          <w:shd w:val="clear" w:color="auto" w:fill="FFFFFF"/>
        </w:rPr>
        <w:t>scRNA</w:t>
      </w:r>
      <w:proofErr w:type="spellEnd"/>
      <w:r w:rsidRPr="00685811">
        <w:rPr>
          <w:rFonts w:ascii="Arial" w:eastAsia="Times New Roman" w:hAnsi="Arial" w:cs="Arial"/>
          <w:color w:val="424242"/>
          <w:shd w:val="clear" w:color="auto" w:fill="FFFFFF"/>
        </w:rPr>
        <w:t xml:space="preserve">-seq data.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incorporates neural networks and the Gale-Shapley algorithm to learn 3D information from 2D spatial transcriptomics (ST) reference data and identify stable-matching neighbors (SMNs) for each cell. The major innovations of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include the use of 3D coordinates to define spatial identity instead of 2D coordinates and the reconstruction of 3D tissue by projecting the cell-cell spatial connections onto an undirected SMN graph. The authors demonstrated the superior performance of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in reconstructing spatial neighborhoods on both sequencing- and imaging-based ST datasets, including the 10X Xenium mouse hippocampus, 10X </w:t>
      </w:r>
      <w:proofErr w:type="spellStart"/>
      <w:r w:rsidRPr="00685811">
        <w:rPr>
          <w:rFonts w:ascii="Arial" w:eastAsia="Times New Roman" w:hAnsi="Arial" w:cs="Arial"/>
          <w:color w:val="424242"/>
          <w:shd w:val="clear" w:color="auto" w:fill="FFFFFF"/>
        </w:rPr>
        <w:t>Visium</w:t>
      </w:r>
      <w:proofErr w:type="spellEnd"/>
      <w:r w:rsidRPr="00685811">
        <w:rPr>
          <w:rFonts w:ascii="Arial" w:eastAsia="Times New Roman" w:hAnsi="Arial" w:cs="Arial"/>
          <w:color w:val="424242"/>
          <w:shd w:val="clear" w:color="auto" w:fill="FFFFFF"/>
        </w:rPr>
        <w:t xml:space="preserve"> mouse brain, Slide-seqV2 mouse hippocampus, and MERFISH anterior preoptic mouse brain.</w:t>
      </w:r>
      <w:r w:rsidRPr="00685811">
        <w:rPr>
          <w:rFonts w:ascii="Arial" w:eastAsia="Times New Roman" w:hAnsi="Arial" w:cs="Arial"/>
          <w:color w:val="424242"/>
        </w:rPr>
        <w:br/>
      </w:r>
      <w:r w:rsidRPr="00685811">
        <w:rPr>
          <w:rFonts w:ascii="Arial" w:eastAsia="Times New Roman" w:hAnsi="Arial" w:cs="Arial"/>
          <w:color w:val="424242"/>
          <w:shd w:val="clear" w:color="auto" w:fill="FFFFFF"/>
        </w:rPr>
        <w:t xml:space="preserve">Overall,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looks to be a very promising method for spatial neighborhood reconstruction, with a significant improvement in accuracy over competing methods. However, the authors should address several critical issues regarding the design of the algorithm and the evaluation of the performance. First, the authors only use Seurat CCA as integration methods in performance evaluation. It is important to demonstrate the stability of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by using alternative integration methods. Second, the authors compared </w:t>
      </w:r>
      <w:proofErr w:type="spellStart"/>
      <w:r w:rsidRPr="00685811">
        <w:rPr>
          <w:rFonts w:ascii="Arial" w:eastAsia="Times New Roman" w:hAnsi="Arial" w:cs="Arial"/>
          <w:color w:val="424242"/>
          <w:shd w:val="clear" w:color="auto" w:fill="FFFFFF"/>
        </w:rPr>
        <w:t>scHolography's</w:t>
      </w:r>
      <w:proofErr w:type="spellEnd"/>
      <w:r w:rsidRPr="00685811">
        <w:rPr>
          <w:rFonts w:ascii="Arial" w:eastAsia="Times New Roman" w:hAnsi="Arial" w:cs="Arial"/>
          <w:color w:val="424242"/>
          <w:shd w:val="clear" w:color="auto" w:fill="FFFFFF"/>
        </w:rPr>
        <w:t xml:space="preserve"> 3D reconstruction performance in one unmatching sample. Examining the broader applicability of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in other situation would provide valuable insights. Third, the authors should interpret the result from a biological perspective. Additionally,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assigns a fixed number of neighboring cells to each cell, which is inconsistent with the fact that different regions within a tissue can exhibit distinct cell densities. I have the</w:t>
      </w:r>
      <w:r>
        <w:rPr>
          <w:rFonts w:ascii="Arial" w:eastAsia="Times New Roman" w:hAnsi="Arial" w:cs="Arial"/>
          <w:color w:val="424242"/>
        </w:rPr>
        <w:t xml:space="preserve"> </w:t>
      </w:r>
      <w:r w:rsidRPr="00685811">
        <w:rPr>
          <w:rFonts w:ascii="Arial" w:eastAsia="Times New Roman" w:hAnsi="Arial" w:cs="Arial"/>
          <w:color w:val="424242"/>
          <w:shd w:val="clear" w:color="auto" w:fill="FFFFFF"/>
        </w:rPr>
        <w:t>following suggestions to improve the manuscript.</w:t>
      </w:r>
    </w:p>
    <w:p w14:paraId="19990694" w14:textId="77777777" w:rsidR="00E436F9" w:rsidRDefault="00E436F9" w:rsidP="00E436F9">
      <w:pPr>
        <w:ind w:firstLine="360"/>
        <w:rPr>
          <w:rFonts w:ascii="Arial" w:eastAsia="Times New Roman" w:hAnsi="Arial" w:cs="Arial"/>
          <w:color w:val="424242"/>
          <w:shd w:val="clear" w:color="auto" w:fill="FFFFFF"/>
        </w:rPr>
      </w:pPr>
      <w:r>
        <w:rPr>
          <w:rFonts w:ascii="Arial" w:eastAsia="Times New Roman" w:hAnsi="Arial" w:cs="Arial"/>
          <w:color w:val="4F81BD" w:themeColor="accent1"/>
          <w:shd w:val="clear" w:color="auto" w:fill="FFFFFF"/>
        </w:rPr>
        <w:t xml:space="preserve">We thank the reviewer’s insightful comments and suggestions that help us to strengthen our manuscript. In revision, we have addressed all these issues in full and significantly improved our manuscript. </w:t>
      </w:r>
      <w:r w:rsidRPr="00685811">
        <w:rPr>
          <w:rFonts w:ascii="Arial" w:eastAsia="Times New Roman" w:hAnsi="Arial" w:cs="Arial"/>
          <w:color w:val="424242"/>
        </w:rPr>
        <w:br/>
      </w:r>
      <w:r w:rsidRPr="00685811">
        <w:rPr>
          <w:rFonts w:ascii="Arial" w:eastAsia="Times New Roman" w:hAnsi="Arial" w:cs="Arial"/>
          <w:color w:val="424242"/>
          <w:shd w:val="clear" w:color="auto" w:fill="FFFFFF"/>
        </w:rPr>
        <w:t xml:space="preserve">1.      Integration: The initial step of </w:t>
      </w:r>
      <w:proofErr w:type="spellStart"/>
      <w:r w:rsidRPr="00685811">
        <w:rPr>
          <w:rFonts w:ascii="Arial" w:eastAsia="Times New Roman" w:hAnsi="Arial" w:cs="Arial"/>
          <w:color w:val="424242"/>
          <w:shd w:val="clear" w:color="auto" w:fill="FFFFFF"/>
        </w:rPr>
        <w:t>scHolography</w:t>
      </w:r>
      <w:proofErr w:type="spellEnd"/>
      <w:r w:rsidRPr="00685811">
        <w:rPr>
          <w:rFonts w:ascii="Arial" w:eastAsia="Times New Roman" w:hAnsi="Arial" w:cs="Arial"/>
          <w:color w:val="424242"/>
          <w:shd w:val="clear" w:color="auto" w:fill="FFFFFF"/>
        </w:rPr>
        <w:t xml:space="preserve"> involves integrating </w:t>
      </w:r>
      <w:proofErr w:type="spellStart"/>
      <w:r w:rsidRPr="00685811">
        <w:rPr>
          <w:rFonts w:ascii="Arial" w:eastAsia="Times New Roman" w:hAnsi="Arial" w:cs="Arial"/>
          <w:color w:val="424242"/>
          <w:shd w:val="clear" w:color="auto" w:fill="FFFFFF"/>
        </w:rPr>
        <w:t>scRNA</w:t>
      </w:r>
      <w:proofErr w:type="spellEnd"/>
      <w:r w:rsidRPr="00685811">
        <w:rPr>
          <w:rFonts w:ascii="Arial" w:eastAsia="Times New Roman" w:hAnsi="Arial" w:cs="Arial"/>
          <w:color w:val="424242"/>
          <w:shd w:val="clear" w:color="auto" w:fill="FFFFFF"/>
        </w:rPr>
        <w:t>-seq data with ST data. However, it seems that the authors relied exclusively on Seurat CCA for this integration process. To ensure the robustness and reliability of the results</w:t>
      </w:r>
      <w:r w:rsidRPr="004F34E0">
        <w:rPr>
          <w:rFonts w:ascii="Arial" w:eastAsia="Times New Roman" w:hAnsi="Arial" w:cs="Arial"/>
          <w:color w:val="424242"/>
          <w:shd w:val="clear" w:color="auto" w:fill="FFFFFF"/>
        </w:rPr>
        <w:t>, it is strongly recommended that the authors perform additional validation using alternative integration methods.</w:t>
      </w:r>
    </w:p>
    <w:p w14:paraId="1E9E1670" w14:textId="77777777" w:rsidR="00E436F9" w:rsidRDefault="00E436F9" w:rsidP="00E436F9">
      <w:pPr>
        <w:ind w:firstLine="720"/>
        <w:rPr>
          <w:rFonts w:ascii="Arial" w:eastAsia="Times New Roman" w:hAnsi="Arial" w:cs="Arial"/>
          <w:color w:val="4F81BD" w:themeColor="accent1"/>
          <w:shd w:val="clear" w:color="auto" w:fill="FFFFFF"/>
        </w:rPr>
      </w:pPr>
      <w:r>
        <w:rPr>
          <w:rFonts w:ascii="Arial" w:eastAsia="Times New Roman" w:hAnsi="Arial" w:cs="Arial"/>
          <w:noProof/>
          <w:color w:val="424242"/>
        </w:rPr>
        <w:lastRenderedPageBreak/>
        <w:drawing>
          <wp:anchor distT="0" distB="0" distL="114300" distR="114300" simplePos="0" relativeHeight="251663360" behindDoc="0" locked="0" layoutInCell="1" allowOverlap="1" wp14:anchorId="63956E19" wp14:editId="76AD9DC1">
            <wp:simplePos x="0" y="0"/>
            <wp:positionH relativeFrom="column">
              <wp:posOffset>12879</wp:posOffset>
            </wp:positionH>
            <wp:positionV relativeFrom="paragraph">
              <wp:posOffset>410448</wp:posOffset>
            </wp:positionV>
            <wp:extent cx="3799267" cy="2993260"/>
            <wp:effectExtent l="0" t="0" r="0" b="4445"/>
            <wp:wrapTight wrapText="bothSides">
              <wp:wrapPolygon edited="0">
                <wp:start x="0" y="0"/>
                <wp:lineTo x="0" y="21540"/>
                <wp:lineTo x="21517" y="21540"/>
                <wp:lineTo x="21517" y="0"/>
                <wp:lineTo x="0" y="0"/>
              </wp:wrapPolygon>
            </wp:wrapTight>
            <wp:docPr id="1103727123" name="Picture 1" descr="A collage of different colore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27123" name="Picture 1" descr="A collage of different colored graphs&#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9908" cy="29937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4F81BD" w:themeColor="accent1"/>
          <w:shd w:val="clear" w:color="auto" w:fill="FFFFFF"/>
        </w:rPr>
        <w:t xml:space="preserve">We thank the reviewer for the suggestion of testing different integration methods for </w:t>
      </w:r>
      <w:proofErr w:type="spellStart"/>
      <w:r>
        <w:rPr>
          <w:rFonts w:ascii="Arial" w:hAnsi="Arial" w:cs="Arial"/>
          <w:color w:val="4F81BD" w:themeColor="accent1"/>
          <w:shd w:val="clear" w:color="auto" w:fill="FFFFFF"/>
        </w:rPr>
        <w:t>scHolography</w:t>
      </w:r>
      <w:proofErr w:type="spellEnd"/>
      <w:r>
        <w:rPr>
          <w:rFonts w:ascii="Arial" w:hAnsi="Arial" w:cs="Arial"/>
          <w:color w:val="4F81BD" w:themeColor="accent1"/>
          <w:shd w:val="clear" w:color="auto" w:fill="FFFFFF"/>
        </w:rPr>
        <w:t xml:space="preserve">. </w:t>
      </w:r>
      <w:r w:rsidRPr="00A341A2">
        <w:rPr>
          <w:rFonts w:ascii="Arial" w:hAnsi="Arial" w:cs="Arial"/>
          <w:color w:val="4F81BD" w:themeColor="accent1"/>
          <w:shd w:val="clear" w:color="auto" w:fill="FFFFFF"/>
        </w:rPr>
        <w:t xml:space="preserve">To </w:t>
      </w:r>
      <w:r>
        <w:rPr>
          <w:rFonts w:ascii="Arial" w:hAnsi="Arial" w:cs="Arial"/>
          <w:color w:val="4F81BD" w:themeColor="accent1"/>
          <w:shd w:val="clear" w:color="auto" w:fill="FFFFFF"/>
        </w:rPr>
        <w:t>do so</w:t>
      </w:r>
      <w:r w:rsidRPr="00A341A2">
        <w:rPr>
          <w:rFonts w:ascii="Arial" w:hAnsi="Arial" w:cs="Arial"/>
          <w:color w:val="4F81BD" w:themeColor="accent1"/>
          <w:shd w:val="clear" w:color="auto" w:fill="FFFFFF"/>
        </w:rPr>
        <w:t xml:space="preserve">, </w:t>
      </w:r>
      <w:r w:rsidRPr="00A341A2">
        <w:rPr>
          <w:rFonts w:ascii="Arial" w:eastAsia="Times New Roman" w:hAnsi="Arial" w:cs="Arial"/>
          <w:color w:val="4F81BD" w:themeColor="accent1"/>
          <w:shd w:val="clear" w:color="auto" w:fill="FFFFFF"/>
        </w:rPr>
        <w:t xml:space="preserve">we </w:t>
      </w:r>
      <w:r>
        <w:rPr>
          <w:rFonts w:ascii="Arial" w:eastAsia="Times New Roman" w:hAnsi="Arial" w:cs="Arial"/>
          <w:color w:val="4F81BD" w:themeColor="accent1"/>
          <w:shd w:val="clear" w:color="auto" w:fill="FFFFFF"/>
        </w:rPr>
        <w:t xml:space="preserve">compared additional </w:t>
      </w:r>
      <w:proofErr w:type="spellStart"/>
      <w:r>
        <w:rPr>
          <w:rFonts w:ascii="Arial" w:eastAsia="Times New Roman" w:hAnsi="Arial" w:cs="Arial"/>
          <w:color w:val="4F81BD" w:themeColor="accent1"/>
          <w:shd w:val="clear" w:color="auto" w:fill="FFFFFF"/>
        </w:rPr>
        <w:t>scHolography</w:t>
      </w:r>
      <w:proofErr w:type="spellEnd"/>
      <w:r>
        <w:rPr>
          <w:rFonts w:ascii="Arial" w:eastAsia="Times New Roman" w:hAnsi="Arial" w:cs="Arial"/>
          <w:color w:val="4F81BD" w:themeColor="accent1"/>
          <w:shd w:val="clear" w:color="auto" w:fill="FFFFFF"/>
        </w:rPr>
        <w:t xml:space="preserve"> results when using</w:t>
      </w:r>
      <w:r w:rsidRPr="00A341A2">
        <w:rPr>
          <w:rFonts w:ascii="Arial" w:eastAsia="Times New Roman" w:hAnsi="Arial" w:cs="Arial"/>
          <w:color w:val="4F81BD" w:themeColor="accent1"/>
          <w:shd w:val="clear" w:color="auto" w:fill="FFFFFF"/>
        </w:rPr>
        <w:t xml:space="preserve"> LIGER </w:t>
      </w:r>
      <w:r w:rsidRPr="00A341A2">
        <w:rPr>
          <w:rFonts w:ascii="Arial" w:eastAsia="Times New Roman" w:hAnsi="Arial" w:cs="Arial"/>
          <w:color w:val="4F81BD" w:themeColor="accent1"/>
          <w:shd w:val="clear" w:color="auto" w:fill="FFFFFF"/>
        </w:rPr>
        <w:fldChar w:fldCharType="begin"/>
      </w:r>
      <w:r w:rsidRPr="00A341A2">
        <w:rPr>
          <w:rFonts w:ascii="Arial" w:eastAsia="Times New Roman" w:hAnsi="Arial" w:cs="Arial"/>
          <w:color w:val="4F81BD" w:themeColor="accent1"/>
          <w:shd w:val="clear" w:color="auto" w:fill="FFFFFF"/>
        </w:rPr>
        <w:instrText xml:space="preserve"> ADDIN EN.CITE &lt;EndNote&gt;&lt;Cite&gt;&lt;Author&gt;Welch&lt;/Author&gt;&lt;Year&gt;2019&lt;/Year&gt;&lt;RecNum&gt;0&lt;/RecNum&gt;&lt;IDText&gt;Single-Cell Multi-omic Integration Compares and Contrasts Features of Brain Cell Identity&lt;/IDText&gt;&lt;DisplayText&gt;(Welch et al., 2019)&lt;/DisplayText&gt;&lt;record&gt;&lt;dates&gt;&lt;pub-dates&gt;&lt;date&gt;06&lt;/date&gt;&lt;/pub-dates&gt;&lt;year&gt;2019&lt;/year&gt;&lt;/dates&gt;&lt;keywords&gt;&lt;keyword&gt;bed nucleus of the stria terminalis&lt;/keyword&gt;&lt;keyword&gt;data integration&lt;/keyword&gt;&lt;keyword&gt;single-cell genomics&lt;/keyword&gt;&lt;keyword&gt;substantia nigra&lt;/keyword&gt;&lt;/keywords&gt;&lt;urls&gt;&lt;related-urls&gt;&lt;url&gt;https://www.ncbi.nlm.nih.gov/pubmed/31178122&lt;/url&gt;&lt;/related-urls&gt;&lt;/urls&gt;&lt;isbn&gt;1097-4172&lt;/isbn&gt;&lt;custom2&gt;PMC6716797&lt;/custom2&gt;&lt;titles&gt;&lt;title&gt;Single-Cell Multi-omic Integration Compares and Contrasts Features of Brain Cell Identity&lt;/title&gt;&lt;secondary-title&gt;Cell&lt;/secondary-title&gt;&lt;/titles&gt;&lt;pages&gt;1873-1887.e17&lt;/pages&gt;&lt;number&gt;7&lt;/number&gt;&lt;contributors&gt;&lt;authors&gt;&lt;author&gt;Welch, J. D.&lt;/author&gt;&lt;author&gt;Kozareva, V.&lt;/author&gt;&lt;author&gt;Ferreira, A.&lt;/author&gt;&lt;author&gt;Vanderburg, C.&lt;/author&gt;&lt;author&gt;Martin, C.&lt;/author&gt;&lt;author&gt;Macosko, E. Z.&lt;/author&gt;&lt;/authors&gt;&lt;/contributors&gt;&lt;edition&gt;2019/06/06&lt;/edition&gt;&lt;language&gt;eng&lt;/language&gt;&lt;added-date format="utc"&gt;1583813761&lt;/added-date&gt;&lt;ref-type name="Journal Article"&gt;17&lt;/ref-type&gt;&lt;rec-number&gt;53&lt;/rec-number&gt;&lt;last-updated-date format="utc"&gt;1583813761&lt;/last-updated-date&gt;&lt;accession-num&gt;31178122&lt;/accession-num&gt;&lt;electronic-resource-num&gt;10.1016/j.cell.2019.05.006&lt;/electronic-resource-num&gt;&lt;volume&gt;177&lt;/volume&gt;&lt;/record&gt;&lt;/Cite&gt;&lt;/EndNote&gt;</w:instrText>
      </w:r>
      <w:r w:rsidRPr="00A341A2">
        <w:rPr>
          <w:rFonts w:ascii="Arial" w:eastAsia="Times New Roman" w:hAnsi="Arial" w:cs="Arial"/>
          <w:color w:val="4F81BD" w:themeColor="accent1"/>
          <w:shd w:val="clear" w:color="auto" w:fill="FFFFFF"/>
        </w:rPr>
        <w:fldChar w:fldCharType="separate"/>
      </w:r>
      <w:r w:rsidRPr="00A341A2">
        <w:rPr>
          <w:rFonts w:ascii="Arial" w:eastAsia="Times New Roman" w:hAnsi="Arial" w:cs="Arial"/>
          <w:noProof/>
          <w:color w:val="4F81BD" w:themeColor="accent1"/>
          <w:shd w:val="clear" w:color="auto" w:fill="FFFFFF"/>
        </w:rPr>
        <w:t>(Welch et al., 2019)</w:t>
      </w:r>
      <w:r w:rsidRPr="00A341A2">
        <w:rPr>
          <w:rFonts w:ascii="Arial" w:eastAsia="Times New Roman" w:hAnsi="Arial" w:cs="Arial"/>
          <w:color w:val="4F81BD" w:themeColor="accent1"/>
          <w:shd w:val="clear" w:color="auto" w:fill="FFFFFF"/>
        </w:rPr>
        <w:fldChar w:fldCharType="end"/>
      </w:r>
      <w:r w:rsidRPr="00A341A2">
        <w:rPr>
          <w:rFonts w:ascii="Arial" w:eastAsia="Times New Roman" w:hAnsi="Arial" w:cs="Arial"/>
          <w:color w:val="4F81BD" w:themeColor="accent1"/>
          <w:shd w:val="clear" w:color="auto" w:fill="FFFFFF"/>
        </w:rPr>
        <w:t xml:space="preserve">, Harmony </w:t>
      </w:r>
      <w:r w:rsidRPr="00A341A2">
        <w:rPr>
          <w:rFonts w:ascii="Arial" w:eastAsia="Times New Roman" w:hAnsi="Arial" w:cs="Arial"/>
          <w:color w:val="4F81BD" w:themeColor="accent1"/>
          <w:shd w:val="clear" w:color="auto" w:fill="FFFFFF"/>
        </w:rPr>
        <w:fldChar w:fldCharType="begin">
          <w:fldData xml:space="preserve">PEVuZE5vdGU+PENpdGU+PEF1dGhvcj5Lb3JzdW5za3k8L0F1dGhvcj48WWVhcj4yMDE5PC9ZZWFy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</w:fldData>
        </w:fldChar>
      </w:r>
      <w:r w:rsidRPr="00A341A2">
        <w:rPr>
          <w:rFonts w:ascii="Arial" w:eastAsia="Times New Roman" w:hAnsi="Arial" w:cs="Arial"/>
          <w:color w:val="4F81BD" w:themeColor="accent1"/>
          <w:shd w:val="clear" w:color="auto" w:fill="FFFFFF"/>
        </w:rPr>
        <w:instrText xml:space="preserve"> ADDIN EN.CITE </w:instrText>
      </w:r>
      <w:r w:rsidRPr="00A341A2">
        <w:rPr>
          <w:rFonts w:ascii="Arial" w:eastAsia="Times New Roman" w:hAnsi="Arial" w:cs="Arial"/>
          <w:color w:val="4F81BD" w:themeColor="accent1"/>
          <w:shd w:val="clear" w:color="auto" w:fill="FFFFFF"/>
        </w:rPr>
        <w:fldChar w:fldCharType="begin">
          <w:fldData xml:space="preserve">PEVuZE5vdGU+PENpdGU+PEF1dGhvcj5Lb3JzdW5za3k8L0F1dGhvcj48WWVhcj4yMDE5PC9ZZWFy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</w:fldData>
        </w:fldChar>
      </w:r>
      <w:r w:rsidRPr="00A341A2">
        <w:rPr>
          <w:rFonts w:ascii="Arial" w:eastAsia="Times New Roman" w:hAnsi="Arial" w:cs="Arial"/>
          <w:color w:val="4F81BD" w:themeColor="accent1"/>
          <w:shd w:val="clear" w:color="auto" w:fill="FFFFFF"/>
        </w:rPr>
        <w:instrText xml:space="preserve"> ADDIN EN.CITE.DATA </w:instrText>
      </w:r>
      <w:r w:rsidRPr="00A341A2">
        <w:rPr>
          <w:rFonts w:ascii="Arial" w:eastAsia="Times New Roman" w:hAnsi="Arial" w:cs="Arial"/>
          <w:color w:val="4F81BD" w:themeColor="accent1"/>
          <w:shd w:val="clear" w:color="auto" w:fill="FFFFFF"/>
        </w:rPr>
      </w:r>
      <w:r w:rsidRPr="00A341A2">
        <w:rPr>
          <w:rFonts w:ascii="Arial" w:eastAsia="Times New Roman" w:hAnsi="Arial" w:cs="Arial"/>
          <w:color w:val="4F81BD" w:themeColor="accent1"/>
          <w:shd w:val="clear" w:color="auto" w:fill="FFFFFF"/>
        </w:rPr>
        <w:fldChar w:fldCharType="end"/>
      </w:r>
      <w:r w:rsidRPr="00A341A2">
        <w:rPr>
          <w:rFonts w:ascii="Arial" w:eastAsia="Times New Roman" w:hAnsi="Arial" w:cs="Arial"/>
          <w:color w:val="4F81BD" w:themeColor="accent1"/>
          <w:shd w:val="clear" w:color="auto" w:fill="FFFFFF"/>
        </w:rPr>
      </w:r>
      <w:r w:rsidRPr="00A341A2">
        <w:rPr>
          <w:rFonts w:ascii="Arial" w:eastAsia="Times New Roman" w:hAnsi="Arial" w:cs="Arial"/>
          <w:color w:val="4F81BD" w:themeColor="accent1"/>
          <w:shd w:val="clear" w:color="auto" w:fill="FFFFFF"/>
        </w:rPr>
        <w:fldChar w:fldCharType="separate"/>
      </w:r>
      <w:r w:rsidRPr="00A341A2">
        <w:rPr>
          <w:rFonts w:ascii="Arial" w:eastAsia="Times New Roman" w:hAnsi="Arial" w:cs="Arial"/>
          <w:noProof/>
          <w:color w:val="4F81BD" w:themeColor="accent1"/>
          <w:shd w:val="clear" w:color="auto" w:fill="FFFFFF"/>
        </w:rPr>
        <w:t>(Korsunsky et al., 2019)</w:t>
      </w:r>
      <w:r w:rsidRPr="00A341A2">
        <w:rPr>
          <w:rFonts w:ascii="Arial" w:eastAsia="Times New Roman" w:hAnsi="Arial" w:cs="Arial"/>
          <w:color w:val="4F81BD" w:themeColor="accent1"/>
          <w:shd w:val="clear" w:color="auto" w:fill="FFFFFF"/>
        </w:rPr>
        <w:fldChar w:fldCharType="end"/>
      </w:r>
      <w:r w:rsidRPr="00A341A2">
        <w:rPr>
          <w:rFonts w:ascii="Arial" w:eastAsia="Times New Roman" w:hAnsi="Arial" w:cs="Arial"/>
          <w:color w:val="4F81BD" w:themeColor="accent1"/>
          <w:shd w:val="clear" w:color="auto" w:fill="FFFFFF"/>
        </w:rPr>
        <w:t xml:space="preserve">, and </w:t>
      </w:r>
      <w:proofErr w:type="spellStart"/>
      <w:r w:rsidRPr="00A341A2">
        <w:rPr>
          <w:rFonts w:ascii="Arial" w:eastAsia="Times New Roman" w:hAnsi="Arial" w:cs="Arial"/>
          <w:color w:val="4F81BD" w:themeColor="accent1"/>
          <w:shd w:val="clear" w:color="auto" w:fill="FFFFFF"/>
        </w:rPr>
        <w:t>fastMNN</w:t>
      </w:r>
      <w:proofErr w:type="spellEnd"/>
      <w:r w:rsidRPr="00A341A2">
        <w:rPr>
          <w:rFonts w:ascii="Arial" w:eastAsia="Times New Roman" w:hAnsi="Arial" w:cs="Arial"/>
          <w:color w:val="4F81BD" w:themeColor="accent1"/>
          <w:shd w:val="clear" w:color="auto" w:fill="FFFFFF"/>
        </w:rPr>
        <w:t xml:space="preserve"> </w:t>
      </w:r>
      <w:r w:rsidRPr="00A341A2">
        <w:rPr>
          <w:rFonts w:ascii="Arial" w:eastAsia="Times New Roman" w:hAnsi="Arial" w:cs="Arial"/>
          <w:color w:val="4F81BD" w:themeColor="accent1"/>
          <w:shd w:val="clear" w:color="auto" w:fill="FFFFFF"/>
        </w:rPr>
        <w:fldChar w:fldCharType="begin"/>
      </w:r>
      <w:r w:rsidRPr="00A341A2">
        <w:rPr>
          <w:rFonts w:ascii="Arial" w:eastAsia="Times New Roman" w:hAnsi="Arial" w:cs="Arial"/>
          <w:color w:val="4F81BD" w:themeColor="accent1"/>
          <w:shd w:val="clear" w:color="auto" w:fill="FFFFFF"/>
        </w:rPr>
        <w:instrText xml:space="preserve"> ADDIN EN.CITE &lt;EndNote&gt;&lt;Cite&gt;&lt;Author&gt;Haghverdi&lt;/Author&gt;&lt;Year&gt;2018&lt;/Year&gt;&lt;RecNum&gt;0&lt;/RecNum&gt;&lt;IDText&gt;Batch effects in single-cell RNA-sequencing data are corrected by matching mutual nearest neighbors&lt;/IDText&gt;&lt;DisplayText&gt;(Haghverdi et al., 2018)&lt;/DisplayText&gt;&lt;record&gt;&lt;isbn&gt;1546-1696&lt;/isbn&gt;&lt;titles&gt;&lt;title&gt;Batch effects in single-cell RNA-sequencing data are corrected by matching mutual nearest neighbors&lt;/title&gt;&lt;secondary-title&gt;Nature biotechnology&lt;/secondary-title&gt;&lt;/titles&gt;&lt;pages&gt;421-427&lt;/pages&gt;&lt;number&gt;5&lt;/number&gt;&lt;contributors&gt;&lt;authors&gt;&lt;author&gt;Haghverdi, Laleh&lt;/author&gt;&lt;author&gt;Lun, Aaron TL&lt;/author&gt;&lt;author&gt;Morgan, Michael D&lt;/author&gt;&lt;author&gt;Marioni, John C&lt;/author&gt;&lt;/authors&gt;&lt;/contributors&gt;&lt;added-date format="utc"&gt;1582690814&lt;/added-date&gt;&lt;ref-type name="Journal Article"&gt;17&lt;/ref-type&gt;&lt;dates&gt;&lt;year&gt;2018&lt;/year&gt;&lt;/dates&gt;&lt;rec-number&gt;4&lt;/rec-number&gt;&lt;last-updated-date format="utc"&gt;1582690814&lt;/last-updated-date&gt;&lt;volume&gt;36&lt;/volume&gt;&lt;/record&gt;&lt;/Cite&gt;&lt;/EndNote&gt;</w:instrText>
      </w:r>
      <w:r w:rsidRPr="00A341A2">
        <w:rPr>
          <w:rFonts w:ascii="Arial" w:eastAsia="Times New Roman" w:hAnsi="Arial" w:cs="Arial"/>
          <w:color w:val="4F81BD" w:themeColor="accent1"/>
          <w:shd w:val="clear" w:color="auto" w:fill="FFFFFF"/>
        </w:rPr>
        <w:fldChar w:fldCharType="separate"/>
      </w:r>
      <w:r w:rsidRPr="00A341A2">
        <w:rPr>
          <w:rFonts w:ascii="Arial" w:eastAsia="Times New Roman" w:hAnsi="Arial" w:cs="Arial"/>
          <w:noProof/>
          <w:color w:val="4F81BD" w:themeColor="accent1"/>
          <w:shd w:val="clear" w:color="auto" w:fill="FFFFFF"/>
        </w:rPr>
        <w:t>(Haghverdi et al., 2018)</w:t>
      </w:r>
      <w:r w:rsidRPr="00A341A2">
        <w:rPr>
          <w:rFonts w:ascii="Arial" w:eastAsia="Times New Roman" w:hAnsi="Arial" w:cs="Arial"/>
          <w:color w:val="4F81BD" w:themeColor="accent1"/>
          <w:shd w:val="clear" w:color="auto" w:fill="FFFFFF"/>
        </w:rPr>
        <w:fldChar w:fldCharType="end"/>
      </w:r>
      <w:r w:rsidRPr="00A341A2">
        <w:rPr>
          <w:rFonts w:ascii="Arial" w:eastAsia="Times New Roman" w:hAnsi="Arial" w:cs="Arial"/>
          <w:color w:val="4F81BD" w:themeColor="accent1"/>
          <w:shd w:val="clear" w:color="auto" w:fill="FFFFFF"/>
        </w:rPr>
        <w:t xml:space="preserve">. As shown in Figure </w:t>
      </w:r>
      <w:r>
        <w:rPr>
          <w:rFonts w:ascii="Arial" w:eastAsia="Times New Roman" w:hAnsi="Arial" w:cs="Arial"/>
          <w:color w:val="4F81BD" w:themeColor="accent1"/>
          <w:shd w:val="clear" w:color="auto" w:fill="FFFFFF"/>
        </w:rPr>
        <w:t>1 below</w:t>
      </w:r>
      <w:r w:rsidRPr="00A341A2">
        <w:rPr>
          <w:rFonts w:ascii="Arial" w:eastAsia="Times New Roman" w:hAnsi="Arial" w:cs="Arial"/>
          <w:color w:val="4F81BD" w:themeColor="accent1"/>
          <w:shd w:val="clear" w:color="auto" w:fill="FFFFFF"/>
        </w:rPr>
        <w:t>, Seurat CCA integration resulted in the lowest mean K-L divergence</w:t>
      </w:r>
      <w:r>
        <w:rPr>
          <w:rFonts w:ascii="Arial" w:eastAsia="Times New Roman" w:hAnsi="Arial" w:cs="Arial"/>
          <w:color w:val="4F81BD" w:themeColor="accent1"/>
          <w:shd w:val="clear" w:color="auto" w:fill="FFFFFF"/>
        </w:rPr>
        <w:t xml:space="preserve"> (Fig. 1e)</w:t>
      </w:r>
      <w:r w:rsidRPr="00A341A2">
        <w:rPr>
          <w:rFonts w:ascii="Arial" w:eastAsia="Times New Roman" w:hAnsi="Arial" w:cs="Arial"/>
          <w:color w:val="4F81BD" w:themeColor="accent1"/>
          <w:shd w:val="clear" w:color="auto" w:fill="FFFFFF"/>
        </w:rPr>
        <w:t xml:space="preserve"> and the highest mean correlation with the ground truth cell-cell distance for the simulated mouse hippocampus data</w:t>
      </w:r>
      <w:r>
        <w:rPr>
          <w:rFonts w:ascii="Arial" w:eastAsia="Times New Roman" w:hAnsi="Arial" w:cs="Arial"/>
          <w:color w:val="4F81BD" w:themeColor="accent1"/>
          <w:shd w:val="clear" w:color="auto" w:fill="FFFFFF"/>
        </w:rPr>
        <w:t xml:space="preserve"> (Fig. 1f)</w:t>
      </w:r>
      <w:r w:rsidRPr="00A341A2">
        <w:rPr>
          <w:rFonts w:ascii="Arial" w:eastAsia="Times New Roman" w:hAnsi="Arial" w:cs="Arial"/>
          <w:color w:val="4F81BD" w:themeColor="accent1"/>
          <w:shd w:val="clear" w:color="auto" w:fill="FFFFFF"/>
        </w:rPr>
        <w:t>. Using different integration methods, we also inspected the separation of CA1</w:t>
      </w:r>
      <w:r>
        <w:rPr>
          <w:rFonts w:ascii="Arial" w:eastAsia="Times New Roman" w:hAnsi="Arial" w:cs="Arial"/>
          <w:color w:val="4F81BD" w:themeColor="accent1"/>
          <w:shd w:val="clear" w:color="auto" w:fill="FFFFFF"/>
        </w:rPr>
        <w:t>/CA2/</w:t>
      </w:r>
      <w:r w:rsidRPr="00A341A2">
        <w:rPr>
          <w:rFonts w:ascii="Arial" w:eastAsia="Times New Roman" w:hAnsi="Arial" w:cs="Arial"/>
          <w:color w:val="4F81BD" w:themeColor="accent1"/>
          <w:shd w:val="clear" w:color="auto" w:fill="FFFFFF"/>
        </w:rPr>
        <w:t xml:space="preserve">CA3 hippocampus regions of the </w:t>
      </w:r>
      <w:proofErr w:type="spellStart"/>
      <w:r w:rsidRPr="00A341A2">
        <w:rPr>
          <w:rFonts w:ascii="Arial" w:eastAsia="Times New Roman" w:hAnsi="Arial" w:cs="Arial"/>
          <w:color w:val="4F81BD" w:themeColor="accent1"/>
          <w:shd w:val="clear" w:color="auto" w:fill="FFFFFF"/>
        </w:rPr>
        <w:t>scHolography</w:t>
      </w:r>
      <w:proofErr w:type="spellEnd"/>
      <w:r w:rsidRPr="00A341A2">
        <w:rPr>
          <w:rFonts w:ascii="Arial" w:eastAsia="Times New Roman" w:hAnsi="Arial" w:cs="Arial"/>
          <w:color w:val="4F81BD" w:themeColor="accent1"/>
          <w:shd w:val="clear" w:color="auto" w:fill="FFFFFF"/>
        </w:rPr>
        <w:t xml:space="preserve"> construction. Besides Seurat CCA, Harmony is the only method that successfully separates the three regions (Fig. </w:t>
      </w:r>
      <w:r>
        <w:rPr>
          <w:rFonts w:ascii="Arial" w:eastAsia="Times New Roman" w:hAnsi="Arial" w:cs="Arial"/>
          <w:color w:val="4F81BD" w:themeColor="accent1"/>
          <w:shd w:val="clear" w:color="auto" w:fill="FFFFFF"/>
        </w:rPr>
        <w:t>1</w:t>
      </w:r>
      <w:r w:rsidRPr="00A341A2">
        <w:rPr>
          <w:rFonts w:ascii="Arial" w:eastAsia="Times New Roman" w:hAnsi="Arial" w:cs="Arial"/>
          <w:color w:val="4F81BD" w:themeColor="accent1"/>
          <w:shd w:val="clear" w:color="auto" w:fill="FFFFFF"/>
        </w:rPr>
        <w:t>g</w:t>
      </w:r>
      <w:r>
        <w:rPr>
          <w:rFonts w:ascii="Arial" w:eastAsia="Times New Roman" w:hAnsi="Arial" w:cs="Arial"/>
          <w:color w:val="4F81BD" w:themeColor="accent1"/>
          <w:shd w:val="clear" w:color="auto" w:fill="FFFFFF"/>
        </w:rPr>
        <w:t>-l</w:t>
      </w:r>
      <w:r w:rsidRPr="00A341A2">
        <w:rPr>
          <w:rFonts w:ascii="Arial" w:eastAsia="Times New Roman" w:hAnsi="Arial" w:cs="Arial"/>
          <w:color w:val="4F81BD" w:themeColor="accent1"/>
          <w:shd w:val="clear" w:color="auto" w:fill="FFFFFF"/>
        </w:rPr>
        <w:t xml:space="preserve">). Considering these results, we choose to use Seurat CCA integration as the default setting for our method default. We note, however, users can easily apply their preferred integration method before </w:t>
      </w:r>
      <w:proofErr w:type="spellStart"/>
      <w:r w:rsidRPr="00A341A2">
        <w:rPr>
          <w:rFonts w:ascii="Arial" w:eastAsia="Times New Roman" w:hAnsi="Arial" w:cs="Arial"/>
          <w:color w:val="4F81BD" w:themeColor="accent1"/>
          <w:shd w:val="clear" w:color="auto" w:fill="FFFFFF"/>
        </w:rPr>
        <w:t>scHolography</w:t>
      </w:r>
      <w:proofErr w:type="spellEnd"/>
      <w:r w:rsidRPr="00A341A2">
        <w:rPr>
          <w:rFonts w:ascii="Arial" w:eastAsia="Times New Roman" w:hAnsi="Arial" w:cs="Arial"/>
          <w:color w:val="4F81BD" w:themeColor="accent1"/>
          <w:shd w:val="clear" w:color="auto" w:fill="FFFFFF"/>
        </w:rPr>
        <w:t xml:space="preserve"> NN training and SMN graph construction. This gives the user flexibility if their datasets are better served by other integration methods. </w:t>
      </w:r>
    </w:p>
    <w:p w14:paraId="31CF82C8" w14:textId="77777777" w:rsidR="00E436F9" w:rsidRDefault="00E436F9" w:rsidP="00E436F9">
      <w:pPr>
        <w:rPr>
          <w:rFonts w:ascii="Arial" w:hAnsi="Arial" w:cs="Arial"/>
          <w:sz w:val="18"/>
          <w:szCs w:val="18"/>
        </w:rPr>
      </w:pPr>
      <w:r w:rsidRPr="0023093E">
        <w:rPr>
          <w:rFonts w:ascii="Arial" w:hAnsi="Arial" w:cs="Arial"/>
          <w:b/>
          <w:bCs/>
          <w:sz w:val="18"/>
          <w:szCs w:val="18"/>
        </w:rPr>
        <w:t xml:space="preserve">Figure </w:t>
      </w:r>
      <w:r>
        <w:rPr>
          <w:rFonts w:ascii="Arial" w:hAnsi="Arial" w:cs="Arial"/>
          <w:b/>
          <w:bCs/>
          <w:sz w:val="18"/>
          <w:szCs w:val="18"/>
        </w:rPr>
        <w:t>1</w:t>
      </w:r>
      <w:r w:rsidRPr="0023093E">
        <w:rPr>
          <w:rFonts w:ascii="Arial" w:hAnsi="Arial" w:cs="Arial"/>
          <w:b/>
          <w:bCs/>
          <w:sz w:val="18"/>
          <w:szCs w:val="18"/>
        </w:rPr>
        <w:t>. a</w:t>
      </w:r>
      <w:r>
        <w:rPr>
          <w:rFonts w:ascii="Arial" w:hAnsi="Arial" w:cs="Arial"/>
          <w:b/>
          <w:bCs/>
          <w:sz w:val="18"/>
          <w:szCs w:val="18"/>
        </w:rPr>
        <w:t>-d</w:t>
      </w:r>
      <w:r w:rsidRPr="0023093E">
        <w:rPr>
          <w:rFonts w:ascii="Arial" w:hAnsi="Arial" w:cs="Arial"/>
          <w:b/>
          <w:bCs/>
          <w:sz w:val="18"/>
          <w:szCs w:val="18"/>
        </w:rPr>
        <w:t>,</w:t>
      </w:r>
      <w:r w:rsidRPr="0023093E">
        <w:rPr>
          <w:rFonts w:ascii="Arial" w:hAnsi="Arial" w:cs="Arial"/>
          <w:sz w:val="18"/>
          <w:szCs w:val="18"/>
        </w:rPr>
        <w:t xml:space="preserve"> UMAP plot of Seurat CCA</w:t>
      </w:r>
      <w:r>
        <w:rPr>
          <w:rFonts w:ascii="Arial" w:hAnsi="Arial" w:cs="Arial"/>
          <w:sz w:val="18"/>
          <w:szCs w:val="18"/>
        </w:rPr>
        <w:t xml:space="preserve">, </w:t>
      </w:r>
      <w:r w:rsidRPr="00AE78E6">
        <w:rPr>
          <w:rFonts w:ascii="Arial" w:hAnsi="Arial" w:cs="Arial"/>
          <w:sz w:val="18"/>
          <w:szCs w:val="18"/>
        </w:rPr>
        <w:t>Harmony</w:t>
      </w:r>
      <w:r>
        <w:rPr>
          <w:rFonts w:ascii="Arial" w:hAnsi="Arial" w:cs="Arial"/>
          <w:sz w:val="18"/>
          <w:szCs w:val="18"/>
        </w:rPr>
        <w:t xml:space="preserve">, LIGER, and </w:t>
      </w:r>
      <w:proofErr w:type="spellStart"/>
      <w:r>
        <w:rPr>
          <w:rFonts w:ascii="Arial" w:hAnsi="Arial" w:cs="Arial"/>
          <w:sz w:val="18"/>
          <w:szCs w:val="18"/>
        </w:rPr>
        <w:t>fastMNN</w:t>
      </w:r>
      <w:proofErr w:type="spellEnd"/>
      <w:r w:rsidRPr="0023093E">
        <w:rPr>
          <w:rFonts w:ascii="Arial" w:hAnsi="Arial" w:cs="Arial"/>
          <w:sz w:val="18"/>
          <w:szCs w:val="18"/>
        </w:rPr>
        <w:t xml:space="preserve"> integration of </w:t>
      </w:r>
      <w:proofErr w:type="spellStart"/>
      <w:r w:rsidRPr="0023093E">
        <w:rPr>
          <w:rFonts w:ascii="Arial" w:hAnsi="Arial" w:cs="Arial"/>
          <w:sz w:val="18"/>
          <w:szCs w:val="18"/>
        </w:rPr>
        <w:t>scRNA</w:t>
      </w:r>
      <w:proofErr w:type="spellEnd"/>
      <w:r w:rsidRPr="0023093E">
        <w:rPr>
          <w:rFonts w:ascii="Arial" w:hAnsi="Arial" w:cs="Arial"/>
          <w:sz w:val="18"/>
          <w:szCs w:val="18"/>
        </w:rPr>
        <w:t xml:space="preserve">-seq and ST data. </w:t>
      </w:r>
      <w:r w:rsidRPr="0023093E">
        <w:rPr>
          <w:rFonts w:ascii="Arial" w:hAnsi="Arial" w:cs="Arial"/>
          <w:b/>
          <w:bCs/>
          <w:sz w:val="18"/>
          <w:szCs w:val="18"/>
        </w:rPr>
        <w:t>e,</w:t>
      </w:r>
      <w:r w:rsidRPr="0023093E">
        <w:rPr>
          <w:rFonts w:ascii="Arial" w:hAnsi="Arial" w:cs="Arial"/>
          <w:sz w:val="18"/>
          <w:szCs w:val="18"/>
        </w:rPr>
        <w:t xml:space="preserve"> KL-divergence of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predictions powered by different integration methods for simulated mouse hippocampus data as ground truth. </w:t>
      </w:r>
      <w:r w:rsidRPr="0023093E">
        <w:rPr>
          <w:rFonts w:ascii="Arial" w:hAnsi="Arial" w:cs="Arial"/>
          <w:b/>
          <w:bCs/>
          <w:sz w:val="18"/>
          <w:szCs w:val="18"/>
        </w:rPr>
        <w:t>f,</w:t>
      </w:r>
      <w:r w:rsidRPr="0023093E">
        <w:rPr>
          <w:rFonts w:ascii="Arial" w:hAnsi="Arial" w:cs="Arial"/>
          <w:sz w:val="18"/>
          <w:szCs w:val="18"/>
        </w:rPr>
        <w:t xml:space="preserve"> Spearman correlation between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cell-cell SMN distance powered by different integration methods and simulated mouse hippocampus cell-cell distance. </w:t>
      </w:r>
      <w:r w:rsidRPr="0023093E">
        <w:rPr>
          <w:rFonts w:ascii="Arial" w:hAnsi="Arial" w:cs="Arial"/>
          <w:b/>
          <w:bCs/>
          <w:sz w:val="18"/>
          <w:szCs w:val="18"/>
        </w:rPr>
        <w:t>g-</w:t>
      </w:r>
      <w:proofErr w:type="spellStart"/>
      <w:r w:rsidRPr="0023093E">
        <w:rPr>
          <w:rFonts w:ascii="Arial" w:hAnsi="Arial" w:cs="Arial"/>
          <w:b/>
          <w:bCs/>
          <w:sz w:val="18"/>
          <w:szCs w:val="18"/>
        </w:rPr>
        <w:t>i</w:t>
      </w:r>
      <w:proofErr w:type="spellEnd"/>
      <w:r w:rsidRPr="0023093E">
        <w:rPr>
          <w:rFonts w:ascii="Arial" w:hAnsi="Arial" w:cs="Arial"/>
          <w:b/>
          <w:bCs/>
          <w:sz w:val="18"/>
          <w:szCs w:val="18"/>
        </w:rPr>
        <w:t>,</w:t>
      </w:r>
      <w:r w:rsidRPr="0023093E">
        <w:rPr>
          <w:rFonts w:ascii="Arial" w:hAnsi="Arial" w:cs="Arial"/>
          <w:sz w:val="18"/>
          <w:szCs w:val="18"/>
        </w:rPr>
        <w:t xml:space="preserve"> Visualization of Harmony, LIGER, and </w:t>
      </w:r>
      <w:proofErr w:type="spellStart"/>
      <w:r w:rsidRPr="0023093E">
        <w:rPr>
          <w:rFonts w:ascii="Arial" w:hAnsi="Arial" w:cs="Arial"/>
          <w:sz w:val="18"/>
          <w:szCs w:val="18"/>
        </w:rPr>
        <w:t>fastMNN</w:t>
      </w:r>
      <w:proofErr w:type="spellEnd"/>
      <w:r w:rsidRPr="0023093E">
        <w:rPr>
          <w:rFonts w:ascii="Arial" w:hAnsi="Arial" w:cs="Arial"/>
          <w:sz w:val="18"/>
          <w:szCs w:val="18"/>
        </w:rPr>
        <w:t xml:space="preserve"> powered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prediction results. </w:t>
      </w:r>
      <w:r w:rsidRPr="0023093E">
        <w:rPr>
          <w:rFonts w:ascii="Arial" w:hAnsi="Arial" w:cs="Arial"/>
          <w:b/>
          <w:bCs/>
          <w:sz w:val="18"/>
          <w:szCs w:val="18"/>
        </w:rPr>
        <w:t xml:space="preserve">j-l, </w:t>
      </w:r>
      <w:r w:rsidRPr="0023093E">
        <w:rPr>
          <w:rFonts w:ascii="Arial" w:hAnsi="Arial" w:cs="Arial"/>
          <w:sz w:val="18"/>
          <w:szCs w:val="18"/>
        </w:rPr>
        <w:t xml:space="preserve">Comparison of Harmony, LIGER, and </w:t>
      </w:r>
      <w:proofErr w:type="spellStart"/>
      <w:r w:rsidRPr="0023093E">
        <w:rPr>
          <w:rFonts w:ascii="Arial" w:hAnsi="Arial" w:cs="Arial"/>
          <w:sz w:val="18"/>
          <w:szCs w:val="18"/>
        </w:rPr>
        <w:t>fastMNN</w:t>
      </w:r>
      <w:proofErr w:type="spellEnd"/>
      <w:r w:rsidRPr="0023093E">
        <w:rPr>
          <w:rFonts w:ascii="Arial" w:hAnsi="Arial" w:cs="Arial"/>
          <w:sz w:val="18"/>
          <w:szCs w:val="18"/>
        </w:rPr>
        <w:t xml:space="preserve"> powered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reconstruction results for CA1, CA2, and CA3 cell distance to CA3 cells. Cell distances were normalized for each method by the mean distance between CA3 cells and CA3 cells</w:t>
      </w:r>
      <w:r>
        <w:rPr>
          <w:rFonts w:ascii="Arial" w:hAnsi="Arial" w:cs="Arial"/>
          <w:sz w:val="18"/>
          <w:szCs w:val="18"/>
        </w:rPr>
        <w:t>.</w:t>
      </w:r>
    </w:p>
    <w:p w14:paraId="00D90010" w14:textId="77777777" w:rsidR="00E436F9" w:rsidRPr="009A0229" w:rsidRDefault="00E436F9" w:rsidP="00E436F9">
      <w:pPr>
        <w:rPr>
          <w:rFonts w:ascii="Arial" w:hAnsi="Arial" w:cs="Arial"/>
          <w:sz w:val="18"/>
          <w:szCs w:val="18"/>
        </w:rPr>
      </w:pPr>
    </w:p>
    <w:p w14:paraId="1FE40B47" w14:textId="77777777" w:rsidR="00E436F9" w:rsidRDefault="00E436F9" w:rsidP="00E436F9">
      <w:pPr>
        <w:rPr>
          <w:rFonts w:ascii="Arial" w:eastAsia="Times New Roman" w:hAnsi="Arial" w:cs="Arial"/>
          <w:color w:val="424242"/>
          <w:shd w:val="clear" w:color="auto" w:fill="FFFFFF"/>
        </w:rPr>
      </w:pPr>
      <w:r w:rsidRPr="00685811">
        <w:rPr>
          <w:rFonts w:ascii="Arial" w:eastAsia="Times New Roman" w:hAnsi="Arial" w:cs="Arial"/>
          <w:color w:val="424242"/>
          <w:shd w:val="clear" w:color="auto" w:fill="FFFFFF"/>
        </w:rPr>
        <w:t xml:space="preserve">2.      Benchmark: The authors discussed a limitation of 2D spatial cell charting methods in cases where there are mismatches between ST and SC data, as shown in Figure 2d. However, </w:t>
      </w:r>
      <w:r w:rsidRPr="000B21E3">
        <w:rPr>
          <w:rFonts w:ascii="Arial" w:eastAsia="Times New Roman" w:hAnsi="Arial" w:cs="Arial"/>
          <w:color w:val="424242"/>
          <w:shd w:val="clear" w:color="auto" w:fill="FFFFFF"/>
        </w:rPr>
        <w:t xml:space="preserve">it is crucial for the authors to provide a more comprehensive evaluation of </w:t>
      </w:r>
      <w:proofErr w:type="spellStart"/>
      <w:r w:rsidRPr="000B21E3">
        <w:rPr>
          <w:rFonts w:ascii="Arial" w:eastAsia="Times New Roman" w:hAnsi="Arial" w:cs="Arial"/>
          <w:color w:val="424242"/>
          <w:shd w:val="clear" w:color="auto" w:fill="FFFFFF"/>
        </w:rPr>
        <w:t>scHolography</w:t>
      </w:r>
      <w:proofErr w:type="spellEnd"/>
      <w:r w:rsidRPr="000B21E3">
        <w:rPr>
          <w:rFonts w:ascii="Arial" w:eastAsia="Times New Roman" w:hAnsi="Arial" w:cs="Arial"/>
          <w:color w:val="424242"/>
          <w:shd w:val="clear" w:color="auto" w:fill="FFFFFF"/>
        </w:rPr>
        <w:t xml:space="preserve"> by comparing it with other existing tools using matched datasets. While Figure 2d highlights a specific instance of mismatch, a single comparison may not be sufficient to rigorously evaluate the performance of </w:t>
      </w:r>
      <w:proofErr w:type="spellStart"/>
      <w:r w:rsidRPr="000B21E3">
        <w:rPr>
          <w:rFonts w:ascii="Arial" w:eastAsia="Times New Roman" w:hAnsi="Arial" w:cs="Arial"/>
          <w:color w:val="424242"/>
          <w:shd w:val="clear" w:color="auto" w:fill="FFFFFF"/>
        </w:rPr>
        <w:t>scHolography</w:t>
      </w:r>
      <w:proofErr w:type="spellEnd"/>
      <w:r w:rsidRPr="000B21E3">
        <w:rPr>
          <w:rFonts w:ascii="Arial" w:eastAsia="Times New Roman" w:hAnsi="Arial" w:cs="Arial"/>
          <w:color w:val="424242"/>
          <w:shd w:val="clear" w:color="auto" w:fill="FFFFFF"/>
        </w:rPr>
        <w:t>.</w:t>
      </w:r>
    </w:p>
    <w:p w14:paraId="0A9175BE" w14:textId="77777777" w:rsidR="00E436F9" w:rsidRPr="008A1634" w:rsidRDefault="00E436F9" w:rsidP="00E436F9">
      <w:pPr>
        <w:ind w:firstLine="720"/>
        <w:rPr>
          <w:rFonts w:ascii="Arial" w:eastAsia="Times New Roman" w:hAnsi="Arial" w:cs="Arial"/>
          <w:color w:val="4F81BD" w:themeColor="accent1"/>
          <w:shd w:val="clear" w:color="auto" w:fill="FFFFFF"/>
        </w:rPr>
      </w:pPr>
      <w:r>
        <w:rPr>
          <w:rFonts w:ascii="Arial" w:eastAsia="Times New Roman" w:hAnsi="Arial" w:cs="Arial"/>
          <w:color w:val="4F81BD" w:themeColor="accent1"/>
          <w:shd w:val="clear" w:color="auto" w:fill="FFFFFF"/>
        </w:rPr>
        <w:t xml:space="preserve">To evaluate </w:t>
      </w:r>
      <w:proofErr w:type="spellStart"/>
      <w:r>
        <w:rPr>
          <w:rFonts w:ascii="Arial" w:eastAsia="Times New Roman" w:hAnsi="Arial" w:cs="Arial"/>
          <w:color w:val="4F81BD" w:themeColor="accent1"/>
          <w:shd w:val="clear" w:color="auto" w:fill="FFFFFF"/>
        </w:rPr>
        <w:t>scHolography</w:t>
      </w:r>
      <w:proofErr w:type="spellEnd"/>
      <w:r>
        <w:rPr>
          <w:rFonts w:ascii="Arial" w:eastAsia="Times New Roman" w:hAnsi="Arial" w:cs="Arial"/>
          <w:color w:val="4F81BD" w:themeColor="accent1"/>
          <w:shd w:val="clear" w:color="auto" w:fill="FFFFFF"/>
        </w:rPr>
        <w:t xml:space="preserve"> with more cases, </w:t>
      </w:r>
      <w:r w:rsidRPr="008A1634">
        <w:rPr>
          <w:rFonts w:ascii="Arial" w:eastAsia="Times New Roman" w:hAnsi="Arial" w:cs="Arial"/>
          <w:color w:val="4F81BD" w:themeColor="accent1"/>
          <w:shd w:val="clear" w:color="auto" w:fill="FFFFFF"/>
        </w:rPr>
        <w:t xml:space="preserve">we </w:t>
      </w:r>
      <w:r>
        <w:rPr>
          <w:rFonts w:ascii="Arial" w:eastAsia="Times New Roman" w:hAnsi="Arial" w:cs="Arial"/>
          <w:color w:val="4F81BD" w:themeColor="accent1"/>
          <w:shd w:val="clear" w:color="auto" w:fill="FFFFFF"/>
        </w:rPr>
        <w:t xml:space="preserve">first </w:t>
      </w:r>
      <w:r w:rsidRPr="008A1634">
        <w:rPr>
          <w:rFonts w:ascii="Arial" w:eastAsia="Times New Roman" w:hAnsi="Arial" w:cs="Arial"/>
          <w:color w:val="4F81BD" w:themeColor="accent1"/>
          <w:shd w:val="clear" w:color="auto" w:fill="FFFFFF"/>
        </w:rPr>
        <w:t xml:space="preserve">added a new analysis to conduct </w:t>
      </w:r>
      <w:r>
        <w:rPr>
          <w:rFonts w:ascii="Arial" w:eastAsia="Times New Roman" w:hAnsi="Arial" w:cs="Arial"/>
          <w:color w:val="4F81BD" w:themeColor="accent1"/>
          <w:shd w:val="clear" w:color="auto" w:fill="FFFFFF"/>
        </w:rPr>
        <w:t>a</w:t>
      </w:r>
      <w:r w:rsidRPr="008A1634">
        <w:rPr>
          <w:rFonts w:ascii="Arial" w:eastAsia="Times New Roman" w:hAnsi="Arial" w:cs="Arial"/>
          <w:color w:val="4F81BD" w:themeColor="accent1"/>
          <w:shd w:val="clear" w:color="auto" w:fill="FFFFFF"/>
        </w:rPr>
        <w:t xml:space="preserve"> simulated mouse hippocampus study with a region-matched 10X </w:t>
      </w:r>
      <w:proofErr w:type="spellStart"/>
      <w:r w:rsidRPr="008A1634">
        <w:rPr>
          <w:rFonts w:ascii="Arial" w:eastAsia="Times New Roman" w:hAnsi="Arial" w:cs="Arial"/>
          <w:color w:val="4F81BD" w:themeColor="accent1"/>
          <w:shd w:val="clear" w:color="auto" w:fill="FFFFFF"/>
        </w:rPr>
        <w:t>Visium</w:t>
      </w:r>
      <w:proofErr w:type="spellEnd"/>
      <w:r w:rsidRPr="008A1634">
        <w:rPr>
          <w:rFonts w:ascii="Arial" w:eastAsia="Times New Roman" w:hAnsi="Arial" w:cs="Arial"/>
          <w:color w:val="4F81BD" w:themeColor="accent1"/>
          <w:shd w:val="clear" w:color="auto" w:fill="FFFFFF"/>
        </w:rPr>
        <w:t xml:space="preserve"> dataset. We subset the 10X </w:t>
      </w:r>
      <w:proofErr w:type="spellStart"/>
      <w:r w:rsidRPr="008A1634">
        <w:rPr>
          <w:rFonts w:ascii="Arial" w:eastAsia="Times New Roman" w:hAnsi="Arial" w:cs="Arial"/>
          <w:color w:val="4F81BD" w:themeColor="accent1"/>
          <w:shd w:val="clear" w:color="auto" w:fill="FFFFFF"/>
        </w:rPr>
        <w:t>Visium</w:t>
      </w:r>
      <w:proofErr w:type="spellEnd"/>
      <w:r w:rsidRPr="008A1634">
        <w:rPr>
          <w:rFonts w:ascii="Arial" w:eastAsia="Times New Roman" w:hAnsi="Arial" w:cs="Arial"/>
          <w:color w:val="4F81BD" w:themeColor="accent1"/>
          <w:shd w:val="clear" w:color="auto" w:fill="FFFFFF"/>
        </w:rPr>
        <w:t xml:space="preserve"> data to include only the region surround</w:t>
      </w:r>
      <w:r>
        <w:rPr>
          <w:rFonts w:ascii="Arial" w:eastAsia="Times New Roman" w:hAnsi="Arial" w:cs="Arial"/>
          <w:color w:val="4F81BD" w:themeColor="accent1"/>
          <w:shd w:val="clear" w:color="auto" w:fill="FFFFFF"/>
        </w:rPr>
        <w:t>ing</w:t>
      </w:r>
      <w:r w:rsidRPr="008A1634">
        <w:rPr>
          <w:rFonts w:ascii="Arial" w:eastAsia="Times New Roman" w:hAnsi="Arial" w:cs="Arial"/>
          <w:color w:val="4F81BD" w:themeColor="accent1"/>
          <w:shd w:val="clear" w:color="auto" w:fill="FFFFFF"/>
        </w:rPr>
        <w:t xml:space="preserve"> the hippocampus. </w:t>
      </w:r>
      <w:proofErr w:type="gramStart"/>
      <w:r w:rsidRPr="008A1634">
        <w:rPr>
          <w:rFonts w:ascii="Arial" w:eastAsia="Times New Roman" w:hAnsi="Arial" w:cs="Arial"/>
          <w:color w:val="4F81BD" w:themeColor="accent1"/>
          <w:shd w:val="clear" w:color="auto" w:fill="FFFFFF"/>
        </w:rPr>
        <w:t>Similar to</w:t>
      </w:r>
      <w:proofErr w:type="gramEnd"/>
      <w:r w:rsidRPr="008A1634">
        <w:rPr>
          <w:rFonts w:ascii="Arial" w:eastAsia="Times New Roman" w:hAnsi="Arial" w:cs="Arial"/>
          <w:color w:val="4F81BD" w:themeColor="accent1"/>
          <w:shd w:val="clear" w:color="auto" w:fill="FFFFFF"/>
        </w:rPr>
        <w:t xml:space="preserve"> our conclusion from </w:t>
      </w:r>
      <w:r>
        <w:rPr>
          <w:rFonts w:ascii="Arial" w:eastAsia="Times New Roman" w:hAnsi="Arial" w:cs="Arial"/>
          <w:color w:val="4F81BD" w:themeColor="accent1"/>
          <w:shd w:val="clear" w:color="auto" w:fill="FFFFFF"/>
        </w:rPr>
        <w:t>the unmatched region simulation study in our original manuscript</w:t>
      </w:r>
      <w:r w:rsidRPr="008A1634">
        <w:rPr>
          <w:rFonts w:ascii="Arial" w:eastAsia="Times New Roman" w:hAnsi="Arial" w:cs="Arial"/>
          <w:color w:val="4F81BD" w:themeColor="accent1"/>
          <w:shd w:val="clear" w:color="auto" w:fill="FFFFFF"/>
        </w:rPr>
        <w:t xml:space="preserve">, </w:t>
      </w:r>
      <w:proofErr w:type="spellStart"/>
      <w:r w:rsidRPr="008A1634">
        <w:rPr>
          <w:rFonts w:ascii="Arial" w:eastAsia="Times New Roman" w:hAnsi="Arial" w:cs="Arial"/>
          <w:color w:val="4F81BD" w:themeColor="accent1"/>
          <w:shd w:val="clear" w:color="auto" w:fill="FFFFFF"/>
        </w:rPr>
        <w:t>scHolography</w:t>
      </w:r>
      <w:proofErr w:type="spellEnd"/>
      <w:r w:rsidRPr="008A1634">
        <w:rPr>
          <w:rFonts w:ascii="Arial" w:eastAsia="Times New Roman" w:hAnsi="Arial" w:cs="Arial"/>
          <w:color w:val="4F81BD" w:themeColor="accent1"/>
          <w:shd w:val="clear" w:color="auto" w:fill="FFFFFF"/>
        </w:rPr>
        <w:t xml:space="preserve"> ha</w:t>
      </w:r>
      <w:r>
        <w:rPr>
          <w:rFonts w:ascii="Arial" w:eastAsia="Times New Roman" w:hAnsi="Arial" w:cs="Arial"/>
          <w:color w:val="4F81BD" w:themeColor="accent1"/>
          <w:shd w:val="clear" w:color="auto" w:fill="FFFFFF"/>
        </w:rPr>
        <w:t>s</w:t>
      </w:r>
      <w:r w:rsidRPr="008A1634">
        <w:rPr>
          <w:rFonts w:ascii="Arial" w:eastAsia="Times New Roman" w:hAnsi="Arial" w:cs="Arial"/>
          <w:color w:val="4F81BD" w:themeColor="accent1"/>
          <w:shd w:val="clear" w:color="auto" w:fill="FFFFFF"/>
        </w:rPr>
        <w:t xml:space="preserve"> the best overall performance </w:t>
      </w:r>
      <w:r>
        <w:rPr>
          <w:rFonts w:ascii="Arial" w:eastAsia="Times New Roman" w:hAnsi="Arial" w:cs="Arial"/>
          <w:color w:val="4F81BD" w:themeColor="accent1"/>
          <w:shd w:val="clear" w:color="auto" w:fill="FFFFFF"/>
        </w:rPr>
        <w:t>as determined</w:t>
      </w:r>
      <w:r w:rsidRPr="008A1634">
        <w:rPr>
          <w:rFonts w:ascii="Arial" w:eastAsia="Times New Roman" w:hAnsi="Arial" w:cs="Arial"/>
          <w:color w:val="4F81BD" w:themeColor="accent1"/>
          <w:shd w:val="clear" w:color="auto" w:fill="FFFFFF"/>
        </w:rPr>
        <w:t xml:space="preserve"> by low K-L Divergence, high cosine similarity, </w:t>
      </w:r>
      <w:r w:rsidRPr="008A1634">
        <w:rPr>
          <w:rFonts w:ascii="Arial" w:eastAsia="Times New Roman" w:hAnsi="Arial" w:cs="Arial"/>
          <w:color w:val="4F81BD" w:themeColor="accent1"/>
          <w:shd w:val="clear" w:color="auto" w:fill="FFFFFF"/>
        </w:rPr>
        <w:lastRenderedPageBreak/>
        <w:t xml:space="preserve">and </w:t>
      </w:r>
      <w:r>
        <w:rPr>
          <w:rFonts w:ascii="Arial" w:eastAsia="Times New Roman" w:hAnsi="Arial" w:cs="Arial"/>
          <w:color w:val="4F81BD" w:themeColor="accent1"/>
          <w:shd w:val="clear" w:color="auto" w:fill="FFFFFF"/>
        </w:rPr>
        <w:t>robust</w:t>
      </w:r>
      <w:r w:rsidRPr="008A1634">
        <w:rPr>
          <w:rFonts w:ascii="Arial" w:eastAsia="Times New Roman" w:hAnsi="Arial" w:cs="Arial"/>
          <w:color w:val="4F81BD" w:themeColor="accent1"/>
          <w:shd w:val="clear" w:color="auto" w:fill="FFFFFF"/>
        </w:rPr>
        <w:t xml:space="preserve"> separation of the CA1</w:t>
      </w:r>
      <w:r>
        <w:rPr>
          <w:rFonts w:ascii="Arial" w:eastAsia="Times New Roman" w:hAnsi="Arial" w:cs="Arial"/>
          <w:color w:val="4F81BD" w:themeColor="accent1"/>
          <w:shd w:val="clear" w:color="auto" w:fill="FFFFFF"/>
        </w:rPr>
        <w:t>/CA2/CA3</w:t>
      </w:r>
      <w:r w:rsidRPr="008A1634">
        <w:rPr>
          <w:rFonts w:ascii="Arial" w:eastAsia="Times New Roman" w:hAnsi="Arial" w:cs="Arial"/>
          <w:color w:val="4F81BD" w:themeColor="accent1"/>
          <w:shd w:val="clear" w:color="auto" w:fill="FFFFFF"/>
        </w:rPr>
        <w:t xml:space="preserve"> regions</w:t>
      </w:r>
      <w:r>
        <w:rPr>
          <w:rFonts w:ascii="Arial" w:eastAsia="Times New Roman" w:hAnsi="Arial" w:cs="Arial"/>
          <w:color w:val="4F81BD" w:themeColor="accent1"/>
          <w:shd w:val="clear" w:color="auto" w:fill="FFFFFF"/>
        </w:rPr>
        <w:t xml:space="preserve">, in comparison to </w:t>
      </w:r>
      <w:proofErr w:type="spellStart"/>
      <w:r>
        <w:rPr>
          <w:rFonts w:ascii="Arial" w:eastAsia="Times New Roman" w:hAnsi="Arial" w:cs="Arial"/>
          <w:color w:val="4F81BD" w:themeColor="accent1"/>
          <w:shd w:val="clear" w:color="auto" w:fill="FFFFFF"/>
        </w:rPr>
        <w:t>CellTrek</w:t>
      </w:r>
      <w:proofErr w:type="spellEnd"/>
      <w:r>
        <w:rPr>
          <w:rFonts w:ascii="Arial" w:eastAsia="Times New Roman" w:hAnsi="Arial" w:cs="Arial"/>
          <w:color w:val="4F81BD" w:themeColor="accent1"/>
          <w:shd w:val="clear" w:color="auto" w:fill="FFFFFF"/>
        </w:rPr>
        <w:t xml:space="preserve">, </w:t>
      </w:r>
      <w:proofErr w:type="spellStart"/>
      <w:r>
        <w:rPr>
          <w:rFonts w:ascii="Arial" w:eastAsia="Times New Roman" w:hAnsi="Arial" w:cs="Arial"/>
          <w:color w:val="4F81BD" w:themeColor="accent1"/>
          <w:shd w:val="clear" w:color="auto" w:fill="FFFFFF"/>
        </w:rPr>
        <w:t>CytoSPACE</w:t>
      </w:r>
      <w:proofErr w:type="spellEnd"/>
      <w:r>
        <w:rPr>
          <w:rFonts w:ascii="Arial" w:eastAsia="Times New Roman" w:hAnsi="Arial" w:cs="Arial"/>
          <w:color w:val="4F81BD" w:themeColor="accent1"/>
          <w:shd w:val="clear" w:color="auto" w:fill="FFFFFF"/>
        </w:rPr>
        <w:t>, Seurat and Tangram (Fig.2)</w:t>
      </w:r>
      <w:r w:rsidRPr="008A1634">
        <w:rPr>
          <w:rFonts w:ascii="Arial" w:eastAsia="Times New Roman" w:hAnsi="Arial" w:cs="Arial"/>
          <w:color w:val="4F81BD" w:themeColor="accent1"/>
          <w:shd w:val="clear" w:color="auto" w:fill="FFFFFF"/>
        </w:rPr>
        <w:t>.</w:t>
      </w:r>
      <w:r>
        <w:rPr>
          <w:rFonts w:ascii="Arial" w:eastAsia="Times New Roman" w:hAnsi="Arial" w:cs="Arial"/>
          <w:color w:val="4F81BD" w:themeColor="accent1"/>
          <w:shd w:val="clear" w:color="auto" w:fill="FFFFFF"/>
        </w:rPr>
        <w:t xml:space="preserve"> We have added these new results as new Figure S3 to the revised manuscript. </w:t>
      </w:r>
      <w:r w:rsidRPr="008A1634">
        <w:rPr>
          <w:rFonts w:ascii="Arial" w:eastAsia="Times New Roman" w:hAnsi="Arial" w:cs="Arial"/>
          <w:color w:val="4F81BD" w:themeColor="accent1"/>
          <w:shd w:val="clear" w:color="auto" w:fill="FFFFFF"/>
        </w:rPr>
        <w:t xml:space="preserve"> </w:t>
      </w:r>
    </w:p>
    <w:p w14:paraId="095EBBED" w14:textId="77777777" w:rsidR="00E436F9" w:rsidRPr="0023093E" w:rsidRDefault="00E436F9" w:rsidP="00E436F9">
      <w:pPr>
        <w:rPr>
          <w:rFonts w:ascii="Arial" w:hAnsi="Arial" w:cs="Arial"/>
          <w:sz w:val="18"/>
          <w:szCs w:val="18"/>
        </w:rPr>
      </w:pPr>
      <w:r>
        <w:rPr>
          <w:rFonts w:ascii="Arial" w:eastAsia="Times New Roman" w:hAnsi="Arial" w:cs="Arial"/>
          <w:noProof/>
          <w:color w:val="4F81BD" w:themeColor="accent1"/>
        </w:rPr>
        <w:drawing>
          <wp:anchor distT="0" distB="0" distL="114300" distR="114300" simplePos="0" relativeHeight="251664384" behindDoc="0" locked="0" layoutInCell="1" allowOverlap="1" wp14:anchorId="7D89EBCC" wp14:editId="2F27E686">
            <wp:simplePos x="0" y="0"/>
            <wp:positionH relativeFrom="column">
              <wp:posOffset>19050</wp:posOffset>
            </wp:positionH>
            <wp:positionV relativeFrom="paragraph">
              <wp:posOffset>68580</wp:posOffset>
            </wp:positionV>
            <wp:extent cx="4468495" cy="3044190"/>
            <wp:effectExtent l="0" t="0" r="1905" b="3810"/>
            <wp:wrapTight wrapText="bothSides">
              <wp:wrapPolygon edited="0">
                <wp:start x="0" y="0"/>
                <wp:lineTo x="0" y="21537"/>
                <wp:lineTo x="21548" y="21537"/>
                <wp:lineTo x="21548" y="0"/>
                <wp:lineTo x="0" y="0"/>
              </wp:wrapPolygon>
            </wp:wrapTight>
            <wp:docPr id="731941808" name="Picture 2" descr="A collage of diagrams an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41808" name="Picture 2" descr="A collage of diagrams and graphs&#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68495" cy="3044190"/>
                    </a:xfrm>
                    <a:prstGeom prst="rect">
                      <a:avLst/>
                    </a:prstGeom>
                  </pic:spPr>
                </pic:pic>
              </a:graphicData>
            </a:graphic>
            <wp14:sizeRelH relativeFrom="margin">
              <wp14:pctWidth>0</wp14:pctWidth>
            </wp14:sizeRelH>
            <wp14:sizeRelV relativeFrom="margin">
              <wp14:pctHeight>0</wp14:pctHeight>
            </wp14:sizeRelV>
          </wp:anchor>
        </w:drawing>
      </w:r>
      <w:r w:rsidRPr="00F36556">
        <w:rPr>
          <w:rFonts w:ascii="Arial" w:hAnsi="Arial" w:cs="Arial"/>
          <w:b/>
          <w:bCs/>
          <w:sz w:val="18"/>
          <w:szCs w:val="18"/>
        </w:rPr>
        <w:t xml:space="preserve">Figure </w:t>
      </w:r>
      <w:r>
        <w:rPr>
          <w:rFonts w:ascii="Arial" w:hAnsi="Arial" w:cs="Arial"/>
          <w:b/>
          <w:bCs/>
          <w:sz w:val="18"/>
          <w:szCs w:val="18"/>
        </w:rPr>
        <w:t>2</w:t>
      </w:r>
      <w:r w:rsidRPr="0023093E">
        <w:rPr>
          <w:rFonts w:ascii="Arial" w:hAnsi="Arial" w:cs="Arial"/>
          <w:b/>
          <w:bCs/>
          <w:sz w:val="18"/>
          <w:szCs w:val="18"/>
        </w:rPr>
        <w:t xml:space="preserve">. a, </w:t>
      </w:r>
      <w:r w:rsidRPr="0023093E">
        <w:rPr>
          <w:rFonts w:ascii="Arial" w:hAnsi="Arial" w:cs="Arial"/>
          <w:sz w:val="18"/>
          <w:szCs w:val="18"/>
        </w:rPr>
        <w:t xml:space="preserve">Illustration of 10X </w:t>
      </w:r>
      <w:proofErr w:type="spellStart"/>
      <w:r w:rsidRPr="0023093E">
        <w:rPr>
          <w:rFonts w:ascii="Arial" w:hAnsi="Arial" w:cs="Arial"/>
          <w:sz w:val="18"/>
          <w:szCs w:val="18"/>
        </w:rPr>
        <w:t>Visium</w:t>
      </w:r>
      <w:proofErr w:type="spellEnd"/>
      <w:r w:rsidRPr="0023093E">
        <w:rPr>
          <w:rFonts w:ascii="Arial" w:hAnsi="Arial" w:cs="Arial"/>
          <w:sz w:val="18"/>
          <w:szCs w:val="18"/>
        </w:rPr>
        <w:t xml:space="preserve"> mouse hippocampus ST reference region. </w:t>
      </w:r>
      <w:r w:rsidRPr="0023093E">
        <w:rPr>
          <w:rFonts w:ascii="Arial" w:hAnsi="Arial" w:cs="Arial"/>
          <w:b/>
          <w:bCs/>
          <w:sz w:val="18"/>
          <w:szCs w:val="18"/>
        </w:rPr>
        <w:t>b,</w:t>
      </w:r>
      <w:r w:rsidRPr="0023093E">
        <w:rPr>
          <w:rFonts w:ascii="Arial" w:hAnsi="Arial" w:cs="Arial"/>
          <w:sz w:val="18"/>
          <w:szCs w:val="18"/>
        </w:rPr>
        <w:t xml:space="preserve"> Illustration of mouse hippocampus simulated SC query region. </w:t>
      </w:r>
      <w:r w:rsidRPr="0023093E">
        <w:rPr>
          <w:rFonts w:ascii="Arial" w:hAnsi="Arial" w:cs="Arial"/>
          <w:b/>
          <w:bCs/>
          <w:sz w:val="18"/>
          <w:szCs w:val="18"/>
        </w:rPr>
        <w:t>c,</w:t>
      </w:r>
      <w:r w:rsidRPr="0023093E">
        <w:rPr>
          <w:rFonts w:ascii="Arial" w:hAnsi="Arial" w:cs="Arial"/>
          <w:sz w:val="18"/>
          <w:szCs w:val="18"/>
        </w:rPr>
        <w:t xml:space="preserve"> KL-divergence of spatial cell charting method predictions for simulated mouse hippocampus data as ground truth. </w:t>
      </w:r>
      <w:r w:rsidRPr="0023093E">
        <w:rPr>
          <w:rFonts w:ascii="Arial" w:hAnsi="Arial" w:cs="Arial"/>
          <w:b/>
          <w:bCs/>
          <w:sz w:val="18"/>
          <w:szCs w:val="18"/>
        </w:rPr>
        <w:t>d,</w:t>
      </w:r>
      <w:r w:rsidRPr="0023093E">
        <w:rPr>
          <w:rFonts w:ascii="Arial" w:hAnsi="Arial" w:cs="Arial"/>
          <w:sz w:val="18"/>
          <w:szCs w:val="18"/>
        </w:rPr>
        <w:t xml:space="preserve"> Heatmap for the mean of cosine similarity between method-predicted spatial neighborhood accumulated expression and simulated mouse hippocampus spatial neighborhood accumulated expression. The size of the neighborhood varies from 3 to 15 cells. </w:t>
      </w:r>
      <w:r w:rsidRPr="0023093E">
        <w:rPr>
          <w:rFonts w:ascii="Arial" w:hAnsi="Arial" w:cs="Arial"/>
          <w:b/>
          <w:bCs/>
          <w:sz w:val="18"/>
          <w:szCs w:val="18"/>
        </w:rPr>
        <w:t>e,</w:t>
      </w:r>
      <w:r w:rsidRPr="0023093E">
        <w:rPr>
          <w:rFonts w:ascii="Arial" w:hAnsi="Arial" w:cs="Arial"/>
          <w:sz w:val="18"/>
          <w:szCs w:val="18"/>
        </w:rPr>
        <w:t xml:space="preserve"> Visualization of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w:t>
      </w:r>
      <w:proofErr w:type="spellStart"/>
      <w:r w:rsidRPr="0023093E">
        <w:rPr>
          <w:rFonts w:ascii="Arial" w:hAnsi="Arial" w:cs="Arial"/>
          <w:sz w:val="18"/>
          <w:szCs w:val="18"/>
        </w:rPr>
        <w:t>Celltrek</w:t>
      </w:r>
      <w:proofErr w:type="spellEnd"/>
      <w:r w:rsidRPr="0023093E">
        <w:rPr>
          <w:rFonts w:ascii="Arial" w:hAnsi="Arial" w:cs="Arial"/>
          <w:sz w:val="18"/>
          <w:szCs w:val="18"/>
        </w:rPr>
        <w:t xml:space="preserve">, </w:t>
      </w:r>
      <w:proofErr w:type="spellStart"/>
      <w:r w:rsidRPr="0023093E">
        <w:rPr>
          <w:rFonts w:ascii="Arial" w:hAnsi="Arial" w:cs="Arial"/>
          <w:sz w:val="18"/>
          <w:szCs w:val="18"/>
        </w:rPr>
        <w:t>CytoSPACE</w:t>
      </w:r>
      <w:proofErr w:type="spellEnd"/>
      <w:r w:rsidRPr="0023093E">
        <w:rPr>
          <w:rFonts w:ascii="Arial" w:hAnsi="Arial" w:cs="Arial"/>
          <w:sz w:val="18"/>
          <w:szCs w:val="18"/>
        </w:rPr>
        <w:t xml:space="preserve">, Seurat, and Tangram single-cell spatial charting results of a mouse hippocampus data. </w:t>
      </w:r>
      <w:r w:rsidRPr="0023093E">
        <w:rPr>
          <w:rFonts w:ascii="Arial" w:hAnsi="Arial" w:cs="Arial"/>
          <w:b/>
          <w:bCs/>
          <w:sz w:val="18"/>
          <w:szCs w:val="18"/>
        </w:rPr>
        <w:t>f,</w:t>
      </w:r>
      <w:r w:rsidRPr="0023093E">
        <w:rPr>
          <w:rFonts w:ascii="Arial" w:hAnsi="Arial" w:cs="Arial"/>
          <w:sz w:val="18"/>
          <w:szCs w:val="18"/>
        </w:rPr>
        <w:t xml:space="preserve"> Comparison of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w:t>
      </w:r>
      <w:proofErr w:type="spellStart"/>
      <w:r w:rsidRPr="0023093E">
        <w:rPr>
          <w:rFonts w:ascii="Arial" w:hAnsi="Arial" w:cs="Arial"/>
          <w:sz w:val="18"/>
          <w:szCs w:val="18"/>
        </w:rPr>
        <w:t>Celltrek</w:t>
      </w:r>
      <w:proofErr w:type="spellEnd"/>
      <w:r w:rsidRPr="0023093E">
        <w:rPr>
          <w:rFonts w:ascii="Arial" w:hAnsi="Arial" w:cs="Arial"/>
          <w:sz w:val="18"/>
          <w:szCs w:val="18"/>
        </w:rPr>
        <w:t xml:space="preserve">, </w:t>
      </w:r>
      <w:proofErr w:type="spellStart"/>
      <w:r w:rsidRPr="0023093E">
        <w:rPr>
          <w:rFonts w:ascii="Arial" w:hAnsi="Arial" w:cs="Arial"/>
          <w:sz w:val="18"/>
          <w:szCs w:val="18"/>
        </w:rPr>
        <w:t>CytoSPACE</w:t>
      </w:r>
      <w:proofErr w:type="spellEnd"/>
      <w:r w:rsidRPr="0023093E">
        <w:rPr>
          <w:rFonts w:ascii="Arial" w:hAnsi="Arial" w:cs="Arial"/>
          <w:sz w:val="18"/>
          <w:szCs w:val="18"/>
        </w:rPr>
        <w:t xml:space="preserve">, Seurat, and Tangram results for predicted CA1, CA2, and CA3 cell distance to CA3 cells. Cell distances were normalized for each method by the mean distance between CA3 cells and CA3 cells. </w:t>
      </w:r>
    </w:p>
    <w:p w14:paraId="125C3048" w14:textId="77777777" w:rsidR="00E436F9" w:rsidRDefault="00E436F9" w:rsidP="00E436F9">
      <w:pPr>
        <w:rPr>
          <w:rFonts w:ascii="Arial" w:eastAsia="Times New Roman" w:hAnsi="Arial" w:cs="Arial"/>
          <w:color w:val="4F81BD" w:themeColor="accent1"/>
          <w:shd w:val="clear" w:color="auto" w:fill="FFFFFF"/>
        </w:rPr>
      </w:pPr>
    </w:p>
    <w:p w14:paraId="75B4E653" w14:textId="77777777" w:rsidR="00E436F9" w:rsidRPr="007E740F" w:rsidRDefault="00E436F9" w:rsidP="00E436F9">
      <w:pPr>
        <w:ind w:firstLine="720"/>
        <w:rPr>
          <w:rFonts w:ascii="Arial" w:eastAsia="Times New Roman" w:hAnsi="Arial" w:cs="Arial"/>
          <w:color w:val="424242"/>
          <w:shd w:val="clear" w:color="auto" w:fill="FFFFFF"/>
        </w:rPr>
      </w:pPr>
      <w:r>
        <w:rPr>
          <w:rFonts w:ascii="Arial" w:eastAsia="Times New Roman" w:hAnsi="Arial" w:cs="Arial"/>
          <w:color w:val="4F81BD" w:themeColor="accent1"/>
          <w:shd w:val="clear" w:color="auto" w:fill="FFFFFF"/>
        </w:rPr>
        <w:t xml:space="preserve">To further benchmark the performance of </w:t>
      </w:r>
      <w:proofErr w:type="spellStart"/>
      <w:r>
        <w:rPr>
          <w:rFonts w:ascii="Arial" w:eastAsia="Times New Roman" w:hAnsi="Arial" w:cs="Arial"/>
          <w:color w:val="4F81BD" w:themeColor="accent1"/>
          <w:shd w:val="clear" w:color="auto" w:fill="FFFFFF"/>
        </w:rPr>
        <w:t>scHolography</w:t>
      </w:r>
      <w:proofErr w:type="spellEnd"/>
      <w:r>
        <w:rPr>
          <w:rFonts w:ascii="Arial" w:eastAsia="Times New Roman" w:hAnsi="Arial" w:cs="Arial"/>
          <w:color w:val="4F81BD" w:themeColor="accent1"/>
          <w:shd w:val="clear" w:color="auto" w:fill="FFFFFF"/>
        </w:rPr>
        <w:t xml:space="preserve"> in tissues different than brain and skin</w:t>
      </w:r>
      <w:r w:rsidRPr="008A1634">
        <w:rPr>
          <w:rFonts w:ascii="Arial" w:eastAsia="Times New Roman" w:hAnsi="Arial" w:cs="Arial"/>
          <w:color w:val="4F81BD" w:themeColor="accent1"/>
          <w:shd w:val="clear" w:color="auto" w:fill="FFFFFF"/>
        </w:rPr>
        <w:t xml:space="preserve">, we </w:t>
      </w:r>
      <w:r>
        <w:rPr>
          <w:rFonts w:ascii="Arial" w:eastAsia="Times New Roman" w:hAnsi="Arial" w:cs="Arial"/>
          <w:color w:val="4F81BD" w:themeColor="accent1"/>
          <w:shd w:val="clear" w:color="auto" w:fill="FFFFFF"/>
        </w:rPr>
        <w:t>applied</w:t>
      </w:r>
      <w:r w:rsidRPr="008A1634">
        <w:rPr>
          <w:rFonts w:ascii="Arial" w:eastAsia="Times New Roman" w:hAnsi="Arial" w:cs="Arial"/>
          <w:color w:val="4F81BD" w:themeColor="accent1"/>
          <w:shd w:val="clear" w:color="auto" w:fill="FFFFFF"/>
        </w:rPr>
        <w:t xml:space="preserve"> </w:t>
      </w:r>
      <w:proofErr w:type="spellStart"/>
      <w:r w:rsidRPr="008A1634">
        <w:rPr>
          <w:rFonts w:ascii="Arial" w:eastAsia="Times New Roman" w:hAnsi="Arial" w:cs="Arial"/>
          <w:color w:val="4F81BD" w:themeColor="accent1"/>
          <w:shd w:val="clear" w:color="auto" w:fill="FFFFFF"/>
        </w:rPr>
        <w:t>scHolography</w:t>
      </w:r>
      <w:proofErr w:type="spellEnd"/>
      <w:r w:rsidRPr="008A1634">
        <w:rPr>
          <w:rFonts w:ascii="Arial" w:eastAsia="Times New Roman" w:hAnsi="Arial" w:cs="Arial"/>
          <w:color w:val="4F81BD" w:themeColor="accent1"/>
          <w:shd w:val="clear" w:color="auto" w:fill="FFFFFF"/>
        </w:rPr>
        <w:t xml:space="preserve"> </w:t>
      </w:r>
      <w:r>
        <w:rPr>
          <w:rFonts w:ascii="Arial" w:eastAsia="Times New Roman" w:hAnsi="Arial" w:cs="Arial"/>
          <w:color w:val="4F81BD" w:themeColor="accent1"/>
          <w:shd w:val="clear" w:color="auto" w:fill="FFFFFF"/>
        </w:rPr>
        <w:t>to a</w:t>
      </w:r>
      <w:r w:rsidRPr="008A1634">
        <w:rPr>
          <w:rFonts w:ascii="Arial" w:eastAsia="Times New Roman" w:hAnsi="Arial" w:cs="Arial"/>
          <w:color w:val="4F81BD" w:themeColor="accent1"/>
          <w:shd w:val="clear" w:color="auto" w:fill="FFFFFF"/>
        </w:rPr>
        <w:t xml:space="preserve"> mouse kidney dataset</w:t>
      </w:r>
      <w:r>
        <w:rPr>
          <w:rFonts w:ascii="Arial" w:eastAsia="Times New Roman" w:hAnsi="Arial" w:cs="Arial"/>
          <w:color w:val="4F81BD" w:themeColor="accent1"/>
          <w:shd w:val="clear" w:color="auto" w:fill="FFFFFF"/>
        </w:rPr>
        <w:t xml:space="preserve"> </w:t>
      </w:r>
      <w:r w:rsidRPr="008A1634">
        <w:rPr>
          <w:rFonts w:ascii="Arial" w:eastAsia="Times New Roman" w:hAnsi="Arial" w:cs="Arial"/>
          <w:color w:val="4F81BD" w:themeColor="accent1"/>
          <w:shd w:val="clear" w:color="auto" w:fill="FFFFFF"/>
        </w:rPr>
        <w:fldChar w:fldCharType="begin">
          <w:fldData xml:space="preserve">PEVuZE5vdGU+PENpdGU+PEF1dGhvcj5QYXJrPC9BdXRob3I+PFllYXI+MjAxODwvWWVhcj48UmVj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</w:fldData>
        </w:fldChar>
      </w:r>
      <w:r>
        <w:rPr>
          <w:rFonts w:ascii="Arial" w:eastAsia="Times New Roman" w:hAnsi="Arial" w:cs="Arial"/>
          <w:color w:val="4F81BD" w:themeColor="accent1"/>
          <w:shd w:val="clear" w:color="auto" w:fill="FFFFFF"/>
        </w:rPr>
        <w:instrText xml:space="preserve"> ADDIN EN.CITE </w:instrText>
      </w:r>
      <w:r>
        <w:rPr>
          <w:rFonts w:ascii="Arial" w:eastAsia="Times New Roman" w:hAnsi="Arial" w:cs="Arial"/>
          <w:color w:val="4F81BD" w:themeColor="accent1"/>
          <w:shd w:val="clear" w:color="auto" w:fill="FFFFFF"/>
        </w:rPr>
        <w:fldChar w:fldCharType="begin">
          <w:fldData xml:space="preserve">PEVuZE5vdGU+PENpdGU+PEF1dGhvcj5QYXJrPC9BdXRob3I+PFllYXI+MjAxODwvWWVhcj48UmVj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</w:fldData>
        </w:fldChar>
      </w:r>
      <w:r>
        <w:rPr>
          <w:rFonts w:ascii="Arial" w:eastAsia="Times New Roman" w:hAnsi="Arial" w:cs="Arial"/>
          <w:color w:val="4F81BD" w:themeColor="accent1"/>
          <w:shd w:val="clear" w:color="auto" w:fill="FFFFFF"/>
        </w:rPr>
        <w:instrText xml:space="preserve"> ADDIN EN.CITE.DATA </w:instrText>
      </w:r>
      <w:r>
        <w:rPr>
          <w:rFonts w:ascii="Arial" w:eastAsia="Times New Roman" w:hAnsi="Arial" w:cs="Arial"/>
          <w:color w:val="4F81BD" w:themeColor="accent1"/>
          <w:shd w:val="clear" w:color="auto" w:fill="FFFFFF"/>
        </w:rPr>
      </w:r>
      <w:r>
        <w:rPr>
          <w:rFonts w:ascii="Arial" w:eastAsia="Times New Roman" w:hAnsi="Arial" w:cs="Arial"/>
          <w:color w:val="4F81BD" w:themeColor="accent1"/>
          <w:shd w:val="clear" w:color="auto" w:fill="FFFFFF"/>
        </w:rPr>
        <w:fldChar w:fldCharType="end"/>
      </w:r>
      <w:r w:rsidRPr="008A1634">
        <w:rPr>
          <w:rFonts w:ascii="Arial" w:eastAsia="Times New Roman" w:hAnsi="Arial" w:cs="Arial"/>
          <w:color w:val="4F81BD" w:themeColor="accent1"/>
          <w:shd w:val="clear" w:color="auto" w:fill="FFFFFF"/>
        </w:rPr>
      </w:r>
      <w:r w:rsidRPr="008A1634">
        <w:rPr>
          <w:rFonts w:ascii="Arial" w:eastAsia="Times New Roman" w:hAnsi="Arial" w:cs="Arial"/>
          <w:color w:val="4F81BD" w:themeColor="accent1"/>
          <w:shd w:val="clear" w:color="auto" w:fill="FFFFFF"/>
        </w:rPr>
        <w:fldChar w:fldCharType="separate"/>
      </w:r>
      <w:r w:rsidRPr="008A1634">
        <w:rPr>
          <w:rFonts w:ascii="Arial" w:eastAsia="Times New Roman" w:hAnsi="Arial" w:cs="Arial"/>
          <w:noProof/>
          <w:color w:val="4F81BD" w:themeColor="accent1"/>
          <w:shd w:val="clear" w:color="auto" w:fill="FFFFFF"/>
        </w:rPr>
        <w:t>(Park et al., 2018)</w:t>
      </w:r>
      <w:r w:rsidRPr="008A1634">
        <w:rPr>
          <w:rFonts w:ascii="Arial" w:eastAsia="Times New Roman" w:hAnsi="Arial" w:cs="Arial"/>
          <w:color w:val="4F81BD" w:themeColor="accent1"/>
          <w:shd w:val="clear" w:color="auto" w:fill="FFFFFF"/>
        </w:rPr>
        <w:fldChar w:fldCharType="end"/>
      </w:r>
      <w:r>
        <w:rPr>
          <w:rFonts w:ascii="Arial" w:eastAsia="Times New Roman" w:hAnsi="Arial" w:cs="Arial"/>
          <w:color w:val="4F81BD" w:themeColor="accent1"/>
          <w:shd w:val="clear" w:color="auto" w:fill="FFFFFF"/>
        </w:rPr>
        <w:t xml:space="preserve"> and compared its performance against current methods (Fig. 3)</w:t>
      </w:r>
      <w:r w:rsidRPr="008A1634">
        <w:rPr>
          <w:rFonts w:ascii="Arial" w:eastAsia="Times New Roman" w:hAnsi="Arial" w:cs="Arial"/>
          <w:color w:val="4F81BD" w:themeColor="accent1"/>
          <w:shd w:val="clear" w:color="auto" w:fill="FFFFFF"/>
        </w:rPr>
        <w:t>.</w:t>
      </w:r>
      <w:r>
        <w:rPr>
          <w:rFonts w:ascii="Arial" w:eastAsia="Times New Roman" w:hAnsi="Arial" w:cs="Arial"/>
          <w:color w:val="4F81BD" w:themeColor="accent1"/>
          <w:shd w:val="clear" w:color="auto" w:fill="FFFFFF"/>
        </w:rPr>
        <w:t xml:space="preserve"> Notably,</w:t>
      </w:r>
      <w:r w:rsidRPr="008A1634">
        <w:rPr>
          <w:rFonts w:ascii="Arial" w:eastAsia="Times New Roman" w:hAnsi="Arial" w:cs="Arial"/>
          <w:color w:val="4F81BD" w:themeColor="accent1"/>
          <w:shd w:val="clear" w:color="auto" w:fill="FFFFFF"/>
        </w:rPr>
        <w:t xml:space="preserve"> </w:t>
      </w:r>
      <w:r>
        <w:rPr>
          <w:rFonts w:ascii="Arial" w:eastAsia="Times New Roman" w:hAnsi="Arial" w:cs="Arial"/>
          <w:color w:val="4F81BD" w:themeColor="accent1"/>
          <w:shd w:val="clear" w:color="auto" w:fill="FFFFFF"/>
        </w:rPr>
        <w:t xml:space="preserve">the ability of 3D tissue reconstruction of </w:t>
      </w:r>
      <w:proofErr w:type="spellStart"/>
      <w:r>
        <w:rPr>
          <w:rFonts w:ascii="Arial" w:eastAsia="Times New Roman" w:hAnsi="Arial" w:cs="Arial"/>
          <w:color w:val="4F81BD" w:themeColor="accent1"/>
          <w:shd w:val="clear" w:color="auto" w:fill="FFFFFF"/>
        </w:rPr>
        <w:t>scHolography</w:t>
      </w:r>
      <w:proofErr w:type="spellEnd"/>
      <w:r>
        <w:rPr>
          <w:rFonts w:ascii="Arial" w:eastAsia="Times New Roman" w:hAnsi="Arial" w:cs="Arial"/>
          <w:color w:val="4F81BD" w:themeColor="accent1"/>
          <w:shd w:val="clear" w:color="auto" w:fill="FFFFFF"/>
        </w:rPr>
        <w:t xml:space="preserve"> </w:t>
      </w:r>
      <w:r w:rsidRPr="008A1634">
        <w:rPr>
          <w:rFonts w:ascii="Arial" w:eastAsia="Times New Roman" w:hAnsi="Arial" w:cs="Arial"/>
          <w:color w:val="4F81BD" w:themeColor="accent1"/>
          <w:shd w:val="clear" w:color="auto" w:fill="FFFFFF"/>
        </w:rPr>
        <w:t>recapitulate</w:t>
      </w:r>
      <w:r>
        <w:rPr>
          <w:rFonts w:ascii="Arial" w:eastAsia="Times New Roman" w:hAnsi="Arial" w:cs="Arial"/>
          <w:color w:val="4F81BD" w:themeColor="accent1"/>
          <w:shd w:val="clear" w:color="auto" w:fill="FFFFFF"/>
        </w:rPr>
        <w:t>d</w:t>
      </w:r>
      <w:r w:rsidRPr="008A1634">
        <w:rPr>
          <w:rFonts w:ascii="Arial" w:eastAsia="Times New Roman" w:hAnsi="Arial" w:cs="Arial"/>
          <w:color w:val="4F81BD" w:themeColor="accent1"/>
          <w:shd w:val="clear" w:color="auto" w:fill="FFFFFF"/>
        </w:rPr>
        <w:t xml:space="preserve"> kidney </w:t>
      </w:r>
      <w:r>
        <w:rPr>
          <w:rFonts w:ascii="Arial" w:eastAsia="Times New Roman" w:hAnsi="Arial" w:cs="Arial"/>
          <w:color w:val="4F81BD" w:themeColor="accent1"/>
          <w:shd w:val="clear" w:color="auto" w:fill="FFFFFF"/>
        </w:rPr>
        <w:t>spatial organization (Fig. 3c-d), which have been revealed by morphological analysis</w:t>
      </w:r>
      <w:r w:rsidRPr="008A1634">
        <w:rPr>
          <w:rFonts w:ascii="Arial" w:eastAsia="Times New Roman" w:hAnsi="Arial" w:cs="Arial"/>
          <w:color w:val="4F81BD" w:themeColor="accent1"/>
          <w:shd w:val="clear" w:color="auto" w:fill="FFFFFF"/>
        </w:rPr>
        <w:t xml:space="preserve"> </w:t>
      </w:r>
      <w:r w:rsidRPr="008A1634">
        <w:rPr>
          <w:rFonts w:ascii="Arial" w:eastAsia="Times New Roman" w:hAnsi="Arial" w:cs="Arial"/>
          <w:color w:val="4F81BD" w:themeColor="accent1"/>
          <w:shd w:val="clear" w:color="auto" w:fill="FFFFFF"/>
        </w:rPr>
        <w:fldChar w:fldCharType="begin">
          <w:fldData xml:space="preserve">PEVuZE5vdGU+PENpdGU+PEF1dGhvcj5SYW5zaWNrPC9BdXRob3I+PFllYXI+MjAxOTwvWWVhcj48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</w:fldData>
        </w:fldChar>
      </w:r>
      <w:r>
        <w:rPr>
          <w:rFonts w:ascii="Arial" w:eastAsia="Times New Roman" w:hAnsi="Arial" w:cs="Arial"/>
          <w:color w:val="4F81BD" w:themeColor="accent1"/>
          <w:shd w:val="clear" w:color="auto" w:fill="FFFFFF"/>
        </w:rPr>
        <w:instrText xml:space="preserve"> ADDIN EN.CITE </w:instrText>
      </w:r>
      <w:r>
        <w:rPr>
          <w:rFonts w:ascii="Arial" w:eastAsia="Times New Roman" w:hAnsi="Arial" w:cs="Arial"/>
          <w:color w:val="4F81BD" w:themeColor="accent1"/>
          <w:shd w:val="clear" w:color="auto" w:fill="FFFFFF"/>
        </w:rPr>
        <w:fldChar w:fldCharType="begin">
          <w:fldData xml:space="preserve">PEVuZE5vdGU+PENpdGU+PEF1dGhvcj5SYW5zaWNrPC9BdXRob3I+PFllYXI+MjAxOTwvWWVhcj48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</w:fldData>
        </w:fldChar>
      </w:r>
      <w:r>
        <w:rPr>
          <w:rFonts w:ascii="Arial" w:eastAsia="Times New Roman" w:hAnsi="Arial" w:cs="Arial"/>
          <w:color w:val="4F81BD" w:themeColor="accent1"/>
          <w:shd w:val="clear" w:color="auto" w:fill="FFFFFF"/>
        </w:rPr>
        <w:instrText xml:space="preserve"> ADDIN EN.CITE.DATA </w:instrText>
      </w:r>
      <w:r>
        <w:rPr>
          <w:rFonts w:ascii="Arial" w:eastAsia="Times New Roman" w:hAnsi="Arial" w:cs="Arial"/>
          <w:color w:val="4F81BD" w:themeColor="accent1"/>
          <w:shd w:val="clear" w:color="auto" w:fill="FFFFFF"/>
        </w:rPr>
      </w:r>
      <w:r>
        <w:rPr>
          <w:rFonts w:ascii="Arial" w:eastAsia="Times New Roman" w:hAnsi="Arial" w:cs="Arial"/>
          <w:color w:val="4F81BD" w:themeColor="accent1"/>
          <w:shd w:val="clear" w:color="auto" w:fill="FFFFFF"/>
        </w:rPr>
        <w:fldChar w:fldCharType="end"/>
      </w:r>
      <w:r w:rsidRPr="008A1634">
        <w:rPr>
          <w:rFonts w:ascii="Arial" w:eastAsia="Times New Roman" w:hAnsi="Arial" w:cs="Arial"/>
          <w:color w:val="4F81BD" w:themeColor="accent1"/>
          <w:shd w:val="clear" w:color="auto" w:fill="FFFFFF"/>
        </w:rPr>
      </w:r>
      <w:r w:rsidRPr="008A1634">
        <w:rPr>
          <w:rFonts w:ascii="Arial" w:eastAsia="Times New Roman" w:hAnsi="Arial" w:cs="Arial"/>
          <w:color w:val="4F81BD" w:themeColor="accent1"/>
          <w:shd w:val="clear" w:color="auto" w:fill="FFFFFF"/>
        </w:rPr>
        <w:fldChar w:fldCharType="separate"/>
      </w:r>
      <w:r w:rsidRPr="008A1634">
        <w:rPr>
          <w:rFonts w:ascii="Arial" w:eastAsia="Times New Roman" w:hAnsi="Arial" w:cs="Arial"/>
          <w:noProof/>
          <w:color w:val="4F81BD" w:themeColor="accent1"/>
          <w:shd w:val="clear" w:color="auto" w:fill="FFFFFF"/>
        </w:rPr>
        <w:t>(Ransick et al., 2019)</w:t>
      </w:r>
      <w:r w:rsidRPr="008A1634">
        <w:rPr>
          <w:rFonts w:ascii="Arial" w:eastAsia="Times New Roman" w:hAnsi="Arial" w:cs="Arial"/>
          <w:color w:val="4F81BD" w:themeColor="accent1"/>
          <w:shd w:val="clear" w:color="auto" w:fill="FFFFFF"/>
        </w:rPr>
        <w:fldChar w:fldCharType="end"/>
      </w:r>
      <w:r>
        <w:rPr>
          <w:rFonts w:ascii="Arial" w:eastAsia="Times New Roman" w:hAnsi="Arial" w:cs="Arial"/>
          <w:color w:val="4F81BD" w:themeColor="accent1"/>
          <w:shd w:val="clear" w:color="auto" w:fill="FFFFFF"/>
        </w:rPr>
        <w:t xml:space="preserve">. These results </w:t>
      </w:r>
      <w:proofErr w:type="gramStart"/>
      <w:r>
        <w:rPr>
          <w:rFonts w:ascii="Arial" w:eastAsia="Times New Roman" w:hAnsi="Arial" w:cs="Arial"/>
          <w:color w:val="4F81BD" w:themeColor="accent1"/>
          <w:shd w:val="clear" w:color="auto" w:fill="FFFFFF"/>
        </w:rPr>
        <w:t>are in contrast to</w:t>
      </w:r>
      <w:proofErr w:type="gramEnd"/>
      <w:r>
        <w:rPr>
          <w:rFonts w:ascii="Arial" w:eastAsia="Times New Roman" w:hAnsi="Arial" w:cs="Arial"/>
          <w:color w:val="4F81BD" w:themeColor="accent1"/>
          <w:shd w:val="clear" w:color="auto" w:fill="FFFFFF"/>
        </w:rPr>
        <w:t xml:space="preserve"> the result from </w:t>
      </w:r>
      <w:proofErr w:type="spellStart"/>
      <w:r>
        <w:rPr>
          <w:rFonts w:ascii="Arial" w:eastAsia="Times New Roman" w:hAnsi="Arial" w:cs="Arial"/>
          <w:color w:val="4F81BD" w:themeColor="accent1"/>
          <w:shd w:val="clear" w:color="auto" w:fill="FFFFFF"/>
        </w:rPr>
        <w:t>CellTrek</w:t>
      </w:r>
      <w:proofErr w:type="spellEnd"/>
      <w:r>
        <w:rPr>
          <w:rFonts w:ascii="Arial" w:eastAsia="Times New Roman" w:hAnsi="Arial" w:cs="Arial"/>
          <w:color w:val="4F81BD" w:themeColor="accent1"/>
          <w:shd w:val="clear" w:color="auto" w:fill="FFFFFF"/>
        </w:rPr>
        <w:t xml:space="preserve"> (Fig. 3e), </w:t>
      </w:r>
      <w:proofErr w:type="spellStart"/>
      <w:r>
        <w:rPr>
          <w:rFonts w:ascii="Arial" w:eastAsia="Times New Roman" w:hAnsi="Arial" w:cs="Arial"/>
          <w:color w:val="4F81BD" w:themeColor="accent1"/>
          <w:shd w:val="clear" w:color="auto" w:fill="FFFFFF"/>
        </w:rPr>
        <w:t>CytoSPACE</w:t>
      </w:r>
      <w:proofErr w:type="spellEnd"/>
      <w:r>
        <w:rPr>
          <w:rFonts w:ascii="Arial" w:eastAsia="Times New Roman" w:hAnsi="Arial" w:cs="Arial"/>
          <w:color w:val="4F81BD" w:themeColor="accent1"/>
          <w:shd w:val="clear" w:color="auto" w:fill="FFFFFF"/>
        </w:rPr>
        <w:t xml:space="preserve"> (Fig. 3f), Seurat (Fig. 3g) and Tangram (Fig. 3h). Moreover,</w:t>
      </w:r>
      <w:r w:rsidRPr="008A1634">
        <w:rPr>
          <w:rFonts w:ascii="Arial" w:eastAsia="Times New Roman" w:hAnsi="Arial" w:cs="Arial"/>
          <w:color w:val="4F81BD" w:themeColor="accent1"/>
          <w:shd w:val="clear" w:color="auto" w:fill="FFFFFF"/>
        </w:rPr>
        <w:t xml:space="preserve"> </w:t>
      </w:r>
      <w:r>
        <w:rPr>
          <w:rFonts w:ascii="Arial" w:eastAsia="Times New Roman" w:hAnsi="Arial" w:cs="Arial"/>
          <w:color w:val="4F81BD" w:themeColor="accent1"/>
          <w:shd w:val="clear" w:color="auto" w:fill="FFFFFF"/>
        </w:rPr>
        <w:t xml:space="preserve">our </w:t>
      </w:r>
      <w:proofErr w:type="spellStart"/>
      <w:r w:rsidRPr="008A1634">
        <w:rPr>
          <w:rFonts w:ascii="Arial" w:eastAsia="Times New Roman" w:hAnsi="Arial" w:cs="Arial"/>
          <w:color w:val="4F81BD" w:themeColor="accent1"/>
          <w:shd w:val="clear" w:color="auto" w:fill="FFFFFF"/>
        </w:rPr>
        <w:t>scHolography</w:t>
      </w:r>
      <w:proofErr w:type="spellEnd"/>
      <w:r w:rsidRPr="008A1634">
        <w:rPr>
          <w:rFonts w:ascii="Arial" w:eastAsia="Times New Roman" w:hAnsi="Arial" w:cs="Arial"/>
          <w:color w:val="4F81BD" w:themeColor="accent1"/>
          <w:shd w:val="clear" w:color="auto" w:fill="FFFFFF"/>
        </w:rPr>
        <w:t xml:space="preserve"> spatial neighborhood analysis </w:t>
      </w:r>
      <w:r>
        <w:rPr>
          <w:rFonts w:ascii="Arial" w:eastAsia="Times New Roman" w:hAnsi="Arial" w:cs="Arial"/>
          <w:color w:val="4F81BD" w:themeColor="accent1"/>
          <w:shd w:val="clear" w:color="auto" w:fill="FFFFFF"/>
        </w:rPr>
        <w:t>successfully</w:t>
      </w:r>
      <w:r w:rsidRPr="008A1634">
        <w:rPr>
          <w:rFonts w:ascii="Arial" w:eastAsia="Times New Roman" w:hAnsi="Arial" w:cs="Arial"/>
          <w:color w:val="4F81BD" w:themeColor="accent1"/>
          <w:shd w:val="clear" w:color="auto" w:fill="FFFFFF"/>
        </w:rPr>
        <w:t xml:space="preserve"> identif</w:t>
      </w:r>
      <w:r>
        <w:rPr>
          <w:rFonts w:ascii="Arial" w:eastAsia="Times New Roman" w:hAnsi="Arial" w:cs="Arial"/>
          <w:color w:val="4F81BD" w:themeColor="accent1"/>
          <w:shd w:val="clear" w:color="auto" w:fill="FFFFFF"/>
        </w:rPr>
        <w:t>ied</w:t>
      </w:r>
      <w:r w:rsidRPr="008A1634">
        <w:rPr>
          <w:rFonts w:ascii="Arial" w:eastAsia="Times New Roman" w:hAnsi="Arial" w:cs="Arial"/>
          <w:color w:val="4F81BD" w:themeColor="accent1"/>
          <w:shd w:val="clear" w:color="auto" w:fill="FFFFFF"/>
        </w:rPr>
        <w:t xml:space="preserve"> the spatial heterogeneity among Proximal Tubule (PT) cells of mouse kidney, where PT_1 is closer to Distal Convoluted Tubule (DCT) cells and PT_2 is closer to Loop of Henle (LOH) cells</w:t>
      </w:r>
      <w:r>
        <w:rPr>
          <w:rFonts w:ascii="Arial" w:eastAsia="Times New Roman" w:hAnsi="Arial" w:cs="Arial"/>
          <w:color w:val="4F81BD" w:themeColor="accent1"/>
          <w:shd w:val="clear" w:color="auto" w:fill="FFFFFF"/>
        </w:rPr>
        <w:t xml:space="preserve"> (Fig. 3i-k)</w:t>
      </w:r>
      <w:r w:rsidRPr="008A1634">
        <w:rPr>
          <w:rFonts w:ascii="Arial" w:eastAsia="Times New Roman" w:hAnsi="Arial" w:cs="Arial"/>
          <w:color w:val="4F81BD" w:themeColor="accent1"/>
          <w:shd w:val="clear" w:color="auto" w:fill="FFFFFF"/>
        </w:rPr>
        <w:t>.</w:t>
      </w:r>
      <w:r>
        <w:rPr>
          <w:rFonts w:ascii="Arial" w:eastAsia="Times New Roman" w:hAnsi="Arial" w:cs="Arial"/>
          <w:color w:val="4F81BD" w:themeColor="accent1"/>
          <w:shd w:val="clear" w:color="auto" w:fill="FFFFFF"/>
        </w:rPr>
        <w:t xml:space="preserve"> Finally, </w:t>
      </w:r>
      <w:proofErr w:type="spellStart"/>
      <w:r>
        <w:rPr>
          <w:rFonts w:ascii="Arial" w:eastAsia="Times New Roman" w:hAnsi="Arial" w:cs="Arial"/>
          <w:color w:val="4F81BD" w:themeColor="accent1"/>
          <w:shd w:val="clear" w:color="auto" w:fill="FFFFFF"/>
        </w:rPr>
        <w:t>scHolography</w:t>
      </w:r>
      <w:proofErr w:type="spellEnd"/>
      <w:r>
        <w:rPr>
          <w:rFonts w:ascii="Arial" w:eastAsia="Times New Roman" w:hAnsi="Arial" w:cs="Arial"/>
          <w:color w:val="4F81BD" w:themeColor="accent1"/>
          <w:shd w:val="clear" w:color="auto" w:fill="FFFFFF"/>
        </w:rPr>
        <w:t xml:space="preserve"> also identified spatially enriched genes from PT_1 and PT_2 neighborhoods, which should allow validation and functional studies (Fig. 3j). Altogether, these additional benchmarks and analyses have further demonstrated the utility of </w:t>
      </w:r>
      <w:proofErr w:type="spellStart"/>
      <w:r>
        <w:rPr>
          <w:rFonts w:ascii="Arial" w:eastAsia="Times New Roman" w:hAnsi="Arial" w:cs="Arial"/>
          <w:color w:val="4F81BD" w:themeColor="accent1"/>
          <w:shd w:val="clear" w:color="auto" w:fill="FFFFFF"/>
        </w:rPr>
        <w:t>scHolography</w:t>
      </w:r>
      <w:proofErr w:type="spellEnd"/>
      <w:r>
        <w:rPr>
          <w:rFonts w:ascii="Arial" w:eastAsia="Times New Roman" w:hAnsi="Arial" w:cs="Arial"/>
          <w:color w:val="4F81BD" w:themeColor="accent1"/>
          <w:shd w:val="clear" w:color="auto" w:fill="FFFFFF"/>
        </w:rPr>
        <w:t xml:space="preserve"> and the improvement over current leading methods. We have added the new matched study to the manuscript as Fig. S3 and the kidney study to the manuscript as new Fig. 7. </w:t>
      </w:r>
      <w:r w:rsidRPr="00685811">
        <w:rPr>
          <w:rFonts w:ascii="Arial" w:eastAsia="Times New Roman" w:hAnsi="Arial" w:cs="Arial"/>
          <w:color w:val="424242"/>
        </w:rPr>
        <w:br/>
      </w:r>
      <w:r>
        <w:rPr>
          <w:rFonts w:ascii="Arial" w:eastAsia="Times New Roman" w:hAnsi="Arial" w:cs="Arial"/>
          <w:noProof/>
          <w:color w:val="4F81BD" w:themeColor="accent1"/>
        </w:rPr>
        <w:lastRenderedPageBreak/>
        <w:drawing>
          <wp:anchor distT="0" distB="0" distL="114300" distR="114300" simplePos="0" relativeHeight="251665408" behindDoc="0" locked="0" layoutInCell="1" allowOverlap="1" wp14:anchorId="28C36E6F" wp14:editId="6C70644D">
            <wp:simplePos x="0" y="0"/>
            <wp:positionH relativeFrom="column">
              <wp:posOffset>24765</wp:posOffset>
            </wp:positionH>
            <wp:positionV relativeFrom="paragraph">
              <wp:posOffset>1956462</wp:posOffset>
            </wp:positionV>
            <wp:extent cx="4462145" cy="3574415"/>
            <wp:effectExtent l="0" t="0" r="0" b="0"/>
            <wp:wrapTight wrapText="bothSides">
              <wp:wrapPolygon edited="0">
                <wp:start x="0" y="0"/>
                <wp:lineTo x="0" y="21489"/>
                <wp:lineTo x="21517" y="21489"/>
                <wp:lineTo x="21517" y="0"/>
                <wp:lineTo x="0" y="0"/>
              </wp:wrapPolygon>
            </wp:wrapTight>
            <wp:docPr id="424724500" name="Picture 3"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24500" name="Picture 3" descr="A collage of a diagram&#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62145" cy="3574415"/>
                    </a:xfrm>
                    <a:prstGeom prst="rect">
                      <a:avLst/>
                    </a:prstGeom>
                  </pic:spPr>
                </pic:pic>
              </a:graphicData>
            </a:graphic>
            <wp14:sizeRelH relativeFrom="margin">
              <wp14:pctWidth>0</wp14:pctWidth>
            </wp14:sizeRelH>
            <wp14:sizeRelV relativeFrom="margin">
              <wp14:pctHeight>0</wp14:pctHeight>
            </wp14:sizeRelV>
          </wp:anchor>
        </w:drawing>
      </w:r>
      <w:r w:rsidRPr="0023093E">
        <w:rPr>
          <w:rFonts w:ascii="Arial" w:hAnsi="Arial" w:cs="Arial"/>
          <w:b/>
          <w:bCs/>
          <w:sz w:val="18"/>
          <w:szCs w:val="18"/>
        </w:rPr>
        <w:t xml:space="preserve">Figure </w:t>
      </w:r>
      <w:r>
        <w:rPr>
          <w:rFonts w:ascii="Arial" w:hAnsi="Arial" w:cs="Arial"/>
          <w:b/>
          <w:bCs/>
          <w:sz w:val="18"/>
          <w:szCs w:val="18"/>
        </w:rPr>
        <w:t>3</w:t>
      </w:r>
      <w:r w:rsidRPr="0023093E">
        <w:rPr>
          <w:rFonts w:ascii="Arial" w:hAnsi="Arial" w:cs="Arial"/>
          <w:b/>
          <w:bCs/>
          <w:sz w:val="18"/>
          <w:szCs w:val="18"/>
        </w:rPr>
        <w:t>. a,</w:t>
      </w:r>
      <w:r w:rsidRPr="0023093E">
        <w:rPr>
          <w:rFonts w:ascii="Arial" w:hAnsi="Arial" w:cs="Arial"/>
          <w:sz w:val="18"/>
          <w:szCs w:val="18"/>
        </w:rPr>
        <w:t xml:space="preserve"> H&amp;E image of mouse kidney coronal section. </w:t>
      </w:r>
      <w:r w:rsidRPr="0023093E">
        <w:rPr>
          <w:rFonts w:ascii="Arial" w:hAnsi="Arial" w:cs="Arial"/>
          <w:b/>
          <w:bCs/>
          <w:sz w:val="18"/>
          <w:szCs w:val="18"/>
        </w:rPr>
        <w:t>b,</w:t>
      </w:r>
      <w:r w:rsidRPr="0023093E">
        <w:rPr>
          <w:rFonts w:ascii="Arial" w:hAnsi="Arial" w:cs="Arial"/>
          <w:sz w:val="18"/>
          <w:szCs w:val="18"/>
        </w:rPr>
        <w:t xml:space="preserve"> UMAP plot of mouse kidney </w:t>
      </w:r>
      <w:proofErr w:type="spellStart"/>
      <w:r w:rsidRPr="0023093E">
        <w:rPr>
          <w:rFonts w:ascii="Arial" w:hAnsi="Arial" w:cs="Arial"/>
          <w:sz w:val="18"/>
          <w:szCs w:val="18"/>
        </w:rPr>
        <w:t>scRNA</w:t>
      </w:r>
      <w:proofErr w:type="spellEnd"/>
      <w:r w:rsidRPr="0023093E">
        <w:rPr>
          <w:rFonts w:ascii="Arial" w:hAnsi="Arial" w:cs="Arial"/>
          <w:sz w:val="18"/>
          <w:szCs w:val="18"/>
        </w:rPr>
        <w:t xml:space="preserve">-seq data. </w:t>
      </w:r>
      <w:r w:rsidRPr="0023093E">
        <w:rPr>
          <w:rFonts w:ascii="Arial" w:hAnsi="Arial" w:cs="Arial"/>
          <w:b/>
          <w:bCs/>
          <w:sz w:val="18"/>
          <w:szCs w:val="18"/>
        </w:rPr>
        <w:t xml:space="preserve">c, </w:t>
      </w:r>
      <w:r w:rsidRPr="0023093E">
        <w:rPr>
          <w:rFonts w:ascii="Arial" w:hAnsi="Arial" w:cs="Arial"/>
          <w:sz w:val="18"/>
          <w:szCs w:val="18"/>
        </w:rPr>
        <w:t xml:space="preserve">3D visualization of mouse kidney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reconstruction result. </w:t>
      </w:r>
      <w:r w:rsidRPr="0023093E">
        <w:rPr>
          <w:rFonts w:ascii="Arial" w:hAnsi="Arial" w:cs="Arial"/>
          <w:b/>
          <w:bCs/>
          <w:sz w:val="18"/>
          <w:szCs w:val="18"/>
        </w:rPr>
        <w:t>d,</w:t>
      </w:r>
      <w:r w:rsidRPr="0023093E">
        <w:rPr>
          <w:rFonts w:ascii="Arial" w:hAnsi="Arial" w:cs="Arial"/>
          <w:sz w:val="18"/>
          <w:szCs w:val="18"/>
        </w:rPr>
        <w:t xml:space="preserve"> Boxplots for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predicted PT, DCT, CD-IC, CD-PC and LOH cell distance to CD-PC and LOH cells. Cell distances were normalized for each method by the mean distance from CD-PC and LOH cells to the two cell types. </w:t>
      </w:r>
      <w:r w:rsidRPr="0023093E">
        <w:rPr>
          <w:rFonts w:ascii="Arial" w:hAnsi="Arial" w:cs="Arial"/>
          <w:b/>
          <w:bCs/>
          <w:sz w:val="18"/>
          <w:szCs w:val="18"/>
        </w:rPr>
        <w:t>e-h,</w:t>
      </w:r>
      <w:r w:rsidRPr="0023093E">
        <w:rPr>
          <w:rFonts w:ascii="Arial" w:hAnsi="Arial" w:cs="Arial"/>
          <w:sz w:val="18"/>
          <w:szCs w:val="18"/>
        </w:rPr>
        <w:t xml:space="preserve"> Comparison of </w:t>
      </w:r>
      <w:proofErr w:type="spellStart"/>
      <w:r w:rsidRPr="0023093E">
        <w:rPr>
          <w:rFonts w:ascii="Arial" w:hAnsi="Arial" w:cs="Arial"/>
          <w:sz w:val="18"/>
          <w:szCs w:val="18"/>
        </w:rPr>
        <w:t>Celltrek</w:t>
      </w:r>
      <w:proofErr w:type="spellEnd"/>
      <w:r w:rsidRPr="0023093E">
        <w:rPr>
          <w:rFonts w:ascii="Arial" w:hAnsi="Arial" w:cs="Arial"/>
          <w:sz w:val="18"/>
          <w:szCs w:val="18"/>
        </w:rPr>
        <w:t xml:space="preserve">, </w:t>
      </w:r>
      <w:proofErr w:type="spellStart"/>
      <w:r w:rsidRPr="0023093E">
        <w:rPr>
          <w:rFonts w:ascii="Arial" w:hAnsi="Arial" w:cs="Arial"/>
          <w:sz w:val="18"/>
          <w:szCs w:val="18"/>
        </w:rPr>
        <w:t>CytoSPACE</w:t>
      </w:r>
      <w:proofErr w:type="spellEnd"/>
      <w:r w:rsidRPr="0023093E">
        <w:rPr>
          <w:rFonts w:ascii="Arial" w:hAnsi="Arial" w:cs="Arial"/>
          <w:sz w:val="18"/>
          <w:szCs w:val="18"/>
        </w:rPr>
        <w:t xml:space="preserve">, Seurat, and Tangram mouse kidney prediction results. Left panel: Visualization of prediction outcome; Right panel: Predicted PT, DCT, CD-IC, CD-PC and LOH cell distance to CD-PC and LOH cells. Cell distances were normalized for each method by the mean distance from CD-PC and LOH cells to the two cell types. </w:t>
      </w:r>
      <w:proofErr w:type="spellStart"/>
      <w:r w:rsidRPr="0023093E">
        <w:rPr>
          <w:rFonts w:ascii="Arial" w:hAnsi="Arial" w:cs="Arial"/>
          <w:b/>
          <w:bCs/>
          <w:sz w:val="18"/>
          <w:szCs w:val="18"/>
        </w:rPr>
        <w:t>i</w:t>
      </w:r>
      <w:proofErr w:type="spellEnd"/>
      <w:r w:rsidRPr="0023093E">
        <w:rPr>
          <w:rFonts w:ascii="Arial" w:hAnsi="Arial" w:cs="Arial"/>
          <w:b/>
          <w:bCs/>
          <w:sz w:val="18"/>
          <w:szCs w:val="18"/>
        </w:rPr>
        <w:t>,</w:t>
      </w:r>
      <w:r w:rsidRPr="0023093E">
        <w:rPr>
          <w:rFonts w:ascii="Arial" w:hAnsi="Arial" w:cs="Arial"/>
          <w:sz w:val="18"/>
          <w:szCs w:val="18"/>
        </w:rPr>
        <w:t xml:space="preserve"> Spatial neighborhood analysis for mouse kidney PT cells. Two distinct neighborhoods are identified based on the clustering of the accumulated expression profile of PT SMNs. </w:t>
      </w:r>
      <w:r w:rsidRPr="0023093E">
        <w:rPr>
          <w:rFonts w:ascii="Arial" w:hAnsi="Arial" w:cs="Arial"/>
          <w:b/>
          <w:bCs/>
          <w:sz w:val="18"/>
          <w:szCs w:val="18"/>
        </w:rPr>
        <w:t>j,</w:t>
      </w:r>
      <w:r w:rsidRPr="0023093E">
        <w:rPr>
          <w:rFonts w:ascii="Arial" w:hAnsi="Arial" w:cs="Arial"/>
          <w:sz w:val="18"/>
          <w:szCs w:val="18"/>
        </w:rPr>
        <w:t xml:space="preserve"> Heatmap of top marker genes for PT_1 and PT_2 accumulated SMN expression profile. k, Violin plot of SMN distance between two PT spatial neighborhood cells and DCT cells (left). Violin plot of SMN distance between two PT spatial neighborhood cells and LOH cells (right). </w:t>
      </w:r>
    </w:p>
    <w:p w14:paraId="37F4EE22" w14:textId="77777777" w:rsidR="00E436F9" w:rsidRDefault="00E436F9" w:rsidP="00E436F9">
      <w:pPr>
        <w:rPr>
          <w:rFonts w:ascii="Arial" w:eastAsia="Times New Roman" w:hAnsi="Arial" w:cs="Arial"/>
          <w:color w:val="424242"/>
          <w:shd w:val="clear" w:color="auto" w:fill="FFFFFF"/>
        </w:rPr>
      </w:pPr>
    </w:p>
    <w:p w14:paraId="4A6066D7" w14:textId="77777777" w:rsidR="00E436F9" w:rsidRPr="002B7910" w:rsidRDefault="00E436F9" w:rsidP="00E436F9">
      <w:pPr>
        <w:rPr>
          <w:rFonts w:ascii="Arial" w:eastAsia="Times New Roman" w:hAnsi="Arial" w:cs="Arial"/>
          <w:color w:val="4F81BD" w:themeColor="accent1"/>
        </w:rPr>
      </w:pPr>
      <w:r w:rsidRPr="00685811">
        <w:rPr>
          <w:rFonts w:ascii="Arial" w:eastAsia="Times New Roman" w:hAnsi="Arial" w:cs="Arial"/>
          <w:color w:val="424242"/>
          <w:shd w:val="clear" w:color="auto" w:fill="FFFFFF"/>
        </w:rPr>
        <w:t xml:space="preserve">3.      Robustness: In Figure 3d-f, the authors demonstrate </w:t>
      </w:r>
      <w:proofErr w:type="spellStart"/>
      <w:r w:rsidRPr="00685811">
        <w:rPr>
          <w:rFonts w:ascii="Arial" w:eastAsia="Times New Roman" w:hAnsi="Arial" w:cs="Arial"/>
          <w:color w:val="424242"/>
          <w:shd w:val="clear" w:color="auto" w:fill="FFFFFF"/>
        </w:rPr>
        <w:t>scHolography's</w:t>
      </w:r>
      <w:proofErr w:type="spellEnd"/>
      <w:r w:rsidRPr="00685811">
        <w:rPr>
          <w:rFonts w:ascii="Arial" w:eastAsia="Times New Roman" w:hAnsi="Arial" w:cs="Arial"/>
          <w:color w:val="424242"/>
          <w:shd w:val="clear" w:color="auto" w:fill="FFFFFF"/>
        </w:rPr>
        <w:t xml:space="preserve"> ability to reconstruct 3D tissue from a 2D reference, specifically using slice 400 as the reference. However, to further assess the robustness of </w:t>
      </w:r>
      <w:proofErr w:type="spellStart"/>
      <w:r w:rsidRPr="00685811">
        <w:rPr>
          <w:rFonts w:ascii="Arial" w:eastAsia="Times New Roman" w:hAnsi="Arial" w:cs="Arial"/>
          <w:color w:val="424242"/>
          <w:shd w:val="clear" w:color="auto" w:fill="FFFFFF"/>
        </w:rPr>
        <w:t>scHolography</w:t>
      </w:r>
      <w:proofErr w:type="spellEnd"/>
      <w:r w:rsidRPr="00280D72">
        <w:rPr>
          <w:rFonts w:ascii="Arial" w:eastAsia="Times New Roman" w:hAnsi="Arial" w:cs="Arial"/>
          <w:color w:val="424242"/>
          <w:shd w:val="clear" w:color="auto" w:fill="FFFFFF"/>
        </w:rPr>
        <w:t xml:space="preserve">, it is recommended that the authors present additional results using other slices as references. Including these supplementary results in the manuscript or as supplementary material would provide a more comprehensive understanding of </w:t>
      </w:r>
      <w:proofErr w:type="spellStart"/>
      <w:r w:rsidRPr="00280D72">
        <w:rPr>
          <w:rFonts w:ascii="Arial" w:eastAsia="Times New Roman" w:hAnsi="Arial" w:cs="Arial"/>
          <w:color w:val="424242"/>
          <w:shd w:val="clear" w:color="auto" w:fill="FFFFFF"/>
        </w:rPr>
        <w:t>scHolography's</w:t>
      </w:r>
      <w:proofErr w:type="spellEnd"/>
      <w:r w:rsidRPr="00280D72">
        <w:rPr>
          <w:rFonts w:ascii="Arial" w:eastAsia="Times New Roman" w:hAnsi="Arial" w:cs="Arial"/>
          <w:color w:val="424242"/>
          <w:shd w:val="clear" w:color="auto" w:fill="FFFFFF"/>
        </w:rPr>
        <w:t xml:space="preserve"> performance across different slices and validate its consistency in reconstructing 3D tissue structures from various reference points.</w:t>
      </w:r>
    </w:p>
    <w:p w14:paraId="6F5633CC" w14:textId="77777777" w:rsidR="00E436F9" w:rsidRPr="002C6459" w:rsidRDefault="00E436F9" w:rsidP="00E436F9">
      <w:pPr>
        <w:ind w:firstLine="720"/>
        <w:rPr>
          <w:rFonts w:ascii="Arial" w:eastAsia="Times New Roman" w:hAnsi="Arial" w:cs="Arial"/>
          <w:color w:val="4F81BD" w:themeColor="accent1"/>
          <w:shd w:val="clear" w:color="auto" w:fill="FFFFFF"/>
        </w:rPr>
      </w:pPr>
      <w:r w:rsidRPr="002C6459">
        <w:rPr>
          <w:rFonts w:ascii="Arial" w:eastAsia="Times New Roman" w:hAnsi="Arial" w:cs="Arial"/>
          <w:color w:val="4F81BD" w:themeColor="accent1"/>
          <w:shd w:val="clear" w:color="auto" w:fill="FFFFFF"/>
        </w:rPr>
        <w:t>We thank the reviewer for this suggestion</w:t>
      </w:r>
      <w:r>
        <w:rPr>
          <w:rFonts w:ascii="Arial" w:eastAsia="Times New Roman" w:hAnsi="Arial" w:cs="Arial"/>
          <w:color w:val="4F81BD" w:themeColor="accent1"/>
          <w:shd w:val="clear" w:color="auto" w:fill="FFFFFF"/>
        </w:rPr>
        <w:t xml:space="preserve"> to demonstrate the robustness of </w:t>
      </w:r>
      <w:proofErr w:type="spellStart"/>
      <w:r>
        <w:rPr>
          <w:rFonts w:ascii="Arial" w:eastAsia="Times New Roman" w:hAnsi="Arial" w:cs="Arial"/>
          <w:color w:val="4F81BD" w:themeColor="accent1"/>
          <w:shd w:val="clear" w:color="auto" w:fill="FFFFFF"/>
        </w:rPr>
        <w:t>scHolography</w:t>
      </w:r>
      <w:proofErr w:type="spellEnd"/>
      <w:r w:rsidRPr="002C6459">
        <w:rPr>
          <w:rFonts w:ascii="Arial" w:eastAsia="Times New Roman" w:hAnsi="Arial" w:cs="Arial"/>
          <w:color w:val="4F81BD" w:themeColor="accent1"/>
          <w:shd w:val="clear" w:color="auto" w:fill="FFFFFF"/>
        </w:rPr>
        <w:t xml:space="preserve">. We used </w:t>
      </w:r>
      <w:r>
        <w:rPr>
          <w:rFonts w:ascii="Arial" w:eastAsia="Times New Roman" w:hAnsi="Arial" w:cs="Arial"/>
          <w:color w:val="4F81BD" w:themeColor="accent1"/>
          <w:shd w:val="clear" w:color="auto" w:fill="FFFFFF"/>
        </w:rPr>
        <w:t>additional</w:t>
      </w:r>
      <w:r w:rsidRPr="002C6459">
        <w:rPr>
          <w:rFonts w:ascii="Arial" w:eastAsia="Times New Roman" w:hAnsi="Arial" w:cs="Arial"/>
          <w:color w:val="4F81BD" w:themeColor="accent1"/>
          <w:shd w:val="clear" w:color="auto" w:fill="FFFFFF"/>
        </w:rPr>
        <w:t xml:space="preserve"> </w:t>
      </w:r>
      <w:proofErr w:type="spellStart"/>
      <w:r w:rsidRPr="002C6459">
        <w:rPr>
          <w:rFonts w:ascii="Arial" w:eastAsia="Times New Roman" w:hAnsi="Arial" w:cs="Arial"/>
          <w:color w:val="4F81BD" w:themeColor="accent1"/>
          <w:shd w:val="clear" w:color="auto" w:fill="FFFFFF"/>
        </w:rPr>
        <w:t>Merfish</w:t>
      </w:r>
      <w:proofErr w:type="spellEnd"/>
      <w:r w:rsidRPr="002C6459">
        <w:rPr>
          <w:rFonts w:ascii="Arial" w:eastAsia="Times New Roman" w:hAnsi="Arial" w:cs="Arial"/>
          <w:color w:val="4F81BD" w:themeColor="accent1"/>
          <w:shd w:val="clear" w:color="auto" w:fill="FFFFFF"/>
        </w:rPr>
        <w:t xml:space="preserve"> data </w:t>
      </w:r>
      <w:r w:rsidRPr="002C6459">
        <w:rPr>
          <w:rFonts w:ascii="Arial" w:eastAsia="Times New Roman" w:hAnsi="Arial" w:cs="Arial"/>
          <w:color w:val="4F81BD" w:themeColor="accent1"/>
          <w:shd w:val="clear" w:color="auto" w:fill="FFFFFF"/>
        </w:rPr>
        <w:fldChar w:fldCharType="begin">
          <w:fldData xml:space="preserve">PEVuZE5vdGU+PENpdGU+PEF1dGhvcj5Nb2ZmaXR0PC9BdXRob3I+PFllYXI+MjAxODwvWWVhcj48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</w:fldData>
        </w:fldChar>
      </w:r>
      <w:r w:rsidRPr="002C6459">
        <w:rPr>
          <w:rFonts w:ascii="Arial" w:eastAsia="Times New Roman" w:hAnsi="Arial" w:cs="Arial"/>
          <w:color w:val="4F81BD" w:themeColor="accent1"/>
          <w:shd w:val="clear" w:color="auto" w:fill="FFFFFF"/>
        </w:rPr>
        <w:instrText xml:space="preserve"> ADDIN EN.CITE </w:instrText>
      </w:r>
      <w:r w:rsidRPr="002C6459">
        <w:rPr>
          <w:rFonts w:ascii="Arial" w:eastAsia="Times New Roman" w:hAnsi="Arial" w:cs="Arial"/>
          <w:color w:val="4F81BD" w:themeColor="accent1"/>
          <w:shd w:val="clear" w:color="auto" w:fill="FFFFFF"/>
        </w:rPr>
        <w:fldChar w:fldCharType="begin">
          <w:fldData xml:space="preserve">PEVuZE5vdGU+PENpdGU+PEF1dGhvcj5Nb2ZmaXR0PC9BdXRob3I+PFllYXI+MjAxODwvWWVhcj48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</w:fldData>
        </w:fldChar>
      </w:r>
      <w:r w:rsidRPr="002C6459">
        <w:rPr>
          <w:rFonts w:ascii="Arial" w:eastAsia="Times New Roman" w:hAnsi="Arial" w:cs="Arial"/>
          <w:color w:val="4F81BD" w:themeColor="accent1"/>
          <w:shd w:val="clear" w:color="auto" w:fill="FFFFFF"/>
        </w:rPr>
        <w:instrText xml:space="preserve"> ADDIN EN.CITE.DATA </w:instrText>
      </w:r>
      <w:r w:rsidRPr="002C6459">
        <w:rPr>
          <w:rFonts w:ascii="Arial" w:eastAsia="Times New Roman" w:hAnsi="Arial" w:cs="Arial"/>
          <w:color w:val="4F81BD" w:themeColor="accent1"/>
          <w:shd w:val="clear" w:color="auto" w:fill="FFFFFF"/>
        </w:rPr>
      </w:r>
      <w:r w:rsidRPr="002C6459">
        <w:rPr>
          <w:rFonts w:ascii="Arial" w:eastAsia="Times New Roman" w:hAnsi="Arial" w:cs="Arial"/>
          <w:color w:val="4F81BD" w:themeColor="accent1"/>
          <w:shd w:val="clear" w:color="auto" w:fill="FFFFFF"/>
        </w:rPr>
        <w:fldChar w:fldCharType="end"/>
      </w:r>
      <w:r w:rsidRPr="002C6459">
        <w:rPr>
          <w:rFonts w:ascii="Arial" w:eastAsia="Times New Roman" w:hAnsi="Arial" w:cs="Arial"/>
          <w:color w:val="4F81BD" w:themeColor="accent1"/>
          <w:shd w:val="clear" w:color="auto" w:fill="FFFFFF"/>
        </w:rPr>
      </w:r>
      <w:r w:rsidRPr="002C6459">
        <w:rPr>
          <w:rFonts w:ascii="Arial" w:eastAsia="Times New Roman" w:hAnsi="Arial" w:cs="Arial"/>
          <w:color w:val="4F81BD" w:themeColor="accent1"/>
          <w:shd w:val="clear" w:color="auto" w:fill="FFFFFF"/>
        </w:rPr>
        <w:fldChar w:fldCharType="separate"/>
      </w:r>
      <w:r w:rsidRPr="002C6459">
        <w:rPr>
          <w:rFonts w:ascii="Arial" w:eastAsia="Times New Roman" w:hAnsi="Arial" w:cs="Arial"/>
          <w:noProof/>
          <w:color w:val="4F81BD" w:themeColor="accent1"/>
          <w:shd w:val="clear" w:color="auto" w:fill="FFFFFF"/>
        </w:rPr>
        <w:t>(Moffitt et al., 2018)</w:t>
      </w:r>
      <w:r w:rsidRPr="002C6459">
        <w:rPr>
          <w:rFonts w:ascii="Arial" w:eastAsia="Times New Roman" w:hAnsi="Arial" w:cs="Arial"/>
          <w:color w:val="4F81BD" w:themeColor="accent1"/>
          <w:shd w:val="clear" w:color="auto" w:fill="FFFFFF"/>
        </w:rPr>
        <w:fldChar w:fldCharType="end"/>
      </w:r>
      <w:r>
        <w:rPr>
          <w:rFonts w:ascii="Arial" w:eastAsia="Times New Roman" w:hAnsi="Arial" w:cs="Arial"/>
          <w:color w:val="4F81BD" w:themeColor="accent1"/>
          <w:shd w:val="clear" w:color="auto" w:fill="FFFFFF"/>
        </w:rPr>
        <w:t xml:space="preserve"> and different slices as references for </w:t>
      </w:r>
      <w:proofErr w:type="spellStart"/>
      <w:r>
        <w:rPr>
          <w:rFonts w:ascii="Arial" w:eastAsia="Times New Roman" w:hAnsi="Arial" w:cs="Arial"/>
          <w:color w:val="4F81BD" w:themeColor="accent1"/>
          <w:shd w:val="clear" w:color="auto" w:fill="FFFFFF"/>
        </w:rPr>
        <w:t>scHolography</w:t>
      </w:r>
      <w:proofErr w:type="spellEnd"/>
      <w:r>
        <w:rPr>
          <w:rFonts w:ascii="Arial" w:eastAsia="Times New Roman" w:hAnsi="Arial" w:cs="Arial"/>
          <w:color w:val="4F81BD" w:themeColor="accent1"/>
          <w:shd w:val="clear" w:color="auto" w:fill="FFFFFF"/>
        </w:rPr>
        <w:t xml:space="preserve"> analysis</w:t>
      </w:r>
      <w:r w:rsidRPr="002C6459">
        <w:rPr>
          <w:rFonts w:ascii="Arial" w:eastAsia="Times New Roman" w:hAnsi="Arial" w:cs="Arial"/>
          <w:color w:val="4F81BD" w:themeColor="accent1"/>
          <w:shd w:val="clear" w:color="auto" w:fill="FFFFFF"/>
        </w:rPr>
        <w:t>. Specifically, we took Sample</w:t>
      </w:r>
      <w:r>
        <w:rPr>
          <w:rFonts w:ascii="Arial" w:eastAsia="Times New Roman" w:hAnsi="Arial" w:cs="Arial"/>
          <w:color w:val="4F81BD" w:themeColor="accent1"/>
          <w:shd w:val="clear" w:color="auto" w:fill="FFFFFF"/>
        </w:rPr>
        <w:t>s</w:t>
      </w:r>
      <w:r w:rsidRPr="002C6459">
        <w:rPr>
          <w:rFonts w:ascii="Arial" w:eastAsia="Times New Roman" w:hAnsi="Arial" w:cs="Arial"/>
          <w:color w:val="4F81BD" w:themeColor="accent1"/>
          <w:shd w:val="clear" w:color="auto" w:fill="FFFFFF"/>
        </w:rPr>
        <w:t xml:space="preserve"> 1 and 2 from Animal 1 at the central z-plane. The centroids of cells were calculated using the terra package. 1500 cells </w:t>
      </w:r>
      <w:r>
        <w:rPr>
          <w:noProof/>
        </w:rPr>
        <w:lastRenderedPageBreak/>
        <w:drawing>
          <wp:anchor distT="0" distB="0" distL="114300" distR="114300" simplePos="0" relativeHeight="251667456" behindDoc="1" locked="0" layoutInCell="1" allowOverlap="1" wp14:anchorId="2EC4BEDB" wp14:editId="4CDAAC27">
            <wp:simplePos x="0" y="0"/>
            <wp:positionH relativeFrom="column">
              <wp:posOffset>-15240</wp:posOffset>
            </wp:positionH>
            <wp:positionV relativeFrom="paragraph">
              <wp:posOffset>14605</wp:posOffset>
            </wp:positionV>
            <wp:extent cx="2926715" cy="4040505"/>
            <wp:effectExtent l="0" t="0" r="0" b="0"/>
            <wp:wrapTight wrapText="bothSides">
              <wp:wrapPolygon edited="0">
                <wp:start x="0" y="0"/>
                <wp:lineTo x="0" y="21522"/>
                <wp:lineTo x="21464" y="21522"/>
                <wp:lineTo x="21464" y="0"/>
                <wp:lineTo x="0" y="0"/>
              </wp:wrapPolygon>
            </wp:wrapTight>
            <wp:docPr id="1250733098" name="Picture 5"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33098" name="Picture 5" descr="A collage of graphs and diagram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6715" cy="4040505"/>
                    </a:xfrm>
                    <a:prstGeom prst="rect">
                      <a:avLst/>
                    </a:prstGeom>
                  </pic:spPr>
                </pic:pic>
              </a:graphicData>
            </a:graphic>
            <wp14:sizeRelH relativeFrom="margin">
              <wp14:pctWidth>0</wp14:pctWidth>
            </wp14:sizeRelH>
            <wp14:sizeRelV relativeFrom="margin">
              <wp14:pctHeight>0</wp14:pctHeight>
            </wp14:sizeRelV>
          </wp:anchor>
        </w:drawing>
      </w:r>
      <w:r w:rsidRPr="002C6459">
        <w:rPr>
          <w:rFonts w:ascii="Arial" w:eastAsia="Times New Roman" w:hAnsi="Arial" w:cs="Arial"/>
          <w:color w:val="4F81BD" w:themeColor="accent1"/>
          <w:shd w:val="clear" w:color="auto" w:fill="FFFFFF"/>
        </w:rPr>
        <w:t>were subsampled from each slice of Sample</w:t>
      </w:r>
      <w:r>
        <w:rPr>
          <w:rFonts w:ascii="Arial" w:eastAsia="Times New Roman" w:hAnsi="Arial" w:cs="Arial"/>
          <w:color w:val="4F81BD" w:themeColor="accent1"/>
          <w:shd w:val="clear" w:color="auto" w:fill="FFFFFF"/>
        </w:rPr>
        <w:t>s</w:t>
      </w:r>
      <w:r w:rsidRPr="002C6459">
        <w:rPr>
          <w:rFonts w:ascii="Arial" w:eastAsia="Times New Roman" w:hAnsi="Arial" w:cs="Arial"/>
          <w:color w:val="4F81BD" w:themeColor="accent1"/>
          <w:shd w:val="clear" w:color="auto" w:fill="FFFFFF"/>
        </w:rPr>
        <w:t xml:space="preserve"> 1 and 2. To reconstruct a stacked 2D structure of Sample</w:t>
      </w:r>
      <w:r>
        <w:rPr>
          <w:rFonts w:ascii="Arial" w:eastAsia="Times New Roman" w:hAnsi="Arial" w:cs="Arial"/>
          <w:color w:val="4F81BD" w:themeColor="accent1"/>
          <w:shd w:val="clear" w:color="auto" w:fill="FFFFFF"/>
        </w:rPr>
        <w:t>s</w:t>
      </w:r>
      <w:r w:rsidRPr="002C6459">
        <w:rPr>
          <w:rFonts w:ascii="Arial" w:eastAsia="Times New Roman" w:hAnsi="Arial" w:cs="Arial"/>
          <w:color w:val="4F81BD" w:themeColor="accent1"/>
          <w:shd w:val="clear" w:color="auto" w:fill="FFFFFF"/>
        </w:rPr>
        <w:t xml:space="preserve"> 1 and 2, PASTE package</w:t>
      </w:r>
      <w:r>
        <w:rPr>
          <w:rFonts w:ascii="Arial" w:eastAsia="Times New Roman" w:hAnsi="Arial" w:cs="Arial"/>
          <w:color w:val="4F81BD" w:themeColor="accent1"/>
          <w:shd w:val="clear" w:color="auto" w:fill="FFFFFF"/>
        </w:rPr>
        <w:t xml:space="preserve"> </w:t>
      </w:r>
      <w:r w:rsidRPr="002C6459">
        <w:rPr>
          <w:rFonts w:ascii="Arial" w:eastAsia="Times New Roman" w:hAnsi="Arial" w:cs="Arial"/>
          <w:color w:val="4F81BD" w:themeColor="accent1"/>
          <w:shd w:val="clear" w:color="auto" w:fill="FFFFFF"/>
        </w:rPr>
        <w:fldChar w:fldCharType="begin"/>
      </w:r>
      <w:r w:rsidRPr="002C6459">
        <w:rPr>
          <w:rFonts w:ascii="Arial" w:eastAsia="Times New Roman" w:hAnsi="Arial" w:cs="Arial"/>
          <w:color w:val="4F81BD" w:themeColor="accent1"/>
          <w:shd w:val="clear" w:color="auto" w:fill="FFFFFF"/>
        </w:rPr>
        <w:instrText xml:space="preserve"> ADDIN EN.CITE &lt;EndNote&gt;&lt;Cite&gt;&lt;Author&gt;Zeira&lt;/Author&gt;&lt;Year&gt;2022&lt;/Year&gt;&lt;RecNum&gt;0&lt;/RecNum&gt;&lt;IDText&gt;Alignment and integration of spatial transcriptomics data&lt;/IDText&gt;&lt;DisplayText&gt;(Zeira et al., 2022)&lt;/DisplayText&gt;&lt;record&gt;&lt;dates&gt;&lt;pub-dates&gt;&lt;date&gt;May&lt;/date&gt;&lt;/pub-dates&gt;&lt;year&gt;2022&lt;/year&gt;&lt;/dates&gt;&lt;keywords&gt;&lt;keyword&gt;Algorithms&lt;/keyword&gt;&lt;keyword&gt;Transcriptome&lt;/keyword&gt;&lt;/keywords&gt;&lt;urls&gt;&lt;related-urls&gt;&lt;url&gt;https://www.ncbi.nlm.nih.gov/pubmed/35577957&lt;/url&gt;&lt;/related-urls&gt;&lt;/urls&gt;&lt;isbn&gt;1548-7105&lt;/isbn&gt;&lt;custom2&gt;PMC9334025&lt;/custom2&gt;&lt;custom1&gt;6 Competing Interests. B.J.R. is a cofounder of, and consultant to, Medley Genomics. The other authors declare no competing interests.&lt;/custom1&gt;&lt;titles&gt;&lt;title&gt;Alignment and integration of spatial transcriptomics data&lt;/title&gt;&lt;secondary-title&gt;Nat Methods&lt;/secondary-title&gt;&lt;/titles&gt;&lt;pages&gt;567-575&lt;/pages&gt;&lt;number&gt;5&lt;/number&gt;&lt;contributors&gt;&lt;authors&gt;&lt;author&gt;Zeira, R.&lt;/author&gt;&lt;author&gt;Land, M.&lt;/author&gt;&lt;author&gt;Strzalkowski, A.&lt;/author&gt;&lt;author&gt;Raphael, B. J.&lt;/author&gt;&lt;/authors&gt;&lt;/contributors&gt;&lt;edition&gt;20220516&lt;/edition&gt;&lt;language&gt;eng&lt;/language&gt;&lt;added-date format="utc"&gt;1708005035&lt;/added-date&gt;&lt;ref-type name="Journal Article"&gt;17&lt;/ref-type&gt;&lt;auth-address&gt;Department of Computer Science, Princeton University, Princeton, NJ, USA. Department of Computer Science, Princeton University, Princeton, NJ, USA. braphael@princeton.edu.&lt;/auth-address&gt;&lt;rec-number&gt;384&lt;/rec-number&gt;&lt;last-updated-date format="utc"&gt;1708005035&lt;/last-updated-date&gt;&lt;accession-num&gt;35577957&lt;/accession-num&gt;&lt;electronic-resource-num&gt;10.1038/s41592-022-01459-6&lt;/electronic-resource-num&gt;&lt;volume&gt;19&lt;/volume&gt;&lt;/record&gt;&lt;/Cite&gt;&lt;/EndNote&gt;</w:instrText>
      </w:r>
      <w:r w:rsidRPr="002C6459">
        <w:rPr>
          <w:rFonts w:ascii="Arial" w:eastAsia="Times New Roman" w:hAnsi="Arial" w:cs="Arial"/>
          <w:color w:val="4F81BD" w:themeColor="accent1"/>
          <w:shd w:val="clear" w:color="auto" w:fill="FFFFFF"/>
        </w:rPr>
        <w:fldChar w:fldCharType="separate"/>
      </w:r>
      <w:r w:rsidRPr="002C6459">
        <w:rPr>
          <w:rFonts w:ascii="Arial" w:eastAsia="Times New Roman" w:hAnsi="Arial" w:cs="Arial"/>
          <w:noProof/>
          <w:color w:val="4F81BD" w:themeColor="accent1"/>
          <w:shd w:val="clear" w:color="auto" w:fill="FFFFFF"/>
        </w:rPr>
        <w:t>(Zeira et al., 2022)</w:t>
      </w:r>
      <w:r w:rsidRPr="002C6459">
        <w:rPr>
          <w:rFonts w:ascii="Arial" w:eastAsia="Times New Roman" w:hAnsi="Arial" w:cs="Arial"/>
          <w:color w:val="4F81BD" w:themeColor="accent1"/>
          <w:shd w:val="clear" w:color="auto" w:fill="FFFFFF"/>
        </w:rPr>
        <w:fldChar w:fldCharType="end"/>
      </w:r>
      <w:r w:rsidRPr="002C6459">
        <w:rPr>
          <w:rFonts w:ascii="Arial" w:eastAsia="Times New Roman" w:hAnsi="Arial" w:cs="Arial"/>
          <w:color w:val="4F81BD" w:themeColor="accent1"/>
          <w:shd w:val="clear" w:color="auto" w:fill="FFFFFF"/>
        </w:rPr>
        <w:t xml:space="preserve"> was used to conduct pairwise slice alignment for slices of each sample. Data was normalized by Seurat </w:t>
      </w:r>
      <w:proofErr w:type="spellStart"/>
      <w:r w:rsidRPr="002C6459">
        <w:rPr>
          <w:rFonts w:ascii="Arial" w:eastAsia="Times New Roman" w:hAnsi="Arial" w:cs="Arial"/>
          <w:color w:val="4F81BD" w:themeColor="accent1"/>
          <w:shd w:val="clear" w:color="auto" w:fill="FFFFFF"/>
        </w:rPr>
        <w:t>SCTransform</w:t>
      </w:r>
      <w:proofErr w:type="spellEnd"/>
      <w:r w:rsidRPr="002C6459">
        <w:rPr>
          <w:rFonts w:ascii="Arial" w:eastAsia="Times New Roman" w:hAnsi="Arial" w:cs="Arial"/>
          <w:color w:val="4F81BD" w:themeColor="accent1"/>
          <w:shd w:val="clear" w:color="auto" w:fill="FFFFFF"/>
        </w:rPr>
        <w:t xml:space="preserve">. Cells from </w:t>
      </w:r>
      <w:r>
        <w:rPr>
          <w:rFonts w:ascii="Arial" w:eastAsia="Times New Roman" w:hAnsi="Arial" w:cs="Arial"/>
          <w:color w:val="4F81BD" w:themeColor="accent1"/>
          <w:shd w:val="clear" w:color="auto" w:fill="FFFFFF"/>
        </w:rPr>
        <w:t>6</w:t>
      </w:r>
      <w:r w:rsidRPr="002C6459">
        <w:rPr>
          <w:rFonts w:ascii="Arial" w:eastAsia="Times New Roman" w:hAnsi="Arial" w:cs="Arial"/>
          <w:color w:val="4F81BD" w:themeColor="accent1"/>
          <w:shd w:val="clear" w:color="auto" w:fill="FFFFFF"/>
        </w:rPr>
        <w:t xml:space="preserve"> slices of Sample 1 were reconstructed twice using slice 10 </w:t>
      </w:r>
      <w:r>
        <w:rPr>
          <w:rFonts w:ascii="Arial" w:eastAsia="Times New Roman" w:hAnsi="Arial" w:cs="Arial"/>
          <w:color w:val="4F81BD" w:themeColor="accent1"/>
          <w:shd w:val="clear" w:color="auto" w:fill="FFFFFF"/>
        </w:rPr>
        <w:t>or</w:t>
      </w:r>
      <w:r w:rsidRPr="002C6459">
        <w:rPr>
          <w:rFonts w:ascii="Arial" w:eastAsia="Times New Roman" w:hAnsi="Arial" w:cs="Arial"/>
          <w:color w:val="4F81BD" w:themeColor="accent1"/>
          <w:shd w:val="clear" w:color="auto" w:fill="FFFFFF"/>
        </w:rPr>
        <w:t xml:space="preserve"> slice 500 as the reference</w:t>
      </w:r>
      <w:r>
        <w:rPr>
          <w:rFonts w:ascii="Arial" w:eastAsia="Times New Roman" w:hAnsi="Arial" w:cs="Arial"/>
          <w:color w:val="4F81BD" w:themeColor="accent1"/>
          <w:shd w:val="clear" w:color="auto" w:fill="FFFFFF"/>
        </w:rPr>
        <w:t>,</w:t>
      </w:r>
      <w:r w:rsidRPr="002C6459">
        <w:rPr>
          <w:rFonts w:ascii="Arial" w:eastAsia="Times New Roman" w:hAnsi="Arial" w:cs="Arial"/>
          <w:color w:val="4F81BD" w:themeColor="accent1"/>
          <w:shd w:val="clear" w:color="auto" w:fill="FFFFFF"/>
        </w:rPr>
        <w:t xml:space="preserve"> respectively. Similarly, cells from </w:t>
      </w:r>
      <w:r>
        <w:rPr>
          <w:rFonts w:ascii="Arial" w:eastAsia="Times New Roman" w:hAnsi="Arial" w:cs="Arial"/>
          <w:color w:val="4F81BD" w:themeColor="accent1"/>
          <w:shd w:val="clear" w:color="auto" w:fill="FFFFFF"/>
        </w:rPr>
        <w:t>5</w:t>
      </w:r>
      <w:r w:rsidRPr="002C6459">
        <w:rPr>
          <w:rFonts w:ascii="Arial" w:eastAsia="Times New Roman" w:hAnsi="Arial" w:cs="Arial"/>
          <w:color w:val="4F81BD" w:themeColor="accent1"/>
          <w:shd w:val="clear" w:color="auto" w:fill="FFFFFF"/>
        </w:rPr>
        <w:t xml:space="preserve"> slices of Sample 2 were reconstructed twice using slice 620 </w:t>
      </w:r>
      <w:r>
        <w:rPr>
          <w:rFonts w:ascii="Arial" w:eastAsia="Times New Roman" w:hAnsi="Arial" w:cs="Arial"/>
          <w:color w:val="4F81BD" w:themeColor="accent1"/>
          <w:shd w:val="clear" w:color="auto" w:fill="FFFFFF"/>
        </w:rPr>
        <w:t xml:space="preserve">or </w:t>
      </w:r>
      <w:r w:rsidRPr="002C6459">
        <w:rPr>
          <w:rFonts w:ascii="Arial" w:eastAsia="Times New Roman" w:hAnsi="Arial" w:cs="Arial"/>
          <w:color w:val="4F81BD" w:themeColor="accent1"/>
          <w:shd w:val="clear" w:color="auto" w:fill="FFFFFF"/>
        </w:rPr>
        <w:t>slice 1020 as the reference</w:t>
      </w:r>
      <w:r>
        <w:rPr>
          <w:rFonts w:ascii="Arial" w:eastAsia="Times New Roman" w:hAnsi="Arial" w:cs="Arial"/>
          <w:color w:val="4F81BD" w:themeColor="accent1"/>
          <w:shd w:val="clear" w:color="auto" w:fill="FFFFFF"/>
        </w:rPr>
        <w:t>,</w:t>
      </w:r>
      <w:r w:rsidRPr="002C6459">
        <w:rPr>
          <w:rFonts w:ascii="Arial" w:eastAsia="Times New Roman" w:hAnsi="Arial" w:cs="Arial"/>
          <w:color w:val="4F81BD" w:themeColor="accent1"/>
          <w:shd w:val="clear" w:color="auto" w:fill="FFFFFF"/>
        </w:rPr>
        <w:t xml:space="preserve"> respectively.</w:t>
      </w:r>
    </w:p>
    <w:p w14:paraId="590E1650" w14:textId="77777777" w:rsidR="00E436F9" w:rsidRDefault="00E436F9" w:rsidP="00E436F9">
      <w:pPr>
        <w:rPr>
          <w:rFonts w:ascii="Arial" w:hAnsi="Arial" w:cs="Arial"/>
          <w:b/>
          <w:bCs/>
          <w:sz w:val="18"/>
          <w:szCs w:val="18"/>
        </w:rPr>
      </w:pPr>
    </w:p>
    <w:p w14:paraId="0C7AE8FC" w14:textId="77777777" w:rsidR="00E436F9" w:rsidRPr="00A120EF" w:rsidRDefault="00E436F9" w:rsidP="00E436F9">
      <w:pPr>
        <w:rPr>
          <w:rFonts w:ascii="Arial" w:eastAsia="Times New Roman" w:hAnsi="Arial" w:cs="Arial"/>
          <w:color w:val="4F81BD" w:themeColor="accent1"/>
          <w:shd w:val="clear" w:color="auto" w:fill="FFFFFF"/>
        </w:rPr>
      </w:pPr>
      <w:r w:rsidRPr="0023093E">
        <w:rPr>
          <w:rFonts w:ascii="Arial" w:hAnsi="Arial" w:cs="Arial"/>
          <w:b/>
          <w:bCs/>
          <w:sz w:val="18"/>
          <w:szCs w:val="18"/>
        </w:rPr>
        <w:t xml:space="preserve">Figure </w:t>
      </w:r>
      <w:r>
        <w:rPr>
          <w:rFonts w:ascii="Arial" w:hAnsi="Arial" w:cs="Arial" w:hint="eastAsia"/>
          <w:b/>
          <w:bCs/>
          <w:sz w:val="18"/>
          <w:szCs w:val="18"/>
        </w:rPr>
        <w:t>4</w:t>
      </w:r>
      <w:r w:rsidRPr="0023093E">
        <w:rPr>
          <w:rFonts w:ascii="Arial" w:hAnsi="Arial" w:cs="Arial"/>
          <w:b/>
          <w:bCs/>
          <w:sz w:val="18"/>
          <w:szCs w:val="18"/>
        </w:rPr>
        <w:t xml:space="preserve">. a, </w:t>
      </w:r>
      <w:r w:rsidRPr="0023093E">
        <w:rPr>
          <w:rFonts w:ascii="Arial" w:hAnsi="Arial" w:cs="Arial"/>
          <w:sz w:val="18"/>
          <w:szCs w:val="18"/>
        </w:rPr>
        <w:t xml:space="preserve">Stacked-2D plot of </w:t>
      </w:r>
      <w:proofErr w:type="spellStart"/>
      <w:r w:rsidRPr="0023093E">
        <w:rPr>
          <w:rFonts w:ascii="Arial" w:hAnsi="Arial" w:cs="Arial"/>
          <w:sz w:val="18"/>
          <w:szCs w:val="18"/>
        </w:rPr>
        <w:t>Merfish</w:t>
      </w:r>
      <w:proofErr w:type="spellEnd"/>
      <w:r w:rsidRPr="0023093E">
        <w:rPr>
          <w:rFonts w:ascii="Arial" w:hAnsi="Arial" w:cs="Arial"/>
          <w:sz w:val="18"/>
          <w:szCs w:val="18"/>
        </w:rPr>
        <w:t xml:space="preserve"> mouse cortex sample 1 (slice 10, 100, 210, 310, 400, and 500) colored by the slice. b, Stacked-2D plot of </w:t>
      </w:r>
      <w:proofErr w:type="spellStart"/>
      <w:r w:rsidRPr="0023093E">
        <w:rPr>
          <w:rFonts w:ascii="Arial" w:hAnsi="Arial" w:cs="Arial"/>
          <w:sz w:val="18"/>
          <w:szCs w:val="18"/>
        </w:rPr>
        <w:t>Merfish</w:t>
      </w:r>
      <w:proofErr w:type="spellEnd"/>
      <w:r w:rsidRPr="0023093E">
        <w:rPr>
          <w:rFonts w:ascii="Arial" w:hAnsi="Arial" w:cs="Arial"/>
          <w:sz w:val="18"/>
          <w:szCs w:val="18"/>
        </w:rPr>
        <w:t xml:space="preserve"> mouse cortex sample </w:t>
      </w:r>
      <w:r>
        <w:rPr>
          <w:rFonts w:ascii="Arial" w:hAnsi="Arial" w:cs="Arial" w:hint="eastAsia"/>
          <w:sz w:val="18"/>
          <w:szCs w:val="18"/>
        </w:rPr>
        <w:t xml:space="preserve">1 </w:t>
      </w:r>
      <w:r w:rsidRPr="0023093E">
        <w:rPr>
          <w:rFonts w:ascii="Arial" w:hAnsi="Arial" w:cs="Arial"/>
          <w:sz w:val="18"/>
          <w:szCs w:val="18"/>
        </w:rPr>
        <w:t xml:space="preserve">colored by cell types. </w:t>
      </w:r>
      <w:r w:rsidRPr="0023093E">
        <w:rPr>
          <w:rFonts w:ascii="Arial" w:hAnsi="Arial" w:cs="Arial"/>
          <w:b/>
          <w:bCs/>
          <w:sz w:val="18"/>
          <w:szCs w:val="18"/>
        </w:rPr>
        <w:t>c-d,</w:t>
      </w:r>
      <w:r w:rsidRPr="0023093E">
        <w:rPr>
          <w:rFonts w:ascii="Arial" w:hAnsi="Arial" w:cs="Arial"/>
          <w:sz w:val="18"/>
          <w:szCs w:val="18"/>
        </w:rPr>
        <w:t xml:space="preserve"> 3D visualization of </w:t>
      </w:r>
      <w:proofErr w:type="spellStart"/>
      <w:r w:rsidRPr="0023093E">
        <w:rPr>
          <w:rFonts w:ascii="Arial" w:hAnsi="Arial" w:cs="Arial"/>
          <w:sz w:val="18"/>
          <w:szCs w:val="18"/>
        </w:rPr>
        <w:t>Merfish</w:t>
      </w:r>
      <w:proofErr w:type="spellEnd"/>
      <w:r w:rsidRPr="0023093E">
        <w:rPr>
          <w:rFonts w:ascii="Arial" w:hAnsi="Arial" w:cs="Arial"/>
          <w:sz w:val="18"/>
          <w:szCs w:val="18"/>
        </w:rPr>
        <w:t xml:space="preserve"> sample1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reconstruction result. </w:t>
      </w:r>
      <w:r w:rsidRPr="0023093E">
        <w:rPr>
          <w:rFonts w:ascii="Arial" w:hAnsi="Arial" w:cs="Arial"/>
          <w:b/>
          <w:bCs/>
          <w:sz w:val="18"/>
          <w:szCs w:val="18"/>
        </w:rPr>
        <w:t>c,</w:t>
      </w:r>
      <w:r w:rsidRPr="0023093E">
        <w:rPr>
          <w:rFonts w:ascii="Arial" w:hAnsi="Arial" w:cs="Arial"/>
          <w:sz w:val="18"/>
          <w:szCs w:val="18"/>
        </w:rPr>
        <w:t xml:space="preserve"> use slice 10 as the reference; </w:t>
      </w:r>
      <w:r w:rsidRPr="0023093E">
        <w:rPr>
          <w:rFonts w:ascii="Arial" w:hAnsi="Arial" w:cs="Arial"/>
          <w:b/>
          <w:bCs/>
          <w:sz w:val="18"/>
          <w:szCs w:val="18"/>
        </w:rPr>
        <w:t>d,</w:t>
      </w:r>
      <w:r w:rsidRPr="0023093E">
        <w:rPr>
          <w:rFonts w:ascii="Arial" w:hAnsi="Arial" w:cs="Arial"/>
          <w:sz w:val="18"/>
          <w:szCs w:val="18"/>
        </w:rPr>
        <w:t xml:space="preserve"> use slice 500 as the reference. </w:t>
      </w:r>
      <w:r w:rsidRPr="0023093E">
        <w:rPr>
          <w:rFonts w:ascii="Arial" w:hAnsi="Arial" w:cs="Arial"/>
          <w:b/>
          <w:bCs/>
          <w:sz w:val="18"/>
          <w:szCs w:val="18"/>
        </w:rPr>
        <w:t>e-f,</w:t>
      </w:r>
      <w:r w:rsidRPr="0023093E">
        <w:rPr>
          <w:rFonts w:ascii="Arial" w:hAnsi="Arial" w:cs="Arial"/>
          <w:sz w:val="18"/>
          <w:szCs w:val="18"/>
        </w:rPr>
        <w:t xml:space="preserve"> SMN distances from L2/3 IT, L4/5 IT, L5 IT, L6 IT to L6 IT in </w:t>
      </w:r>
      <w:proofErr w:type="spellStart"/>
      <w:r w:rsidRPr="0023093E">
        <w:rPr>
          <w:rFonts w:ascii="Arial" w:hAnsi="Arial" w:cs="Arial"/>
          <w:sz w:val="18"/>
          <w:szCs w:val="18"/>
        </w:rPr>
        <w:t>Merfish</w:t>
      </w:r>
      <w:proofErr w:type="spellEnd"/>
      <w:r w:rsidRPr="0023093E">
        <w:rPr>
          <w:rFonts w:ascii="Arial" w:hAnsi="Arial" w:cs="Arial"/>
          <w:sz w:val="18"/>
          <w:szCs w:val="18"/>
        </w:rPr>
        <w:t xml:space="preserve"> sample1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prediction</w:t>
      </w:r>
      <w:r>
        <w:rPr>
          <w:rFonts w:ascii="Arial" w:hAnsi="Arial" w:cs="Arial"/>
          <w:sz w:val="18"/>
          <w:szCs w:val="18"/>
        </w:rPr>
        <w:t xml:space="preserve">. </w:t>
      </w:r>
      <w:r w:rsidRPr="0023093E">
        <w:rPr>
          <w:rFonts w:ascii="Arial" w:hAnsi="Arial" w:cs="Arial"/>
          <w:b/>
          <w:bCs/>
          <w:sz w:val="18"/>
          <w:szCs w:val="18"/>
        </w:rPr>
        <w:t>e,</w:t>
      </w:r>
      <w:r w:rsidRPr="0023093E">
        <w:rPr>
          <w:rFonts w:ascii="Arial" w:hAnsi="Arial" w:cs="Arial"/>
          <w:sz w:val="18"/>
          <w:szCs w:val="18"/>
        </w:rPr>
        <w:t xml:space="preserve"> use slice 10 as the reference; </w:t>
      </w:r>
      <w:r w:rsidRPr="0023093E">
        <w:rPr>
          <w:rFonts w:ascii="Arial" w:hAnsi="Arial" w:cs="Arial"/>
          <w:b/>
          <w:bCs/>
          <w:sz w:val="18"/>
          <w:szCs w:val="18"/>
        </w:rPr>
        <w:t>f,</w:t>
      </w:r>
      <w:r w:rsidRPr="0023093E">
        <w:rPr>
          <w:rFonts w:ascii="Arial" w:hAnsi="Arial" w:cs="Arial"/>
          <w:sz w:val="18"/>
          <w:szCs w:val="18"/>
        </w:rPr>
        <w:t xml:space="preserve"> use slice 500 as the reference. </w:t>
      </w:r>
      <w:r w:rsidRPr="0023093E">
        <w:rPr>
          <w:rFonts w:ascii="Arial" w:hAnsi="Arial" w:cs="Arial"/>
          <w:b/>
          <w:bCs/>
          <w:sz w:val="18"/>
          <w:szCs w:val="18"/>
        </w:rPr>
        <w:t>g-h,</w:t>
      </w:r>
      <w:r w:rsidRPr="0023093E">
        <w:rPr>
          <w:rFonts w:ascii="Arial" w:hAnsi="Arial" w:cs="Arial"/>
          <w:sz w:val="18"/>
          <w:szCs w:val="18"/>
        </w:rPr>
        <w:t xml:space="preserve"> SMN distances from slice 10, 100, 210, 310, 400, and 500 to slice 10 in </w:t>
      </w:r>
      <w:proofErr w:type="spellStart"/>
      <w:r w:rsidRPr="0023093E">
        <w:rPr>
          <w:rFonts w:ascii="Arial" w:hAnsi="Arial" w:cs="Arial"/>
          <w:sz w:val="18"/>
          <w:szCs w:val="18"/>
        </w:rPr>
        <w:t>Merfish</w:t>
      </w:r>
      <w:proofErr w:type="spellEnd"/>
      <w:r w:rsidRPr="0023093E">
        <w:rPr>
          <w:rFonts w:ascii="Arial" w:hAnsi="Arial" w:cs="Arial"/>
          <w:sz w:val="18"/>
          <w:szCs w:val="18"/>
        </w:rPr>
        <w:t xml:space="preserve"> sample 1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prediction. </w:t>
      </w:r>
      <w:r w:rsidRPr="0023093E">
        <w:rPr>
          <w:rFonts w:ascii="Arial" w:hAnsi="Arial" w:cs="Arial"/>
          <w:b/>
          <w:bCs/>
          <w:sz w:val="18"/>
          <w:szCs w:val="18"/>
        </w:rPr>
        <w:t>g,</w:t>
      </w:r>
      <w:r w:rsidRPr="0023093E">
        <w:rPr>
          <w:rFonts w:ascii="Arial" w:hAnsi="Arial" w:cs="Arial"/>
          <w:sz w:val="18"/>
          <w:szCs w:val="18"/>
        </w:rPr>
        <w:t xml:space="preserve"> use slice 10 as the reference; </w:t>
      </w:r>
      <w:r w:rsidRPr="002D18F3">
        <w:rPr>
          <w:rFonts w:ascii="Arial" w:hAnsi="Arial" w:cs="Arial"/>
          <w:b/>
          <w:bCs/>
          <w:sz w:val="18"/>
          <w:szCs w:val="18"/>
        </w:rPr>
        <w:t>h</w:t>
      </w:r>
      <w:r w:rsidRPr="0023093E">
        <w:rPr>
          <w:rFonts w:ascii="Arial" w:hAnsi="Arial" w:cs="Arial"/>
          <w:sz w:val="18"/>
          <w:szCs w:val="18"/>
        </w:rPr>
        <w:t>, use slice 500 as the reference.</w:t>
      </w:r>
    </w:p>
    <w:p w14:paraId="6248D0EE" w14:textId="77777777" w:rsidR="00E436F9" w:rsidRDefault="00E436F9" w:rsidP="00E436F9">
      <w:pPr>
        <w:rPr>
          <w:rFonts w:ascii="Arial" w:hAnsi="Arial" w:cs="Arial"/>
          <w:b/>
          <w:bCs/>
          <w:sz w:val="18"/>
          <w:szCs w:val="18"/>
        </w:rPr>
      </w:pPr>
    </w:p>
    <w:p w14:paraId="1E841BF2" w14:textId="77777777" w:rsidR="00E436F9" w:rsidRDefault="00E436F9" w:rsidP="00E436F9">
      <w:pPr>
        <w:rPr>
          <w:rFonts w:ascii="Arial" w:hAnsi="Arial" w:cs="Arial"/>
          <w:b/>
          <w:bCs/>
          <w:sz w:val="18"/>
          <w:szCs w:val="18"/>
        </w:rPr>
      </w:pPr>
    </w:p>
    <w:p w14:paraId="4D30D274" w14:textId="77777777" w:rsidR="00E436F9" w:rsidRPr="0023093E" w:rsidRDefault="00E436F9" w:rsidP="00E436F9">
      <w:pPr>
        <w:rPr>
          <w:rFonts w:ascii="Arial" w:hAnsi="Arial" w:cs="Arial"/>
          <w:sz w:val="18"/>
          <w:szCs w:val="18"/>
        </w:rPr>
      </w:pPr>
      <w:r>
        <w:rPr>
          <w:rFonts w:ascii="Arial" w:eastAsia="Times New Roman" w:hAnsi="Arial" w:cs="Arial"/>
          <w:noProof/>
          <w:color w:val="4F81BD" w:themeColor="accent1"/>
        </w:rPr>
        <w:lastRenderedPageBreak/>
        <w:drawing>
          <wp:anchor distT="0" distB="0" distL="114300" distR="114300" simplePos="0" relativeHeight="251666432" behindDoc="1" locked="0" layoutInCell="1" allowOverlap="1" wp14:anchorId="7C0B30C7" wp14:editId="545B2F9D">
            <wp:simplePos x="0" y="0"/>
            <wp:positionH relativeFrom="column">
              <wp:posOffset>-20320</wp:posOffset>
            </wp:positionH>
            <wp:positionV relativeFrom="paragraph">
              <wp:posOffset>635</wp:posOffset>
            </wp:positionV>
            <wp:extent cx="2936096" cy="4059936"/>
            <wp:effectExtent l="0" t="0" r="0" b="4445"/>
            <wp:wrapTight wrapText="bothSides">
              <wp:wrapPolygon edited="0">
                <wp:start x="0" y="0"/>
                <wp:lineTo x="0" y="21556"/>
                <wp:lineTo x="21493" y="21556"/>
                <wp:lineTo x="21493" y="0"/>
                <wp:lineTo x="0" y="0"/>
              </wp:wrapPolygon>
            </wp:wrapTight>
            <wp:docPr id="585346335" name="Picture 6" descr="A collage of diagrams showing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346335" name="Picture 6" descr="A collage of diagrams showing different colored squares&#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71" r="-171"/>
                    <a:stretch/>
                  </pic:blipFill>
                  <pic:spPr>
                    <a:xfrm>
                      <a:off x="0" y="0"/>
                      <a:ext cx="2936096" cy="4059936"/>
                    </a:xfrm>
                    <a:prstGeom prst="rect">
                      <a:avLst/>
                    </a:prstGeom>
                  </pic:spPr>
                </pic:pic>
              </a:graphicData>
            </a:graphic>
            <wp14:sizeRelH relativeFrom="margin">
              <wp14:pctWidth>0</wp14:pctWidth>
            </wp14:sizeRelH>
            <wp14:sizeRelV relativeFrom="margin">
              <wp14:pctHeight>0</wp14:pctHeight>
            </wp14:sizeRelV>
          </wp:anchor>
        </w:drawing>
      </w:r>
      <w:r w:rsidRPr="0023093E">
        <w:rPr>
          <w:rFonts w:ascii="Arial" w:hAnsi="Arial" w:cs="Arial"/>
          <w:b/>
          <w:bCs/>
          <w:sz w:val="18"/>
          <w:szCs w:val="18"/>
        </w:rPr>
        <w:t xml:space="preserve">Figure </w:t>
      </w:r>
      <w:r>
        <w:rPr>
          <w:rFonts w:ascii="Arial" w:hAnsi="Arial" w:cs="Arial" w:hint="eastAsia"/>
          <w:b/>
          <w:bCs/>
          <w:sz w:val="18"/>
          <w:szCs w:val="18"/>
        </w:rPr>
        <w:t>5</w:t>
      </w:r>
      <w:r w:rsidRPr="0023093E">
        <w:rPr>
          <w:rFonts w:ascii="Arial" w:hAnsi="Arial" w:cs="Arial"/>
          <w:b/>
          <w:bCs/>
          <w:sz w:val="18"/>
          <w:szCs w:val="18"/>
        </w:rPr>
        <w:t xml:space="preserve">. a, </w:t>
      </w:r>
      <w:r w:rsidRPr="0023093E">
        <w:rPr>
          <w:rFonts w:ascii="Arial" w:hAnsi="Arial" w:cs="Arial"/>
          <w:sz w:val="18"/>
          <w:szCs w:val="18"/>
        </w:rPr>
        <w:t xml:space="preserve">Stacked-2D plot of </w:t>
      </w:r>
      <w:proofErr w:type="spellStart"/>
      <w:r w:rsidRPr="0023093E">
        <w:rPr>
          <w:rFonts w:ascii="Arial" w:hAnsi="Arial" w:cs="Arial"/>
          <w:sz w:val="18"/>
          <w:szCs w:val="18"/>
        </w:rPr>
        <w:t>Merfish</w:t>
      </w:r>
      <w:proofErr w:type="spellEnd"/>
      <w:r w:rsidRPr="0023093E">
        <w:rPr>
          <w:rFonts w:ascii="Arial" w:hAnsi="Arial" w:cs="Arial"/>
          <w:sz w:val="18"/>
          <w:szCs w:val="18"/>
        </w:rPr>
        <w:t xml:space="preserve"> mouse cortex sample 2 (620, 710, 810, 910, and 1020) colored by the slice. </w:t>
      </w:r>
      <w:r w:rsidRPr="0023093E">
        <w:rPr>
          <w:rFonts w:ascii="Arial" w:hAnsi="Arial" w:cs="Arial"/>
          <w:b/>
          <w:bCs/>
          <w:sz w:val="18"/>
          <w:szCs w:val="18"/>
        </w:rPr>
        <w:t>b,</w:t>
      </w:r>
      <w:r w:rsidRPr="0023093E">
        <w:rPr>
          <w:rFonts w:ascii="Arial" w:hAnsi="Arial" w:cs="Arial"/>
          <w:sz w:val="18"/>
          <w:szCs w:val="18"/>
        </w:rPr>
        <w:t xml:space="preserve"> Stacked-2D plot of </w:t>
      </w:r>
      <w:proofErr w:type="spellStart"/>
      <w:r w:rsidRPr="0023093E">
        <w:rPr>
          <w:rFonts w:ascii="Arial" w:hAnsi="Arial" w:cs="Arial"/>
          <w:sz w:val="18"/>
          <w:szCs w:val="18"/>
        </w:rPr>
        <w:t>Merfish</w:t>
      </w:r>
      <w:proofErr w:type="spellEnd"/>
      <w:r w:rsidRPr="0023093E">
        <w:rPr>
          <w:rFonts w:ascii="Arial" w:hAnsi="Arial" w:cs="Arial"/>
          <w:sz w:val="18"/>
          <w:szCs w:val="18"/>
        </w:rPr>
        <w:t xml:space="preserve"> mouse cortex sample colored by cell types. </w:t>
      </w:r>
      <w:r w:rsidRPr="0023093E">
        <w:rPr>
          <w:rFonts w:ascii="Arial" w:hAnsi="Arial" w:cs="Arial"/>
          <w:b/>
          <w:bCs/>
          <w:sz w:val="18"/>
          <w:szCs w:val="18"/>
        </w:rPr>
        <w:t>c-d,</w:t>
      </w:r>
      <w:r w:rsidRPr="0023093E">
        <w:rPr>
          <w:rFonts w:ascii="Arial" w:hAnsi="Arial" w:cs="Arial"/>
          <w:sz w:val="18"/>
          <w:szCs w:val="18"/>
        </w:rPr>
        <w:t xml:space="preserve"> 3D visualization of </w:t>
      </w:r>
      <w:proofErr w:type="spellStart"/>
      <w:r w:rsidRPr="0023093E">
        <w:rPr>
          <w:rFonts w:ascii="Arial" w:hAnsi="Arial" w:cs="Arial"/>
          <w:sz w:val="18"/>
          <w:szCs w:val="18"/>
        </w:rPr>
        <w:t>Merfish</w:t>
      </w:r>
      <w:proofErr w:type="spellEnd"/>
      <w:r w:rsidRPr="0023093E">
        <w:rPr>
          <w:rFonts w:ascii="Arial" w:hAnsi="Arial" w:cs="Arial"/>
          <w:sz w:val="18"/>
          <w:szCs w:val="18"/>
        </w:rPr>
        <w:t xml:space="preserve"> sample2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reconstruction result. </w:t>
      </w:r>
      <w:r w:rsidRPr="0023093E">
        <w:rPr>
          <w:rFonts w:ascii="Arial" w:hAnsi="Arial" w:cs="Arial"/>
          <w:b/>
          <w:bCs/>
          <w:sz w:val="18"/>
          <w:szCs w:val="18"/>
        </w:rPr>
        <w:t>c,</w:t>
      </w:r>
      <w:r w:rsidRPr="0023093E">
        <w:rPr>
          <w:rFonts w:ascii="Arial" w:hAnsi="Arial" w:cs="Arial"/>
          <w:sz w:val="18"/>
          <w:szCs w:val="18"/>
        </w:rPr>
        <w:t xml:space="preserve"> use slice 620 as the reference; </w:t>
      </w:r>
      <w:r w:rsidRPr="0023093E">
        <w:rPr>
          <w:rFonts w:ascii="Arial" w:hAnsi="Arial" w:cs="Arial"/>
          <w:b/>
          <w:bCs/>
          <w:sz w:val="18"/>
          <w:szCs w:val="18"/>
        </w:rPr>
        <w:t>d,</w:t>
      </w:r>
      <w:r w:rsidRPr="0023093E">
        <w:rPr>
          <w:rFonts w:ascii="Arial" w:hAnsi="Arial" w:cs="Arial"/>
          <w:sz w:val="18"/>
          <w:szCs w:val="18"/>
        </w:rPr>
        <w:t xml:space="preserve"> use slice 1020 as the reference. </w:t>
      </w:r>
      <w:r w:rsidRPr="0023093E">
        <w:rPr>
          <w:rFonts w:ascii="Arial" w:hAnsi="Arial" w:cs="Arial"/>
          <w:b/>
          <w:bCs/>
          <w:sz w:val="18"/>
          <w:szCs w:val="18"/>
        </w:rPr>
        <w:t xml:space="preserve">e-f, </w:t>
      </w:r>
      <w:r w:rsidRPr="0023093E">
        <w:rPr>
          <w:rFonts w:ascii="Arial" w:hAnsi="Arial" w:cs="Arial"/>
          <w:sz w:val="18"/>
          <w:szCs w:val="18"/>
        </w:rPr>
        <w:t xml:space="preserve">SMN distances from L2/3 IT, L4/5 IT, L5 IT, L6 IT to L6 IT in </w:t>
      </w:r>
      <w:proofErr w:type="spellStart"/>
      <w:r w:rsidRPr="0023093E">
        <w:rPr>
          <w:rFonts w:ascii="Arial" w:hAnsi="Arial" w:cs="Arial"/>
          <w:sz w:val="18"/>
          <w:szCs w:val="18"/>
        </w:rPr>
        <w:t>Merfish</w:t>
      </w:r>
      <w:proofErr w:type="spellEnd"/>
      <w:r w:rsidRPr="0023093E">
        <w:rPr>
          <w:rFonts w:ascii="Arial" w:hAnsi="Arial" w:cs="Arial"/>
          <w:sz w:val="18"/>
          <w:szCs w:val="18"/>
        </w:rPr>
        <w:t xml:space="preserve"> sample2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prediction. </w:t>
      </w:r>
      <w:r w:rsidRPr="0023093E">
        <w:rPr>
          <w:rFonts w:ascii="Arial" w:hAnsi="Arial" w:cs="Arial"/>
          <w:b/>
          <w:bCs/>
          <w:sz w:val="18"/>
          <w:szCs w:val="18"/>
        </w:rPr>
        <w:t>e,</w:t>
      </w:r>
      <w:r w:rsidRPr="0023093E">
        <w:rPr>
          <w:rFonts w:ascii="Arial" w:hAnsi="Arial" w:cs="Arial"/>
          <w:sz w:val="18"/>
          <w:szCs w:val="18"/>
        </w:rPr>
        <w:t xml:space="preserve"> use slice 620 as the reference; </w:t>
      </w:r>
      <w:r w:rsidRPr="0023093E">
        <w:rPr>
          <w:rFonts w:ascii="Arial" w:hAnsi="Arial" w:cs="Arial"/>
          <w:b/>
          <w:bCs/>
          <w:sz w:val="18"/>
          <w:szCs w:val="18"/>
        </w:rPr>
        <w:t>f,</w:t>
      </w:r>
      <w:r w:rsidRPr="0023093E">
        <w:rPr>
          <w:rFonts w:ascii="Arial" w:hAnsi="Arial" w:cs="Arial"/>
          <w:sz w:val="18"/>
          <w:szCs w:val="18"/>
        </w:rPr>
        <w:t xml:space="preserve"> use slice 1020 as the reference. </w:t>
      </w:r>
      <w:r w:rsidRPr="0023093E">
        <w:rPr>
          <w:rFonts w:ascii="Arial" w:hAnsi="Arial" w:cs="Arial"/>
          <w:b/>
          <w:bCs/>
          <w:sz w:val="18"/>
          <w:szCs w:val="18"/>
        </w:rPr>
        <w:t>g-h,</w:t>
      </w:r>
      <w:r w:rsidRPr="0023093E">
        <w:rPr>
          <w:rFonts w:ascii="Arial" w:hAnsi="Arial" w:cs="Arial"/>
          <w:sz w:val="18"/>
          <w:szCs w:val="18"/>
        </w:rPr>
        <w:t xml:space="preserve"> SMN distances from slice 620, 710, 810, 910, and 1020 to slice 620 in </w:t>
      </w:r>
      <w:proofErr w:type="spellStart"/>
      <w:r w:rsidRPr="0023093E">
        <w:rPr>
          <w:rFonts w:ascii="Arial" w:hAnsi="Arial" w:cs="Arial"/>
          <w:sz w:val="18"/>
          <w:szCs w:val="18"/>
        </w:rPr>
        <w:t>Merfish</w:t>
      </w:r>
      <w:proofErr w:type="spellEnd"/>
      <w:r w:rsidRPr="0023093E">
        <w:rPr>
          <w:rFonts w:ascii="Arial" w:hAnsi="Arial" w:cs="Arial"/>
          <w:sz w:val="18"/>
          <w:szCs w:val="18"/>
        </w:rPr>
        <w:t xml:space="preserve"> sample 2 </w:t>
      </w:r>
      <w:proofErr w:type="spellStart"/>
      <w:r w:rsidRPr="0023093E">
        <w:rPr>
          <w:rFonts w:ascii="Arial" w:hAnsi="Arial" w:cs="Arial"/>
          <w:sz w:val="18"/>
          <w:szCs w:val="18"/>
        </w:rPr>
        <w:t>scHolography</w:t>
      </w:r>
      <w:proofErr w:type="spellEnd"/>
      <w:r w:rsidRPr="0023093E">
        <w:rPr>
          <w:rFonts w:ascii="Arial" w:hAnsi="Arial" w:cs="Arial"/>
          <w:sz w:val="18"/>
          <w:szCs w:val="18"/>
        </w:rPr>
        <w:t xml:space="preserve"> prediction. </w:t>
      </w:r>
      <w:r w:rsidRPr="0023093E">
        <w:rPr>
          <w:rFonts w:ascii="Arial" w:hAnsi="Arial" w:cs="Arial"/>
          <w:b/>
          <w:bCs/>
          <w:sz w:val="18"/>
          <w:szCs w:val="18"/>
        </w:rPr>
        <w:t>g,</w:t>
      </w:r>
      <w:r w:rsidRPr="0023093E">
        <w:rPr>
          <w:rFonts w:ascii="Arial" w:hAnsi="Arial" w:cs="Arial"/>
          <w:sz w:val="18"/>
          <w:szCs w:val="18"/>
        </w:rPr>
        <w:t xml:space="preserve"> use slice 620 as the reference; </w:t>
      </w:r>
      <w:r w:rsidRPr="0023093E">
        <w:rPr>
          <w:rFonts w:ascii="Arial" w:hAnsi="Arial" w:cs="Arial"/>
          <w:b/>
          <w:bCs/>
          <w:sz w:val="18"/>
          <w:szCs w:val="18"/>
        </w:rPr>
        <w:t>h,</w:t>
      </w:r>
      <w:r w:rsidRPr="0023093E">
        <w:rPr>
          <w:rFonts w:ascii="Arial" w:hAnsi="Arial" w:cs="Arial"/>
          <w:sz w:val="18"/>
          <w:szCs w:val="18"/>
        </w:rPr>
        <w:t xml:space="preserve"> use slice 1020 as the reference.</w:t>
      </w:r>
    </w:p>
    <w:p w14:paraId="6506872D" w14:textId="77777777" w:rsidR="00E436F9" w:rsidRPr="0023093E" w:rsidRDefault="00E436F9" w:rsidP="00E436F9">
      <w:pPr>
        <w:rPr>
          <w:sz w:val="18"/>
          <w:szCs w:val="18"/>
        </w:rPr>
      </w:pPr>
    </w:p>
    <w:p w14:paraId="467CBDC9" w14:textId="77777777" w:rsidR="00E436F9" w:rsidRDefault="00E436F9" w:rsidP="00E436F9">
      <w:pPr>
        <w:ind w:firstLine="720"/>
        <w:rPr>
          <w:rFonts w:ascii="Arial" w:eastAsia="Times New Roman" w:hAnsi="Arial" w:cs="Arial"/>
          <w:color w:val="4F81BD" w:themeColor="accent1"/>
          <w:shd w:val="clear" w:color="auto" w:fill="FFFFFF"/>
        </w:rPr>
      </w:pPr>
      <w:r>
        <w:rPr>
          <w:rFonts w:ascii="Arial" w:eastAsia="Times New Roman" w:hAnsi="Arial" w:cs="Arial"/>
          <w:color w:val="4F81BD" w:themeColor="accent1"/>
          <w:shd w:val="clear" w:color="auto" w:fill="FFFFFF"/>
        </w:rPr>
        <w:t>As shown Figures 4-5</w:t>
      </w:r>
      <w:r w:rsidRPr="0051769E">
        <w:rPr>
          <w:rFonts w:ascii="Arial" w:eastAsia="Times New Roman" w:hAnsi="Arial" w:cs="Arial"/>
          <w:color w:val="4F81BD" w:themeColor="accent1"/>
          <w:shd w:val="clear" w:color="auto" w:fill="FFFFFF"/>
        </w:rPr>
        <w:t xml:space="preserve">, we demonstrated the </w:t>
      </w:r>
      <w:r>
        <w:rPr>
          <w:rFonts w:ascii="Arial" w:eastAsia="Times New Roman" w:hAnsi="Arial" w:cs="Arial"/>
          <w:color w:val="4F81BD" w:themeColor="accent1"/>
          <w:shd w:val="clear" w:color="auto" w:fill="FFFFFF"/>
        </w:rPr>
        <w:t>consistent</w:t>
      </w:r>
      <w:r w:rsidRPr="0051769E">
        <w:rPr>
          <w:rFonts w:ascii="Arial" w:eastAsia="Times New Roman" w:hAnsi="Arial" w:cs="Arial"/>
          <w:color w:val="4F81BD" w:themeColor="accent1"/>
          <w:shd w:val="clear" w:color="auto" w:fill="FFFFFF"/>
        </w:rPr>
        <w:t xml:space="preserve"> performance of </w:t>
      </w:r>
      <w:proofErr w:type="spellStart"/>
      <w:r w:rsidRPr="0051769E">
        <w:rPr>
          <w:rFonts w:ascii="Arial" w:eastAsia="Times New Roman" w:hAnsi="Arial" w:cs="Arial"/>
          <w:color w:val="4F81BD" w:themeColor="accent1"/>
          <w:shd w:val="clear" w:color="auto" w:fill="FFFFFF"/>
        </w:rPr>
        <w:t>scHolography</w:t>
      </w:r>
      <w:proofErr w:type="spellEnd"/>
      <w:r w:rsidRPr="0051769E">
        <w:rPr>
          <w:rFonts w:ascii="Arial" w:eastAsia="Times New Roman" w:hAnsi="Arial" w:cs="Arial"/>
          <w:color w:val="4F81BD" w:themeColor="accent1"/>
          <w:shd w:val="clear" w:color="auto" w:fill="FFFFFF"/>
        </w:rPr>
        <w:t xml:space="preserve"> </w:t>
      </w:r>
      <w:r>
        <w:rPr>
          <w:rFonts w:ascii="Arial" w:eastAsia="Times New Roman" w:hAnsi="Arial" w:cs="Arial"/>
          <w:color w:val="4F81BD" w:themeColor="accent1"/>
          <w:shd w:val="clear" w:color="auto" w:fill="FFFFFF"/>
        </w:rPr>
        <w:t xml:space="preserve">by </w:t>
      </w:r>
      <w:r w:rsidRPr="0051769E">
        <w:rPr>
          <w:rFonts w:ascii="Arial" w:eastAsia="Times New Roman" w:hAnsi="Arial" w:cs="Arial"/>
          <w:color w:val="4F81BD" w:themeColor="accent1"/>
          <w:shd w:val="clear" w:color="auto" w:fill="FFFFFF"/>
        </w:rPr>
        <w:t>using either the bottom or top slice as the reference</w:t>
      </w:r>
      <w:r>
        <w:rPr>
          <w:rFonts w:ascii="Arial" w:eastAsia="Times New Roman" w:hAnsi="Arial" w:cs="Arial"/>
          <w:color w:val="4F81BD" w:themeColor="accent1"/>
          <w:shd w:val="clear" w:color="auto" w:fill="FFFFFF"/>
        </w:rPr>
        <w:t xml:space="preserve"> for both samples</w:t>
      </w:r>
      <w:r w:rsidRPr="0051769E">
        <w:rPr>
          <w:rFonts w:ascii="Arial" w:eastAsia="Times New Roman" w:hAnsi="Arial" w:cs="Arial"/>
          <w:color w:val="4F81BD" w:themeColor="accent1"/>
          <w:shd w:val="clear" w:color="auto" w:fill="FFFFFF"/>
        </w:rPr>
        <w:t xml:space="preserve">. </w:t>
      </w:r>
      <w:r>
        <w:rPr>
          <w:rFonts w:ascii="Arial" w:eastAsia="Times New Roman" w:hAnsi="Arial" w:cs="Arial"/>
          <w:color w:val="4F81BD" w:themeColor="accent1"/>
          <w:shd w:val="clear" w:color="auto" w:fill="FFFFFF"/>
        </w:rPr>
        <w:t xml:space="preserve">These additional studies have further validated </w:t>
      </w:r>
      <w:proofErr w:type="spellStart"/>
      <w:r>
        <w:rPr>
          <w:rFonts w:ascii="Arial" w:eastAsia="Times New Roman" w:hAnsi="Arial" w:cs="Arial"/>
          <w:color w:val="4F81BD" w:themeColor="accent1"/>
          <w:shd w:val="clear" w:color="auto" w:fill="FFFFFF"/>
        </w:rPr>
        <w:t>scHolography’s</w:t>
      </w:r>
      <w:proofErr w:type="spellEnd"/>
      <w:r>
        <w:rPr>
          <w:rFonts w:ascii="Arial" w:eastAsia="Times New Roman" w:hAnsi="Arial" w:cs="Arial"/>
          <w:color w:val="4F81BD" w:themeColor="accent1"/>
          <w:shd w:val="clear" w:color="auto" w:fill="FFFFFF"/>
        </w:rPr>
        <w:t xml:space="preserve"> ability to learn 3D information from 2D slices and reconstruct tissue organization. We have added these results as new Fig. S5 and S6 in revision.</w:t>
      </w:r>
    </w:p>
    <w:p w14:paraId="3A89AC33" w14:textId="77777777" w:rsidR="00E436F9" w:rsidRDefault="00E436F9" w:rsidP="00E436F9"/>
    <w:p w14:paraId="4E9FF4BF" w14:textId="77777777" w:rsidR="00E436F9" w:rsidRDefault="00E436F9" w:rsidP="00E436F9"/>
    <w:p w14:paraId="697D2384" w14:textId="77777777" w:rsidR="00E436F9" w:rsidRPr="002D452C" w:rsidRDefault="00E436F9" w:rsidP="00E436F9"/>
    <w:p w14:paraId="00C880E2" w14:textId="77777777" w:rsidR="00E436F9" w:rsidRDefault="00E436F9" w:rsidP="00E436F9">
      <w:pPr>
        <w:rPr>
          <w:rFonts w:ascii="Arial" w:eastAsia="Times New Roman" w:hAnsi="Arial" w:cs="Arial"/>
          <w:shd w:val="clear" w:color="auto" w:fill="FFFFFF"/>
        </w:rPr>
      </w:pPr>
      <w:r w:rsidRPr="00772562">
        <w:rPr>
          <w:rFonts w:ascii="Arial" w:eastAsia="Times New Roman" w:hAnsi="Arial" w:cs="Arial"/>
          <w:shd w:val="clear" w:color="auto" w:fill="FFFFFF"/>
        </w:rPr>
        <w:t xml:space="preserve">4.      Interpretability of the algorithm. Are the most stable matching neighbors identified by </w:t>
      </w:r>
      <w:proofErr w:type="spellStart"/>
      <w:r w:rsidRPr="00772562">
        <w:rPr>
          <w:rFonts w:ascii="Arial" w:eastAsia="Times New Roman" w:hAnsi="Arial" w:cs="Arial"/>
          <w:shd w:val="clear" w:color="auto" w:fill="FFFFFF"/>
        </w:rPr>
        <w:t>scHolography</w:t>
      </w:r>
      <w:proofErr w:type="spellEnd"/>
      <w:r w:rsidRPr="00772562">
        <w:rPr>
          <w:rFonts w:ascii="Arial" w:eastAsia="Times New Roman" w:hAnsi="Arial" w:cs="Arial"/>
          <w:shd w:val="clear" w:color="auto" w:fill="FFFFFF"/>
        </w:rPr>
        <w:t xml:space="preserve"> interpretable? How can we interpret the result from a biological perspective?</w:t>
      </w:r>
    </w:p>
    <w:p w14:paraId="2705103B" w14:textId="77777777" w:rsidR="00E436F9" w:rsidRPr="008F257F" w:rsidRDefault="00E436F9" w:rsidP="00E436F9">
      <w:pPr>
        <w:rPr>
          <w:rFonts w:ascii="Arial" w:hAnsi="Arial" w:cs="Arial"/>
          <w:color w:val="4F81BD" w:themeColor="accent1"/>
        </w:rPr>
      </w:pPr>
      <w:r>
        <w:rPr>
          <w:rFonts w:ascii="Arial" w:hAnsi="Arial" w:cs="Arial"/>
          <w:color w:val="4BACC6" w:themeColor="accent5"/>
        </w:rPr>
        <w:tab/>
      </w:r>
      <w:r w:rsidRPr="008F257F">
        <w:rPr>
          <w:rFonts w:ascii="Arial" w:hAnsi="Arial" w:cs="Arial"/>
          <w:color w:val="4F81BD" w:themeColor="accent1"/>
        </w:rPr>
        <w:t xml:space="preserve">The main goal for developing </w:t>
      </w:r>
      <w:proofErr w:type="spellStart"/>
      <w:r w:rsidRPr="008F257F">
        <w:rPr>
          <w:rFonts w:ascii="Arial" w:hAnsi="Arial" w:cs="Arial"/>
          <w:color w:val="4F81BD" w:themeColor="accent1"/>
        </w:rPr>
        <w:t>scHolography</w:t>
      </w:r>
      <w:proofErr w:type="spellEnd"/>
      <w:r w:rsidRPr="008F257F">
        <w:rPr>
          <w:rFonts w:ascii="Arial" w:hAnsi="Arial" w:cs="Arial"/>
          <w:color w:val="4F81BD" w:themeColor="accent1"/>
        </w:rPr>
        <w:t xml:space="preserve"> is to learn information about tissue microenvironment, perform quantitative analysis of cell neighborhood, </w:t>
      </w:r>
      <w:r>
        <w:rPr>
          <w:rFonts w:ascii="Arial" w:hAnsi="Arial" w:cs="Arial"/>
          <w:color w:val="4F81BD" w:themeColor="accent1"/>
        </w:rPr>
        <w:t>and identify spatially enriched genes and gene gradients</w:t>
      </w:r>
      <w:r w:rsidRPr="008F257F">
        <w:rPr>
          <w:rFonts w:ascii="Arial" w:hAnsi="Arial" w:cs="Arial"/>
          <w:color w:val="4F81BD" w:themeColor="accent1"/>
        </w:rPr>
        <w:t xml:space="preserve"> across tissues.</w:t>
      </w:r>
      <w:r>
        <w:rPr>
          <w:rFonts w:ascii="Arial" w:hAnsi="Arial" w:cs="Arial"/>
          <w:color w:val="4F81BD" w:themeColor="accent1"/>
        </w:rPr>
        <w:t xml:space="preserve"> To do so, we need a quantitative measurement of cell-cell distance. In our method, we </w:t>
      </w:r>
      <w:r w:rsidRPr="00EF75B9">
        <w:rPr>
          <w:rFonts w:ascii="Arial" w:eastAsia="Times New Roman" w:hAnsi="Arial" w:cs="Arial"/>
          <w:color w:val="4F81BD" w:themeColor="accent1"/>
        </w:rPr>
        <w:t>construct a stable matching neighbor (SMN) graph of cells</w:t>
      </w:r>
      <w:r>
        <w:rPr>
          <w:rFonts w:ascii="Arial" w:eastAsia="Times New Roman" w:hAnsi="Arial" w:cs="Arial"/>
          <w:color w:val="4F81BD" w:themeColor="accent1"/>
        </w:rPr>
        <w:t xml:space="preserve"> as the measurement</w:t>
      </w:r>
      <w:r w:rsidRPr="00EF75B9">
        <w:rPr>
          <w:rFonts w:ascii="Arial" w:eastAsia="Times New Roman" w:hAnsi="Arial" w:cs="Arial"/>
          <w:color w:val="4F81BD" w:themeColor="accent1"/>
        </w:rPr>
        <w:t xml:space="preserve">. To get the SMN distance, we first used the real measurement of </w:t>
      </w:r>
      <w:r>
        <w:rPr>
          <w:rFonts w:ascii="Arial" w:eastAsia="Times New Roman" w:hAnsi="Arial" w:cs="Arial"/>
          <w:color w:val="4F81BD" w:themeColor="accent1"/>
        </w:rPr>
        <w:t>pixel</w:t>
      </w:r>
      <w:r w:rsidRPr="00EF75B9">
        <w:rPr>
          <w:rFonts w:ascii="Arial" w:eastAsia="Times New Roman" w:hAnsi="Arial" w:cs="Arial"/>
          <w:color w:val="4F81BD" w:themeColor="accent1"/>
        </w:rPr>
        <w:t>-</w:t>
      </w:r>
      <w:r>
        <w:rPr>
          <w:rFonts w:ascii="Arial" w:eastAsia="Times New Roman" w:hAnsi="Arial" w:cs="Arial"/>
          <w:color w:val="4F81BD" w:themeColor="accent1"/>
        </w:rPr>
        <w:t>pixel</w:t>
      </w:r>
      <w:r w:rsidRPr="00EF75B9">
        <w:rPr>
          <w:rFonts w:ascii="Arial" w:eastAsia="Times New Roman" w:hAnsi="Arial" w:cs="Arial"/>
          <w:color w:val="4F81BD" w:themeColor="accent1"/>
        </w:rPr>
        <w:t xml:space="preserve"> distance from ST datasets to generate the SICs. We next used a machine learning approach to learn the transcriptome-to-distance transformation. Finally, we used the GS algorithm to identify the SMN of each query cell. Because of these transformation</w:t>
      </w:r>
      <w:r>
        <w:rPr>
          <w:rFonts w:ascii="Arial" w:eastAsia="Times New Roman" w:hAnsi="Arial" w:cs="Arial"/>
          <w:color w:val="4F81BD" w:themeColor="accent1"/>
        </w:rPr>
        <w:t>s</w:t>
      </w:r>
      <w:r w:rsidRPr="00EF75B9">
        <w:rPr>
          <w:rFonts w:ascii="Arial" w:eastAsia="Times New Roman" w:hAnsi="Arial" w:cs="Arial"/>
          <w:color w:val="4F81BD" w:themeColor="accent1"/>
        </w:rPr>
        <w:t xml:space="preserve">, we prefer not to refer the SMN distance as the spatial distance. However, the SMN distance is a derivative from the spatial distance, and it describes the spatial </w:t>
      </w:r>
      <w:r>
        <w:rPr>
          <w:rFonts w:ascii="Arial" w:eastAsia="Times New Roman" w:hAnsi="Arial" w:cs="Arial"/>
          <w:color w:val="4F81BD" w:themeColor="accent1"/>
        </w:rPr>
        <w:t>relationship</w:t>
      </w:r>
      <w:r w:rsidRPr="00EF75B9">
        <w:rPr>
          <w:rFonts w:ascii="Arial" w:eastAsia="Times New Roman" w:hAnsi="Arial" w:cs="Arial"/>
          <w:color w:val="4F81BD" w:themeColor="accent1"/>
        </w:rPr>
        <w:t xml:space="preserve"> among cells such that the shorter </w:t>
      </w:r>
      <w:r>
        <w:rPr>
          <w:rFonts w:ascii="Arial" w:eastAsia="Times New Roman" w:hAnsi="Arial" w:cs="Arial"/>
          <w:color w:val="4F81BD" w:themeColor="accent1"/>
        </w:rPr>
        <w:t xml:space="preserve">SMN </w:t>
      </w:r>
      <w:r w:rsidRPr="00EF75B9">
        <w:rPr>
          <w:rFonts w:ascii="Arial" w:eastAsia="Times New Roman" w:hAnsi="Arial" w:cs="Arial"/>
          <w:color w:val="4F81BD" w:themeColor="accent1"/>
        </w:rPr>
        <w:t xml:space="preserve">distance indicates the </w:t>
      </w:r>
      <w:r>
        <w:rPr>
          <w:rFonts w:ascii="Arial" w:eastAsia="Times New Roman" w:hAnsi="Arial" w:cs="Arial"/>
          <w:color w:val="4F81BD" w:themeColor="accent1"/>
        </w:rPr>
        <w:t>closer</w:t>
      </w:r>
      <w:r w:rsidRPr="00EF75B9">
        <w:rPr>
          <w:rFonts w:ascii="Arial" w:eastAsia="Times New Roman" w:hAnsi="Arial" w:cs="Arial"/>
          <w:color w:val="4F81BD" w:themeColor="accent1"/>
        </w:rPr>
        <w:t xml:space="preserve"> </w:t>
      </w:r>
      <w:r>
        <w:rPr>
          <w:rFonts w:ascii="Arial" w:eastAsia="Times New Roman" w:hAnsi="Arial" w:cs="Arial"/>
          <w:color w:val="4F81BD" w:themeColor="accent1"/>
        </w:rPr>
        <w:t>relationship between cells</w:t>
      </w:r>
      <w:r w:rsidRPr="00EF75B9">
        <w:rPr>
          <w:rFonts w:ascii="Arial" w:eastAsia="Times New Roman" w:hAnsi="Arial" w:cs="Arial"/>
          <w:color w:val="4F81BD" w:themeColor="accent1"/>
        </w:rPr>
        <w:t>.</w:t>
      </w:r>
      <w:r>
        <w:rPr>
          <w:rFonts w:ascii="Arial" w:hAnsi="Arial" w:cs="Arial"/>
          <w:color w:val="4F81BD" w:themeColor="accent1"/>
        </w:rPr>
        <w:t xml:space="preserve"> By using the information gained from the stable matching neighbors, we have shown that</w:t>
      </w:r>
      <w:r w:rsidRPr="008F257F">
        <w:rPr>
          <w:rFonts w:ascii="Arial" w:hAnsi="Arial" w:cs="Arial"/>
          <w:color w:val="4F81BD" w:themeColor="accent1"/>
        </w:rPr>
        <w:t xml:space="preserve"> tissue composition analysis by cell type (such as Fig. 4h, Fig. 6</w:t>
      </w:r>
      <w:r>
        <w:rPr>
          <w:rFonts w:ascii="Arial" w:hAnsi="Arial" w:cs="Arial"/>
          <w:color w:val="4F81BD" w:themeColor="accent1"/>
        </w:rPr>
        <w:t>b</w:t>
      </w:r>
      <w:r w:rsidRPr="008F257F">
        <w:rPr>
          <w:rFonts w:ascii="Arial" w:hAnsi="Arial" w:cs="Arial"/>
          <w:color w:val="4F81BD" w:themeColor="accent1"/>
        </w:rPr>
        <w:t xml:space="preserve"> and Fig. 8e) provides quantitative information about tissue microenvironment. These data also allow quantitative evaluation of similarit</w:t>
      </w:r>
      <w:r>
        <w:rPr>
          <w:rFonts w:ascii="Arial" w:hAnsi="Arial" w:cs="Arial"/>
          <w:color w:val="4F81BD" w:themeColor="accent1"/>
        </w:rPr>
        <w:t xml:space="preserve">ies and </w:t>
      </w:r>
      <w:r>
        <w:rPr>
          <w:rFonts w:ascii="Arial" w:hAnsi="Arial" w:cs="Arial"/>
          <w:color w:val="4F81BD" w:themeColor="accent1"/>
        </w:rPr>
        <w:lastRenderedPageBreak/>
        <w:t>differences</w:t>
      </w:r>
      <w:r w:rsidRPr="008F257F">
        <w:rPr>
          <w:rFonts w:ascii="Arial" w:hAnsi="Arial" w:cs="Arial"/>
          <w:color w:val="4F81BD" w:themeColor="accent1"/>
        </w:rPr>
        <w:t xml:space="preserve"> between different cell neighborhoods. Because our reconstruction generates results of both cell composition and single</w:t>
      </w:r>
      <w:r>
        <w:rPr>
          <w:rFonts w:ascii="Arial" w:hAnsi="Arial" w:cs="Arial"/>
          <w:color w:val="4F81BD" w:themeColor="accent1"/>
        </w:rPr>
        <w:t>-cell transcriptome, this allows the identification of spatially enriched genes in each neighborhood (such as Fig. 5d, Fig. 6c, Fig. 7j,</w:t>
      </w:r>
      <w:r w:rsidRPr="008F257F">
        <w:rPr>
          <w:rFonts w:ascii="Arial" w:hAnsi="Arial" w:cs="Arial"/>
          <w:color w:val="4F81BD" w:themeColor="accent1"/>
        </w:rPr>
        <w:t xml:space="preserve"> and Fig. 8f). We note these spatially enriched genes are identified through numerous single cells, </w:t>
      </w:r>
      <w:r>
        <w:rPr>
          <w:rFonts w:ascii="Arial" w:hAnsi="Arial" w:cs="Arial"/>
          <w:color w:val="4F81BD" w:themeColor="accent1"/>
        </w:rPr>
        <w:t>permitting</w:t>
      </w:r>
      <w:r w:rsidRPr="008F257F">
        <w:rPr>
          <w:rFonts w:ascii="Arial" w:hAnsi="Arial" w:cs="Arial"/>
          <w:color w:val="4F81BD" w:themeColor="accent1"/>
        </w:rPr>
        <w:t xml:space="preserve"> statistical evaluation. This is particularly valuable for experimental biologists who often make observations based on specific antibody staining or in situ hybridization for a few selected markers but </w:t>
      </w:r>
      <w:r>
        <w:rPr>
          <w:rFonts w:ascii="Arial" w:hAnsi="Arial" w:cs="Arial"/>
          <w:color w:val="4F81BD" w:themeColor="accent1"/>
        </w:rPr>
        <w:t xml:space="preserve">are </w:t>
      </w:r>
      <w:r w:rsidRPr="008F257F">
        <w:rPr>
          <w:rFonts w:ascii="Arial" w:hAnsi="Arial" w:cs="Arial"/>
          <w:color w:val="4F81BD" w:themeColor="accent1"/>
        </w:rPr>
        <w:t>unable to quantify such observations and evaluate the significance</w:t>
      </w:r>
      <w:r>
        <w:rPr>
          <w:rFonts w:ascii="Arial" w:hAnsi="Arial" w:cs="Arial"/>
          <w:color w:val="4F81BD" w:themeColor="accent1"/>
        </w:rPr>
        <w:t xml:space="preserve"> in a microenvironment</w:t>
      </w:r>
      <w:r w:rsidRPr="008F257F">
        <w:rPr>
          <w:rFonts w:ascii="Arial" w:hAnsi="Arial" w:cs="Arial"/>
          <w:color w:val="4F81BD" w:themeColor="accent1"/>
        </w:rPr>
        <w:t xml:space="preserve">. Finally, </w:t>
      </w:r>
      <w:proofErr w:type="spellStart"/>
      <w:r w:rsidRPr="008F257F">
        <w:rPr>
          <w:rFonts w:ascii="Arial" w:hAnsi="Arial" w:cs="Arial"/>
          <w:color w:val="4F81BD" w:themeColor="accent1"/>
        </w:rPr>
        <w:t>scHolography</w:t>
      </w:r>
      <w:proofErr w:type="spellEnd"/>
      <w:r w:rsidRPr="008F257F">
        <w:rPr>
          <w:rFonts w:ascii="Arial" w:hAnsi="Arial" w:cs="Arial"/>
          <w:color w:val="4F81BD" w:themeColor="accent1"/>
        </w:rPr>
        <w:t xml:space="preserve"> also allows gene gradient </w:t>
      </w:r>
      <w:r>
        <w:rPr>
          <w:rFonts w:ascii="Arial" w:hAnsi="Arial" w:cs="Arial"/>
          <w:color w:val="4F81BD" w:themeColor="accent1"/>
        </w:rPr>
        <w:t xml:space="preserve">identification </w:t>
      </w:r>
      <w:r w:rsidRPr="008F257F">
        <w:rPr>
          <w:rFonts w:ascii="Arial" w:hAnsi="Arial" w:cs="Arial"/>
          <w:color w:val="4F81BD" w:themeColor="accent1"/>
        </w:rPr>
        <w:t>across tissues (such as Fig. 5d and Fig. 6f)</w:t>
      </w:r>
      <w:r>
        <w:rPr>
          <w:rFonts w:ascii="Arial" w:hAnsi="Arial" w:cs="Arial"/>
          <w:color w:val="4F81BD" w:themeColor="accent1"/>
        </w:rPr>
        <w:t>. We have added some of these discussions about the SMN in revision.</w:t>
      </w:r>
      <w:r w:rsidRPr="008F257F">
        <w:rPr>
          <w:rFonts w:ascii="Arial" w:hAnsi="Arial" w:cs="Arial"/>
          <w:color w:val="4F81BD" w:themeColor="accent1"/>
        </w:rPr>
        <w:t xml:space="preserve"> </w:t>
      </w:r>
    </w:p>
    <w:p w14:paraId="084C6EC5" w14:textId="77777777" w:rsidR="00E436F9" w:rsidRDefault="00E436F9" w:rsidP="00E436F9">
      <w:pPr>
        <w:rPr>
          <w:rFonts w:ascii="Arial" w:eastAsia="Times New Roman" w:hAnsi="Arial" w:cs="Arial"/>
          <w:color w:val="424242"/>
          <w:shd w:val="clear" w:color="auto" w:fill="FFFFFF"/>
        </w:rPr>
      </w:pPr>
    </w:p>
    <w:p w14:paraId="7742378B" w14:textId="77777777" w:rsidR="00E436F9" w:rsidRDefault="00E436F9" w:rsidP="00E436F9">
      <w:pPr>
        <w:rPr>
          <w:rFonts w:ascii="Arial" w:eastAsia="Times New Roman" w:hAnsi="Arial" w:cs="Arial"/>
          <w:color w:val="424242"/>
          <w:shd w:val="clear" w:color="auto" w:fill="FFFFFF"/>
        </w:rPr>
      </w:pPr>
      <w:r w:rsidRPr="0041721E">
        <w:rPr>
          <w:rFonts w:ascii="Arial" w:eastAsia="Times New Roman" w:hAnsi="Arial" w:cs="Arial"/>
          <w:color w:val="424242"/>
          <w:shd w:val="clear" w:color="auto" w:fill="FFFFFF"/>
        </w:rPr>
        <w:t xml:space="preserve">5.      Tissue heterogeneity: It is </w:t>
      </w:r>
      <w:r w:rsidRPr="00694815">
        <w:rPr>
          <w:rFonts w:ascii="Arial" w:eastAsia="Times New Roman" w:hAnsi="Arial" w:cs="Arial"/>
          <w:color w:val="424242"/>
          <w:shd w:val="clear" w:color="auto" w:fill="FFFFFF"/>
        </w:rPr>
        <w:t xml:space="preserve">crucial for the authors to address the issue of tissue heterogeneity in their manuscript. Different regions within a tissue can indeed exhibit distinct cell densities, and this variation should be acknowledged. Currently, </w:t>
      </w:r>
      <w:proofErr w:type="spellStart"/>
      <w:r w:rsidRPr="00694815">
        <w:rPr>
          <w:rFonts w:ascii="Arial" w:eastAsia="Times New Roman" w:hAnsi="Arial" w:cs="Arial"/>
          <w:color w:val="424242"/>
          <w:shd w:val="clear" w:color="auto" w:fill="FFFFFF"/>
        </w:rPr>
        <w:t>scHolography</w:t>
      </w:r>
      <w:proofErr w:type="spellEnd"/>
      <w:r w:rsidRPr="00694815">
        <w:rPr>
          <w:rFonts w:ascii="Arial" w:eastAsia="Times New Roman" w:hAnsi="Arial" w:cs="Arial"/>
          <w:color w:val="424242"/>
          <w:shd w:val="clear" w:color="auto" w:fill="FFFFFF"/>
        </w:rPr>
        <w:t xml:space="preserve"> assigns a fixed number of neighboring cells (default 30) to each cell, which may not accurately capture the true spatial relationships in tissues with varying densities.</w:t>
      </w:r>
    </w:p>
    <w:p w14:paraId="4259CBFD" w14:textId="77777777" w:rsidR="00E436F9" w:rsidRDefault="00E436F9" w:rsidP="00E436F9">
      <w:pPr>
        <w:spacing w:after="60"/>
        <w:ind w:firstLine="720"/>
        <w:rPr>
          <w:rFonts w:ascii="Arial" w:hAnsi="Arial" w:cs="Arial"/>
          <w:color w:val="4F81BD" w:themeColor="accent1"/>
          <w:shd w:val="clear" w:color="auto" w:fill="FFFFFF"/>
        </w:rPr>
      </w:pPr>
      <w:r w:rsidRPr="00CD2739">
        <w:rPr>
          <w:rFonts w:ascii="Arial" w:hAnsi="Arial" w:cs="Arial"/>
          <w:noProof/>
          <w:color w:val="4F81BD" w:themeColor="accent1"/>
          <w:shd w:val="clear" w:color="auto" w:fill="FFFFFF"/>
        </w:rPr>
        <w:drawing>
          <wp:anchor distT="0" distB="0" distL="114300" distR="114300" simplePos="0" relativeHeight="251668480" behindDoc="1" locked="0" layoutInCell="1" allowOverlap="1" wp14:anchorId="493E7479" wp14:editId="7C072902">
            <wp:simplePos x="0" y="0"/>
            <wp:positionH relativeFrom="column">
              <wp:posOffset>33020</wp:posOffset>
            </wp:positionH>
            <wp:positionV relativeFrom="paragraph">
              <wp:posOffset>247954</wp:posOffset>
            </wp:positionV>
            <wp:extent cx="3041015" cy="2977515"/>
            <wp:effectExtent l="0" t="0" r="0" b="0"/>
            <wp:wrapTight wrapText="bothSides">
              <wp:wrapPolygon edited="0">
                <wp:start x="0" y="0"/>
                <wp:lineTo x="0" y="21466"/>
                <wp:lineTo x="21469" y="21466"/>
                <wp:lineTo x="21469" y="0"/>
                <wp:lineTo x="0" y="0"/>
              </wp:wrapPolygon>
            </wp:wrapTight>
            <wp:docPr id="259174966" name="Picture 1" descr="A graph of a number of neighb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74966" name="Picture 1" descr="A graph of a number of neighbor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041015" cy="29775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4F81BD" w:themeColor="accent1"/>
          <w:shd w:val="clear" w:color="auto" w:fill="FFFFFF"/>
        </w:rPr>
        <w:t xml:space="preserve">The reviewer raised an important question about tissue heterogeneity and its potential impact on the performance of </w:t>
      </w:r>
      <w:proofErr w:type="spellStart"/>
      <w:r>
        <w:rPr>
          <w:rFonts w:ascii="Arial" w:hAnsi="Arial" w:cs="Arial"/>
          <w:color w:val="4F81BD" w:themeColor="accent1"/>
          <w:shd w:val="clear" w:color="auto" w:fill="FFFFFF"/>
        </w:rPr>
        <w:t>scHolography</w:t>
      </w:r>
      <w:proofErr w:type="spellEnd"/>
      <w:r>
        <w:rPr>
          <w:rFonts w:ascii="Arial" w:hAnsi="Arial" w:cs="Arial"/>
          <w:color w:val="4F81BD" w:themeColor="accent1"/>
          <w:shd w:val="clear" w:color="auto" w:fill="FFFFFF"/>
        </w:rPr>
        <w:t xml:space="preserve">. To provide more information, we determined the performance of </w:t>
      </w:r>
      <w:proofErr w:type="spellStart"/>
      <w:r>
        <w:rPr>
          <w:rFonts w:ascii="Arial" w:hAnsi="Arial" w:cs="Arial"/>
          <w:color w:val="4F81BD" w:themeColor="accent1"/>
          <w:shd w:val="clear" w:color="auto" w:fill="FFFFFF"/>
        </w:rPr>
        <w:t>scHolography</w:t>
      </w:r>
      <w:proofErr w:type="spellEnd"/>
      <w:r>
        <w:rPr>
          <w:rFonts w:ascii="Arial" w:hAnsi="Arial" w:cs="Arial"/>
          <w:color w:val="4F81BD" w:themeColor="accent1"/>
          <w:shd w:val="clear" w:color="auto" w:fill="FFFFFF"/>
        </w:rPr>
        <w:t xml:space="preserve"> when using different numbers of neighbors (Fig. 6). </w:t>
      </w:r>
    </w:p>
    <w:p w14:paraId="09F38E24" w14:textId="77777777" w:rsidR="00E436F9" w:rsidRPr="00F15D64" w:rsidRDefault="00E436F9" w:rsidP="00E436F9">
      <w:pPr>
        <w:spacing w:after="60"/>
        <w:rPr>
          <w:rFonts w:ascii="Arial" w:hAnsi="Arial" w:cs="Arial"/>
          <w:sz w:val="18"/>
          <w:szCs w:val="18"/>
        </w:rPr>
      </w:pPr>
      <w:r>
        <w:rPr>
          <w:rFonts w:ascii="Arial" w:hAnsi="Arial" w:cs="Arial"/>
          <w:b/>
          <w:bCs/>
          <w:sz w:val="18"/>
          <w:szCs w:val="18"/>
        </w:rPr>
        <w:t xml:space="preserve">Figure 6 </w:t>
      </w:r>
      <w:r w:rsidRPr="00BF0224">
        <w:rPr>
          <w:rFonts w:ascii="Arial" w:hAnsi="Arial" w:cs="Arial"/>
          <w:sz w:val="18"/>
          <w:szCs w:val="18"/>
        </w:rPr>
        <w:t xml:space="preserve">Spearman correlation of cell-cell </w:t>
      </w:r>
      <w:proofErr w:type="spellStart"/>
      <w:r w:rsidRPr="00BF0224">
        <w:rPr>
          <w:rFonts w:ascii="Arial" w:hAnsi="Arial" w:cs="Arial"/>
          <w:sz w:val="18"/>
          <w:szCs w:val="18"/>
        </w:rPr>
        <w:t>scHolography</w:t>
      </w:r>
      <w:proofErr w:type="spellEnd"/>
      <w:r w:rsidRPr="00BF0224">
        <w:rPr>
          <w:rFonts w:ascii="Arial" w:hAnsi="Arial" w:cs="Arial"/>
          <w:sz w:val="18"/>
          <w:szCs w:val="18"/>
        </w:rPr>
        <w:t xml:space="preserve"> SMN distance to the simulated mouse hippocampus data, changing the parameter # of neighbor for </w:t>
      </w:r>
      <w:proofErr w:type="spellStart"/>
      <w:r w:rsidRPr="00BF0224">
        <w:rPr>
          <w:rFonts w:ascii="Arial" w:hAnsi="Arial" w:cs="Arial"/>
          <w:sz w:val="18"/>
          <w:szCs w:val="18"/>
        </w:rPr>
        <w:t>scHolography</w:t>
      </w:r>
      <w:proofErr w:type="spellEnd"/>
      <w:r w:rsidRPr="00BF0224">
        <w:rPr>
          <w:rFonts w:ascii="Arial" w:hAnsi="Arial" w:cs="Arial"/>
          <w:sz w:val="18"/>
          <w:szCs w:val="18"/>
        </w:rPr>
        <w:t xml:space="preserve"> reconstruction from 2 to 100. Red line: default= 30.</w:t>
      </w:r>
    </w:p>
    <w:p w14:paraId="5FA0BDC3" w14:textId="77777777" w:rsidR="00E436F9" w:rsidRDefault="00E436F9" w:rsidP="00E436F9">
      <w:pPr>
        <w:spacing w:after="60"/>
        <w:ind w:firstLine="720"/>
        <w:rPr>
          <w:rFonts w:ascii="Arial" w:hAnsi="Arial" w:cs="Arial"/>
          <w:color w:val="4BACC6" w:themeColor="accent5"/>
        </w:rPr>
      </w:pPr>
      <w:r>
        <w:rPr>
          <w:rFonts w:ascii="Arial" w:hAnsi="Arial" w:cs="Arial"/>
          <w:color w:val="4F81BD" w:themeColor="accent1"/>
          <w:shd w:val="clear" w:color="auto" w:fill="FFFFFF"/>
        </w:rPr>
        <w:t xml:space="preserve">For dense tissue like skin, the increasing number of neighboring cells generally improves the performance of </w:t>
      </w:r>
      <w:proofErr w:type="spellStart"/>
      <w:r>
        <w:rPr>
          <w:rFonts w:ascii="Arial" w:hAnsi="Arial" w:cs="Arial"/>
          <w:color w:val="4F81BD" w:themeColor="accent1"/>
          <w:shd w:val="clear" w:color="auto" w:fill="FFFFFF"/>
        </w:rPr>
        <w:t>scHolography</w:t>
      </w:r>
      <w:proofErr w:type="spellEnd"/>
      <w:r>
        <w:rPr>
          <w:rFonts w:ascii="Arial" w:hAnsi="Arial" w:cs="Arial"/>
          <w:color w:val="4F81BD" w:themeColor="accent1"/>
          <w:shd w:val="clear" w:color="auto" w:fill="FFFFFF"/>
        </w:rPr>
        <w:t xml:space="preserve">. In addition, in our new study on the simulated mouse hippocampus data, we found that </w:t>
      </w:r>
      <w:proofErr w:type="spellStart"/>
      <w:r>
        <w:rPr>
          <w:rFonts w:ascii="Arial" w:hAnsi="Arial" w:cs="Arial"/>
          <w:color w:val="4F81BD" w:themeColor="accent1"/>
          <w:shd w:val="clear" w:color="auto" w:fill="FFFFFF"/>
        </w:rPr>
        <w:t>scHolography</w:t>
      </w:r>
      <w:proofErr w:type="spellEnd"/>
      <w:r>
        <w:rPr>
          <w:rFonts w:ascii="Arial" w:hAnsi="Arial" w:cs="Arial"/>
          <w:color w:val="4F81BD" w:themeColor="accent1"/>
          <w:shd w:val="clear" w:color="auto" w:fill="FFFFFF"/>
        </w:rPr>
        <w:t xml:space="preserve"> performed better in high-density regions than low-density regions (</w:t>
      </w:r>
      <w:r w:rsidRPr="007232F6">
        <w:rPr>
          <w:rFonts w:ascii="Arial" w:hAnsi="Arial" w:cs="Arial"/>
          <w:color w:val="4F81BD" w:themeColor="accent1"/>
          <w:shd w:val="clear" w:color="auto" w:fill="FFFFFF"/>
        </w:rPr>
        <w:t xml:space="preserve">Fig. </w:t>
      </w:r>
      <w:r>
        <w:rPr>
          <w:rFonts w:ascii="Arial" w:hAnsi="Arial" w:cs="Arial"/>
          <w:color w:val="4F81BD" w:themeColor="accent1"/>
          <w:shd w:val="clear" w:color="auto" w:fill="FFFFFF"/>
        </w:rPr>
        <w:t xml:space="preserve">7). Although the current version of </w:t>
      </w:r>
      <w:proofErr w:type="spellStart"/>
      <w:r>
        <w:rPr>
          <w:rFonts w:ascii="Arial" w:hAnsi="Arial" w:cs="Arial"/>
          <w:color w:val="4F81BD" w:themeColor="accent1"/>
          <w:shd w:val="clear" w:color="auto" w:fill="FFFFFF"/>
        </w:rPr>
        <w:t>scHolography</w:t>
      </w:r>
      <w:proofErr w:type="spellEnd"/>
      <w:r>
        <w:rPr>
          <w:rFonts w:ascii="Arial" w:hAnsi="Arial" w:cs="Arial"/>
          <w:color w:val="4F81BD" w:themeColor="accent1"/>
          <w:shd w:val="clear" w:color="auto" w:fill="FFFFFF"/>
        </w:rPr>
        <w:t xml:space="preserve"> does not have the ability to adjust the number of neighbors within one experiment, users can test different numbers of neighbors to accommodate heterogeneous tissue density. The default number of 30 works well for the tissues we have tested, including relative low-density tissues, such as brain, and relative high-density tissues, such as skin, or kidney. We also note that the variation in tissue density is an important issue in the field of spatial transcriptomics, which is affected or controlled by many biological properties of the cell, including but not limited to cell size, adhesion, </w:t>
      </w:r>
      <w:proofErr w:type="gramStart"/>
      <w:r>
        <w:rPr>
          <w:rFonts w:ascii="Arial" w:hAnsi="Arial" w:cs="Arial"/>
          <w:color w:val="4F81BD" w:themeColor="accent1"/>
          <w:shd w:val="clear" w:color="auto" w:fill="FFFFFF"/>
        </w:rPr>
        <w:t>migration</w:t>
      </w:r>
      <w:proofErr w:type="gramEnd"/>
      <w:r>
        <w:rPr>
          <w:rFonts w:ascii="Arial" w:hAnsi="Arial" w:cs="Arial"/>
          <w:color w:val="4F81BD" w:themeColor="accent1"/>
          <w:shd w:val="clear" w:color="auto" w:fill="FFFFFF"/>
        </w:rPr>
        <w:t xml:space="preserve"> and </w:t>
      </w:r>
      <w:r>
        <w:rPr>
          <w:rFonts w:ascii="Arial" w:hAnsi="Arial" w:cs="Arial"/>
          <w:color w:val="4F81BD" w:themeColor="accent1"/>
          <w:shd w:val="clear" w:color="auto" w:fill="FFFFFF"/>
        </w:rPr>
        <w:lastRenderedPageBreak/>
        <w:t xml:space="preserve">tissue </w:t>
      </w:r>
      <w:r>
        <w:rPr>
          <w:rFonts w:ascii="Arial" w:hAnsi="Arial" w:cs="Arial"/>
          <w:noProof/>
          <w:color w:val="4BACC6" w:themeColor="accent5"/>
        </w:rPr>
        <w:drawing>
          <wp:anchor distT="0" distB="0" distL="114300" distR="114300" simplePos="0" relativeHeight="251660288" behindDoc="1" locked="0" layoutInCell="1" allowOverlap="1" wp14:anchorId="39BD36E0" wp14:editId="2AEF00AC">
            <wp:simplePos x="0" y="0"/>
            <wp:positionH relativeFrom="column">
              <wp:posOffset>5715</wp:posOffset>
            </wp:positionH>
            <wp:positionV relativeFrom="paragraph">
              <wp:posOffset>1123950</wp:posOffset>
            </wp:positionV>
            <wp:extent cx="3879215" cy="2724150"/>
            <wp:effectExtent l="0" t="0" r="0" b="6350"/>
            <wp:wrapTight wrapText="bothSides">
              <wp:wrapPolygon edited="0">
                <wp:start x="0" y="0"/>
                <wp:lineTo x="0" y="21550"/>
                <wp:lineTo x="21497" y="21550"/>
                <wp:lineTo x="21497" y="0"/>
                <wp:lineTo x="0" y="0"/>
              </wp:wrapPolygon>
            </wp:wrapTight>
            <wp:docPr id="329197027" name="Picture 1" descr="A close-up of several images of a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97027" name="Picture 1" descr="A close-up of several images of a brai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79215" cy="27241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4F81BD" w:themeColor="accent1"/>
          <w:shd w:val="clear" w:color="auto" w:fill="FFFFFF"/>
        </w:rPr>
        <w:t>heterogeneity. Future work will be needed to fully address these issues. We provide a discussion about the issue in the revised manuscript.</w:t>
      </w:r>
      <w:r w:rsidRPr="001A606B">
        <w:rPr>
          <w:rFonts w:ascii="Arial" w:hAnsi="Arial" w:cs="Arial"/>
          <w:color w:val="424242"/>
        </w:rPr>
        <w:br/>
      </w:r>
    </w:p>
    <w:p w14:paraId="349CD501" w14:textId="77777777" w:rsidR="00E436F9" w:rsidRPr="004E66FF" w:rsidRDefault="00E436F9" w:rsidP="00E436F9">
      <w:pPr>
        <w:rPr>
          <w:rFonts w:ascii="Arial" w:hAnsi="Arial" w:cs="Arial"/>
          <w:sz w:val="18"/>
          <w:szCs w:val="18"/>
        </w:rPr>
      </w:pPr>
      <w:r w:rsidRPr="004E66FF">
        <w:rPr>
          <w:rFonts w:ascii="Arial" w:hAnsi="Arial" w:cs="Arial"/>
          <w:b/>
          <w:bCs/>
          <w:sz w:val="18"/>
          <w:szCs w:val="18"/>
        </w:rPr>
        <w:t xml:space="preserve">Figure </w:t>
      </w:r>
      <w:r>
        <w:rPr>
          <w:rFonts w:ascii="Arial" w:hAnsi="Arial" w:cs="Arial"/>
          <w:b/>
          <w:bCs/>
          <w:sz w:val="18"/>
          <w:szCs w:val="18"/>
        </w:rPr>
        <w:t>7</w:t>
      </w:r>
      <w:r w:rsidRPr="004E66FF">
        <w:rPr>
          <w:rFonts w:ascii="Arial" w:hAnsi="Arial" w:cs="Arial"/>
          <w:b/>
          <w:bCs/>
          <w:sz w:val="18"/>
          <w:szCs w:val="18"/>
        </w:rPr>
        <w:t xml:space="preserve">. </w:t>
      </w:r>
      <w:proofErr w:type="gramStart"/>
      <w:r w:rsidRPr="004E66FF">
        <w:rPr>
          <w:rFonts w:ascii="Arial" w:hAnsi="Arial" w:cs="Arial"/>
          <w:b/>
          <w:bCs/>
          <w:sz w:val="18"/>
          <w:szCs w:val="18"/>
        </w:rPr>
        <w:t>a</w:t>
      </w:r>
      <w:r w:rsidRPr="004E66FF">
        <w:rPr>
          <w:rFonts w:ascii="Arial" w:hAnsi="Arial" w:cs="Arial"/>
          <w:sz w:val="18"/>
          <w:szCs w:val="18"/>
        </w:rPr>
        <w:t>,</w:t>
      </w:r>
      <w:proofErr w:type="gramEnd"/>
      <w:r w:rsidRPr="004E66FF">
        <w:rPr>
          <w:rFonts w:ascii="Arial" w:hAnsi="Arial" w:cs="Arial"/>
          <w:sz w:val="18"/>
          <w:szCs w:val="18"/>
        </w:rPr>
        <w:t xml:space="preserve"> Binning of </w:t>
      </w:r>
      <w:proofErr w:type="spellStart"/>
      <w:r w:rsidRPr="004E66FF">
        <w:rPr>
          <w:rFonts w:ascii="Arial" w:hAnsi="Arial" w:cs="Arial"/>
          <w:sz w:val="18"/>
          <w:szCs w:val="18"/>
        </w:rPr>
        <w:t>Vizgen</w:t>
      </w:r>
      <w:proofErr w:type="spellEnd"/>
      <w:r w:rsidRPr="004E66FF">
        <w:rPr>
          <w:rFonts w:ascii="Arial" w:hAnsi="Arial" w:cs="Arial"/>
          <w:sz w:val="18"/>
          <w:szCs w:val="18"/>
        </w:rPr>
        <w:t xml:space="preserve"> data. The image region was binned with 30 by 30 bins on both axes. </w:t>
      </w:r>
      <w:r w:rsidRPr="004E66FF">
        <w:rPr>
          <w:rFonts w:ascii="Arial" w:hAnsi="Arial" w:cs="Arial"/>
          <w:b/>
          <w:bCs/>
          <w:sz w:val="18"/>
          <w:szCs w:val="18"/>
        </w:rPr>
        <w:t>b,</w:t>
      </w:r>
      <w:r w:rsidRPr="004E66FF">
        <w:rPr>
          <w:rFonts w:ascii="Arial" w:hAnsi="Arial" w:cs="Arial"/>
          <w:sz w:val="18"/>
          <w:szCs w:val="18"/>
        </w:rPr>
        <w:t xml:space="preserve"> The number of cell centroid in each bin. Left open right closed interval</w:t>
      </w:r>
      <w:r w:rsidRPr="004E66FF">
        <w:rPr>
          <w:rFonts w:ascii="Arial" w:hAnsi="Arial" w:cs="Arial" w:hint="eastAsia"/>
          <w:sz w:val="18"/>
          <w:szCs w:val="18"/>
        </w:rPr>
        <w:t>s</w:t>
      </w:r>
      <w:r w:rsidRPr="004E66FF">
        <w:rPr>
          <w:rFonts w:ascii="Arial" w:hAnsi="Arial" w:cs="Arial"/>
          <w:sz w:val="18"/>
          <w:szCs w:val="18"/>
        </w:rPr>
        <w:t xml:space="preserve"> were applied. </w:t>
      </w:r>
      <w:r w:rsidRPr="004E66FF">
        <w:rPr>
          <w:rFonts w:ascii="Arial" w:hAnsi="Arial" w:cs="Arial"/>
          <w:b/>
          <w:bCs/>
          <w:sz w:val="18"/>
          <w:szCs w:val="18"/>
        </w:rPr>
        <w:t xml:space="preserve">c, </w:t>
      </w:r>
      <w:proofErr w:type="gramStart"/>
      <w:r w:rsidRPr="004E66FF">
        <w:rPr>
          <w:rFonts w:ascii="Arial" w:hAnsi="Arial" w:cs="Arial"/>
          <w:sz w:val="18"/>
          <w:szCs w:val="18"/>
        </w:rPr>
        <w:t>The</w:t>
      </w:r>
      <w:proofErr w:type="gramEnd"/>
      <w:r w:rsidRPr="004E66FF">
        <w:rPr>
          <w:rFonts w:ascii="Arial" w:hAnsi="Arial" w:cs="Arial"/>
          <w:sz w:val="18"/>
          <w:szCs w:val="18"/>
        </w:rPr>
        <w:t xml:space="preserve"> mean Spearman correlation of between SMN graph distance and FR embedding distance between each cell pairs within each bin.</w:t>
      </w:r>
      <w:r w:rsidRPr="004E66FF">
        <w:rPr>
          <w:rFonts w:ascii="Arial" w:hAnsi="Arial" w:cs="Arial"/>
          <w:b/>
          <w:bCs/>
          <w:sz w:val="18"/>
          <w:szCs w:val="18"/>
        </w:rPr>
        <w:t xml:space="preserve"> d, </w:t>
      </w:r>
      <w:r w:rsidRPr="004E66FF">
        <w:rPr>
          <w:rFonts w:ascii="Arial" w:hAnsi="Arial" w:cs="Arial"/>
          <w:sz w:val="18"/>
          <w:szCs w:val="18"/>
        </w:rPr>
        <w:t xml:space="preserve">The mean K-L Divergence of </w:t>
      </w:r>
      <w:proofErr w:type="spellStart"/>
      <w:r w:rsidRPr="004E66FF">
        <w:rPr>
          <w:rFonts w:ascii="Arial" w:hAnsi="Arial" w:cs="Arial"/>
          <w:sz w:val="18"/>
          <w:szCs w:val="18"/>
        </w:rPr>
        <w:t>scHolography</w:t>
      </w:r>
      <w:proofErr w:type="spellEnd"/>
      <w:r w:rsidRPr="004E66FF">
        <w:rPr>
          <w:rFonts w:ascii="Arial" w:hAnsi="Arial" w:cs="Arial"/>
          <w:sz w:val="18"/>
          <w:szCs w:val="18"/>
        </w:rPr>
        <w:t xml:space="preserve"> predictions for simulated mouse hippocampus data as ground truth within each bin.  </w:t>
      </w:r>
    </w:p>
    <w:p w14:paraId="7FA4682B" w14:textId="77777777" w:rsidR="00E436F9" w:rsidRDefault="00E436F9" w:rsidP="00E436F9">
      <w:pPr>
        <w:rPr>
          <w:sz w:val="18"/>
          <w:szCs w:val="18"/>
        </w:rPr>
      </w:pPr>
    </w:p>
    <w:p w14:paraId="24441597" w14:textId="77777777" w:rsidR="00E436F9" w:rsidRDefault="00E436F9" w:rsidP="00E436F9">
      <w:pPr>
        <w:rPr>
          <w:sz w:val="18"/>
          <w:szCs w:val="18"/>
        </w:rPr>
      </w:pPr>
    </w:p>
    <w:p w14:paraId="20E8E6B0" w14:textId="77777777" w:rsidR="00E436F9" w:rsidRDefault="00E436F9" w:rsidP="00E436F9">
      <w:pPr>
        <w:rPr>
          <w:sz w:val="18"/>
          <w:szCs w:val="18"/>
        </w:rPr>
      </w:pPr>
    </w:p>
    <w:p w14:paraId="280A6E56" w14:textId="77777777" w:rsidR="00E436F9" w:rsidRDefault="00E436F9" w:rsidP="00E436F9">
      <w:pPr>
        <w:rPr>
          <w:sz w:val="18"/>
          <w:szCs w:val="18"/>
        </w:rPr>
      </w:pPr>
    </w:p>
    <w:p w14:paraId="78B61721" w14:textId="77777777" w:rsidR="00E436F9" w:rsidRDefault="00E436F9" w:rsidP="00E436F9">
      <w:pPr>
        <w:rPr>
          <w:sz w:val="18"/>
          <w:szCs w:val="18"/>
        </w:rPr>
      </w:pPr>
    </w:p>
    <w:p w14:paraId="773EFC27" w14:textId="77777777" w:rsidR="00E436F9" w:rsidRDefault="00E436F9" w:rsidP="00E436F9">
      <w:pPr>
        <w:rPr>
          <w:sz w:val="18"/>
          <w:szCs w:val="18"/>
        </w:rPr>
      </w:pPr>
    </w:p>
    <w:p w14:paraId="5E4D473F" w14:textId="77777777" w:rsidR="00E436F9" w:rsidRDefault="00E436F9" w:rsidP="00E436F9">
      <w:pPr>
        <w:rPr>
          <w:sz w:val="18"/>
          <w:szCs w:val="18"/>
        </w:rPr>
      </w:pPr>
    </w:p>
    <w:p w14:paraId="51B7395B" w14:textId="77777777" w:rsidR="00E436F9" w:rsidRPr="004E66FF" w:rsidRDefault="00E436F9" w:rsidP="00E436F9">
      <w:pPr>
        <w:rPr>
          <w:sz w:val="18"/>
          <w:szCs w:val="18"/>
        </w:rPr>
      </w:pPr>
    </w:p>
    <w:p w14:paraId="613D2D89" w14:textId="77777777" w:rsidR="00E436F9" w:rsidRPr="00694815" w:rsidRDefault="00E436F9" w:rsidP="00E436F9">
      <w:pPr>
        <w:rPr>
          <w:rFonts w:ascii="Arial" w:eastAsia="Times New Roman" w:hAnsi="Arial" w:cs="Arial"/>
          <w:b/>
          <w:bCs/>
        </w:rPr>
      </w:pPr>
      <w:r w:rsidRPr="00694815">
        <w:rPr>
          <w:rFonts w:ascii="Arial" w:hAnsi="Arial" w:cs="Arial"/>
          <w:b/>
          <w:bCs/>
        </w:rPr>
        <w:t>Reference</w:t>
      </w:r>
    </w:p>
    <w:p w14:paraId="0308BA9D" w14:textId="77777777" w:rsidR="00E436F9" w:rsidRPr="00694815" w:rsidRDefault="00E436F9" w:rsidP="00E436F9">
      <w:pPr>
        <w:pStyle w:val="EndNoteBibliography"/>
        <w:ind w:left="720" w:hanging="720"/>
        <w:rPr>
          <w:rFonts w:ascii="Arial" w:hAnsi="Arial" w:cs="Arial"/>
          <w:noProof/>
          <w:sz w:val="22"/>
          <w:szCs w:val="22"/>
        </w:rPr>
      </w:pPr>
      <w:r w:rsidRPr="00694815">
        <w:rPr>
          <w:rFonts w:ascii="Arial" w:hAnsi="Arial" w:cs="Arial"/>
          <w:b/>
          <w:bCs/>
          <w:sz w:val="22"/>
          <w:szCs w:val="22"/>
        </w:rPr>
        <w:fldChar w:fldCharType="begin"/>
      </w:r>
      <w:r w:rsidRPr="00694815">
        <w:rPr>
          <w:rFonts w:ascii="Arial" w:hAnsi="Arial" w:cs="Arial"/>
          <w:b/>
          <w:bCs/>
          <w:sz w:val="22"/>
          <w:szCs w:val="22"/>
        </w:rPr>
        <w:instrText xml:space="preserve"> ADDIN EN.REFLIST </w:instrText>
      </w:r>
      <w:r w:rsidRPr="00694815">
        <w:rPr>
          <w:rFonts w:ascii="Arial" w:hAnsi="Arial" w:cs="Arial"/>
          <w:b/>
          <w:bCs/>
          <w:sz w:val="22"/>
          <w:szCs w:val="22"/>
        </w:rPr>
        <w:fldChar w:fldCharType="separate"/>
      </w:r>
      <w:r w:rsidRPr="00694815">
        <w:rPr>
          <w:rFonts w:ascii="Arial" w:hAnsi="Arial" w:cs="Arial"/>
          <w:noProof/>
          <w:sz w:val="22"/>
          <w:szCs w:val="22"/>
        </w:rPr>
        <w:t xml:space="preserve">Fredman, M. L., &amp; Tarjan, R. E. (1987). Fibonacci heaps and their uses in improved network optimization algorithms. </w:t>
      </w:r>
      <w:r w:rsidRPr="00694815">
        <w:rPr>
          <w:rFonts w:ascii="Arial" w:hAnsi="Arial" w:cs="Arial"/>
          <w:i/>
          <w:noProof/>
          <w:sz w:val="22"/>
          <w:szCs w:val="22"/>
        </w:rPr>
        <w:t>Journal of the ACM (JACM)</w:t>
      </w:r>
      <w:r w:rsidRPr="00694815">
        <w:rPr>
          <w:rFonts w:ascii="Arial" w:hAnsi="Arial" w:cs="Arial"/>
          <w:noProof/>
          <w:sz w:val="22"/>
          <w:szCs w:val="22"/>
        </w:rPr>
        <w:t>,</w:t>
      </w:r>
      <w:r w:rsidRPr="00694815">
        <w:rPr>
          <w:rFonts w:ascii="Arial" w:hAnsi="Arial" w:cs="Arial"/>
          <w:i/>
          <w:noProof/>
          <w:sz w:val="22"/>
          <w:szCs w:val="22"/>
        </w:rPr>
        <w:t xml:space="preserve"> 34</w:t>
      </w:r>
      <w:r w:rsidRPr="00694815">
        <w:rPr>
          <w:rFonts w:ascii="Arial" w:hAnsi="Arial" w:cs="Arial"/>
          <w:noProof/>
          <w:sz w:val="22"/>
          <w:szCs w:val="22"/>
        </w:rPr>
        <w:t xml:space="preserve">(3), 596-615. </w:t>
      </w:r>
    </w:p>
    <w:p w14:paraId="00EBC459" w14:textId="77777777" w:rsidR="00E436F9" w:rsidRPr="00694815" w:rsidRDefault="00E436F9" w:rsidP="00E436F9">
      <w:pPr>
        <w:pStyle w:val="EndNoteBibliography"/>
        <w:ind w:left="720" w:hanging="720"/>
        <w:rPr>
          <w:rFonts w:ascii="Arial" w:hAnsi="Arial" w:cs="Arial"/>
          <w:noProof/>
          <w:sz w:val="22"/>
          <w:szCs w:val="22"/>
        </w:rPr>
      </w:pPr>
      <w:r w:rsidRPr="00694815">
        <w:rPr>
          <w:rFonts w:ascii="Arial" w:hAnsi="Arial" w:cs="Arial"/>
          <w:noProof/>
          <w:sz w:val="22"/>
          <w:szCs w:val="22"/>
        </w:rPr>
        <w:t xml:space="preserve">Haghverdi, L., Lun, A. T., Morgan, M. D., &amp; Marioni, J. C. (2018). Batch effects in single-cell RNA-sequencing data are corrected by matching mutual nearest neighbors. </w:t>
      </w:r>
      <w:r w:rsidRPr="00694815">
        <w:rPr>
          <w:rFonts w:ascii="Arial" w:hAnsi="Arial" w:cs="Arial"/>
          <w:i/>
          <w:noProof/>
          <w:sz w:val="22"/>
          <w:szCs w:val="22"/>
        </w:rPr>
        <w:t>Nature biotechnology</w:t>
      </w:r>
      <w:r w:rsidRPr="00694815">
        <w:rPr>
          <w:rFonts w:ascii="Arial" w:hAnsi="Arial" w:cs="Arial"/>
          <w:noProof/>
          <w:sz w:val="22"/>
          <w:szCs w:val="22"/>
        </w:rPr>
        <w:t>,</w:t>
      </w:r>
      <w:r w:rsidRPr="00694815">
        <w:rPr>
          <w:rFonts w:ascii="Arial" w:hAnsi="Arial" w:cs="Arial"/>
          <w:i/>
          <w:noProof/>
          <w:sz w:val="22"/>
          <w:szCs w:val="22"/>
        </w:rPr>
        <w:t xml:space="preserve"> 36</w:t>
      </w:r>
      <w:r w:rsidRPr="00694815">
        <w:rPr>
          <w:rFonts w:ascii="Arial" w:hAnsi="Arial" w:cs="Arial"/>
          <w:noProof/>
          <w:sz w:val="22"/>
          <w:szCs w:val="22"/>
        </w:rPr>
        <w:t xml:space="preserve">(5), 421-427. </w:t>
      </w:r>
    </w:p>
    <w:p w14:paraId="6FD83D5C" w14:textId="77777777" w:rsidR="00E436F9" w:rsidRPr="00694815" w:rsidRDefault="00E436F9" w:rsidP="00E436F9">
      <w:pPr>
        <w:pStyle w:val="EndNoteBibliography"/>
        <w:ind w:left="720" w:hanging="720"/>
        <w:rPr>
          <w:rFonts w:ascii="Arial" w:hAnsi="Arial" w:cs="Arial"/>
          <w:noProof/>
          <w:sz w:val="22"/>
          <w:szCs w:val="22"/>
        </w:rPr>
      </w:pPr>
      <w:r w:rsidRPr="00694815">
        <w:rPr>
          <w:rFonts w:ascii="Arial" w:hAnsi="Arial" w:cs="Arial"/>
          <w:noProof/>
          <w:sz w:val="22"/>
          <w:szCs w:val="22"/>
        </w:rPr>
        <w:t xml:space="preserve">Korsunsky, I., Millard, N., Fan, J., Slowikowski, K., Zhang, F., Wei, K., Baglaenko, Y., Brenner, M., Loh, P. R., &amp; Raychaudhuri, S. (2019). Fast, sensitive and accurate integration of single-cell data with Harmony. </w:t>
      </w:r>
      <w:r w:rsidRPr="00694815">
        <w:rPr>
          <w:rFonts w:ascii="Arial" w:hAnsi="Arial" w:cs="Arial"/>
          <w:i/>
          <w:noProof/>
          <w:sz w:val="22"/>
          <w:szCs w:val="22"/>
        </w:rPr>
        <w:t>Nat Methods</w:t>
      </w:r>
      <w:r w:rsidRPr="00694815">
        <w:rPr>
          <w:rFonts w:ascii="Arial" w:hAnsi="Arial" w:cs="Arial"/>
          <w:noProof/>
          <w:sz w:val="22"/>
          <w:szCs w:val="22"/>
        </w:rPr>
        <w:t>,</w:t>
      </w:r>
      <w:r w:rsidRPr="00694815">
        <w:rPr>
          <w:rFonts w:ascii="Arial" w:hAnsi="Arial" w:cs="Arial"/>
          <w:i/>
          <w:noProof/>
          <w:sz w:val="22"/>
          <w:szCs w:val="22"/>
        </w:rPr>
        <w:t xml:space="preserve"> 16</w:t>
      </w:r>
      <w:r w:rsidRPr="00694815">
        <w:rPr>
          <w:rFonts w:ascii="Arial" w:hAnsi="Arial" w:cs="Arial"/>
          <w:noProof/>
          <w:sz w:val="22"/>
          <w:szCs w:val="22"/>
        </w:rPr>
        <w:t xml:space="preserve">(12), 1289-1296. </w:t>
      </w:r>
      <w:hyperlink r:id="rId15" w:history="1">
        <w:r w:rsidRPr="00694815">
          <w:rPr>
            <w:rStyle w:val="Hyperlink"/>
            <w:rFonts w:ascii="Arial" w:hAnsi="Arial" w:cs="Arial"/>
            <w:noProof/>
            <w:sz w:val="22"/>
            <w:szCs w:val="22"/>
          </w:rPr>
          <w:t>https://doi.org/10.1038/s41592-019-0619-0</w:t>
        </w:r>
      </w:hyperlink>
      <w:r w:rsidRPr="00694815">
        <w:rPr>
          <w:rFonts w:ascii="Arial" w:hAnsi="Arial" w:cs="Arial"/>
          <w:noProof/>
          <w:sz w:val="22"/>
          <w:szCs w:val="22"/>
        </w:rPr>
        <w:t xml:space="preserve"> </w:t>
      </w:r>
    </w:p>
    <w:p w14:paraId="55B6D7A5" w14:textId="77777777" w:rsidR="00E436F9" w:rsidRPr="00694815" w:rsidRDefault="00E436F9" w:rsidP="00E436F9">
      <w:pPr>
        <w:pStyle w:val="EndNoteBibliography"/>
        <w:ind w:left="720" w:hanging="720"/>
        <w:rPr>
          <w:rFonts w:ascii="Arial" w:hAnsi="Arial" w:cs="Arial"/>
          <w:noProof/>
          <w:sz w:val="22"/>
          <w:szCs w:val="22"/>
        </w:rPr>
      </w:pPr>
      <w:r w:rsidRPr="00694815">
        <w:rPr>
          <w:rFonts w:ascii="Arial" w:hAnsi="Arial" w:cs="Arial"/>
          <w:noProof/>
          <w:sz w:val="22"/>
          <w:szCs w:val="22"/>
        </w:rPr>
        <w:t xml:space="preserve">Moffitt, J. R., Bambah-Mukku, D., Eichhorn, S. W., Vaughn, E., Shekhar, K., Perez, J. D., Rubinstein, N. D., Hao, J., Regev, A., Dulac, C., &amp; Zhuang, X. (2018). Molecular, spatial, and functional single-cell profiling of the hypothalamic preoptic region. </w:t>
      </w:r>
      <w:r w:rsidRPr="00694815">
        <w:rPr>
          <w:rFonts w:ascii="Arial" w:hAnsi="Arial" w:cs="Arial"/>
          <w:i/>
          <w:noProof/>
          <w:sz w:val="22"/>
          <w:szCs w:val="22"/>
        </w:rPr>
        <w:t>Science</w:t>
      </w:r>
      <w:r w:rsidRPr="00694815">
        <w:rPr>
          <w:rFonts w:ascii="Arial" w:hAnsi="Arial" w:cs="Arial"/>
          <w:noProof/>
          <w:sz w:val="22"/>
          <w:szCs w:val="22"/>
        </w:rPr>
        <w:t>,</w:t>
      </w:r>
      <w:r w:rsidRPr="00694815">
        <w:rPr>
          <w:rFonts w:ascii="Arial" w:hAnsi="Arial" w:cs="Arial"/>
          <w:i/>
          <w:noProof/>
          <w:sz w:val="22"/>
          <w:szCs w:val="22"/>
        </w:rPr>
        <w:t xml:space="preserve"> 362</w:t>
      </w:r>
      <w:r w:rsidRPr="00694815">
        <w:rPr>
          <w:rFonts w:ascii="Arial" w:hAnsi="Arial" w:cs="Arial"/>
          <w:noProof/>
          <w:sz w:val="22"/>
          <w:szCs w:val="22"/>
        </w:rPr>
        <w:t xml:space="preserve">(6416). </w:t>
      </w:r>
      <w:hyperlink r:id="rId16" w:history="1">
        <w:r w:rsidRPr="00694815">
          <w:rPr>
            <w:rStyle w:val="Hyperlink"/>
            <w:rFonts w:ascii="Arial" w:hAnsi="Arial" w:cs="Arial"/>
            <w:noProof/>
            <w:sz w:val="22"/>
            <w:szCs w:val="22"/>
          </w:rPr>
          <w:t>https://doi.org/10.1126/science.aau5324</w:t>
        </w:r>
      </w:hyperlink>
      <w:r w:rsidRPr="00694815">
        <w:rPr>
          <w:rFonts w:ascii="Arial" w:hAnsi="Arial" w:cs="Arial"/>
          <w:noProof/>
          <w:sz w:val="22"/>
          <w:szCs w:val="22"/>
        </w:rPr>
        <w:t xml:space="preserve"> </w:t>
      </w:r>
    </w:p>
    <w:p w14:paraId="627BAAE2" w14:textId="77777777" w:rsidR="00E436F9" w:rsidRPr="00694815" w:rsidRDefault="00E436F9" w:rsidP="00E436F9">
      <w:pPr>
        <w:pStyle w:val="EndNoteBibliography"/>
        <w:ind w:left="720" w:hanging="720"/>
        <w:rPr>
          <w:rFonts w:ascii="Arial" w:hAnsi="Arial" w:cs="Arial"/>
          <w:noProof/>
          <w:sz w:val="22"/>
          <w:szCs w:val="22"/>
        </w:rPr>
      </w:pPr>
      <w:r w:rsidRPr="00694815">
        <w:rPr>
          <w:rFonts w:ascii="Arial" w:hAnsi="Arial" w:cs="Arial"/>
          <w:noProof/>
          <w:sz w:val="22"/>
          <w:szCs w:val="22"/>
        </w:rPr>
        <w:t xml:space="preserve">Park, J., Shrestha, R., Qiu, C., Kondo, A., Huang, S., Werth, M., Li, M., Barasch, J., &amp; Suszták, K. (2018). Single-cell transcriptomics of the mouse kidney reveals potential cellular targets of kidney disease. </w:t>
      </w:r>
      <w:r w:rsidRPr="00694815">
        <w:rPr>
          <w:rFonts w:ascii="Arial" w:hAnsi="Arial" w:cs="Arial"/>
          <w:i/>
          <w:noProof/>
          <w:sz w:val="22"/>
          <w:szCs w:val="22"/>
        </w:rPr>
        <w:t>Science</w:t>
      </w:r>
      <w:r w:rsidRPr="00694815">
        <w:rPr>
          <w:rFonts w:ascii="Arial" w:hAnsi="Arial" w:cs="Arial"/>
          <w:noProof/>
          <w:sz w:val="22"/>
          <w:szCs w:val="22"/>
        </w:rPr>
        <w:t>,</w:t>
      </w:r>
      <w:r w:rsidRPr="00694815">
        <w:rPr>
          <w:rFonts w:ascii="Arial" w:hAnsi="Arial" w:cs="Arial"/>
          <w:i/>
          <w:noProof/>
          <w:sz w:val="22"/>
          <w:szCs w:val="22"/>
        </w:rPr>
        <w:t xml:space="preserve"> 360</w:t>
      </w:r>
      <w:r w:rsidRPr="00694815">
        <w:rPr>
          <w:rFonts w:ascii="Arial" w:hAnsi="Arial" w:cs="Arial"/>
          <w:noProof/>
          <w:sz w:val="22"/>
          <w:szCs w:val="22"/>
        </w:rPr>
        <w:t xml:space="preserve">(6390), 758-763. </w:t>
      </w:r>
      <w:hyperlink r:id="rId17" w:history="1">
        <w:r w:rsidRPr="00694815">
          <w:rPr>
            <w:rStyle w:val="Hyperlink"/>
            <w:rFonts w:ascii="Arial" w:hAnsi="Arial" w:cs="Arial"/>
            <w:noProof/>
            <w:sz w:val="22"/>
            <w:szCs w:val="22"/>
          </w:rPr>
          <w:t>https://doi.org/10.1126/science.aar2131</w:t>
        </w:r>
      </w:hyperlink>
      <w:r w:rsidRPr="00694815">
        <w:rPr>
          <w:rFonts w:ascii="Arial" w:hAnsi="Arial" w:cs="Arial"/>
          <w:noProof/>
          <w:sz w:val="22"/>
          <w:szCs w:val="22"/>
        </w:rPr>
        <w:t xml:space="preserve"> </w:t>
      </w:r>
    </w:p>
    <w:p w14:paraId="3D57870E" w14:textId="77777777" w:rsidR="00E436F9" w:rsidRPr="00694815" w:rsidRDefault="00E436F9" w:rsidP="00E436F9">
      <w:pPr>
        <w:pStyle w:val="EndNoteBibliography"/>
        <w:ind w:left="720" w:hanging="720"/>
        <w:rPr>
          <w:rFonts w:ascii="Arial" w:hAnsi="Arial" w:cs="Arial"/>
          <w:noProof/>
          <w:sz w:val="22"/>
          <w:szCs w:val="22"/>
        </w:rPr>
      </w:pPr>
      <w:r w:rsidRPr="00694815">
        <w:rPr>
          <w:rFonts w:ascii="Arial" w:hAnsi="Arial" w:cs="Arial"/>
          <w:noProof/>
          <w:sz w:val="22"/>
          <w:szCs w:val="22"/>
        </w:rPr>
        <w:t xml:space="preserve">Pavlopoulos, G. A., Kontou, P. I., Pavlopoulou, A., Bouyioukos, C., Markou, E., &amp; Bagos, P. G. (2018). Bipartite graphs in systems biology and medicine: a survey of methods and applications. </w:t>
      </w:r>
      <w:r w:rsidRPr="00694815">
        <w:rPr>
          <w:rFonts w:ascii="Arial" w:hAnsi="Arial" w:cs="Arial"/>
          <w:i/>
          <w:noProof/>
          <w:sz w:val="22"/>
          <w:szCs w:val="22"/>
        </w:rPr>
        <w:t>Gigascience</w:t>
      </w:r>
      <w:r w:rsidRPr="00694815">
        <w:rPr>
          <w:rFonts w:ascii="Arial" w:hAnsi="Arial" w:cs="Arial"/>
          <w:noProof/>
          <w:sz w:val="22"/>
          <w:szCs w:val="22"/>
        </w:rPr>
        <w:t>,</w:t>
      </w:r>
      <w:r w:rsidRPr="00694815">
        <w:rPr>
          <w:rFonts w:ascii="Arial" w:hAnsi="Arial" w:cs="Arial"/>
          <w:i/>
          <w:noProof/>
          <w:sz w:val="22"/>
          <w:szCs w:val="22"/>
        </w:rPr>
        <w:t xml:space="preserve"> 7</w:t>
      </w:r>
      <w:r w:rsidRPr="00694815">
        <w:rPr>
          <w:rFonts w:ascii="Arial" w:hAnsi="Arial" w:cs="Arial"/>
          <w:noProof/>
          <w:sz w:val="22"/>
          <w:szCs w:val="22"/>
        </w:rPr>
        <w:t xml:space="preserve">(4), 1-31. </w:t>
      </w:r>
      <w:hyperlink r:id="rId18" w:history="1">
        <w:r w:rsidRPr="00694815">
          <w:rPr>
            <w:rStyle w:val="Hyperlink"/>
            <w:rFonts w:ascii="Arial" w:hAnsi="Arial" w:cs="Arial"/>
            <w:noProof/>
            <w:sz w:val="22"/>
            <w:szCs w:val="22"/>
          </w:rPr>
          <w:t>https://doi.org/10.1093/gigascience/giy014</w:t>
        </w:r>
      </w:hyperlink>
      <w:r w:rsidRPr="00694815">
        <w:rPr>
          <w:rFonts w:ascii="Arial" w:hAnsi="Arial" w:cs="Arial"/>
          <w:noProof/>
          <w:sz w:val="22"/>
          <w:szCs w:val="22"/>
        </w:rPr>
        <w:t xml:space="preserve"> </w:t>
      </w:r>
    </w:p>
    <w:p w14:paraId="61E4ED97" w14:textId="77777777" w:rsidR="00E436F9" w:rsidRPr="00694815" w:rsidRDefault="00E436F9" w:rsidP="00E436F9">
      <w:pPr>
        <w:pStyle w:val="EndNoteBibliography"/>
        <w:ind w:left="720" w:hanging="720"/>
        <w:rPr>
          <w:rFonts w:ascii="Arial" w:hAnsi="Arial" w:cs="Arial"/>
          <w:noProof/>
          <w:sz w:val="22"/>
          <w:szCs w:val="22"/>
        </w:rPr>
      </w:pPr>
      <w:r w:rsidRPr="00694815">
        <w:rPr>
          <w:rFonts w:ascii="Arial" w:hAnsi="Arial" w:cs="Arial"/>
          <w:noProof/>
          <w:sz w:val="22"/>
          <w:szCs w:val="22"/>
        </w:rPr>
        <w:t xml:space="preserve">Philippeos, C., Telerman, S. B., Oulès, B., Pisco, A. O., Shaw, T. J., Elgueta, R., Lombardi, G., Driskell, R. R., Soldin, M., Lynch, M. D., &amp; Watt, F. M. (2018). Spatial and Single-Cell Transcriptional Profiling Identifies Functionally Distinct Human Dermal Fibroblast </w:t>
      </w:r>
      <w:r w:rsidRPr="00694815">
        <w:rPr>
          <w:rFonts w:ascii="Arial" w:hAnsi="Arial" w:cs="Arial"/>
          <w:noProof/>
          <w:sz w:val="22"/>
          <w:szCs w:val="22"/>
        </w:rPr>
        <w:lastRenderedPageBreak/>
        <w:t xml:space="preserve">Subpopulations. </w:t>
      </w:r>
      <w:r w:rsidRPr="00694815">
        <w:rPr>
          <w:rFonts w:ascii="Arial" w:hAnsi="Arial" w:cs="Arial"/>
          <w:i/>
          <w:noProof/>
          <w:sz w:val="22"/>
          <w:szCs w:val="22"/>
        </w:rPr>
        <w:t>J Invest Dermatol</w:t>
      </w:r>
      <w:r w:rsidRPr="00694815">
        <w:rPr>
          <w:rFonts w:ascii="Arial" w:hAnsi="Arial" w:cs="Arial"/>
          <w:noProof/>
          <w:sz w:val="22"/>
          <w:szCs w:val="22"/>
        </w:rPr>
        <w:t>,</w:t>
      </w:r>
      <w:r w:rsidRPr="00694815">
        <w:rPr>
          <w:rFonts w:ascii="Arial" w:hAnsi="Arial" w:cs="Arial"/>
          <w:i/>
          <w:noProof/>
          <w:sz w:val="22"/>
          <w:szCs w:val="22"/>
        </w:rPr>
        <w:t xml:space="preserve"> 138</w:t>
      </w:r>
      <w:r w:rsidRPr="00694815">
        <w:rPr>
          <w:rFonts w:ascii="Arial" w:hAnsi="Arial" w:cs="Arial"/>
          <w:noProof/>
          <w:sz w:val="22"/>
          <w:szCs w:val="22"/>
        </w:rPr>
        <w:t xml:space="preserve">(4), 811-825. </w:t>
      </w:r>
      <w:hyperlink r:id="rId19" w:history="1">
        <w:r w:rsidRPr="00694815">
          <w:rPr>
            <w:rStyle w:val="Hyperlink"/>
            <w:rFonts w:ascii="Arial" w:hAnsi="Arial" w:cs="Arial"/>
            <w:noProof/>
            <w:sz w:val="22"/>
            <w:szCs w:val="22"/>
          </w:rPr>
          <w:t>https://doi.org/10.1016/j.jid.2018.01.016</w:t>
        </w:r>
      </w:hyperlink>
      <w:r w:rsidRPr="00694815">
        <w:rPr>
          <w:rFonts w:ascii="Arial" w:hAnsi="Arial" w:cs="Arial"/>
          <w:noProof/>
          <w:sz w:val="22"/>
          <w:szCs w:val="22"/>
        </w:rPr>
        <w:t xml:space="preserve"> </w:t>
      </w:r>
    </w:p>
    <w:p w14:paraId="267B9AF7" w14:textId="77777777" w:rsidR="00E436F9" w:rsidRPr="00694815" w:rsidRDefault="00E436F9" w:rsidP="00E436F9">
      <w:pPr>
        <w:pStyle w:val="EndNoteBibliography"/>
        <w:ind w:left="720" w:hanging="720"/>
        <w:rPr>
          <w:rFonts w:ascii="Arial" w:hAnsi="Arial" w:cs="Arial"/>
          <w:noProof/>
          <w:sz w:val="22"/>
          <w:szCs w:val="22"/>
        </w:rPr>
      </w:pPr>
      <w:r w:rsidRPr="00694815">
        <w:rPr>
          <w:rFonts w:ascii="Arial" w:hAnsi="Arial" w:cs="Arial"/>
          <w:noProof/>
          <w:sz w:val="22"/>
          <w:szCs w:val="22"/>
        </w:rPr>
        <w:t xml:space="preserve">Ransick, A., Lindström, N. O., Liu, J., Zhu, Q., Guo, J. J., Alvarado, G. F., Kim, A. D., Black, H. G., Kim, J., &amp; McMahon, A. P. (2019). Single-Cell Profiling Reveals Sex, Lineage, and Regional Diversity in the Mouse Kidney. </w:t>
      </w:r>
      <w:r w:rsidRPr="00694815">
        <w:rPr>
          <w:rFonts w:ascii="Arial" w:hAnsi="Arial" w:cs="Arial"/>
          <w:i/>
          <w:noProof/>
          <w:sz w:val="22"/>
          <w:szCs w:val="22"/>
        </w:rPr>
        <w:t>Dev Cell</w:t>
      </w:r>
      <w:r w:rsidRPr="00694815">
        <w:rPr>
          <w:rFonts w:ascii="Arial" w:hAnsi="Arial" w:cs="Arial"/>
          <w:noProof/>
          <w:sz w:val="22"/>
          <w:szCs w:val="22"/>
        </w:rPr>
        <w:t>,</w:t>
      </w:r>
      <w:r w:rsidRPr="00694815">
        <w:rPr>
          <w:rFonts w:ascii="Arial" w:hAnsi="Arial" w:cs="Arial"/>
          <w:i/>
          <w:noProof/>
          <w:sz w:val="22"/>
          <w:szCs w:val="22"/>
        </w:rPr>
        <w:t xml:space="preserve"> 51</w:t>
      </w:r>
      <w:r w:rsidRPr="00694815">
        <w:rPr>
          <w:rFonts w:ascii="Arial" w:hAnsi="Arial" w:cs="Arial"/>
          <w:noProof/>
          <w:sz w:val="22"/>
          <w:szCs w:val="22"/>
        </w:rPr>
        <w:t xml:space="preserve">(3), 399-413.e397. </w:t>
      </w:r>
      <w:hyperlink r:id="rId20" w:history="1">
        <w:r w:rsidRPr="00694815">
          <w:rPr>
            <w:rStyle w:val="Hyperlink"/>
            <w:rFonts w:ascii="Arial" w:hAnsi="Arial" w:cs="Arial"/>
            <w:noProof/>
            <w:sz w:val="22"/>
            <w:szCs w:val="22"/>
          </w:rPr>
          <w:t>https://doi.org/10.1016/j.devcel.2019.10.005</w:t>
        </w:r>
      </w:hyperlink>
      <w:r w:rsidRPr="00694815">
        <w:rPr>
          <w:rFonts w:ascii="Arial" w:hAnsi="Arial" w:cs="Arial"/>
          <w:noProof/>
          <w:sz w:val="22"/>
          <w:szCs w:val="22"/>
        </w:rPr>
        <w:t xml:space="preserve"> </w:t>
      </w:r>
    </w:p>
    <w:p w14:paraId="6EF4B8CA" w14:textId="77777777" w:rsidR="00E436F9" w:rsidRPr="00694815" w:rsidRDefault="00E436F9" w:rsidP="00E436F9">
      <w:pPr>
        <w:pStyle w:val="EndNoteBibliography"/>
        <w:ind w:left="720" w:hanging="720"/>
        <w:rPr>
          <w:rFonts w:ascii="Arial" w:hAnsi="Arial" w:cs="Arial"/>
          <w:noProof/>
          <w:sz w:val="22"/>
          <w:szCs w:val="22"/>
        </w:rPr>
      </w:pPr>
      <w:r w:rsidRPr="00694815">
        <w:rPr>
          <w:rFonts w:ascii="Arial" w:hAnsi="Arial" w:cs="Arial"/>
          <w:noProof/>
          <w:sz w:val="22"/>
          <w:szCs w:val="22"/>
        </w:rPr>
        <w:t xml:space="preserve">Welch, J. D., Kozareva, V., Ferreira, A., Vanderburg, C., Martin, C., &amp; Macosko, E. Z. (2019). Single-Cell Multi-omic Integration Compares and Contrasts Features of Brain Cell Identity. </w:t>
      </w:r>
      <w:r w:rsidRPr="00694815">
        <w:rPr>
          <w:rFonts w:ascii="Arial" w:hAnsi="Arial" w:cs="Arial"/>
          <w:i/>
          <w:noProof/>
          <w:sz w:val="22"/>
          <w:szCs w:val="22"/>
        </w:rPr>
        <w:t>Cell</w:t>
      </w:r>
      <w:r w:rsidRPr="00694815">
        <w:rPr>
          <w:rFonts w:ascii="Arial" w:hAnsi="Arial" w:cs="Arial"/>
          <w:noProof/>
          <w:sz w:val="22"/>
          <w:szCs w:val="22"/>
        </w:rPr>
        <w:t>,</w:t>
      </w:r>
      <w:r w:rsidRPr="00694815">
        <w:rPr>
          <w:rFonts w:ascii="Arial" w:hAnsi="Arial" w:cs="Arial"/>
          <w:i/>
          <w:noProof/>
          <w:sz w:val="22"/>
          <w:szCs w:val="22"/>
        </w:rPr>
        <w:t xml:space="preserve"> 177</w:t>
      </w:r>
      <w:r w:rsidRPr="00694815">
        <w:rPr>
          <w:rFonts w:ascii="Arial" w:hAnsi="Arial" w:cs="Arial"/>
          <w:noProof/>
          <w:sz w:val="22"/>
          <w:szCs w:val="22"/>
        </w:rPr>
        <w:t xml:space="preserve">(7), 1873-1887.e1817. </w:t>
      </w:r>
      <w:hyperlink r:id="rId21" w:history="1">
        <w:r w:rsidRPr="00694815">
          <w:rPr>
            <w:rStyle w:val="Hyperlink"/>
            <w:rFonts w:ascii="Arial" w:hAnsi="Arial" w:cs="Arial"/>
            <w:noProof/>
            <w:sz w:val="22"/>
            <w:szCs w:val="22"/>
          </w:rPr>
          <w:t>https://doi.org/10.1016/j.cell.2019.05.006</w:t>
        </w:r>
      </w:hyperlink>
      <w:r w:rsidRPr="00694815">
        <w:rPr>
          <w:rFonts w:ascii="Arial" w:hAnsi="Arial" w:cs="Arial"/>
          <w:noProof/>
          <w:sz w:val="22"/>
          <w:szCs w:val="22"/>
        </w:rPr>
        <w:t xml:space="preserve"> </w:t>
      </w:r>
    </w:p>
    <w:p w14:paraId="3D620D07" w14:textId="77777777" w:rsidR="00E436F9" w:rsidRPr="00694815" w:rsidRDefault="00E436F9" w:rsidP="00E436F9">
      <w:pPr>
        <w:pStyle w:val="EndNoteBibliography"/>
        <w:ind w:left="720" w:hanging="720"/>
        <w:rPr>
          <w:rFonts w:ascii="Arial" w:hAnsi="Arial" w:cs="Arial"/>
          <w:noProof/>
          <w:sz w:val="22"/>
          <w:szCs w:val="22"/>
        </w:rPr>
      </w:pPr>
      <w:r w:rsidRPr="00694815">
        <w:rPr>
          <w:rFonts w:ascii="Arial" w:hAnsi="Arial" w:cs="Arial"/>
          <w:noProof/>
          <w:sz w:val="22"/>
          <w:szCs w:val="22"/>
        </w:rPr>
        <w:t xml:space="preserve">Zeira, R., Land, M., Strzalkowski, A., &amp; Raphael, B. J. (2022). Alignment and integration of spatial transcriptomics data. </w:t>
      </w:r>
      <w:r w:rsidRPr="00694815">
        <w:rPr>
          <w:rFonts w:ascii="Arial" w:hAnsi="Arial" w:cs="Arial"/>
          <w:i/>
          <w:noProof/>
          <w:sz w:val="22"/>
          <w:szCs w:val="22"/>
        </w:rPr>
        <w:t>Nat Methods</w:t>
      </w:r>
      <w:r w:rsidRPr="00694815">
        <w:rPr>
          <w:rFonts w:ascii="Arial" w:hAnsi="Arial" w:cs="Arial"/>
          <w:noProof/>
          <w:sz w:val="22"/>
          <w:szCs w:val="22"/>
        </w:rPr>
        <w:t>,</w:t>
      </w:r>
      <w:r w:rsidRPr="00694815">
        <w:rPr>
          <w:rFonts w:ascii="Arial" w:hAnsi="Arial" w:cs="Arial"/>
          <w:i/>
          <w:noProof/>
          <w:sz w:val="22"/>
          <w:szCs w:val="22"/>
        </w:rPr>
        <w:t xml:space="preserve"> 19</w:t>
      </w:r>
      <w:r w:rsidRPr="00694815">
        <w:rPr>
          <w:rFonts w:ascii="Arial" w:hAnsi="Arial" w:cs="Arial"/>
          <w:noProof/>
          <w:sz w:val="22"/>
          <w:szCs w:val="22"/>
        </w:rPr>
        <w:t xml:space="preserve">(5), 567-575. </w:t>
      </w:r>
      <w:hyperlink r:id="rId22" w:history="1">
        <w:r w:rsidRPr="00694815">
          <w:rPr>
            <w:rStyle w:val="Hyperlink"/>
            <w:rFonts w:ascii="Arial" w:hAnsi="Arial" w:cs="Arial"/>
            <w:noProof/>
            <w:sz w:val="22"/>
            <w:szCs w:val="22"/>
          </w:rPr>
          <w:t>https://doi.org/10.1038/s41592-022-01459-6</w:t>
        </w:r>
      </w:hyperlink>
      <w:r w:rsidRPr="00694815">
        <w:rPr>
          <w:rFonts w:ascii="Arial" w:hAnsi="Arial" w:cs="Arial"/>
          <w:noProof/>
          <w:sz w:val="22"/>
          <w:szCs w:val="22"/>
        </w:rPr>
        <w:t xml:space="preserve"> </w:t>
      </w:r>
    </w:p>
    <w:p w14:paraId="759A91E4" w14:textId="77777777" w:rsidR="00E436F9" w:rsidRPr="001A606B" w:rsidRDefault="00E436F9" w:rsidP="00E436F9">
      <w:pPr>
        <w:rPr>
          <w:rFonts w:ascii="Arial" w:hAnsi="Arial" w:cs="Arial"/>
          <w:b/>
          <w:bCs/>
        </w:rPr>
      </w:pPr>
      <w:r w:rsidRPr="00694815">
        <w:rPr>
          <w:rFonts w:ascii="Arial" w:hAnsi="Arial" w:cs="Arial"/>
          <w:b/>
          <w:bCs/>
        </w:rPr>
        <w:fldChar w:fldCharType="end"/>
      </w:r>
    </w:p>
    <w:p w14:paraId="00000017" w14:textId="77777777" w:rsidR="006E7420" w:rsidRDefault="006E7420">
      <w:pPr>
        <w:rPr>
          <w:rFonts w:ascii="Times New Roman" w:eastAsia="Times New Roman" w:hAnsi="Times New Roman" w:cs="Times New Roman"/>
        </w:rPr>
      </w:pPr>
    </w:p>
    <w:p w14:paraId="00000018" w14:textId="77777777" w:rsidR="006E7420" w:rsidRDefault="006E7420">
      <w:pPr>
        <w:rPr>
          <w:rFonts w:ascii="Times New Roman" w:eastAsia="Times New Roman" w:hAnsi="Times New Roman" w:cs="Times New Roman"/>
        </w:rPr>
      </w:pPr>
    </w:p>
    <w:p w14:paraId="00000019" w14:textId="77777777" w:rsidR="006E7420" w:rsidRDefault="00000000">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1A" w14:textId="77777777" w:rsidR="006E7420" w:rsidRDefault="00000000">
      <w:pPr>
        <w:rPr>
          <w:rFonts w:ascii="Times New Roman" w:eastAsia="Times New Roman" w:hAnsi="Times New Roman" w:cs="Times New Roman"/>
          <w:b/>
        </w:rPr>
      </w:pPr>
      <w:r>
        <w:rPr>
          <w:rFonts w:ascii="Times New Roman" w:eastAsia="Times New Roman" w:hAnsi="Times New Roman" w:cs="Times New Roman"/>
          <w:b/>
        </w:rPr>
        <w:t>Reviewer 1</w:t>
      </w:r>
    </w:p>
    <w:p w14:paraId="0000001B" w14:textId="77777777" w:rsidR="006E742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The authors have addressed most of my concerns from the previous round review. However, it is still not clear to me why 3D tissue structures can be learned from 2D sections by the proposed method. From an information theory perspective, the only possibility is that the 2D section used in training the NN weights already contains the "3D" structure in the point cloud the method produces. In this sense, these are not 3D structures of the tissue, but rather 3D representation of the spatial neighboring information of different cell populations in the 2D section. Therefore, I strongly suggest that the authors do not make the overly strong claim that "</w:t>
      </w:r>
      <w:proofErr w:type="spellStart"/>
      <w:r>
        <w:rPr>
          <w:rFonts w:ascii="Times New Roman" w:eastAsia="Times New Roman" w:hAnsi="Times New Roman" w:cs="Times New Roman"/>
        </w:rPr>
        <w:t>scHolography</w:t>
      </w:r>
      <w:proofErr w:type="spellEnd"/>
      <w:r>
        <w:rPr>
          <w:rFonts w:ascii="Times New Roman" w:eastAsia="Times New Roman" w:hAnsi="Times New Roman" w:cs="Times New Roman"/>
        </w:rPr>
        <w:t xml:space="preserve"> learns 3D information from 2D references" since the 3D (point cloud) and 2D (tissue) spaces are not comparable.</w:t>
      </w:r>
    </w:p>
    <w:p w14:paraId="0000001C" w14:textId="77777777" w:rsidR="006E7420" w:rsidRDefault="006E7420">
      <w:pPr>
        <w:spacing w:after="0" w:line="240" w:lineRule="auto"/>
        <w:rPr>
          <w:rFonts w:ascii="Times New Roman" w:eastAsia="Times New Roman" w:hAnsi="Times New Roman" w:cs="Times New Roman"/>
        </w:rPr>
      </w:pPr>
    </w:p>
    <w:p w14:paraId="0000001D" w14:textId="77777777" w:rsidR="006E7420" w:rsidRDefault="00000000">
      <w:pPr>
        <w:rPr>
          <w:rFonts w:ascii="Times New Roman" w:eastAsia="Times New Roman" w:hAnsi="Times New Roman" w:cs="Times New Roman"/>
          <w:b/>
        </w:rPr>
      </w:pPr>
      <w:r>
        <w:rPr>
          <w:rFonts w:ascii="Times New Roman" w:eastAsia="Times New Roman" w:hAnsi="Times New Roman" w:cs="Times New Roman"/>
          <w:b/>
        </w:rPr>
        <w:t>Reviewer 2</w:t>
      </w:r>
    </w:p>
    <w:p w14:paraId="0000001E" w14:textId="77777777" w:rsidR="006E742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 really appreciate the authors' exceptional efforts in thoroughly addressing </w:t>
      </w:r>
      <w:proofErr w:type="gramStart"/>
      <w:r>
        <w:rPr>
          <w:rFonts w:ascii="Times New Roman" w:eastAsia="Times New Roman" w:hAnsi="Times New Roman" w:cs="Times New Roman"/>
        </w:rPr>
        <w:t>all of</w:t>
      </w:r>
      <w:proofErr w:type="gramEnd"/>
      <w:r>
        <w:rPr>
          <w:rFonts w:ascii="Times New Roman" w:eastAsia="Times New Roman" w:hAnsi="Times New Roman" w:cs="Times New Roman"/>
        </w:rPr>
        <w:t xml:space="preserve"> my detailed remarks. I support the publication of this paper.</w:t>
      </w:r>
    </w:p>
    <w:p w14:paraId="0000001F" w14:textId="77777777" w:rsidR="006E7420" w:rsidRDefault="006E7420">
      <w:pPr>
        <w:spacing w:after="0" w:line="240" w:lineRule="auto"/>
        <w:rPr>
          <w:rFonts w:ascii="Times New Roman" w:eastAsia="Times New Roman" w:hAnsi="Times New Roman" w:cs="Times New Roman"/>
          <w:b/>
        </w:rPr>
      </w:pPr>
    </w:p>
    <w:p w14:paraId="00000020" w14:textId="77777777" w:rsidR="006E7420"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21" w14:textId="77777777" w:rsidR="006E742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22" w14:textId="77777777" w:rsidR="006E7420" w:rsidRDefault="006E7420">
      <w:pPr>
        <w:spacing w:after="0" w:line="240" w:lineRule="auto"/>
        <w:rPr>
          <w:rFonts w:ascii="Times New Roman" w:eastAsia="Times New Roman" w:hAnsi="Times New Roman" w:cs="Times New Roman"/>
        </w:rPr>
      </w:pPr>
    </w:p>
    <w:p w14:paraId="00000026" w14:textId="2F438519" w:rsidR="006E7420" w:rsidRDefault="00E436F9">
      <w:pPr>
        <w:pBdr>
          <w:top w:val="nil"/>
          <w:left w:val="nil"/>
          <w:bottom w:val="nil"/>
          <w:right w:val="nil"/>
          <w:between w:val="nil"/>
        </w:pBdr>
        <w:spacing w:after="0" w:line="240" w:lineRule="auto"/>
        <w:rPr>
          <w:rFonts w:ascii="Times New Roman" w:eastAsia="Times New Roman" w:hAnsi="Times New Roman" w:cs="Times New Roman"/>
        </w:rPr>
      </w:pPr>
      <w:bookmarkStart w:id="0" w:name="_heading=h.30j0zll" w:colFirst="0" w:colLast="0"/>
      <w:bookmarkEnd w:id="0"/>
      <w:proofErr w:type="gramStart"/>
      <w:r>
        <w:t>Specifically</w:t>
      </w:r>
      <w:proofErr w:type="gramEnd"/>
      <w:r>
        <w:t xml:space="preserve"> to the remaining point raised by reviewer #1, we have revised the text to state that our method generates 3D spatial representation or infer 3D tissue organization, instead of the strong statement “</w:t>
      </w:r>
      <w:proofErr w:type="spellStart"/>
      <w:r>
        <w:t>scHolography</w:t>
      </w:r>
      <w:proofErr w:type="spellEnd"/>
      <w:r>
        <w:t xml:space="preserve"> learns 3D information from 2D references”, throughout the manuscript.</w:t>
      </w:r>
    </w:p>
    <w:sectPr w:rsidR="006E742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420"/>
    <w:rsid w:val="006E7420"/>
    <w:rsid w:val="00E43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75DC"/>
  <w15:docId w15:val="{1703220D-F920-4230-A992-4BC407339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EndNoteBibliography">
    <w:name w:val="EndNote Bibliography"/>
    <w:basedOn w:val="Normal"/>
    <w:link w:val="EndNoteBibliographyChar"/>
    <w:rsid w:val="00E436F9"/>
    <w:pPr>
      <w:spacing w:after="0" w:line="240" w:lineRule="auto"/>
    </w:pPr>
    <w:rPr>
      <w:rFonts w:eastAsiaTheme="minorEastAsia"/>
      <w:kern w:val="2"/>
      <w:sz w:val="24"/>
      <w:szCs w:val="24"/>
      <w:lang w:eastAsia="zh-CN"/>
      <w14:ligatures w14:val="standardContextual"/>
    </w:rPr>
  </w:style>
  <w:style w:type="character" w:customStyle="1" w:styleId="EndNoteBibliographyChar">
    <w:name w:val="EndNote Bibliography Char"/>
    <w:basedOn w:val="DefaultParagraphFont"/>
    <w:link w:val="EndNoteBibliography"/>
    <w:rsid w:val="00E436F9"/>
    <w:rPr>
      <w:rFonts w:eastAsiaTheme="minorEastAsia"/>
      <w:kern w:val="2"/>
      <w:sz w:val="24"/>
      <w:szCs w:val="24"/>
      <w:lang w:eastAsia="zh-CN"/>
      <w14:ligatures w14:val="standardContextual"/>
    </w:rPr>
  </w:style>
  <w:style w:type="character" w:styleId="Hyperlink">
    <w:name w:val="Hyperlink"/>
    <w:basedOn w:val="DefaultParagraphFont"/>
    <w:uiPriority w:val="99"/>
    <w:unhideWhenUsed/>
    <w:rsid w:val="00E436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hyperlink" Target="https://doi.org/10.1093/gigascience/giy014" TargetMode="External"/><Relationship Id="rId3" Type="http://schemas.openxmlformats.org/officeDocument/2006/relationships/settings" Target="settings.xml"/><Relationship Id="rId21" Type="http://schemas.openxmlformats.org/officeDocument/2006/relationships/hyperlink" Target="https://doi.org/10.1016/j.cell.2019.05.006"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doi.org/10.1126/science.aar2131" TargetMode="External"/><Relationship Id="rId2" Type="http://schemas.openxmlformats.org/officeDocument/2006/relationships/styles" Target="styles.xml"/><Relationship Id="rId16" Type="http://schemas.openxmlformats.org/officeDocument/2006/relationships/hyperlink" Target="https://doi.org/10.1126/science.aau5324" TargetMode="External"/><Relationship Id="rId20" Type="http://schemas.openxmlformats.org/officeDocument/2006/relationships/hyperlink" Target="https://doi.org/10.1016/j.devcel.2019.10.005"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doi.org/10.1038/s41592-019-0619-0" TargetMode="External"/><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hyperlink" Target="https://doi.org/10.1016/j.jid.2018.01.016"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doi.org/10.1038/s41592-022-0145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Kt5PbnKPsKSomn4/JQw/9pYBAA==">CgMxLjAyCGguZ2pkZ3hzMgloLjMwajB6bGw4AHIhMS14dVY3ZENLZnk2U1BGNHNLd3d5TDV0TGphQjFiRXFq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7536</Words>
  <Characters>42956</Characters>
  <Application>Microsoft Office Word</Application>
  <DocSecurity>0</DocSecurity>
  <Lines>357</Lines>
  <Paragraphs>100</Paragraphs>
  <ScaleCrop>false</ScaleCrop>
  <Company>Springer Nature</Company>
  <LinksUpToDate>false</LinksUpToDate>
  <CharactersWithSpaces>50392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2</cp:revision>
  <dcterms:created xsi:type="dcterms:W3CDTF">2024-05-29T21:07:00Z</dcterms:created>
  <dcterms:modified xsi:type="dcterms:W3CDTF">2024-05-29T21:13:00Z</dcterms:modified>
</cp:coreProperties>
</file>