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44073" w14:textId="77777777" w:rsidR="0033120F" w:rsidRPr="00340706" w:rsidRDefault="0033120F" w:rsidP="0033120F">
      <w:pPr>
        <w:rPr>
          <w:b/>
          <w:sz w:val="28"/>
          <w:szCs w:val="28"/>
        </w:rPr>
      </w:pPr>
      <w:r w:rsidRPr="00340706">
        <w:rPr>
          <w:b/>
          <w:sz w:val="28"/>
          <w:szCs w:val="28"/>
        </w:rPr>
        <w:t>Review history</w:t>
      </w:r>
    </w:p>
    <w:p w14:paraId="483975E9" w14:textId="77777777" w:rsidR="0033120F" w:rsidRPr="00340706" w:rsidRDefault="0033120F" w:rsidP="0033120F">
      <w:pPr>
        <w:rPr>
          <w:b/>
          <w:sz w:val="24"/>
          <w:szCs w:val="24"/>
        </w:rPr>
      </w:pPr>
      <w:r w:rsidRPr="00340706">
        <w:rPr>
          <w:b/>
          <w:sz w:val="24"/>
          <w:szCs w:val="24"/>
        </w:rPr>
        <w:t>First round of review</w:t>
      </w:r>
    </w:p>
    <w:p w14:paraId="5F6D487B" w14:textId="77777777" w:rsidR="0033120F" w:rsidRDefault="0033120F" w:rsidP="0033120F">
      <w:pPr>
        <w:rPr>
          <w:b/>
        </w:rPr>
      </w:pPr>
      <w:r w:rsidRPr="00340706">
        <w:rPr>
          <w:b/>
        </w:rPr>
        <w:t>Reviewer 1</w:t>
      </w:r>
    </w:p>
    <w:p w14:paraId="7E82728B" w14:textId="4417FBCE" w:rsidR="0033120F" w:rsidRPr="00340706" w:rsidRDefault="00DD111E" w:rsidP="0033120F">
      <w:r>
        <w:rPr>
          <w:rFonts w:ascii="Verdana" w:hAnsi="Verdana"/>
          <w:color w:val="000033"/>
          <w:sz w:val="17"/>
          <w:szCs w:val="17"/>
          <w:shd w:val="clear" w:color="auto" w:fill="FFFFFF"/>
        </w:rPr>
        <w:t>This manuscript provides a detailed characterization of the co-regulation of splicing and transcript abundance during neuron development. In the past, a few alternative splicing (AS) events leading to Nonsense Mediated mRNA Decay (NMD) were described in neurons, but the overall contribution of NMD in these cells was not known because of the difficulty of disentangling changes in transcript levels due to splicing compared to other mechanisms (transcription, degradation etc). The key here is to use Cycloheximide to repress NMD to increase detection of otherwise unstable transcripts. Authors use a new computational tool named factR2 which successfully identified AS-NMD events in their well-validated, inducible neuronal differentiation model. This paper shows that many genes (dozens to low hundred) are regulated by AS-NMD in developing neurons, and that the most common subtype is the poison exons that they named NMD-Stimulating cassette exons (NS-CE). Upon verifying several events, establishing a major role for PTBP1, and deriving the overall expression changes during differentiation, authors show that AS-NMD acts in conjunction with other processes (before, during or after) to dampen the expression of these genes. Last, meta-analysis of other available samples confirms the conserved role of AS-NMD and the prevalence of NS-CE events. I only found one major correction together with minor comments, that need to be satisfactorily addressed before recommending this manuscript for publication.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description of the NMD rules is incomplete and as such, inaccurate (pages 3 and 7): NMD is triggered by premature termination codons (PTC) more than 50 nucleotides upstream of the LAST exon-exon junction, while the definitions on both pages lack the key word "last". This is absolutely crucial, because a PTC in the last five nucleotides of exon 4 of a 10-exon gene (with the translation start in exon 1 and the natural stop in exon 10) should trigger NMD according to the correct rule (because several EJCs are still located downstream of the PTC after the pioneer round of translation). However this case would be incorrectly missed if the pipeline does not follow the correct definition. I seek an honest clarification whether: (1) the definition was wrong but the pipeline for NMD-triggering events was correct (no further action then than changing the two definitions); or (2) the pipeline was wrong. In the second case, the pipeline needs to be corrected and the data needs reanalysis where necessary. Despite that I do not expect the major findings to change at all, this would be essential to prevent releasing a potentially flawed dataset.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In Results, some of the sections need a better explanation of the nature of the data. For instance, the passages on PTBP1 on page 12, what are the datasets for PTBP1 and 1/2 data? I presume these are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datasets, but needs explaining and not only providing a reference. Same for the dentate gyrus granule cells on page 17, what is the data?? What I understand is that authors are applying factR2 on previous datasets, so this needs to be made clear.</w:t>
      </w:r>
      <w:r>
        <w:rPr>
          <w:rFonts w:ascii="Verdana" w:hAnsi="Verdana"/>
          <w:color w:val="000033"/>
          <w:sz w:val="17"/>
          <w:szCs w:val="17"/>
        </w:rPr>
        <w:br/>
      </w:r>
      <w:r>
        <w:rPr>
          <w:rFonts w:ascii="Verdana" w:hAnsi="Verdana"/>
          <w:color w:val="000033"/>
          <w:sz w:val="17"/>
          <w:szCs w:val="17"/>
          <w:shd w:val="clear" w:color="auto" w:fill="FFFFFF"/>
        </w:rPr>
        <w:t xml:space="preserve">3. The minigene analysis in Figures 3F-J is good, except that there are several PTBP1 </w:t>
      </w:r>
      <w:proofErr w:type="spellStart"/>
      <w:r>
        <w:rPr>
          <w:rFonts w:ascii="Verdana" w:hAnsi="Verdana"/>
          <w:color w:val="000033"/>
          <w:sz w:val="17"/>
          <w:szCs w:val="17"/>
          <w:shd w:val="clear" w:color="auto" w:fill="FFFFFF"/>
        </w:rPr>
        <w:t>iCLIP</w:t>
      </w:r>
      <w:proofErr w:type="spellEnd"/>
      <w:r>
        <w:rPr>
          <w:rFonts w:ascii="Verdana" w:hAnsi="Verdana"/>
          <w:color w:val="000033"/>
          <w:sz w:val="17"/>
          <w:szCs w:val="17"/>
          <w:shd w:val="clear" w:color="auto" w:fill="FFFFFF"/>
        </w:rPr>
        <w:t xml:space="preserve"> tags that are ignored. Authors mutate the two </w:t>
      </w:r>
      <w:proofErr w:type="spellStart"/>
      <w:r>
        <w:rPr>
          <w:rFonts w:ascii="Verdana" w:hAnsi="Verdana"/>
          <w:color w:val="000033"/>
          <w:sz w:val="17"/>
          <w:szCs w:val="17"/>
          <w:shd w:val="clear" w:color="auto" w:fill="FFFFFF"/>
        </w:rPr>
        <w:t>iCLIP</w:t>
      </w:r>
      <w:proofErr w:type="spellEnd"/>
      <w:r>
        <w:rPr>
          <w:rFonts w:ascii="Verdana" w:hAnsi="Verdana"/>
          <w:color w:val="000033"/>
          <w:sz w:val="17"/>
          <w:szCs w:val="17"/>
          <w:shd w:val="clear" w:color="auto" w:fill="FFFFFF"/>
        </w:rPr>
        <w:t xml:space="preserve"> tags in the NS exon and one downstream, while there are others actually closer to the NS exon. Please explain why these were not analysed.</w:t>
      </w:r>
      <w:r>
        <w:rPr>
          <w:rFonts w:ascii="Verdana" w:hAnsi="Verdana"/>
          <w:color w:val="000033"/>
          <w:sz w:val="17"/>
          <w:szCs w:val="17"/>
        </w:rPr>
        <w:br/>
      </w:r>
      <w:r>
        <w:rPr>
          <w:rFonts w:ascii="Verdana" w:hAnsi="Verdana"/>
          <w:color w:val="000033"/>
          <w:sz w:val="17"/>
          <w:szCs w:val="17"/>
          <w:shd w:val="clear" w:color="auto" w:fill="FFFFFF"/>
        </w:rPr>
        <w:t>4. The expression profile trajectories in Figure S5 are interesting. It would be best to indicate the number of cases (N) following each profile on top of each panel, so we know which ones are more common.</w:t>
      </w:r>
      <w:r>
        <w:rPr>
          <w:rFonts w:ascii="Verdana" w:hAnsi="Verdana"/>
          <w:color w:val="000033"/>
          <w:sz w:val="17"/>
          <w:szCs w:val="17"/>
        </w:rPr>
        <w:br/>
      </w:r>
      <w:r>
        <w:rPr>
          <w:rFonts w:ascii="Verdana" w:hAnsi="Verdana"/>
          <w:color w:val="000033"/>
          <w:sz w:val="17"/>
          <w:szCs w:val="17"/>
          <w:shd w:val="clear" w:color="auto" w:fill="FFFFFF"/>
        </w:rPr>
        <w:t xml:space="preserve">5. Were the CRISPR clones in Figure S13 tested for splicing by RT-PCR? If not, this is necessary. Some </w:t>
      </w:r>
      <w:proofErr w:type="spellStart"/>
      <w:r>
        <w:rPr>
          <w:rFonts w:ascii="Verdana" w:hAnsi="Verdana"/>
          <w:color w:val="000033"/>
          <w:sz w:val="17"/>
          <w:szCs w:val="17"/>
          <w:shd w:val="clear" w:color="auto" w:fill="FFFFFF"/>
        </w:rPr>
        <w:t>exonic</w:t>
      </w:r>
      <w:proofErr w:type="spellEnd"/>
      <w:r>
        <w:rPr>
          <w:rFonts w:ascii="Verdana" w:hAnsi="Verdana"/>
          <w:color w:val="000033"/>
          <w:sz w:val="17"/>
          <w:szCs w:val="17"/>
          <w:shd w:val="clear" w:color="auto" w:fill="FFFFFF"/>
        </w:rPr>
        <w:t xml:space="preserve"> fragments are still there after gene editing so it would be possible that they activated a cryptic splice site leading to inclusion of a different cassette exon, hence the interpretation of results might be different. I hope that this was not the case, but we need to know for sure.</w:t>
      </w:r>
      <w:r>
        <w:rPr>
          <w:rFonts w:ascii="Verdana" w:hAnsi="Verdana"/>
          <w:color w:val="000033"/>
          <w:sz w:val="17"/>
          <w:szCs w:val="17"/>
        </w:rPr>
        <w:br/>
      </w:r>
      <w:r>
        <w:rPr>
          <w:rFonts w:ascii="Verdana" w:hAnsi="Verdana"/>
          <w:color w:val="000033"/>
          <w:sz w:val="17"/>
          <w:szCs w:val="17"/>
          <w:shd w:val="clear" w:color="auto" w:fill="FFFFFF"/>
        </w:rPr>
        <w:t>6. While the language is good overall, some unclear and vague statements should be fixed. For instance, page 8 "Cassette exons stimulating NMD upon their inclusion (NS-CEs) fared particularly well in this analysis", in which the underlined would be best stated as "were more abundant than the others". Another unclear statement on page 9 needs fixing: "Since NMD occurs in the cytoplasm [12-14], transcripts including NMD-stimulating and excluding NMD-repressing events should be enriched in the nucleus, providing a CHX independent validation approach".</w:t>
      </w:r>
      <w:r>
        <w:t xml:space="preserve"> </w:t>
      </w:r>
    </w:p>
    <w:p w14:paraId="6D7132DB" w14:textId="77777777" w:rsidR="0033120F" w:rsidRDefault="0033120F" w:rsidP="0033120F">
      <w:pPr>
        <w:rPr>
          <w:b/>
        </w:rPr>
      </w:pPr>
      <w:r w:rsidRPr="00340706">
        <w:rPr>
          <w:b/>
        </w:rPr>
        <w:lastRenderedPageBreak/>
        <w:t>Reviewer 2</w:t>
      </w:r>
    </w:p>
    <w:p w14:paraId="6EB24B8D" w14:textId="77777777" w:rsidR="00DD111E" w:rsidRDefault="00DD111E" w:rsidP="0033120F">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In this study, Zhuravskaya, </w:t>
      </w:r>
      <w:proofErr w:type="spellStart"/>
      <w:r>
        <w:rPr>
          <w:rFonts w:ascii="Verdana" w:hAnsi="Verdana"/>
          <w:color w:val="000033"/>
          <w:sz w:val="17"/>
          <w:szCs w:val="17"/>
          <w:shd w:val="clear" w:color="auto" w:fill="FFFFFF"/>
        </w:rPr>
        <w:t>Makeyev</w:t>
      </w:r>
      <w:proofErr w:type="spellEnd"/>
      <w:r>
        <w:rPr>
          <w:rFonts w:ascii="Verdana" w:hAnsi="Verdana"/>
          <w:color w:val="000033"/>
          <w:sz w:val="17"/>
          <w:szCs w:val="17"/>
          <w:shd w:val="clear" w:color="auto" w:fill="FFFFFF"/>
        </w:rPr>
        <w:t xml:space="preserve"> and colleagues present a transcriptomic analysis of differentiating neurons to estimate the extent to which AS-coupled NMD gene regulation in neurogenesis. That NMD has key roles in this process is well-known, however this study brings to the table a systematic, genome-wide assessment of which genes are regulated by this process. There is potential to discover novel genes and mechanisms from this interesting longitudinal analysis of gene expression.</w:t>
      </w:r>
      <w:r>
        <w:rPr>
          <w:rFonts w:ascii="Verdana" w:hAnsi="Verdana"/>
          <w:color w:val="000033"/>
          <w:sz w:val="17"/>
          <w:szCs w:val="17"/>
        </w:rPr>
        <w:br/>
      </w:r>
      <w:r>
        <w:rPr>
          <w:rFonts w:ascii="Verdana" w:hAnsi="Verdana"/>
          <w:color w:val="000033"/>
          <w:sz w:val="17"/>
          <w:szCs w:val="17"/>
          <w:shd w:val="clear" w:color="auto" w:fill="FFFFFF"/>
        </w:rPr>
        <w:t xml:space="preserve">While my overall impression is </w:t>
      </w:r>
      <w:proofErr w:type="spellStart"/>
      <w:r>
        <w:rPr>
          <w:rFonts w:ascii="Verdana" w:hAnsi="Verdana"/>
          <w:color w:val="000033"/>
          <w:sz w:val="17"/>
          <w:szCs w:val="17"/>
          <w:shd w:val="clear" w:color="auto" w:fill="FFFFFF"/>
        </w:rPr>
        <w:t>favorable</w:t>
      </w:r>
      <w:proofErr w:type="spellEnd"/>
      <w:r>
        <w:rPr>
          <w:rFonts w:ascii="Verdana" w:hAnsi="Verdana"/>
          <w:color w:val="000033"/>
          <w:sz w:val="17"/>
          <w:szCs w:val="17"/>
          <w:shd w:val="clear" w:color="auto" w:fill="FFFFFF"/>
        </w:rPr>
        <w:t>, there are some concerns which may require repeated and/or additional analyses, and better discussion. Also the presentation could be improved in some parts.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Regarding the association test </w:t>
      </w:r>
      <w:proofErr w:type="spellStart"/>
      <w:r>
        <w:rPr>
          <w:rFonts w:ascii="Verdana" w:hAnsi="Verdana"/>
          <w:color w:val="000033"/>
          <w:sz w:val="17"/>
          <w:szCs w:val="17"/>
          <w:shd w:val="clear" w:color="auto" w:fill="FFFFFF"/>
        </w:rPr>
        <w:t>beween</w:t>
      </w:r>
      <w:proofErr w:type="spellEnd"/>
      <w:r>
        <w:rPr>
          <w:rFonts w:ascii="Verdana" w:hAnsi="Verdana"/>
          <w:color w:val="000033"/>
          <w:sz w:val="17"/>
          <w:szCs w:val="17"/>
          <w:shd w:val="clear" w:color="auto" w:fill="FFFFFF"/>
        </w:rPr>
        <w:t xml:space="preserve"> AS-NMD and gene expression levels (page 10, Fig 2), if indeed NMD that they detect regulates gene expression as predicted by their model, we'd expect a strong overlap between genes detected to undergo AS-NMD and genes identified as differentially expressed. Yet the overlap is somewhat modest. They present it as an enrichment in Fig 2B, however the 2-fold to 3-fold enrichment over random overlap is not too impressive: if I read it right, many (a third or a quarter) of the AS-NMD genes are not differentially expressed.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Thus the stringency settings for calling AS-NMD may need to be adjusted and/or pipeline components optimized such as to obtain a better agreement here. Could the results of downstream analysis (functional enrichment etc) be affected by this? They should also keep in mind this dataset will be used as a resource by others thus there would need to be good QC performed.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There seems to be some focus in the manuscript on their tool „factR2", which seems to be presented as a novel contribution of their study (at least the version 2 of the tool). If so, there should be a comparison to existing tools which can </w:t>
      </w:r>
      <w:proofErr w:type="spellStart"/>
      <w:r>
        <w:rPr>
          <w:rFonts w:ascii="Verdana" w:hAnsi="Verdana"/>
          <w:color w:val="000033"/>
          <w:sz w:val="17"/>
          <w:szCs w:val="17"/>
          <w:shd w:val="clear" w:color="auto" w:fill="FFFFFF"/>
        </w:rPr>
        <w:t>peform</w:t>
      </w:r>
      <w:proofErr w:type="spellEnd"/>
      <w:r>
        <w:rPr>
          <w:rFonts w:ascii="Verdana" w:hAnsi="Verdana"/>
          <w:color w:val="000033"/>
          <w:sz w:val="17"/>
          <w:szCs w:val="17"/>
          <w:shd w:val="clear" w:color="auto" w:fill="FFFFFF"/>
        </w:rPr>
        <w:t xml:space="preserve"> related functions, at the very minimum in a table overview of the functions of factR2 and other tool(s). It would be helpful to have this assessed in terms of analysis outputs on their longitudinal dataset; since they describe in the Discussion that a contribution of their paper is the workflow for identifying AS-NMD (helpful, important) there should be a more detailed comparative analysis of this part of the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clustering of trajectories into 28 (!) types. Is the high number of clusters statistically supported (given the number of time points is not that large, and given uncertainty in the estimates)? Are most of them at all biologically meaningful? Most of their analyses seem to use only the 2 extreme types of trajectories if I understand correctly.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I do not understand how in Fig 1C and 1D both the NR-CE and the NS-CE cause increased NMD (as evident in increased % of CHX-regulated plasmids). Do they „flip" the sign between NR-CE and NS-CE before the display, so that this shows preferential inclusion of NS-CE and </w:t>
      </w:r>
      <w:proofErr w:type="spellStart"/>
      <w:r>
        <w:rPr>
          <w:rFonts w:ascii="Verdana" w:hAnsi="Verdana"/>
          <w:color w:val="000033"/>
          <w:sz w:val="17"/>
          <w:szCs w:val="17"/>
          <w:shd w:val="clear" w:color="auto" w:fill="FFFFFF"/>
        </w:rPr>
        <w:t>preferetial</w:t>
      </w:r>
      <w:proofErr w:type="spellEnd"/>
      <w:r>
        <w:rPr>
          <w:rFonts w:ascii="Verdana" w:hAnsi="Verdana"/>
          <w:color w:val="000033"/>
          <w:sz w:val="17"/>
          <w:szCs w:val="17"/>
          <w:shd w:val="clear" w:color="auto" w:fill="FFFFFF"/>
        </w:rPr>
        <w:t xml:space="preserve"> exclusion of NR-CE (this is not clear from the figure legend?) If this is not the case, then the result would be worrying since it would suggest that predicted NMD-repressing events (NR-CE) in fact promote NMD (and thus that either the prediction is often wrong, or the CHX based measurement).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5. A good part of the study is about the roles of PTBP1 in the AS-NMD, and their dataset offers nice possibilities to identify genes under PTBP1 control e.g. via </w:t>
      </w:r>
      <w:proofErr w:type="spellStart"/>
      <w:r>
        <w:rPr>
          <w:rFonts w:ascii="Verdana" w:hAnsi="Verdana"/>
          <w:color w:val="000033"/>
          <w:sz w:val="17"/>
          <w:szCs w:val="17"/>
          <w:shd w:val="clear" w:color="auto" w:fill="FFFFFF"/>
        </w:rPr>
        <w:t>coexpression</w:t>
      </w:r>
      <w:proofErr w:type="spellEnd"/>
      <w:r>
        <w:rPr>
          <w:rFonts w:ascii="Verdana" w:hAnsi="Verdana"/>
          <w:color w:val="000033"/>
          <w:sz w:val="17"/>
          <w:szCs w:val="17"/>
          <w:shd w:val="clear" w:color="auto" w:fill="FFFFFF"/>
        </w:rPr>
        <w:t xml:space="preserve"> analysis or via genetic perturbation. What was less clear from the text which part of these identified genes are actually novel, compared to either „Previous studies by our group and others identified several AS-NMD events controlled by PTBP1, an RNA-binding protein expressed at high levels in ESCs and NPCs and downregulated in neurons [28-31, 34]", or to other knowledge about PTBP1 targets. If they claim „These data suggest that PTBP1 controls a wider range of NS-CEs than previously thought" let us have quantification for that claim. For the newly-identified genes here (including the Fmnl3 and Iqgap1 and Ripk1 that were followed up), how are the confidence scores from their analysis compared to previously well-known target genes of PTBP1 AS-NMD?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It is curious that „as well as 5881 additional transcripts that had not been previously flagged as possible NMD targets" - can they comment which features their tool can discover that previous tools cannot?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The heading „NS-CEs work in coordination with NMD-independent gene downregulation mechanisms" suggests a general claim however that part of the manuscript seems to focus only on the 3 selected genes. Their existing data might be useful to test if this claim holds generally.</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8. Overall the manuscript is dense, and loaded with jargon which might be simplified, and with numeric estimates/statistics which might be better simply shown on figures; there is also a bit of an acronym overload. Consider simplifying to make text more accessible to broad audience.</w:t>
      </w:r>
    </w:p>
    <w:p w14:paraId="2B158357" w14:textId="3B9ED26F" w:rsidR="00DD111E" w:rsidRDefault="00DD111E" w:rsidP="00DD111E">
      <w:pPr>
        <w:rPr>
          <w:b/>
        </w:rPr>
      </w:pPr>
      <w:r w:rsidRPr="00340706">
        <w:rPr>
          <w:b/>
        </w:rPr>
        <w:t xml:space="preserve">Reviewer </w:t>
      </w:r>
      <w:r>
        <w:rPr>
          <w:b/>
        </w:rPr>
        <w:t>3</w:t>
      </w:r>
    </w:p>
    <w:p w14:paraId="58DCD649" w14:textId="6E1B87A4" w:rsidR="00DD111E" w:rsidRDefault="00DD111E" w:rsidP="0033120F">
      <w:pPr>
        <w:rPr>
          <w:rFonts w:ascii="Verdana" w:hAnsi="Verdana"/>
          <w:color w:val="000033"/>
          <w:sz w:val="17"/>
          <w:szCs w:val="17"/>
          <w:shd w:val="clear" w:color="auto" w:fill="FFFFFF"/>
        </w:rPr>
      </w:pPr>
      <w:r>
        <w:rPr>
          <w:rFonts w:ascii="Verdana" w:hAnsi="Verdana"/>
          <w:color w:val="000033"/>
          <w:sz w:val="17"/>
          <w:szCs w:val="17"/>
          <w:shd w:val="clear" w:color="auto" w:fill="FFFFFF"/>
        </w:rPr>
        <w:t>AS NMD in a developmental paradigm focusing on a forward programming of ESCs into neurons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Overall I like this paper. It is well conceived and address an important issue. The experiments are thoughtfully designed and would add value to the field. I feel it is a strong candidate to be published in GB after some consideration is given to the following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Model</w:t>
      </w:r>
      <w:r>
        <w:rPr>
          <w:rFonts w:ascii="Verdana" w:hAnsi="Verdana"/>
          <w:color w:val="000033"/>
          <w:sz w:val="17"/>
          <w:szCs w:val="17"/>
        </w:rPr>
        <w:br/>
      </w:r>
      <w:r>
        <w:rPr>
          <w:rFonts w:ascii="Verdana" w:hAnsi="Verdana"/>
          <w:color w:val="000033"/>
          <w:sz w:val="17"/>
          <w:szCs w:val="17"/>
          <w:shd w:val="clear" w:color="auto" w:fill="FFFFFF"/>
        </w:rPr>
        <w:t>1) please can the authors define the neuronal subtype?</w:t>
      </w:r>
      <w:r>
        <w:rPr>
          <w:rFonts w:ascii="Verdana" w:hAnsi="Verdana"/>
          <w:color w:val="000033"/>
          <w:sz w:val="17"/>
          <w:szCs w:val="17"/>
        </w:rPr>
        <w:br/>
      </w:r>
      <w:r>
        <w:rPr>
          <w:rFonts w:ascii="Verdana" w:hAnsi="Verdana"/>
          <w:color w:val="000033"/>
          <w:sz w:val="17"/>
          <w:szCs w:val="17"/>
          <w:shd w:val="clear" w:color="auto" w:fill="FFFFFF"/>
        </w:rPr>
        <w:t>2) What is their axial level / regional identity?</w:t>
      </w:r>
      <w:r>
        <w:rPr>
          <w:rFonts w:ascii="Verdana" w:hAnsi="Verdana"/>
          <w:color w:val="000033"/>
          <w:sz w:val="17"/>
          <w:szCs w:val="17"/>
        </w:rPr>
        <w:br/>
      </w:r>
      <w:r>
        <w:rPr>
          <w:rFonts w:ascii="Verdana" w:hAnsi="Verdana"/>
          <w:color w:val="000033"/>
          <w:sz w:val="17"/>
          <w:szCs w:val="17"/>
          <w:shd w:val="clear" w:color="auto" w:fill="FFFFFF"/>
        </w:rPr>
        <w:t xml:space="preserve">3) How enriched are the cultures for neuron subtype specific markers at the protein level? (I appreciate the </w:t>
      </w:r>
      <w:proofErr w:type="spellStart"/>
      <w:r>
        <w:rPr>
          <w:rFonts w:ascii="Verdana" w:hAnsi="Verdana"/>
          <w:color w:val="000033"/>
          <w:sz w:val="17"/>
          <w:szCs w:val="17"/>
          <w:shd w:val="clear" w:color="auto" w:fill="FFFFFF"/>
        </w:rPr>
        <w:t>MuSiC</w:t>
      </w:r>
      <w:proofErr w:type="spellEnd"/>
      <w:r>
        <w:rPr>
          <w:rFonts w:ascii="Verdana" w:hAnsi="Verdana"/>
          <w:color w:val="000033"/>
          <w:sz w:val="17"/>
          <w:szCs w:val="17"/>
          <w:shd w:val="clear" w:color="auto" w:fill="FFFFFF"/>
        </w:rPr>
        <w:t xml:space="preserve"> analysis, but it is only transcript level and we know that the relationship between transcript and protein is </w:t>
      </w:r>
      <w:proofErr w:type="spellStart"/>
      <w:r>
        <w:rPr>
          <w:rFonts w:ascii="Verdana" w:hAnsi="Verdana"/>
          <w:color w:val="000033"/>
          <w:sz w:val="17"/>
          <w:szCs w:val="17"/>
          <w:shd w:val="clear" w:color="auto" w:fill="FFFFFF"/>
        </w:rPr>
        <w:t>non linear</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4) Are the neurons functional?</w:t>
      </w:r>
      <w:r>
        <w:rPr>
          <w:rFonts w:ascii="Verdana" w:hAnsi="Verdana"/>
          <w:color w:val="000033"/>
          <w:sz w:val="17"/>
          <w:szCs w:val="17"/>
        </w:rPr>
        <w:br/>
      </w:r>
      <w:r>
        <w:rPr>
          <w:rFonts w:ascii="Verdana" w:hAnsi="Verdana"/>
          <w:color w:val="000033"/>
          <w:sz w:val="17"/>
          <w:szCs w:val="17"/>
          <w:shd w:val="clear" w:color="auto" w:fill="FFFFFF"/>
        </w:rPr>
        <w:t>5) How close are these to the regional identity / maturity of then primary cortical cultures used later in this study?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Bioinformatics -</w:t>
      </w:r>
      <w:r>
        <w:rPr>
          <w:rFonts w:ascii="Verdana" w:hAnsi="Verdana"/>
          <w:color w:val="000033"/>
          <w:sz w:val="17"/>
          <w:szCs w:val="17"/>
        </w:rPr>
        <w:br/>
      </w:r>
      <w:r>
        <w:rPr>
          <w:rFonts w:ascii="Verdana" w:hAnsi="Verdana"/>
          <w:color w:val="000033"/>
          <w:sz w:val="17"/>
          <w:szCs w:val="17"/>
          <w:shd w:val="clear" w:color="auto" w:fill="FFFFFF"/>
        </w:rPr>
        <w:t>6) tools to predict NMD are not reliable (i.e. poor overlap between those predicted and those identified by experiments). The superiority of the approach employed here could be articulated more definitively.</w:t>
      </w:r>
      <w:r>
        <w:rPr>
          <w:rFonts w:ascii="Verdana" w:hAnsi="Verdana"/>
          <w:color w:val="000033"/>
          <w:sz w:val="17"/>
          <w:szCs w:val="17"/>
        </w:rPr>
        <w:br/>
      </w:r>
      <w:r>
        <w:rPr>
          <w:rFonts w:ascii="Verdana" w:hAnsi="Verdana"/>
          <w:color w:val="000033"/>
          <w:sz w:val="17"/>
          <w:szCs w:val="17"/>
          <w:shd w:val="clear" w:color="auto" w:fill="FFFFFF"/>
        </w:rPr>
        <w:t>7) Can the authors comment on their choice of splicing tool in terms of advantages over others (</w:t>
      </w:r>
      <w:proofErr w:type="spellStart"/>
      <w:r>
        <w:rPr>
          <w:rFonts w:ascii="Verdana" w:hAnsi="Verdana"/>
          <w:color w:val="000033"/>
          <w:sz w:val="17"/>
          <w:szCs w:val="17"/>
          <w:shd w:val="clear" w:color="auto" w:fill="FFFFFF"/>
        </w:rPr>
        <w:t>rMATs</w:t>
      </w:r>
      <w:proofErr w:type="spellEnd"/>
      <w:r>
        <w:rPr>
          <w:rFonts w:ascii="Verdana" w:hAnsi="Verdana"/>
          <w:color w:val="000033"/>
          <w:sz w:val="17"/>
          <w:szCs w:val="17"/>
          <w:shd w:val="clear" w:color="auto" w:fill="FFFFFF"/>
        </w:rPr>
        <w:t>, MAGIQ etc)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Tools</w:t>
      </w:r>
      <w:r>
        <w:rPr>
          <w:rFonts w:ascii="Verdana" w:hAnsi="Verdana"/>
          <w:color w:val="000033"/>
          <w:sz w:val="17"/>
          <w:szCs w:val="17"/>
        </w:rPr>
        <w:br/>
      </w:r>
      <w:r>
        <w:rPr>
          <w:rFonts w:ascii="Verdana" w:hAnsi="Verdana"/>
          <w:color w:val="000033"/>
          <w:sz w:val="17"/>
          <w:szCs w:val="17"/>
          <w:shd w:val="clear" w:color="auto" w:fill="FFFFFF"/>
        </w:rPr>
        <w:t xml:space="preserve">8) CHX is a </w:t>
      </w:r>
      <w:proofErr w:type="spellStart"/>
      <w:r>
        <w:rPr>
          <w:rFonts w:ascii="Verdana" w:hAnsi="Verdana"/>
          <w:color w:val="000033"/>
          <w:sz w:val="17"/>
          <w:szCs w:val="17"/>
          <w:shd w:val="clear" w:color="auto" w:fill="FFFFFF"/>
        </w:rPr>
        <w:t>non specific</w:t>
      </w:r>
      <w:proofErr w:type="spellEnd"/>
      <w:r>
        <w:rPr>
          <w:rFonts w:ascii="Verdana" w:hAnsi="Verdana"/>
          <w:color w:val="000033"/>
          <w:sz w:val="17"/>
          <w:szCs w:val="17"/>
          <w:shd w:val="clear" w:color="auto" w:fill="FFFFFF"/>
        </w:rPr>
        <w:t xml:space="preserve"> tool to inhibit NMD - orthogonality is required e.g. UPF1 KD and/or SMG7 KD, overlapping identified targets.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Discussion</w:t>
      </w:r>
      <w:r>
        <w:rPr>
          <w:rFonts w:ascii="Verdana" w:hAnsi="Verdana"/>
          <w:color w:val="000033"/>
          <w:sz w:val="17"/>
          <w:szCs w:val="17"/>
        </w:rPr>
        <w:br/>
      </w:r>
      <w:r>
        <w:rPr>
          <w:rFonts w:ascii="Verdana" w:hAnsi="Verdana"/>
          <w:color w:val="000033"/>
          <w:sz w:val="17"/>
          <w:szCs w:val="17"/>
          <w:shd w:val="clear" w:color="auto" w:fill="FFFFFF"/>
        </w:rPr>
        <w:t>9) can the authors expand their discussion on specific non NMD forms of RNA decay and their relevance in this context</w:t>
      </w:r>
      <w:r>
        <w:rPr>
          <w:rFonts w:ascii="Verdana" w:hAnsi="Verdana"/>
          <w:color w:val="000033"/>
          <w:sz w:val="17"/>
          <w:szCs w:val="17"/>
        </w:rPr>
        <w:br/>
      </w:r>
      <w:r>
        <w:rPr>
          <w:rFonts w:ascii="Verdana" w:hAnsi="Verdana"/>
          <w:color w:val="000033"/>
          <w:sz w:val="17"/>
          <w:szCs w:val="17"/>
          <w:shd w:val="clear" w:color="auto" w:fill="FFFFFF"/>
        </w:rPr>
        <w:t>10) Can the authors speculate on how uniform this model would be across different neuronal subtypes, glia and other tissues (I appreciated very much the comparison to granulocytes and agree this argues for broad relevance)</w:t>
      </w:r>
      <w:r>
        <w:rPr>
          <w:rFonts w:ascii="Verdana" w:hAnsi="Verdana"/>
          <w:color w:val="000033"/>
          <w:sz w:val="17"/>
          <w:szCs w:val="17"/>
        </w:rPr>
        <w:br/>
      </w:r>
      <w:r>
        <w:rPr>
          <w:rFonts w:ascii="Verdana" w:hAnsi="Verdana"/>
          <w:color w:val="000033"/>
          <w:sz w:val="17"/>
          <w:szCs w:val="17"/>
          <w:shd w:val="clear" w:color="auto" w:fill="FFFFFF"/>
        </w:rPr>
        <w:t xml:space="preserve">11) how is the mechanism </w:t>
      </w:r>
      <w:proofErr w:type="spellStart"/>
      <w:r>
        <w:rPr>
          <w:rFonts w:ascii="Verdana" w:hAnsi="Verdana"/>
          <w:color w:val="000033"/>
          <w:sz w:val="17"/>
          <w:szCs w:val="17"/>
          <w:shd w:val="clear" w:color="auto" w:fill="FFFFFF"/>
        </w:rPr>
        <w:t>fine tuned</w:t>
      </w:r>
      <w:proofErr w:type="spellEnd"/>
      <w:r>
        <w:rPr>
          <w:rFonts w:ascii="Verdana" w:hAnsi="Verdana"/>
          <w:color w:val="000033"/>
          <w:sz w:val="17"/>
          <w:szCs w:val="17"/>
          <w:shd w:val="clear" w:color="auto" w:fill="FFFFFF"/>
        </w:rPr>
        <w:t xml:space="preserve"> in a context specific manner?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Figures:</w:t>
      </w:r>
      <w:r>
        <w:rPr>
          <w:rFonts w:ascii="Verdana" w:hAnsi="Verdana"/>
          <w:color w:val="000033"/>
          <w:sz w:val="17"/>
          <w:szCs w:val="17"/>
        </w:rPr>
        <w:br/>
      </w:r>
      <w:r>
        <w:rPr>
          <w:rFonts w:ascii="Verdana" w:hAnsi="Verdana"/>
          <w:color w:val="000033"/>
          <w:sz w:val="17"/>
          <w:szCs w:val="17"/>
          <w:shd w:val="clear" w:color="auto" w:fill="FFFFFF"/>
        </w:rPr>
        <w:t xml:space="preserve">12) What is the structure shown in S1 D? This 'ball and chain' </w:t>
      </w:r>
      <w:proofErr w:type="spellStart"/>
      <w:r>
        <w:rPr>
          <w:rFonts w:ascii="Verdana" w:hAnsi="Verdana"/>
          <w:color w:val="000033"/>
          <w:sz w:val="17"/>
          <w:szCs w:val="17"/>
          <w:shd w:val="clear" w:color="auto" w:fill="FFFFFF"/>
        </w:rPr>
        <w:t>apprearance</w:t>
      </w:r>
      <w:proofErr w:type="spellEnd"/>
      <w:r>
        <w:rPr>
          <w:rFonts w:ascii="Verdana" w:hAnsi="Verdana"/>
          <w:color w:val="000033"/>
          <w:sz w:val="17"/>
          <w:szCs w:val="17"/>
          <w:shd w:val="clear" w:color="auto" w:fill="FFFFFF"/>
        </w:rPr>
        <w:t xml:space="preserve"> suggests the cell bodies have formed 3D clusters with 'fascicles' protruding. This makes analysis esp. omit analysis challenging as it adds the confounding variable of a change in cell-cell interactions - please can the authors comment on this. There are solutions to maintain the cultures as a monolayer e.g. using a cationic substrate like PEI</w:t>
      </w:r>
      <w:r>
        <w:rPr>
          <w:rFonts w:ascii="Verdana" w:hAnsi="Verdana"/>
          <w:color w:val="000033"/>
          <w:sz w:val="17"/>
          <w:szCs w:val="17"/>
        </w:rPr>
        <w:br/>
      </w:r>
      <w:r>
        <w:rPr>
          <w:rFonts w:ascii="Verdana" w:hAnsi="Verdana"/>
          <w:color w:val="000033"/>
          <w:sz w:val="17"/>
          <w:szCs w:val="17"/>
          <w:shd w:val="clear" w:color="auto" w:fill="FFFFFF"/>
        </w:rPr>
        <w:t>13) Some poor resolution like S1 E Tubb3</w:t>
      </w:r>
      <w:r>
        <w:rPr>
          <w:rFonts w:ascii="Verdana" w:hAnsi="Verdana"/>
          <w:color w:val="000033"/>
          <w:sz w:val="17"/>
          <w:szCs w:val="17"/>
        </w:rPr>
        <w:br/>
      </w:r>
      <w:r>
        <w:rPr>
          <w:rFonts w:ascii="Verdana" w:hAnsi="Verdana"/>
          <w:color w:val="000033"/>
          <w:sz w:val="17"/>
          <w:szCs w:val="17"/>
          <w:shd w:val="clear" w:color="auto" w:fill="FFFFFF"/>
        </w:rPr>
        <w:t>14. Cortical neurons in S4 C look very immature (morphologically).</w:t>
      </w:r>
    </w:p>
    <w:p w14:paraId="162373A4" w14:textId="4785AFB3" w:rsidR="0033120F" w:rsidRPr="00340706" w:rsidRDefault="0033120F" w:rsidP="0033120F">
      <w:pPr>
        <w:rPr>
          <w:b/>
        </w:rPr>
      </w:pPr>
      <w:r w:rsidRPr="00340706">
        <w:rPr>
          <w:b/>
        </w:rPr>
        <w:t xml:space="preserve">Authors’ response to reviewers </w:t>
      </w:r>
    </w:p>
    <w:p w14:paraId="6445564C" w14:textId="77777777" w:rsidR="00564ED3" w:rsidRPr="0031542E" w:rsidRDefault="00564ED3" w:rsidP="00564ED3">
      <w:pPr>
        <w:pStyle w:val="Heading1"/>
        <w:spacing w:before="76"/>
        <w:rPr>
          <w:sz w:val="28"/>
          <w:szCs w:val="28"/>
        </w:rPr>
      </w:pPr>
      <w:r w:rsidRPr="0031542E">
        <w:rPr>
          <w:sz w:val="28"/>
          <w:szCs w:val="28"/>
        </w:rPr>
        <w:t>Reviewer</w:t>
      </w:r>
      <w:r w:rsidRPr="0031542E">
        <w:rPr>
          <w:spacing w:val="-4"/>
          <w:sz w:val="28"/>
          <w:szCs w:val="28"/>
        </w:rPr>
        <w:t xml:space="preserve"> </w:t>
      </w:r>
      <w:r w:rsidRPr="0031542E">
        <w:rPr>
          <w:spacing w:val="-5"/>
          <w:sz w:val="28"/>
          <w:szCs w:val="28"/>
        </w:rPr>
        <w:t>#1</w:t>
      </w:r>
    </w:p>
    <w:p w14:paraId="530C8EDB" w14:textId="77777777" w:rsidR="00564ED3" w:rsidRDefault="00564ED3" w:rsidP="00564ED3">
      <w:pPr>
        <w:pStyle w:val="BodyText"/>
        <w:ind w:left="0"/>
        <w:jc w:val="left"/>
        <w:rPr>
          <w:b/>
        </w:rPr>
      </w:pPr>
    </w:p>
    <w:p w14:paraId="23D13AF5" w14:textId="77777777" w:rsidR="00564ED3" w:rsidRDefault="00564ED3" w:rsidP="00564ED3">
      <w:pPr>
        <w:pStyle w:val="BodyText"/>
        <w:ind w:right="117"/>
      </w:pPr>
      <w:r>
        <w:t xml:space="preserve">This manuscript provides a detailed characterization of the co-regulation of splicing and transcript abundance during neuron development. In the past, a few alternative splicing (AS) events leading to Nonsense Mediated mRNA Decay (NMD) were described in neurons, but the overall contribution of NMD in these cells was not known because of the difficulty of disentangling changes in transcript levels due to splicing compared to other mechanisms (transcription, degradation </w:t>
      </w:r>
      <w:proofErr w:type="spellStart"/>
      <w:r>
        <w:t>etc</w:t>
      </w:r>
      <w:proofErr w:type="spellEnd"/>
      <w:r>
        <w:t xml:space="preserve">). The key here is to use Cycloheximide to repress NMD to increase detection of otherwise unstable transcripts. Authors use a new computational tool </w:t>
      </w:r>
      <w:r>
        <w:lastRenderedPageBreak/>
        <w:t>named factR2 which successfully identified AS-NMD events in their well-validated, inducible neuronal differentiation model. This paper shows that many genes (dozens to low hundred) are regulated by AS-NMD in developing neurons, and that the most common subtype is the poison exons that they named NMD-Stimulating cassette exons (NS-CE). Upon verifying several events, establishing a major role for PTBP1, and deriving the overall expression changes during differentiation, authors show that AS-NMD acts in conjunction with other processes (before, during or after) to dampen the expression of these genes. Last, meta-analysis of other available samples confirms the conserved role of AS-NMD and the prevalence of NS-CE events. I only found one major correction together with minor comments, that need to be satisfactorily addressed before recommending this manuscript for publication.</w:t>
      </w:r>
    </w:p>
    <w:p w14:paraId="2CCF82DA" w14:textId="77777777" w:rsidR="00564ED3" w:rsidRDefault="00564ED3" w:rsidP="00564ED3">
      <w:pPr>
        <w:pStyle w:val="BodyText"/>
        <w:spacing w:before="1"/>
        <w:ind w:left="0"/>
        <w:jc w:val="left"/>
      </w:pPr>
    </w:p>
    <w:p w14:paraId="2FDBA15D" w14:textId="77777777" w:rsidR="00564ED3" w:rsidRDefault="00564ED3" w:rsidP="00564ED3">
      <w:pPr>
        <w:pStyle w:val="BodyText"/>
        <w:spacing w:line="480" w:lineRule="auto"/>
        <w:ind w:right="2346"/>
      </w:pPr>
      <w:r>
        <w:rPr>
          <w:color w:val="0070C0"/>
        </w:rPr>
        <w:t>We</w:t>
      </w:r>
      <w:r>
        <w:rPr>
          <w:color w:val="0070C0"/>
          <w:spacing w:val="-5"/>
        </w:rPr>
        <w:t xml:space="preserve"> </w:t>
      </w:r>
      <w:r>
        <w:rPr>
          <w:color w:val="0070C0"/>
        </w:rPr>
        <w:t>thank</w:t>
      </w:r>
      <w:r>
        <w:rPr>
          <w:color w:val="0070C0"/>
          <w:spacing w:val="-4"/>
        </w:rPr>
        <w:t xml:space="preserve"> </w:t>
      </w:r>
      <w:r>
        <w:rPr>
          <w:color w:val="0070C0"/>
        </w:rPr>
        <w:t>the</w:t>
      </w:r>
      <w:r>
        <w:rPr>
          <w:color w:val="0070C0"/>
          <w:spacing w:val="-5"/>
        </w:rPr>
        <w:t xml:space="preserve"> </w:t>
      </w:r>
      <w:r>
        <w:rPr>
          <w:color w:val="0070C0"/>
        </w:rPr>
        <w:t>reviewer</w:t>
      </w:r>
      <w:r>
        <w:rPr>
          <w:color w:val="0070C0"/>
          <w:spacing w:val="-4"/>
        </w:rPr>
        <w:t xml:space="preserve"> </w:t>
      </w:r>
      <w:r>
        <w:rPr>
          <w:color w:val="0070C0"/>
        </w:rPr>
        <w:t>for</w:t>
      </w:r>
      <w:r>
        <w:rPr>
          <w:color w:val="0070C0"/>
          <w:spacing w:val="-5"/>
        </w:rPr>
        <w:t xml:space="preserve"> </w:t>
      </w:r>
      <w:r>
        <w:rPr>
          <w:color w:val="0070C0"/>
        </w:rPr>
        <w:t>the</w:t>
      </w:r>
      <w:r>
        <w:rPr>
          <w:color w:val="0070C0"/>
          <w:spacing w:val="-5"/>
        </w:rPr>
        <w:t xml:space="preserve"> </w:t>
      </w:r>
      <w:r>
        <w:rPr>
          <w:color w:val="0070C0"/>
        </w:rPr>
        <w:t>positive</w:t>
      </w:r>
      <w:r>
        <w:rPr>
          <w:color w:val="0070C0"/>
          <w:spacing w:val="-5"/>
        </w:rPr>
        <w:t xml:space="preserve"> </w:t>
      </w:r>
      <w:r>
        <w:rPr>
          <w:color w:val="0070C0"/>
        </w:rPr>
        <w:t>assessment</w:t>
      </w:r>
      <w:r>
        <w:rPr>
          <w:color w:val="0070C0"/>
          <w:spacing w:val="-4"/>
        </w:rPr>
        <w:t xml:space="preserve"> </w:t>
      </w:r>
      <w:r>
        <w:rPr>
          <w:color w:val="0070C0"/>
        </w:rPr>
        <w:t>of</w:t>
      </w:r>
      <w:r>
        <w:rPr>
          <w:color w:val="0070C0"/>
          <w:spacing w:val="-4"/>
        </w:rPr>
        <w:t xml:space="preserve"> </w:t>
      </w:r>
      <w:r>
        <w:rPr>
          <w:color w:val="0070C0"/>
        </w:rPr>
        <w:t>our</w:t>
      </w:r>
      <w:r>
        <w:rPr>
          <w:color w:val="0070C0"/>
          <w:spacing w:val="-4"/>
        </w:rPr>
        <w:t xml:space="preserve"> </w:t>
      </w:r>
      <w:r>
        <w:rPr>
          <w:color w:val="0070C0"/>
        </w:rPr>
        <w:t xml:space="preserve">work. </w:t>
      </w:r>
      <w:r>
        <w:t>Major comment:</w:t>
      </w:r>
    </w:p>
    <w:p w14:paraId="17CA4128" w14:textId="77777777" w:rsidR="00564ED3" w:rsidRDefault="00564ED3" w:rsidP="00564ED3">
      <w:pPr>
        <w:pStyle w:val="ListParagraph"/>
        <w:widowControl w:val="0"/>
        <w:numPr>
          <w:ilvl w:val="0"/>
          <w:numId w:val="3"/>
        </w:numPr>
        <w:tabs>
          <w:tab w:val="left" w:pos="382"/>
        </w:tabs>
        <w:autoSpaceDE w:val="0"/>
        <w:autoSpaceDN w:val="0"/>
        <w:spacing w:after="0" w:line="240" w:lineRule="auto"/>
        <w:ind w:right="117" w:firstLine="0"/>
        <w:contextualSpacing w:val="0"/>
        <w:jc w:val="both"/>
        <w:rPr>
          <w:sz w:val="24"/>
        </w:rPr>
      </w:pPr>
      <w:r>
        <w:rPr>
          <w:sz w:val="24"/>
        </w:rPr>
        <w:t>The description of the NMD rules is incomplete and as such, inaccurate (pages 3 and 7): NMD is triggered by premature termination codons (PTC) more than 50 nucleotides upstream of the LAST exon-exon junction, while the definitions on both pages lack the key word "last". This is absolutely crucial, because a PTC in the last five nucleotides of exon 4 of a 10-exon gene (with the translation start in exon 1 and the natural stop in exon 10) should trigger NMD according to the correct rule</w:t>
      </w:r>
      <w:r>
        <w:rPr>
          <w:spacing w:val="40"/>
          <w:sz w:val="24"/>
        </w:rPr>
        <w:t xml:space="preserve"> </w:t>
      </w:r>
      <w:r>
        <w:rPr>
          <w:sz w:val="24"/>
        </w:rPr>
        <w:t>(because several EJCs are still located downstream of the PTC after the pioneer round of</w:t>
      </w:r>
      <w:r>
        <w:rPr>
          <w:spacing w:val="-1"/>
          <w:sz w:val="24"/>
        </w:rPr>
        <w:t xml:space="preserve"> </w:t>
      </w:r>
      <w:r>
        <w:rPr>
          <w:sz w:val="24"/>
        </w:rPr>
        <w:t>translation).</w:t>
      </w:r>
      <w:r>
        <w:rPr>
          <w:spacing w:val="-1"/>
          <w:sz w:val="24"/>
        </w:rPr>
        <w:t xml:space="preserve"> </w:t>
      </w:r>
      <w:r>
        <w:rPr>
          <w:sz w:val="24"/>
        </w:rPr>
        <w:t>However</w:t>
      </w:r>
      <w:r>
        <w:rPr>
          <w:spacing w:val="-1"/>
          <w:sz w:val="24"/>
        </w:rPr>
        <w:t xml:space="preserve"> </w:t>
      </w:r>
      <w:r>
        <w:rPr>
          <w:sz w:val="24"/>
        </w:rPr>
        <w:t>this</w:t>
      </w:r>
      <w:r>
        <w:rPr>
          <w:spacing w:val="-1"/>
          <w:sz w:val="24"/>
        </w:rPr>
        <w:t xml:space="preserve"> </w:t>
      </w:r>
      <w:r>
        <w:rPr>
          <w:sz w:val="24"/>
        </w:rPr>
        <w:t>case</w:t>
      </w:r>
      <w:r>
        <w:rPr>
          <w:spacing w:val="-1"/>
          <w:sz w:val="24"/>
        </w:rPr>
        <w:t xml:space="preserve"> </w:t>
      </w:r>
      <w:r>
        <w:rPr>
          <w:sz w:val="24"/>
        </w:rPr>
        <w:t>would</w:t>
      </w:r>
      <w:r>
        <w:rPr>
          <w:spacing w:val="-1"/>
          <w:sz w:val="24"/>
        </w:rPr>
        <w:t xml:space="preserve"> </w:t>
      </w:r>
      <w:r>
        <w:rPr>
          <w:sz w:val="24"/>
        </w:rPr>
        <w:t>be</w:t>
      </w:r>
      <w:r>
        <w:rPr>
          <w:spacing w:val="-1"/>
          <w:sz w:val="24"/>
        </w:rPr>
        <w:t xml:space="preserve"> </w:t>
      </w:r>
      <w:r>
        <w:rPr>
          <w:sz w:val="24"/>
        </w:rPr>
        <w:t>incorrectly</w:t>
      </w:r>
      <w:r>
        <w:rPr>
          <w:spacing w:val="-1"/>
          <w:sz w:val="24"/>
        </w:rPr>
        <w:t xml:space="preserve"> </w:t>
      </w:r>
      <w:r>
        <w:rPr>
          <w:sz w:val="24"/>
        </w:rPr>
        <w:t>missed</w:t>
      </w:r>
      <w:r>
        <w:rPr>
          <w:spacing w:val="-1"/>
          <w:sz w:val="24"/>
        </w:rPr>
        <w:t xml:space="preserve"> </w:t>
      </w:r>
      <w:r>
        <w:rPr>
          <w:sz w:val="24"/>
        </w:rPr>
        <w:t>if</w:t>
      </w:r>
      <w:r>
        <w:rPr>
          <w:spacing w:val="-1"/>
          <w:sz w:val="24"/>
        </w:rPr>
        <w:t xml:space="preserve"> </w:t>
      </w:r>
      <w:r>
        <w:rPr>
          <w:sz w:val="24"/>
        </w:rPr>
        <w:t>the</w:t>
      </w:r>
      <w:r>
        <w:rPr>
          <w:spacing w:val="-1"/>
          <w:sz w:val="24"/>
        </w:rPr>
        <w:t xml:space="preserve"> </w:t>
      </w:r>
      <w:r>
        <w:rPr>
          <w:sz w:val="24"/>
        </w:rPr>
        <w:t>pipeline</w:t>
      </w:r>
      <w:r>
        <w:rPr>
          <w:spacing w:val="-1"/>
          <w:sz w:val="24"/>
        </w:rPr>
        <w:t xml:space="preserve"> </w:t>
      </w:r>
      <w:r>
        <w:rPr>
          <w:sz w:val="24"/>
        </w:rPr>
        <w:t>does</w:t>
      </w:r>
      <w:r>
        <w:rPr>
          <w:spacing w:val="-1"/>
          <w:sz w:val="24"/>
        </w:rPr>
        <w:t xml:space="preserve"> </w:t>
      </w:r>
      <w:r>
        <w:rPr>
          <w:sz w:val="24"/>
        </w:rPr>
        <w:t>not follow the correct definition. I seek an honest clarification whether: (1) the definition was wrong but the pipeline for NMD-triggering events was correct (no further action then than changing the two definitions); or (2) the pipeline was wrong. In the second case,</w:t>
      </w:r>
      <w:r>
        <w:rPr>
          <w:spacing w:val="-3"/>
          <w:sz w:val="24"/>
        </w:rPr>
        <w:t xml:space="preserve"> </w:t>
      </w:r>
      <w:r>
        <w:rPr>
          <w:sz w:val="24"/>
        </w:rPr>
        <w:t>the</w:t>
      </w:r>
      <w:r>
        <w:rPr>
          <w:spacing w:val="-3"/>
          <w:sz w:val="24"/>
        </w:rPr>
        <w:t xml:space="preserve"> </w:t>
      </w:r>
      <w:r>
        <w:rPr>
          <w:sz w:val="24"/>
        </w:rPr>
        <w:t>pipeline</w:t>
      </w:r>
      <w:r>
        <w:rPr>
          <w:spacing w:val="-3"/>
          <w:sz w:val="24"/>
        </w:rPr>
        <w:t xml:space="preserve"> </w:t>
      </w:r>
      <w:r>
        <w:rPr>
          <w:sz w:val="24"/>
        </w:rPr>
        <w:t>needs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corrected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data</w:t>
      </w:r>
      <w:r>
        <w:rPr>
          <w:spacing w:val="-3"/>
          <w:sz w:val="24"/>
        </w:rPr>
        <w:t xml:space="preserve"> </w:t>
      </w:r>
      <w:r>
        <w:rPr>
          <w:sz w:val="24"/>
        </w:rPr>
        <w:t>needs</w:t>
      </w:r>
      <w:r>
        <w:rPr>
          <w:spacing w:val="-3"/>
          <w:sz w:val="24"/>
        </w:rPr>
        <w:t xml:space="preserve"> </w:t>
      </w:r>
      <w:r>
        <w:rPr>
          <w:sz w:val="24"/>
        </w:rPr>
        <w:t>reanalysis</w:t>
      </w:r>
      <w:r>
        <w:rPr>
          <w:spacing w:val="-3"/>
          <w:sz w:val="24"/>
        </w:rPr>
        <w:t xml:space="preserve"> </w:t>
      </w:r>
      <w:r>
        <w:rPr>
          <w:sz w:val="24"/>
        </w:rPr>
        <w:t>where</w:t>
      </w:r>
      <w:r>
        <w:rPr>
          <w:spacing w:val="-3"/>
          <w:sz w:val="24"/>
        </w:rPr>
        <w:t xml:space="preserve"> </w:t>
      </w:r>
      <w:r>
        <w:rPr>
          <w:sz w:val="24"/>
        </w:rPr>
        <w:t>necessary. Despite</w:t>
      </w:r>
      <w:r>
        <w:rPr>
          <w:spacing w:val="-2"/>
          <w:sz w:val="24"/>
        </w:rPr>
        <w:t xml:space="preserve"> </w:t>
      </w:r>
      <w:r>
        <w:rPr>
          <w:sz w:val="24"/>
        </w:rPr>
        <w:t>that</w:t>
      </w:r>
      <w:r>
        <w:rPr>
          <w:spacing w:val="-2"/>
          <w:sz w:val="24"/>
        </w:rPr>
        <w:t xml:space="preserve"> </w:t>
      </w:r>
      <w:r>
        <w:rPr>
          <w:sz w:val="24"/>
        </w:rPr>
        <w:t>I</w:t>
      </w:r>
      <w:r>
        <w:rPr>
          <w:spacing w:val="-2"/>
          <w:sz w:val="24"/>
        </w:rPr>
        <w:t xml:space="preserve"> </w:t>
      </w:r>
      <w:r>
        <w:rPr>
          <w:sz w:val="24"/>
        </w:rPr>
        <w:t>do</w:t>
      </w:r>
      <w:r>
        <w:rPr>
          <w:spacing w:val="-2"/>
          <w:sz w:val="24"/>
        </w:rPr>
        <w:t xml:space="preserve"> </w:t>
      </w:r>
      <w:r>
        <w:rPr>
          <w:sz w:val="24"/>
        </w:rPr>
        <w:t>not</w:t>
      </w:r>
      <w:r>
        <w:rPr>
          <w:spacing w:val="-2"/>
          <w:sz w:val="24"/>
        </w:rPr>
        <w:t xml:space="preserve"> </w:t>
      </w:r>
      <w:r>
        <w:rPr>
          <w:sz w:val="24"/>
        </w:rPr>
        <w:t>expect</w:t>
      </w:r>
      <w:r>
        <w:rPr>
          <w:spacing w:val="-2"/>
          <w:sz w:val="24"/>
        </w:rPr>
        <w:t xml:space="preserve"> </w:t>
      </w:r>
      <w:r>
        <w:rPr>
          <w:sz w:val="24"/>
        </w:rPr>
        <w:t>the</w:t>
      </w:r>
      <w:r>
        <w:rPr>
          <w:spacing w:val="-2"/>
          <w:sz w:val="24"/>
        </w:rPr>
        <w:t xml:space="preserve"> </w:t>
      </w:r>
      <w:r>
        <w:rPr>
          <w:sz w:val="24"/>
        </w:rPr>
        <w:t>major</w:t>
      </w:r>
      <w:r>
        <w:rPr>
          <w:spacing w:val="-2"/>
          <w:sz w:val="24"/>
        </w:rPr>
        <w:t xml:space="preserve"> </w:t>
      </w:r>
      <w:r>
        <w:rPr>
          <w:sz w:val="24"/>
        </w:rPr>
        <w:t>findings</w:t>
      </w:r>
      <w:r>
        <w:rPr>
          <w:spacing w:val="-2"/>
          <w:sz w:val="24"/>
        </w:rPr>
        <w:t xml:space="preserve"> </w:t>
      </w:r>
      <w:r>
        <w:rPr>
          <w:sz w:val="24"/>
        </w:rPr>
        <w:t>to</w:t>
      </w:r>
      <w:r>
        <w:rPr>
          <w:spacing w:val="-2"/>
          <w:sz w:val="24"/>
        </w:rPr>
        <w:t xml:space="preserve"> </w:t>
      </w:r>
      <w:r>
        <w:rPr>
          <w:sz w:val="24"/>
        </w:rPr>
        <w:t>change</w:t>
      </w:r>
      <w:r>
        <w:rPr>
          <w:spacing w:val="-2"/>
          <w:sz w:val="24"/>
        </w:rPr>
        <w:t xml:space="preserve"> </w:t>
      </w:r>
      <w:r>
        <w:rPr>
          <w:sz w:val="24"/>
        </w:rPr>
        <w:t>at</w:t>
      </w:r>
      <w:r>
        <w:rPr>
          <w:spacing w:val="-2"/>
          <w:sz w:val="24"/>
        </w:rPr>
        <w:t xml:space="preserve"> </w:t>
      </w:r>
      <w:r>
        <w:rPr>
          <w:sz w:val="24"/>
        </w:rPr>
        <w:t>all,</w:t>
      </w:r>
      <w:r>
        <w:rPr>
          <w:spacing w:val="-2"/>
          <w:sz w:val="24"/>
        </w:rPr>
        <w:t xml:space="preserve"> </w:t>
      </w:r>
      <w:r>
        <w:rPr>
          <w:sz w:val="24"/>
        </w:rPr>
        <w:t>this</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essential to prevent releasing a potentially flawed dataset.</w:t>
      </w:r>
    </w:p>
    <w:p w14:paraId="4532633D" w14:textId="77777777" w:rsidR="00564ED3" w:rsidRDefault="00564ED3" w:rsidP="00564ED3">
      <w:pPr>
        <w:pStyle w:val="BodyText"/>
        <w:spacing w:before="274"/>
        <w:ind w:right="117"/>
      </w:pPr>
      <w:r>
        <w:rPr>
          <w:color w:val="0070C0"/>
        </w:rPr>
        <w:t xml:space="preserve">Our pipeline identifies NMD-sensitive candidates as those containing a PTC &gt;50 </w:t>
      </w:r>
      <w:proofErr w:type="spellStart"/>
      <w:r>
        <w:rPr>
          <w:color w:val="0070C0"/>
        </w:rPr>
        <w:t>nt</w:t>
      </w:r>
      <w:proofErr w:type="spellEnd"/>
      <w:r>
        <w:rPr>
          <w:color w:val="0070C0"/>
        </w:rPr>
        <w:t xml:space="preserve"> upstream of </w:t>
      </w:r>
      <w:r>
        <w:rPr>
          <w:b/>
          <w:color w:val="0070C0"/>
        </w:rPr>
        <w:t xml:space="preserve">the last </w:t>
      </w:r>
      <w:r>
        <w:rPr>
          <w:color w:val="0070C0"/>
        </w:rPr>
        <w:t xml:space="preserve">exon-exon junction. We have corrected the description on </w:t>
      </w:r>
      <w:r>
        <w:rPr>
          <w:b/>
          <w:color w:val="0070C0"/>
        </w:rPr>
        <w:t xml:space="preserve">pages 3 and 7 </w:t>
      </w:r>
      <w:r>
        <w:rPr>
          <w:color w:val="0070C0"/>
        </w:rPr>
        <w:t>accordingly.</w:t>
      </w:r>
    </w:p>
    <w:p w14:paraId="3915EE7B" w14:textId="77777777" w:rsidR="00564ED3" w:rsidRDefault="00564ED3" w:rsidP="00564ED3">
      <w:pPr>
        <w:pStyle w:val="BodyText"/>
        <w:ind w:left="0"/>
        <w:jc w:val="left"/>
      </w:pPr>
    </w:p>
    <w:p w14:paraId="196ABDED" w14:textId="77777777" w:rsidR="00564ED3" w:rsidRDefault="00564ED3" w:rsidP="00564ED3">
      <w:pPr>
        <w:pStyle w:val="BodyText"/>
      </w:pPr>
      <w:r>
        <w:t xml:space="preserve">Minor </w:t>
      </w:r>
      <w:r>
        <w:rPr>
          <w:spacing w:val="-2"/>
        </w:rPr>
        <w:t>comments:</w:t>
      </w:r>
    </w:p>
    <w:p w14:paraId="2F04ED63" w14:textId="77777777" w:rsidR="00564ED3" w:rsidRDefault="00564ED3" w:rsidP="00564ED3">
      <w:pPr>
        <w:pStyle w:val="BodyText"/>
        <w:ind w:left="0"/>
        <w:jc w:val="left"/>
      </w:pPr>
    </w:p>
    <w:p w14:paraId="41DB0925" w14:textId="6D9FC30C" w:rsidR="00564ED3" w:rsidRPr="0031542E" w:rsidRDefault="00564ED3" w:rsidP="00EC5AED">
      <w:pPr>
        <w:pStyle w:val="ListParagraph"/>
        <w:widowControl w:val="0"/>
        <w:numPr>
          <w:ilvl w:val="0"/>
          <w:numId w:val="3"/>
        </w:numPr>
        <w:tabs>
          <w:tab w:val="left" w:pos="369"/>
        </w:tabs>
        <w:autoSpaceDE w:val="0"/>
        <w:autoSpaceDN w:val="0"/>
        <w:spacing w:before="76" w:after="0" w:line="240" w:lineRule="auto"/>
        <w:ind w:right="117" w:firstLine="0"/>
        <w:contextualSpacing w:val="0"/>
        <w:jc w:val="both"/>
      </w:pPr>
      <w:r w:rsidRPr="0031542E">
        <w:rPr>
          <w:sz w:val="24"/>
        </w:rPr>
        <w:t>In Results, some of the sections need a better explanation of the nature of the data. For</w:t>
      </w:r>
      <w:r w:rsidRPr="0031542E">
        <w:rPr>
          <w:spacing w:val="-1"/>
          <w:sz w:val="24"/>
        </w:rPr>
        <w:t xml:space="preserve"> </w:t>
      </w:r>
      <w:r w:rsidRPr="0031542E">
        <w:rPr>
          <w:sz w:val="24"/>
        </w:rPr>
        <w:t>instance,</w:t>
      </w:r>
      <w:r w:rsidRPr="0031542E">
        <w:rPr>
          <w:spacing w:val="-1"/>
          <w:sz w:val="24"/>
        </w:rPr>
        <w:t xml:space="preserve"> </w:t>
      </w:r>
      <w:r w:rsidRPr="0031542E">
        <w:rPr>
          <w:sz w:val="24"/>
        </w:rPr>
        <w:t>the</w:t>
      </w:r>
      <w:r w:rsidRPr="0031542E">
        <w:rPr>
          <w:spacing w:val="-1"/>
          <w:sz w:val="24"/>
        </w:rPr>
        <w:t xml:space="preserve"> </w:t>
      </w:r>
      <w:r w:rsidRPr="0031542E">
        <w:rPr>
          <w:sz w:val="24"/>
        </w:rPr>
        <w:t>passages</w:t>
      </w:r>
      <w:r w:rsidRPr="0031542E">
        <w:rPr>
          <w:spacing w:val="-1"/>
          <w:sz w:val="24"/>
        </w:rPr>
        <w:t xml:space="preserve"> </w:t>
      </w:r>
      <w:r w:rsidRPr="0031542E">
        <w:rPr>
          <w:sz w:val="24"/>
        </w:rPr>
        <w:t>on</w:t>
      </w:r>
      <w:r w:rsidRPr="0031542E">
        <w:rPr>
          <w:spacing w:val="-1"/>
          <w:sz w:val="24"/>
        </w:rPr>
        <w:t xml:space="preserve"> </w:t>
      </w:r>
      <w:r w:rsidRPr="0031542E">
        <w:rPr>
          <w:sz w:val="24"/>
        </w:rPr>
        <w:t>PTBP1</w:t>
      </w:r>
      <w:r w:rsidRPr="0031542E">
        <w:rPr>
          <w:spacing w:val="-1"/>
          <w:sz w:val="24"/>
        </w:rPr>
        <w:t xml:space="preserve"> </w:t>
      </w:r>
      <w:r w:rsidRPr="0031542E">
        <w:rPr>
          <w:sz w:val="24"/>
        </w:rPr>
        <w:t>on</w:t>
      </w:r>
      <w:r w:rsidRPr="0031542E">
        <w:rPr>
          <w:spacing w:val="-1"/>
          <w:sz w:val="24"/>
        </w:rPr>
        <w:t xml:space="preserve"> </w:t>
      </w:r>
      <w:r w:rsidRPr="0031542E">
        <w:rPr>
          <w:sz w:val="24"/>
        </w:rPr>
        <w:t>page</w:t>
      </w:r>
      <w:r w:rsidRPr="0031542E">
        <w:rPr>
          <w:spacing w:val="-1"/>
          <w:sz w:val="24"/>
        </w:rPr>
        <w:t xml:space="preserve"> </w:t>
      </w:r>
      <w:r w:rsidRPr="0031542E">
        <w:rPr>
          <w:sz w:val="24"/>
        </w:rPr>
        <w:t>12,</w:t>
      </w:r>
      <w:r w:rsidRPr="0031542E">
        <w:rPr>
          <w:spacing w:val="-1"/>
          <w:sz w:val="24"/>
        </w:rPr>
        <w:t xml:space="preserve"> </w:t>
      </w:r>
      <w:r w:rsidRPr="0031542E">
        <w:rPr>
          <w:sz w:val="24"/>
        </w:rPr>
        <w:t>what</w:t>
      </w:r>
      <w:r w:rsidRPr="0031542E">
        <w:rPr>
          <w:spacing w:val="-1"/>
          <w:sz w:val="24"/>
        </w:rPr>
        <w:t xml:space="preserve"> </w:t>
      </w:r>
      <w:r w:rsidRPr="0031542E">
        <w:rPr>
          <w:sz w:val="24"/>
        </w:rPr>
        <w:t>are</w:t>
      </w:r>
      <w:r w:rsidRPr="0031542E">
        <w:rPr>
          <w:spacing w:val="-1"/>
          <w:sz w:val="24"/>
        </w:rPr>
        <w:t xml:space="preserve"> </w:t>
      </w:r>
      <w:r w:rsidRPr="0031542E">
        <w:rPr>
          <w:sz w:val="24"/>
        </w:rPr>
        <w:t>the</w:t>
      </w:r>
      <w:r w:rsidRPr="0031542E">
        <w:rPr>
          <w:spacing w:val="-1"/>
          <w:sz w:val="24"/>
        </w:rPr>
        <w:t xml:space="preserve"> </w:t>
      </w:r>
      <w:r w:rsidRPr="0031542E">
        <w:rPr>
          <w:sz w:val="24"/>
        </w:rPr>
        <w:t>datasets</w:t>
      </w:r>
      <w:r w:rsidRPr="0031542E">
        <w:rPr>
          <w:spacing w:val="-1"/>
          <w:sz w:val="24"/>
        </w:rPr>
        <w:t xml:space="preserve"> </w:t>
      </w:r>
      <w:r w:rsidRPr="0031542E">
        <w:rPr>
          <w:sz w:val="24"/>
        </w:rPr>
        <w:t>for</w:t>
      </w:r>
      <w:r w:rsidRPr="0031542E">
        <w:rPr>
          <w:spacing w:val="-1"/>
          <w:sz w:val="24"/>
        </w:rPr>
        <w:t xml:space="preserve"> </w:t>
      </w:r>
      <w:r w:rsidRPr="0031542E">
        <w:rPr>
          <w:sz w:val="24"/>
        </w:rPr>
        <w:t>PTBP1</w:t>
      </w:r>
      <w:r w:rsidRPr="0031542E">
        <w:rPr>
          <w:spacing w:val="-1"/>
          <w:sz w:val="24"/>
        </w:rPr>
        <w:t xml:space="preserve"> </w:t>
      </w:r>
      <w:r w:rsidRPr="0031542E">
        <w:rPr>
          <w:sz w:val="24"/>
        </w:rPr>
        <w:t>and 1/2</w:t>
      </w:r>
      <w:r w:rsidRPr="0031542E">
        <w:rPr>
          <w:spacing w:val="24"/>
          <w:sz w:val="24"/>
        </w:rPr>
        <w:t xml:space="preserve"> </w:t>
      </w:r>
      <w:r w:rsidRPr="0031542E">
        <w:rPr>
          <w:sz w:val="24"/>
        </w:rPr>
        <w:t>data?</w:t>
      </w:r>
      <w:r w:rsidRPr="0031542E">
        <w:rPr>
          <w:spacing w:val="24"/>
          <w:sz w:val="24"/>
        </w:rPr>
        <w:t xml:space="preserve"> </w:t>
      </w:r>
      <w:r w:rsidRPr="0031542E">
        <w:rPr>
          <w:sz w:val="24"/>
        </w:rPr>
        <w:t>I</w:t>
      </w:r>
      <w:r w:rsidRPr="0031542E">
        <w:rPr>
          <w:spacing w:val="24"/>
          <w:sz w:val="24"/>
        </w:rPr>
        <w:t xml:space="preserve"> </w:t>
      </w:r>
      <w:r w:rsidRPr="0031542E">
        <w:rPr>
          <w:sz w:val="24"/>
        </w:rPr>
        <w:t>presume</w:t>
      </w:r>
      <w:r w:rsidRPr="0031542E">
        <w:rPr>
          <w:spacing w:val="24"/>
          <w:sz w:val="24"/>
        </w:rPr>
        <w:t xml:space="preserve"> </w:t>
      </w:r>
      <w:r w:rsidRPr="0031542E">
        <w:rPr>
          <w:sz w:val="24"/>
        </w:rPr>
        <w:t>these</w:t>
      </w:r>
      <w:r w:rsidRPr="0031542E">
        <w:rPr>
          <w:spacing w:val="24"/>
          <w:sz w:val="24"/>
        </w:rPr>
        <w:t xml:space="preserve"> </w:t>
      </w:r>
      <w:r w:rsidRPr="0031542E">
        <w:rPr>
          <w:sz w:val="24"/>
        </w:rPr>
        <w:t>are</w:t>
      </w:r>
      <w:r w:rsidRPr="0031542E">
        <w:rPr>
          <w:spacing w:val="24"/>
          <w:sz w:val="24"/>
        </w:rPr>
        <w:t xml:space="preserve"> </w:t>
      </w:r>
      <w:r w:rsidRPr="0031542E">
        <w:rPr>
          <w:sz w:val="24"/>
        </w:rPr>
        <w:t>RNA-</w:t>
      </w:r>
      <w:proofErr w:type="spellStart"/>
      <w:r w:rsidRPr="0031542E">
        <w:rPr>
          <w:sz w:val="24"/>
        </w:rPr>
        <w:t>seq</w:t>
      </w:r>
      <w:proofErr w:type="spellEnd"/>
      <w:r w:rsidRPr="0031542E">
        <w:rPr>
          <w:spacing w:val="24"/>
          <w:sz w:val="24"/>
        </w:rPr>
        <w:t xml:space="preserve"> </w:t>
      </w:r>
      <w:r w:rsidRPr="0031542E">
        <w:rPr>
          <w:sz w:val="24"/>
        </w:rPr>
        <w:t>datasets,</w:t>
      </w:r>
      <w:r w:rsidRPr="0031542E">
        <w:rPr>
          <w:spacing w:val="24"/>
          <w:sz w:val="24"/>
        </w:rPr>
        <w:t xml:space="preserve"> </w:t>
      </w:r>
      <w:r w:rsidRPr="0031542E">
        <w:rPr>
          <w:sz w:val="24"/>
        </w:rPr>
        <w:t>but</w:t>
      </w:r>
      <w:r w:rsidRPr="0031542E">
        <w:rPr>
          <w:spacing w:val="24"/>
          <w:sz w:val="24"/>
        </w:rPr>
        <w:t xml:space="preserve"> </w:t>
      </w:r>
      <w:r w:rsidRPr="0031542E">
        <w:rPr>
          <w:sz w:val="24"/>
        </w:rPr>
        <w:t>needs</w:t>
      </w:r>
      <w:r w:rsidRPr="0031542E">
        <w:rPr>
          <w:spacing w:val="24"/>
          <w:sz w:val="24"/>
        </w:rPr>
        <w:t xml:space="preserve"> </w:t>
      </w:r>
      <w:r w:rsidRPr="0031542E">
        <w:rPr>
          <w:sz w:val="24"/>
        </w:rPr>
        <w:t>explaining</w:t>
      </w:r>
      <w:r w:rsidRPr="0031542E">
        <w:rPr>
          <w:spacing w:val="24"/>
          <w:sz w:val="24"/>
        </w:rPr>
        <w:t xml:space="preserve"> </w:t>
      </w:r>
      <w:r w:rsidRPr="0031542E">
        <w:rPr>
          <w:sz w:val="24"/>
        </w:rPr>
        <w:t>and</w:t>
      </w:r>
      <w:r w:rsidRPr="0031542E">
        <w:rPr>
          <w:spacing w:val="24"/>
          <w:sz w:val="24"/>
        </w:rPr>
        <w:t xml:space="preserve"> </w:t>
      </w:r>
      <w:r w:rsidRPr="0031542E">
        <w:rPr>
          <w:sz w:val="24"/>
        </w:rPr>
        <w:t>not</w:t>
      </w:r>
      <w:r w:rsidRPr="0031542E">
        <w:rPr>
          <w:spacing w:val="24"/>
          <w:sz w:val="24"/>
        </w:rPr>
        <w:t xml:space="preserve"> </w:t>
      </w:r>
      <w:r w:rsidRPr="0031542E">
        <w:rPr>
          <w:sz w:val="24"/>
        </w:rPr>
        <w:t>only</w:t>
      </w:r>
      <w:r w:rsidR="0031542E">
        <w:rPr>
          <w:sz w:val="24"/>
        </w:rPr>
        <w:t xml:space="preserve"> </w:t>
      </w:r>
      <w:r w:rsidRPr="0031542E">
        <w:rPr>
          <w:sz w:val="24"/>
          <w:szCs w:val="24"/>
        </w:rPr>
        <w:t>providing</w:t>
      </w:r>
      <w:r w:rsidRPr="0031542E">
        <w:rPr>
          <w:spacing w:val="-3"/>
          <w:sz w:val="24"/>
          <w:szCs w:val="24"/>
        </w:rPr>
        <w:t xml:space="preserve"> </w:t>
      </w:r>
      <w:r w:rsidRPr="0031542E">
        <w:rPr>
          <w:sz w:val="24"/>
          <w:szCs w:val="24"/>
        </w:rPr>
        <w:t>a</w:t>
      </w:r>
      <w:r w:rsidRPr="0031542E">
        <w:rPr>
          <w:spacing w:val="-3"/>
          <w:sz w:val="24"/>
          <w:szCs w:val="24"/>
        </w:rPr>
        <w:t xml:space="preserve"> </w:t>
      </w:r>
      <w:r w:rsidRPr="0031542E">
        <w:rPr>
          <w:sz w:val="24"/>
          <w:szCs w:val="24"/>
        </w:rPr>
        <w:t>reference.</w:t>
      </w:r>
      <w:r w:rsidRPr="0031542E">
        <w:rPr>
          <w:spacing w:val="-3"/>
          <w:sz w:val="24"/>
          <w:szCs w:val="24"/>
        </w:rPr>
        <w:t xml:space="preserve"> </w:t>
      </w:r>
      <w:r w:rsidRPr="0031542E">
        <w:rPr>
          <w:sz w:val="24"/>
          <w:szCs w:val="24"/>
        </w:rPr>
        <w:t>Same</w:t>
      </w:r>
      <w:r w:rsidRPr="0031542E">
        <w:rPr>
          <w:spacing w:val="-3"/>
          <w:sz w:val="24"/>
          <w:szCs w:val="24"/>
        </w:rPr>
        <w:t xml:space="preserve"> </w:t>
      </w:r>
      <w:r w:rsidRPr="0031542E">
        <w:rPr>
          <w:sz w:val="24"/>
          <w:szCs w:val="24"/>
        </w:rPr>
        <w:t>for</w:t>
      </w:r>
      <w:r w:rsidRPr="0031542E">
        <w:rPr>
          <w:spacing w:val="-3"/>
          <w:sz w:val="24"/>
          <w:szCs w:val="24"/>
        </w:rPr>
        <w:t xml:space="preserve"> </w:t>
      </w:r>
      <w:r w:rsidRPr="0031542E">
        <w:rPr>
          <w:sz w:val="24"/>
          <w:szCs w:val="24"/>
        </w:rPr>
        <w:t>the</w:t>
      </w:r>
      <w:r w:rsidRPr="0031542E">
        <w:rPr>
          <w:spacing w:val="-3"/>
          <w:sz w:val="24"/>
          <w:szCs w:val="24"/>
        </w:rPr>
        <w:t xml:space="preserve"> </w:t>
      </w:r>
      <w:r w:rsidRPr="0031542E">
        <w:rPr>
          <w:sz w:val="24"/>
          <w:szCs w:val="24"/>
        </w:rPr>
        <w:t>dentate</w:t>
      </w:r>
      <w:r w:rsidRPr="0031542E">
        <w:rPr>
          <w:spacing w:val="-3"/>
          <w:sz w:val="24"/>
          <w:szCs w:val="24"/>
        </w:rPr>
        <w:t xml:space="preserve"> </w:t>
      </w:r>
      <w:r w:rsidRPr="0031542E">
        <w:rPr>
          <w:sz w:val="24"/>
          <w:szCs w:val="24"/>
        </w:rPr>
        <w:t>gyrus</w:t>
      </w:r>
      <w:r w:rsidRPr="0031542E">
        <w:rPr>
          <w:spacing w:val="-3"/>
          <w:sz w:val="24"/>
          <w:szCs w:val="24"/>
        </w:rPr>
        <w:t xml:space="preserve"> </w:t>
      </w:r>
      <w:r w:rsidRPr="0031542E">
        <w:rPr>
          <w:sz w:val="24"/>
          <w:szCs w:val="24"/>
        </w:rPr>
        <w:t>granule</w:t>
      </w:r>
      <w:r w:rsidRPr="0031542E">
        <w:rPr>
          <w:spacing w:val="-3"/>
          <w:sz w:val="24"/>
          <w:szCs w:val="24"/>
        </w:rPr>
        <w:t xml:space="preserve"> </w:t>
      </w:r>
      <w:r w:rsidRPr="0031542E">
        <w:rPr>
          <w:sz w:val="24"/>
          <w:szCs w:val="24"/>
        </w:rPr>
        <w:t>cells</w:t>
      </w:r>
      <w:r w:rsidRPr="0031542E">
        <w:rPr>
          <w:spacing w:val="-3"/>
          <w:sz w:val="24"/>
          <w:szCs w:val="24"/>
        </w:rPr>
        <w:t xml:space="preserve"> </w:t>
      </w:r>
      <w:r w:rsidRPr="0031542E">
        <w:rPr>
          <w:sz w:val="24"/>
          <w:szCs w:val="24"/>
        </w:rPr>
        <w:t>on</w:t>
      </w:r>
      <w:r w:rsidRPr="0031542E">
        <w:rPr>
          <w:spacing w:val="-3"/>
          <w:sz w:val="24"/>
          <w:szCs w:val="24"/>
        </w:rPr>
        <w:t xml:space="preserve"> </w:t>
      </w:r>
      <w:r w:rsidRPr="0031542E">
        <w:rPr>
          <w:sz w:val="24"/>
          <w:szCs w:val="24"/>
        </w:rPr>
        <w:t>page</w:t>
      </w:r>
      <w:r w:rsidRPr="0031542E">
        <w:rPr>
          <w:spacing w:val="-3"/>
          <w:sz w:val="24"/>
          <w:szCs w:val="24"/>
        </w:rPr>
        <w:t xml:space="preserve"> </w:t>
      </w:r>
      <w:r w:rsidRPr="0031542E">
        <w:rPr>
          <w:sz w:val="24"/>
          <w:szCs w:val="24"/>
        </w:rPr>
        <w:t>17,</w:t>
      </w:r>
      <w:r w:rsidRPr="0031542E">
        <w:rPr>
          <w:spacing w:val="-3"/>
          <w:sz w:val="24"/>
          <w:szCs w:val="24"/>
        </w:rPr>
        <w:t xml:space="preserve"> </w:t>
      </w:r>
      <w:r w:rsidRPr="0031542E">
        <w:rPr>
          <w:sz w:val="24"/>
          <w:szCs w:val="24"/>
        </w:rPr>
        <w:t>what</w:t>
      </w:r>
      <w:r w:rsidRPr="0031542E">
        <w:rPr>
          <w:spacing w:val="-3"/>
          <w:sz w:val="24"/>
          <w:szCs w:val="24"/>
        </w:rPr>
        <w:t xml:space="preserve"> </w:t>
      </w:r>
      <w:r w:rsidRPr="0031542E">
        <w:rPr>
          <w:sz w:val="24"/>
          <w:szCs w:val="24"/>
        </w:rPr>
        <w:t>is</w:t>
      </w:r>
      <w:r w:rsidRPr="0031542E">
        <w:rPr>
          <w:spacing w:val="-3"/>
          <w:sz w:val="24"/>
          <w:szCs w:val="24"/>
        </w:rPr>
        <w:t xml:space="preserve"> </w:t>
      </w:r>
      <w:r w:rsidRPr="0031542E">
        <w:rPr>
          <w:sz w:val="24"/>
          <w:szCs w:val="24"/>
        </w:rPr>
        <w:t>the data?? What I understand is that authors are applying factR2 on previous datasets, so this needs to be made clear.</w:t>
      </w:r>
    </w:p>
    <w:p w14:paraId="0AFAA7E3" w14:textId="77777777" w:rsidR="00564ED3" w:rsidRDefault="00564ED3" w:rsidP="00564ED3">
      <w:pPr>
        <w:pStyle w:val="BodyText"/>
        <w:ind w:left="0"/>
        <w:jc w:val="left"/>
      </w:pPr>
    </w:p>
    <w:p w14:paraId="4D0761F7" w14:textId="77777777" w:rsidR="00564ED3" w:rsidRDefault="00564ED3" w:rsidP="00564ED3">
      <w:pPr>
        <w:pStyle w:val="BodyText"/>
        <w:spacing w:before="1"/>
      </w:pPr>
      <w:r>
        <w:rPr>
          <w:color w:val="0070C0"/>
        </w:rPr>
        <w:t>We</w:t>
      </w:r>
      <w:r>
        <w:rPr>
          <w:color w:val="0070C0"/>
          <w:spacing w:val="-4"/>
        </w:rPr>
        <w:t xml:space="preserve"> </w:t>
      </w:r>
      <w:r>
        <w:rPr>
          <w:color w:val="0070C0"/>
        </w:rPr>
        <w:t>have</w:t>
      </w:r>
      <w:r>
        <w:rPr>
          <w:color w:val="0070C0"/>
          <w:spacing w:val="-2"/>
        </w:rPr>
        <w:t xml:space="preserve"> </w:t>
      </w:r>
      <w:r>
        <w:rPr>
          <w:color w:val="0070C0"/>
        </w:rPr>
        <w:t>clarified</w:t>
      </w:r>
      <w:r>
        <w:rPr>
          <w:color w:val="0070C0"/>
          <w:spacing w:val="-1"/>
        </w:rPr>
        <w:t xml:space="preserve"> </w:t>
      </w:r>
      <w:r>
        <w:rPr>
          <w:color w:val="0070C0"/>
        </w:rPr>
        <w:t>these</w:t>
      </w:r>
      <w:r>
        <w:rPr>
          <w:color w:val="0070C0"/>
          <w:spacing w:val="-2"/>
        </w:rPr>
        <w:t xml:space="preserve"> </w:t>
      </w:r>
      <w:r>
        <w:rPr>
          <w:color w:val="0070C0"/>
        </w:rPr>
        <w:t>points</w:t>
      </w:r>
      <w:r>
        <w:rPr>
          <w:color w:val="0070C0"/>
          <w:spacing w:val="-1"/>
        </w:rPr>
        <w:t xml:space="preserve"> </w:t>
      </w:r>
      <w:r>
        <w:rPr>
          <w:color w:val="0070C0"/>
        </w:rPr>
        <w:t>in</w:t>
      </w:r>
      <w:r>
        <w:rPr>
          <w:color w:val="0070C0"/>
          <w:spacing w:val="-1"/>
        </w:rPr>
        <w:t xml:space="preserve"> </w:t>
      </w:r>
      <w:r>
        <w:rPr>
          <w:color w:val="0070C0"/>
        </w:rPr>
        <w:t>the</w:t>
      </w:r>
      <w:r>
        <w:rPr>
          <w:color w:val="0070C0"/>
          <w:spacing w:val="-2"/>
        </w:rPr>
        <w:t xml:space="preserve"> </w:t>
      </w:r>
      <w:r>
        <w:rPr>
          <w:color w:val="0070C0"/>
        </w:rPr>
        <w:t>revised</w:t>
      </w:r>
      <w:r>
        <w:rPr>
          <w:color w:val="0070C0"/>
          <w:spacing w:val="-1"/>
        </w:rPr>
        <w:t xml:space="preserve"> </w:t>
      </w:r>
      <w:r>
        <w:rPr>
          <w:color w:val="0070C0"/>
        </w:rPr>
        <w:t>text</w:t>
      </w:r>
      <w:r>
        <w:rPr>
          <w:color w:val="0070C0"/>
          <w:spacing w:val="-2"/>
        </w:rPr>
        <w:t xml:space="preserve"> </w:t>
      </w:r>
      <w:r>
        <w:rPr>
          <w:color w:val="0070C0"/>
        </w:rPr>
        <w:t>as</w:t>
      </w:r>
      <w:r>
        <w:rPr>
          <w:color w:val="0070C0"/>
          <w:spacing w:val="-1"/>
        </w:rPr>
        <w:t xml:space="preserve"> </w:t>
      </w:r>
      <w:r>
        <w:rPr>
          <w:color w:val="0070C0"/>
          <w:spacing w:val="-2"/>
        </w:rPr>
        <w:t>follows:</w:t>
      </w:r>
    </w:p>
    <w:p w14:paraId="2F462AE8" w14:textId="77777777" w:rsidR="00564ED3" w:rsidRDefault="00564ED3" w:rsidP="00564ED3">
      <w:pPr>
        <w:pStyle w:val="BodyText"/>
        <w:spacing w:before="276"/>
        <w:ind w:right="117"/>
      </w:pPr>
      <w:r>
        <w:rPr>
          <w:b/>
          <w:color w:val="0070C0"/>
        </w:rPr>
        <w:t>Page 12</w:t>
      </w:r>
      <w:r>
        <w:rPr>
          <w:color w:val="0070C0"/>
        </w:rPr>
        <w:t xml:space="preserve">. "To identify PTBP1-dependent AS-NMD targets systematically, we examined factR2 events correlating with Ptbp1 expression in DMSO-treated TRE- Ngn2 cells and changing their splicing in ESCs or NPCs in response to PTBP1 knockdown alone or together </w:t>
      </w:r>
      <w:r>
        <w:rPr>
          <w:color w:val="0070C0"/>
        </w:rPr>
        <w:lastRenderedPageBreak/>
        <w:t>with its functionally similar paralog, PTBP2 (Fig. 3A; RNA-seq data from [56]; Whippet |ΔPSI|&gt;0.1 and probability&gt;0.9 cutoffs; see Materials and Methods for further details)"</w:t>
      </w:r>
    </w:p>
    <w:p w14:paraId="31E8C885" w14:textId="77777777" w:rsidR="00564ED3" w:rsidRDefault="00564ED3" w:rsidP="00564ED3">
      <w:pPr>
        <w:pStyle w:val="BodyText"/>
        <w:spacing w:before="273"/>
        <w:ind w:right="117"/>
      </w:pPr>
      <w:r>
        <w:rPr>
          <w:b/>
          <w:color w:val="0070C0"/>
        </w:rPr>
        <w:t>Page 17</w:t>
      </w:r>
      <w:r>
        <w:rPr>
          <w:color w:val="0070C0"/>
        </w:rPr>
        <w:t xml:space="preserve">. "To examine the incidence of NS-CEs in a different system, we performed factR2 analysis for developing dentate gyrus granule cells (RNA-seq data from </w:t>
      </w:r>
      <w:r>
        <w:rPr>
          <w:color w:val="0070C0"/>
          <w:spacing w:val="-2"/>
        </w:rPr>
        <w:t>[60])..."</w:t>
      </w:r>
    </w:p>
    <w:p w14:paraId="4A615FAC" w14:textId="77777777" w:rsidR="00564ED3" w:rsidRDefault="00564ED3" w:rsidP="00564ED3">
      <w:pPr>
        <w:pStyle w:val="BodyText"/>
        <w:ind w:left="0"/>
        <w:jc w:val="left"/>
      </w:pPr>
    </w:p>
    <w:p w14:paraId="14A01CA8" w14:textId="77777777" w:rsidR="00564ED3" w:rsidRDefault="00564ED3" w:rsidP="00564ED3">
      <w:pPr>
        <w:pStyle w:val="ListParagraph"/>
        <w:widowControl w:val="0"/>
        <w:numPr>
          <w:ilvl w:val="0"/>
          <w:numId w:val="3"/>
        </w:numPr>
        <w:tabs>
          <w:tab w:val="left" w:pos="365"/>
        </w:tabs>
        <w:autoSpaceDE w:val="0"/>
        <w:autoSpaceDN w:val="0"/>
        <w:spacing w:after="0" w:line="240" w:lineRule="auto"/>
        <w:ind w:right="117" w:firstLine="0"/>
        <w:contextualSpacing w:val="0"/>
        <w:jc w:val="both"/>
        <w:rPr>
          <w:sz w:val="24"/>
        </w:rPr>
      </w:pPr>
      <w:r>
        <w:rPr>
          <w:sz w:val="24"/>
        </w:rPr>
        <w:t xml:space="preserve">The minigene analysis in Figures 3F-J is good, except that there are several PTBP1 </w:t>
      </w:r>
      <w:proofErr w:type="spellStart"/>
      <w:r>
        <w:rPr>
          <w:sz w:val="24"/>
        </w:rPr>
        <w:t>iCLIP</w:t>
      </w:r>
      <w:proofErr w:type="spellEnd"/>
      <w:r>
        <w:rPr>
          <w:sz w:val="24"/>
        </w:rPr>
        <w:t xml:space="preserve"> tags that are ignored. Authors mutate the two </w:t>
      </w:r>
      <w:proofErr w:type="spellStart"/>
      <w:r>
        <w:rPr>
          <w:sz w:val="24"/>
        </w:rPr>
        <w:t>iCLIP</w:t>
      </w:r>
      <w:proofErr w:type="spellEnd"/>
      <w:r>
        <w:rPr>
          <w:sz w:val="24"/>
        </w:rPr>
        <w:t xml:space="preserve"> tags in the NS exon and one downstream, while there are others actually closer to the NS exon. Please explain why these were not analysed.</w:t>
      </w:r>
    </w:p>
    <w:p w14:paraId="5D782455" w14:textId="77777777" w:rsidR="00564ED3" w:rsidRDefault="00564ED3" w:rsidP="00564ED3">
      <w:pPr>
        <w:pStyle w:val="BodyText"/>
        <w:spacing w:before="3"/>
        <w:ind w:left="0"/>
        <w:jc w:val="left"/>
      </w:pPr>
    </w:p>
    <w:p w14:paraId="6516BFC5" w14:textId="77777777" w:rsidR="00564ED3" w:rsidRDefault="00564ED3" w:rsidP="00564ED3">
      <w:pPr>
        <w:pStyle w:val="BodyText"/>
        <w:ind w:right="117"/>
      </w:pPr>
      <w:r>
        <w:rPr>
          <w:color w:val="0070C0"/>
        </w:rPr>
        <w:t xml:space="preserve">Putative PTBP1 sites shown in </w:t>
      </w:r>
      <w:r>
        <w:rPr>
          <w:b/>
          <w:color w:val="0070C0"/>
        </w:rPr>
        <w:t xml:space="preserve">Fig. 3F </w:t>
      </w:r>
      <w:r>
        <w:rPr>
          <w:color w:val="0070C0"/>
        </w:rPr>
        <w:t xml:space="preserve">are pyrimidine-rich sequence motifs, not </w:t>
      </w:r>
      <w:proofErr w:type="spellStart"/>
      <w:r>
        <w:rPr>
          <w:color w:val="0070C0"/>
        </w:rPr>
        <w:t>iCLIP</w:t>
      </w:r>
      <w:proofErr w:type="spellEnd"/>
      <w:r>
        <w:rPr>
          <w:color w:val="0070C0"/>
        </w:rPr>
        <w:t xml:space="preserve"> clusters. As shown in </w:t>
      </w:r>
      <w:r>
        <w:rPr>
          <w:b/>
          <w:color w:val="0070C0"/>
        </w:rPr>
        <w:t>Fig. S11A</w:t>
      </w:r>
      <w:r>
        <w:rPr>
          <w:color w:val="0070C0"/>
        </w:rPr>
        <w:t xml:space="preserve">, there are only 2 intronic positions where such pyrimidine-rich sequences correspond to a single PTBP1 </w:t>
      </w:r>
      <w:proofErr w:type="spellStart"/>
      <w:r>
        <w:rPr>
          <w:color w:val="0070C0"/>
        </w:rPr>
        <w:t>iCLIP</w:t>
      </w:r>
      <w:proofErr w:type="spellEnd"/>
      <w:r>
        <w:rPr>
          <w:color w:val="0070C0"/>
        </w:rPr>
        <w:t xml:space="preserve"> cluster. We therefore designed mut3 to inactivate these </w:t>
      </w:r>
      <w:proofErr w:type="spellStart"/>
      <w:r>
        <w:rPr>
          <w:color w:val="0070C0"/>
        </w:rPr>
        <w:t>iCLIP</w:t>
      </w:r>
      <w:proofErr w:type="spellEnd"/>
      <w:r>
        <w:rPr>
          <w:color w:val="0070C0"/>
        </w:rPr>
        <w:t xml:space="preserve">-overlapping motifs. Mut1 and mut2 were designed to inactivate sequence motifs within the regulated Fmnl3 exon. We have revised </w:t>
      </w:r>
      <w:r>
        <w:rPr>
          <w:b/>
          <w:color w:val="0070C0"/>
        </w:rPr>
        <w:t xml:space="preserve">Fig. 3F </w:t>
      </w:r>
      <w:r>
        <w:rPr>
          <w:color w:val="0070C0"/>
        </w:rPr>
        <w:t xml:space="preserve">and </w:t>
      </w:r>
      <w:r>
        <w:rPr>
          <w:b/>
          <w:color w:val="0070C0"/>
        </w:rPr>
        <w:t xml:space="preserve">Fig. S11 </w:t>
      </w:r>
      <w:r>
        <w:rPr>
          <w:color w:val="0070C0"/>
        </w:rPr>
        <w:t>for clarity.</w:t>
      </w:r>
    </w:p>
    <w:p w14:paraId="34C7E22D" w14:textId="77777777" w:rsidR="00564ED3" w:rsidRDefault="00564ED3" w:rsidP="00564ED3">
      <w:pPr>
        <w:pStyle w:val="ListParagraph"/>
        <w:widowControl w:val="0"/>
        <w:numPr>
          <w:ilvl w:val="0"/>
          <w:numId w:val="3"/>
        </w:numPr>
        <w:tabs>
          <w:tab w:val="left" w:pos="373"/>
        </w:tabs>
        <w:autoSpaceDE w:val="0"/>
        <w:autoSpaceDN w:val="0"/>
        <w:spacing w:before="274" w:after="0" w:line="240" w:lineRule="auto"/>
        <w:ind w:right="117" w:firstLine="0"/>
        <w:contextualSpacing w:val="0"/>
        <w:jc w:val="both"/>
        <w:rPr>
          <w:sz w:val="24"/>
        </w:rPr>
      </w:pPr>
      <w:r>
        <w:rPr>
          <w:sz w:val="24"/>
        </w:rPr>
        <w:t>The expression profile trajectories in Figure S5 are interesting. It would be best to indicate the number of cases (N) following each profile on top of each panel, so we know which ones are more common.</w:t>
      </w:r>
    </w:p>
    <w:p w14:paraId="733CAA9E" w14:textId="77777777" w:rsidR="00564ED3" w:rsidRDefault="00564ED3" w:rsidP="00564ED3">
      <w:pPr>
        <w:pStyle w:val="BodyText"/>
        <w:ind w:left="0"/>
        <w:jc w:val="left"/>
      </w:pPr>
    </w:p>
    <w:p w14:paraId="796A5A2B" w14:textId="77777777" w:rsidR="00564ED3" w:rsidRDefault="00564ED3" w:rsidP="00564ED3">
      <w:pPr>
        <w:pStyle w:val="BodyText"/>
      </w:pPr>
      <w:r>
        <w:rPr>
          <w:color w:val="0070C0"/>
        </w:rPr>
        <w:t>Done</w:t>
      </w:r>
      <w:r>
        <w:rPr>
          <w:color w:val="0070C0"/>
          <w:spacing w:val="-2"/>
        </w:rPr>
        <w:t xml:space="preserve"> </w:t>
      </w:r>
      <w:r>
        <w:rPr>
          <w:color w:val="0070C0"/>
        </w:rPr>
        <w:t>(the</w:t>
      </w:r>
      <w:r>
        <w:rPr>
          <w:color w:val="0070C0"/>
          <w:spacing w:val="-2"/>
        </w:rPr>
        <w:t xml:space="preserve"> </w:t>
      </w:r>
      <w:r>
        <w:rPr>
          <w:color w:val="0070C0"/>
        </w:rPr>
        <w:t>Figure</w:t>
      </w:r>
      <w:r>
        <w:rPr>
          <w:color w:val="0070C0"/>
          <w:spacing w:val="-2"/>
        </w:rPr>
        <w:t xml:space="preserve"> </w:t>
      </w:r>
      <w:r>
        <w:rPr>
          <w:color w:val="0070C0"/>
        </w:rPr>
        <w:t>is</w:t>
      </w:r>
      <w:r>
        <w:rPr>
          <w:color w:val="0070C0"/>
          <w:spacing w:val="-1"/>
        </w:rPr>
        <w:t xml:space="preserve"> </w:t>
      </w:r>
      <w:r>
        <w:rPr>
          <w:color w:val="0070C0"/>
        </w:rPr>
        <w:t>now</w:t>
      </w:r>
      <w:r>
        <w:rPr>
          <w:color w:val="0070C0"/>
          <w:spacing w:val="-1"/>
        </w:rPr>
        <w:t xml:space="preserve"> </w:t>
      </w:r>
      <w:r>
        <w:rPr>
          <w:color w:val="0070C0"/>
        </w:rPr>
        <w:t>called</w:t>
      </w:r>
      <w:r>
        <w:rPr>
          <w:color w:val="0070C0"/>
          <w:spacing w:val="-1"/>
        </w:rPr>
        <w:t xml:space="preserve"> </w:t>
      </w:r>
      <w:r>
        <w:rPr>
          <w:b/>
          <w:color w:val="0070C0"/>
          <w:spacing w:val="-4"/>
        </w:rPr>
        <w:t>S6</w:t>
      </w:r>
      <w:r>
        <w:rPr>
          <w:color w:val="0070C0"/>
          <w:spacing w:val="-4"/>
        </w:rPr>
        <w:t>).</w:t>
      </w:r>
    </w:p>
    <w:p w14:paraId="00121DAF" w14:textId="77777777" w:rsidR="00564ED3" w:rsidRDefault="00564ED3" w:rsidP="00564ED3">
      <w:pPr>
        <w:pStyle w:val="BodyText"/>
        <w:ind w:left="0"/>
        <w:jc w:val="left"/>
      </w:pPr>
    </w:p>
    <w:p w14:paraId="52097201" w14:textId="77777777" w:rsidR="00564ED3" w:rsidRDefault="00564ED3" w:rsidP="00564ED3">
      <w:pPr>
        <w:pStyle w:val="ListParagraph"/>
        <w:widowControl w:val="0"/>
        <w:numPr>
          <w:ilvl w:val="0"/>
          <w:numId w:val="3"/>
        </w:numPr>
        <w:tabs>
          <w:tab w:val="left" w:pos="368"/>
        </w:tabs>
        <w:autoSpaceDE w:val="0"/>
        <w:autoSpaceDN w:val="0"/>
        <w:spacing w:after="0" w:line="240" w:lineRule="auto"/>
        <w:ind w:right="117" w:firstLine="0"/>
        <w:contextualSpacing w:val="0"/>
        <w:jc w:val="both"/>
        <w:rPr>
          <w:sz w:val="24"/>
        </w:rPr>
      </w:pPr>
      <w:r>
        <w:rPr>
          <w:sz w:val="24"/>
        </w:rPr>
        <w:t xml:space="preserve">Were the CRISPR clones in Figure S13 tested for splicing by RT-PCR? If not, this is necessary. Some </w:t>
      </w:r>
      <w:proofErr w:type="spellStart"/>
      <w:r>
        <w:rPr>
          <w:sz w:val="24"/>
        </w:rPr>
        <w:t>exonic</w:t>
      </w:r>
      <w:proofErr w:type="spellEnd"/>
      <w:r>
        <w:rPr>
          <w:sz w:val="24"/>
        </w:rPr>
        <w:t xml:space="preserve"> fragments are still there after gene editing so it would be possible that they activated a cryptic splice site leading to inclusion of a different cassette exon, hence the interpretation of results might be different. I hope that this was not the case, but we need to know for sure.</w:t>
      </w:r>
    </w:p>
    <w:p w14:paraId="4F676961" w14:textId="77777777" w:rsidR="00564ED3" w:rsidRDefault="00564ED3" w:rsidP="00564ED3">
      <w:pPr>
        <w:pStyle w:val="BodyText"/>
        <w:ind w:left="0"/>
        <w:jc w:val="left"/>
      </w:pPr>
    </w:p>
    <w:p w14:paraId="4D428D9F" w14:textId="77777777" w:rsidR="00564ED3" w:rsidRDefault="00564ED3" w:rsidP="00564ED3">
      <w:pPr>
        <w:pStyle w:val="BodyText"/>
        <w:ind w:right="117"/>
      </w:pPr>
      <w:r>
        <w:rPr>
          <w:color w:val="0070C0"/>
        </w:rPr>
        <w:t xml:space="preserve">This experiment is presented in the revised </w:t>
      </w:r>
      <w:r>
        <w:rPr>
          <w:b/>
          <w:color w:val="0070C0"/>
        </w:rPr>
        <w:t>Fig. S15</w:t>
      </w:r>
      <w:r>
        <w:rPr>
          <w:color w:val="0070C0"/>
        </w:rPr>
        <w:t>.</w:t>
      </w:r>
      <w:r>
        <w:rPr>
          <w:color w:val="0070C0"/>
          <w:spacing w:val="40"/>
        </w:rPr>
        <w:t xml:space="preserve"> </w:t>
      </w:r>
      <w:r>
        <w:rPr>
          <w:color w:val="0070C0"/>
        </w:rPr>
        <w:t>Of the 6 mutant clones tested, only A15 and E2 show detectable inclusion of cryptic exons. However, even in these cases, the cryptic exons are included with markedly lower efficiencies compared to</w:t>
      </w:r>
      <w:r>
        <w:rPr>
          <w:color w:val="0070C0"/>
          <w:spacing w:val="40"/>
        </w:rPr>
        <w:t xml:space="preserve"> </w:t>
      </w:r>
      <w:r>
        <w:rPr>
          <w:color w:val="0070C0"/>
        </w:rPr>
        <w:t xml:space="preserve">the wild-type NS-CEs. Together with the data in </w:t>
      </w:r>
      <w:r>
        <w:rPr>
          <w:b/>
          <w:color w:val="0070C0"/>
        </w:rPr>
        <w:t>Fig. 5G-I</w:t>
      </w:r>
      <w:r>
        <w:rPr>
          <w:color w:val="0070C0"/>
        </w:rPr>
        <w:t>, this suggests that the mutations disrupted the AS-NMD regulation.</w:t>
      </w:r>
    </w:p>
    <w:p w14:paraId="0D3FEF5F" w14:textId="77777777" w:rsidR="00564ED3" w:rsidRDefault="00564ED3" w:rsidP="00564ED3">
      <w:pPr>
        <w:pStyle w:val="BodyText"/>
        <w:ind w:left="0"/>
        <w:jc w:val="left"/>
      </w:pPr>
    </w:p>
    <w:p w14:paraId="4F63B455" w14:textId="5113253F" w:rsidR="00564ED3" w:rsidRDefault="00564ED3" w:rsidP="009C3CE4">
      <w:pPr>
        <w:pStyle w:val="ListParagraph"/>
        <w:widowControl w:val="0"/>
        <w:numPr>
          <w:ilvl w:val="0"/>
          <w:numId w:val="3"/>
        </w:numPr>
        <w:tabs>
          <w:tab w:val="left" w:pos="376"/>
        </w:tabs>
        <w:autoSpaceDE w:val="0"/>
        <w:autoSpaceDN w:val="0"/>
        <w:spacing w:before="76" w:after="0" w:line="240" w:lineRule="auto"/>
        <w:ind w:right="117" w:firstLine="0"/>
        <w:contextualSpacing w:val="0"/>
        <w:jc w:val="both"/>
      </w:pPr>
      <w:r>
        <w:rPr>
          <w:sz w:val="24"/>
        </w:rPr>
        <w:t>While the language is good overall, some unclear and vague statements should be fixed. For instance, page 8 "Cassette exons stimulating NMD upon their inclusion (NS-CEs)</w:t>
      </w:r>
      <w:r w:rsidRPr="0031542E">
        <w:rPr>
          <w:spacing w:val="15"/>
          <w:sz w:val="24"/>
        </w:rPr>
        <w:t xml:space="preserve"> </w:t>
      </w:r>
      <w:r>
        <w:rPr>
          <w:sz w:val="24"/>
        </w:rPr>
        <w:t>fared</w:t>
      </w:r>
      <w:r w:rsidRPr="0031542E">
        <w:rPr>
          <w:spacing w:val="18"/>
          <w:sz w:val="24"/>
        </w:rPr>
        <w:t xml:space="preserve"> </w:t>
      </w:r>
      <w:r>
        <w:rPr>
          <w:sz w:val="24"/>
        </w:rPr>
        <w:t>particularly</w:t>
      </w:r>
      <w:r w:rsidRPr="0031542E">
        <w:rPr>
          <w:spacing w:val="18"/>
          <w:sz w:val="24"/>
        </w:rPr>
        <w:t xml:space="preserve"> </w:t>
      </w:r>
      <w:r>
        <w:rPr>
          <w:sz w:val="24"/>
        </w:rPr>
        <w:t>well</w:t>
      </w:r>
      <w:r w:rsidRPr="0031542E">
        <w:rPr>
          <w:spacing w:val="18"/>
          <w:sz w:val="24"/>
        </w:rPr>
        <w:t xml:space="preserve"> </w:t>
      </w:r>
      <w:r>
        <w:rPr>
          <w:sz w:val="24"/>
        </w:rPr>
        <w:t>in</w:t>
      </w:r>
      <w:r w:rsidRPr="0031542E">
        <w:rPr>
          <w:spacing w:val="18"/>
          <w:sz w:val="24"/>
        </w:rPr>
        <w:t xml:space="preserve"> </w:t>
      </w:r>
      <w:r>
        <w:rPr>
          <w:sz w:val="24"/>
        </w:rPr>
        <w:t>this</w:t>
      </w:r>
      <w:r w:rsidRPr="0031542E">
        <w:rPr>
          <w:spacing w:val="18"/>
          <w:sz w:val="24"/>
        </w:rPr>
        <w:t xml:space="preserve"> </w:t>
      </w:r>
      <w:r>
        <w:rPr>
          <w:sz w:val="24"/>
        </w:rPr>
        <w:t>analysis",</w:t>
      </w:r>
      <w:r w:rsidRPr="0031542E">
        <w:rPr>
          <w:spacing w:val="18"/>
          <w:sz w:val="24"/>
        </w:rPr>
        <w:t xml:space="preserve"> </w:t>
      </w:r>
      <w:r>
        <w:rPr>
          <w:sz w:val="24"/>
        </w:rPr>
        <w:t>in</w:t>
      </w:r>
      <w:r w:rsidRPr="0031542E">
        <w:rPr>
          <w:spacing w:val="18"/>
          <w:sz w:val="24"/>
        </w:rPr>
        <w:t xml:space="preserve"> </w:t>
      </w:r>
      <w:r>
        <w:rPr>
          <w:sz w:val="24"/>
        </w:rPr>
        <w:t>which</w:t>
      </w:r>
      <w:r w:rsidRPr="0031542E">
        <w:rPr>
          <w:spacing w:val="18"/>
          <w:sz w:val="24"/>
        </w:rPr>
        <w:t xml:space="preserve"> </w:t>
      </w:r>
      <w:r>
        <w:rPr>
          <w:sz w:val="24"/>
        </w:rPr>
        <w:t>the</w:t>
      </w:r>
      <w:r w:rsidRPr="0031542E">
        <w:rPr>
          <w:spacing w:val="18"/>
          <w:sz w:val="24"/>
        </w:rPr>
        <w:t xml:space="preserve"> </w:t>
      </w:r>
      <w:r>
        <w:rPr>
          <w:sz w:val="24"/>
        </w:rPr>
        <w:t>underlined</w:t>
      </w:r>
      <w:r w:rsidRPr="0031542E">
        <w:rPr>
          <w:spacing w:val="18"/>
          <w:sz w:val="24"/>
        </w:rPr>
        <w:t xml:space="preserve"> </w:t>
      </w:r>
      <w:r>
        <w:rPr>
          <w:sz w:val="24"/>
        </w:rPr>
        <w:t>would</w:t>
      </w:r>
      <w:r w:rsidRPr="0031542E">
        <w:rPr>
          <w:spacing w:val="18"/>
          <w:sz w:val="24"/>
        </w:rPr>
        <w:t xml:space="preserve"> </w:t>
      </w:r>
      <w:r w:rsidRPr="0031542E">
        <w:rPr>
          <w:spacing w:val="-5"/>
          <w:sz w:val="24"/>
          <w:szCs w:val="24"/>
        </w:rPr>
        <w:t>be</w:t>
      </w:r>
      <w:r w:rsidR="0031542E" w:rsidRPr="0031542E">
        <w:rPr>
          <w:spacing w:val="-5"/>
          <w:sz w:val="24"/>
          <w:szCs w:val="24"/>
        </w:rPr>
        <w:t xml:space="preserve"> </w:t>
      </w:r>
      <w:r w:rsidRPr="0031542E">
        <w:rPr>
          <w:sz w:val="24"/>
          <w:szCs w:val="24"/>
        </w:rPr>
        <w:t>best stated as "were more abundant than the others". Another unclear statement on page 9 needs fixing: "Since NMD occurs in the cytoplasm [12-14], transcripts including NMD-stimulating and excluding NMD-repressing events should be</w:t>
      </w:r>
      <w:r w:rsidRPr="0031542E">
        <w:rPr>
          <w:spacing w:val="40"/>
          <w:sz w:val="24"/>
          <w:szCs w:val="24"/>
        </w:rPr>
        <w:t xml:space="preserve"> </w:t>
      </w:r>
      <w:r w:rsidRPr="0031542E">
        <w:rPr>
          <w:sz w:val="24"/>
          <w:szCs w:val="24"/>
        </w:rPr>
        <w:t>enriched</w:t>
      </w:r>
      <w:r w:rsidRPr="0031542E">
        <w:rPr>
          <w:spacing w:val="70"/>
          <w:w w:val="150"/>
          <w:sz w:val="24"/>
          <w:szCs w:val="24"/>
        </w:rPr>
        <w:t xml:space="preserve"> </w:t>
      </w:r>
      <w:r w:rsidRPr="0031542E">
        <w:rPr>
          <w:sz w:val="24"/>
          <w:szCs w:val="24"/>
        </w:rPr>
        <w:t>in</w:t>
      </w:r>
      <w:r w:rsidRPr="0031542E">
        <w:rPr>
          <w:spacing w:val="73"/>
          <w:w w:val="150"/>
          <w:sz w:val="24"/>
          <w:szCs w:val="24"/>
        </w:rPr>
        <w:t xml:space="preserve"> </w:t>
      </w:r>
      <w:r w:rsidRPr="0031542E">
        <w:rPr>
          <w:sz w:val="24"/>
          <w:szCs w:val="24"/>
        </w:rPr>
        <w:t>the</w:t>
      </w:r>
      <w:r w:rsidRPr="0031542E">
        <w:rPr>
          <w:spacing w:val="73"/>
          <w:w w:val="150"/>
          <w:sz w:val="24"/>
          <w:szCs w:val="24"/>
        </w:rPr>
        <w:t xml:space="preserve"> </w:t>
      </w:r>
      <w:r w:rsidRPr="0031542E">
        <w:rPr>
          <w:sz w:val="24"/>
          <w:szCs w:val="24"/>
        </w:rPr>
        <w:t>nucleus,</w:t>
      </w:r>
      <w:r w:rsidRPr="0031542E">
        <w:rPr>
          <w:spacing w:val="72"/>
          <w:w w:val="150"/>
          <w:sz w:val="24"/>
          <w:szCs w:val="24"/>
        </w:rPr>
        <w:t xml:space="preserve"> </w:t>
      </w:r>
      <w:r w:rsidRPr="0031542E">
        <w:rPr>
          <w:sz w:val="24"/>
          <w:szCs w:val="24"/>
        </w:rPr>
        <w:t>providing</w:t>
      </w:r>
      <w:r w:rsidRPr="0031542E">
        <w:rPr>
          <w:spacing w:val="73"/>
          <w:w w:val="150"/>
          <w:sz w:val="24"/>
          <w:szCs w:val="24"/>
        </w:rPr>
        <w:t xml:space="preserve"> </w:t>
      </w:r>
      <w:r w:rsidRPr="0031542E">
        <w:rPr>
          <w:sz w:val="24"/>
          <w:szCs w:val="24"/>
        </w:rPr>
        <w:t>a</w:t>
      </w:r>
      <w:r w:rsidRPr="0031542E">
        <w:rPr>
          <w:spacing w:val="73"/>
          <w:w w:val="150"/>
          <w:sz w:val="24"/>
          <w:szCs w:val="24"/>
        </w:rPr>
        <w:t xml:space="preserve"> </w:t>
      </w:r>
      <w:r w:rsidRPr="0031542E">
        <w:rPr>
          <w:sz w:val="24"/>
          <w:szCs w:val="24"/>
        </w:rPr>
        <w:t>CHX</w:t>
      </w:r>
      <w:r w:rsidRPr="0031542E">
        <w:rPr>
          <w:spacing w:val="72"/>
          <w:w w:val="150"/>
          <w:sz w:val="24"/>
          <w:szCs w:val="24"/>
        </w:rPr>
        <w:t xml:space="preserve"> </w:t>
      </w:r>
      <w:r w:rsidRPr="0031542E">
        <w:rPr>
          <w:sz w:val="24"/>
          <w:szCs w:val="24"/>
        </w:rPr>
        <w:t>independent</w:t>
      </w:r>
      <w:r w:rsidRPr="0031542E">
        <w:rPr>
          <w:spacing w:val="73"/>
          <w:w w:val="150"/>
          <w:sz w:val="24"/>
          <w:szCs w:val="24"/>
        </w:rPr>
        <w:t xml:space="preserve"> </w:t>
      </w:r>
      <w:r w:rsidRPr="0031542E">
        <w:rPr>
          <w:sz w:val="24"/>
          <w:szCs w:val="24"/>
        </w:rPr>
        <w:t>validation</w:t>
      </w:r>
      <w:r w:rsidRPr="0031542E">
        <w:rPr>
          <w:spacing w:val="73"/>
          <w:w w:val="150"/>
          <w:sz w:val="24"/>
          <w:szCs w:val="24"/>
        </w:rPr>
        <w:t xml:space="preserve"> </w:t>
      </w:r>
      <w:r w:rsidRPr="0031542E">
        <w:rPr>
          <w:spacing w:val="-2"/>
          <w:sz w:val="24"/>
          <w:szCs w:val="24"/>
        </w:rPr>
        <w:t>approach".</w:t>
      </w:r>
    </w:p>
    <w:p w14:paraId="3F09F699" w14:textId="77777777" w:rsidR="00564ED3" w:rsidRDefault="00564ED3" w:rsidP="00564ED3">
      <w:pPr>
        <w:pStyle w:val="BodyText"/>
        <w:spacing w:before="274"/>
      </w:pPr>
      <w:r>
        <w:rPr>
          <w:color w:val="0070C0"/>
        </w:rPr>
        <w:t>We</w:t>
      </w:r>
      <w:r>
        <w:rPr>
          <w:color w:val="0070C0"/>
          <w:spacing w:val="-3"/>
        </w:rPr>
        <w:t xml:space="preserve"> </w:t>
      </w:r>
      <w:r>
        <w:rPr>
          <w:color w:val="0070C0"/>
        </w:rPr>
        <w:t>have</w:t>
      </w:r>
      <w:r>
        <w:rPr>
          <w:color w:val="0070C0"/>
          <w:spacing w:val="-3"/>
        </w:rPr>
        <w:t xml:space="preserve"> </w:t>
      </w:r>
      <w:r>
        <w:rPr>
          <w:color w:val="0070C0"/>
        </w:rPr>
        <w:t>modified</w:t>
      </w:r>
      <w:r>
        <w:rPr>
          <w:color w:val="0070C0"/>
          <w:spacing w:val="-2"/>
        </w:rPr>
        <w:t xml:space="preserve"> </w:t>
      </w:r>
      <w:r>
        <w:rPr>
          <w:color w:val="0070C0"/>
        </w:rPr>
        <w:t>the</w:t>
      </w:r>
      <w:r>
        <w:rPr>
          <w:color w:val="0070C0"/>
          <w:spacing w:val="-2"/>
        </w:rPr>
        <w:t xml:space="preserve"> </w:t>
      </w:r>
      <w:r>
        <w:rPr>
          <w:color w:val="0070C0"/>
        </w:rPr>
        <w:t>unclear</w:t>
      </w:r>
      <w:r>
        <w:rPr>
          <w:color w:val="0070C0"/>
          <w:spacing w:val="-2"/>
        </w:rPr>
        <w:t xml:space="preserve"> </w:t>
      </w:r>
      <w:r>
        <w:rPr>
          <w:color w:val="0070C0"/>
        </w:rPr>
        <w:t>sentences</w:t>
      </w:r>
      <w:r>
        <w:rPr>
          <w:color w:val="0070C0"/>
          <w:spacing w:val="-2"/>
        </w:rPr>
        <w:t xml:space="preserve"> </w:t>
      </w:r>
      <w:r>
        <w:rPr>
          <w:color w:val="0070C0"/>
        </w:rPr>
        <w:t>as</w:t>
      </w:r>
      <w:r>
        <w:rPr>
          <w:color w:val="0070C0"/>
          <w:spacing w:val="-1"/>
        </w:rPr>
        <w:t xml:space="preserve"> </w:t>
      </w:r>
      <w:r>
        <w:rPr>
          <w:color w:val="0070C0"/>
          <w:spacing w:val="-2"/>
        </w:rPr>
        <w:t>follows:</w:t>
      </w:r>
    </w:p>
    <w:p w14:paraId="7C461DA0" w14:textId="77777777" w:rsidR="00564ED3" w:rsidRDefault="00564ED3" w:rsidP="00564ED3">
      <w:pPr>
        <w:pStyle w:val="BodyText"/>
        <w:ind w:left="0"/>
        <w:jc w:val="left"/>
      </w:pPr>
    </w:p>
    <w:p w14:paraId="28EB7F5C" w14:textId="77777777" w:rsidR="00564ED3" w:rsidRDefault="00564ED3" w:rsidP="00564ED3">
      <w:pPr>
        <w:pStyle w:val="BodyText"/>
        <w:spacing w:line="242" w:lineRule="auto"/>
        <w:ind w:right="117"/>
      </w:pPr>
      <w:r>
        <w:rPr>
          <w:b/>
          <w:color w:val="0070C0"/>
        </w:rPr>
        <w:t>Page 8</w:t>
      </w:r>
      <w:r>
        <w:rPr>
          <w:color w:val="0070C0"/>
        </w:rPr>
        <w:t>. "Cassette exons stimulating NMD upon their inclusion (NS-CEs) were associated with particularly robust regulation in neural cells (days 3-24; Fig. 1C)."</w:t>
      </w:r>
    </w:p>
    <w:p w14:paraId="6D81A630" w14:textId="77777777" w:rsidR="00564ED3" w:rsidRDefault="00564ED3" w:rsidP="00564ED3">
      <w:pPr>
        <w:pStyle w:val="BodyText"/>
        <w:spacing w:before="273"/>
        <w:ind w:right="117"/>
      </w:pPr>
      <w:r>
        <w:rPr>
          <w:b/>
          <w:color w:val="0070C0"/>
        </w:rPr>
        <w:lastRenderedPageBreak/>
        <w:t>Page 9</w:t>
      </w:r>
      <w:r>
        <w:rPr>
          <w:color w:val="0070C0"/>
        </w:rPr>
        <w:t>. "Since NMD occurs in the cytoplasm [12-14], transcripts including NMD- stimulating and excluding NMD-repressing events are expected to be enriched in the nucleus.</w:t>
      </w:r>
      <w:r>
        <w:rPr>
          <w:color w:val="0070C0"/>
          <w:spacing w:val="-4"/>
        </w:rPr>
        <w:t xml:space="preserve"> </w:t>
      </w:r>
      <w:r>
        <w:rPr>
          <w:color w:val="0070C0"/>
        </w:rPr>
        <w:t>We</w:t>
      </w:r>
      <w:r>
        <w:rPr>
          <w:color w:val="0070C0"/>
          <w:spacing w:val="-4"/>
        </w:rPr>
        <w:t xml:space="preserve"> </w:t>
      </w:r>
      <w:r>
        <w:rPr>
          <w:color w:val="0070C0"/>
        </w:rPr>
        <w:t>reasoned</w:t>
      </w:r>
      <w:r>
        <w:rPr>
          <w:color w:val="0070C0"/>
          <w:spacing w:val="-4"/>
        </w:rPr>
        <w:t xml:space="preserve"> </w:t>
      </w:r>
      <w:r>
        <w:rPr>
          <w:color w:val="0070C0"/>
        </w:rPr>
        <w:t>that</w:t>
      </w:r>
      <w:r>
        <w:rPr>
          <w:color w:val="0070C0"/>
          <w:spacing w:val="-4"/>
        </w:rPr>
        <w:t xml:space="preserve"> </w:t>
      </w:r>
      <w:r>
        <w:rPr>
          <w:color w:val="0070C0"/>
        </w:rPr>
        <w:t>such</w:t>
      </w:r>
      <w:r>
        <w:rPr>
          <w:color w:val="0070C0"/>
          <w:spacing w:val="-4"/>
        </w:rPr>
        <w:t xml:space="preserve"> </w:t>
      </w:r>
      <w:r>
        <w:rPr>
          <w:color w:val="0070C0"/>
        </w:rPr>
        <w:t>nuclear</w:t>
      </w:r>
      <w:r>
        <w:rPr>
          <w:color w:val="0070C0"/>
          <w:spacing w:val="-4"/>
        </w:rPr>
        <w:t xml:space="preserve"> </w:t>
      </w:r>
      <w:r>
        <w:rPr>
          <w:color w:val="0070C0"/>
        </w:rPr>
        <w:t>enrichment</w:t>
      </w:r>
      <w:r>
        <w:rPr>
          <w:color w:val="0070C0"/>
          <w:spacing w:val="-4"/>
        </w:rPr>
        <w:t xml:space="preserve"> </w:t>
      </w:r>
      <w:r>
        <w:rPr>
          <w:color w:val="0070C0"/>
        </w:rPr>
        <w:t>could</w:t>
      </w:r>
      <w:r>
        <w:rPr>
          <w:color w:val="0070C0"/>
          <w:spacing w:val="-4"/>
        </w:rPr>
        <w:t xml:space="preserve"> </w:t>
      </w:r>
      <w:r>
        <w:rPr>
          <w:color w:val="0070C0"/>
        </w:rPr>
        <w:t>provide</w:t>
      </w:r>
      <w:r>
        <w:rPr>
          <w:color w:val="0070C0"/>
          <w:spacing w:val="-4"/>
        </w:rPr>
        <w:t xml:space="preserve"> </w:t>
      </w:r>
      <w:r>
        <w:rPr>
          <w:color w:val="0070C0"/>
        </w:rPr>
        <w:t>a</w:t>
      </w:r>
      <w:r>
        <w:rPr>
          <w:color w:val="0070C0"/>
          <w:spacing w:val="-4"/>
        </w:rPr>
        <w:t xml:space="preserve"> </w:t>
      </w:r>
      <w:r>
        <w:rPr>
          <w:color w:val="0070C0"/>
        </w:rPr>
        <w:t>CHX-independent validation method for AS-NMD targets."</w:t>
      </w:r>
    </w:p>
    <w:p w14:paraId="66431BDD" w14:textId="77777777" w:rsidR="00564ED3" w:rsidRPr="0031542E" w:rsidRDefault="00564ED3" w:rsidP="00564ED3">
      <w:pPr>
        <w:pStyle w:val="Heading1"/>
        <w:rPr>
          <w:sz w:val="24"/>
          <w:szCs w:val="24"/>
        </w:rPr>
      </w:pPr>
      <w:r w:rsidRPr="0031542E">
        <w:rPr>
          <w:sz w:val="24"/>
          <w:szCs w:val="24"/>
        </w:rPr>
        <w:t>Reviewer</w:t>
      </w:r>
      <w:r w:rsidRPr="0031542E">
        <w:rPr>
          <w:spacing w:val="-4"/>
          <w:sz w:val="24"/>
          <w:szCs w:val="24"/>
        </w:rPr>
        <w:t xml:space="preserve"> </w:t>
      </w:r>
      <w:r w:rsidRPr="0031542E">
        <w:rPr>
          <w:spacing w:val="-5"/>
          <w:sz w:val="24"/>
          <w:szCs w:val="24"/>
        </w:rPr>
        <w:t>#2</w:t>
      </w:r>
    </w:p>
    <w:p w14:paraId="3790E266" w14:textId="77777777" w:rsidR="00564ED3" w:rsidRDefault="00564ED3" w:rsidP="00564ED3">
      <w:pPr>
        <w:pStyle w:val="BodyText"/>
        <w:spacing w:before="2"/>
        <w:ind w:right="117"/>
      </w:pPr>
      <w:r>
        <w:t xml:space="preserve">In this study, Zhuravskaya, </w:t>
      </w:r>
      <w:proofErr w:type="spellStart"/>
      <w:r>
        <w:t>Makeyev</w:t>
      </w:r>
      <w:proofErr w:type="spellEnd"/>
      <w:r>
        <w:t xml:space="preserve"> and colleagues present a transcriptomic analysis of differentiating neurons to estimate the extent to which AS-coupled NMD gene regulation in neurogenesis. That NMD has key roles in this process is well-known, however</w:t>
      </w:r>
      <w:r>
        <w:rPr>
          <w:spacing w:val="-3"/>
        </w:rPr>
        <w:t xml:space="preserve"> </w:t>
      </w:r>
      <w:r>
        <w:t>this</w:t>
      </w:r>
      <w:r>
        <w:rPr>
          <w:spacing w:val="-3"/>
        </w:rPr>
        <w:t xml:space="preserve"> </w:t>
      </w:r>
      <w:r>
        <w:t>study</w:t>
      </w:r>
      <w:r>
        <w:rPr>
          <w:spacing w:val="-3"/>
        </w:rPr>
        <w:t xml:space="preserve"> </w:t>
      </w:r>
      <w:r>
        <w:t>brings</w:t>
      </w:r>
      <w:r>
        <w:rPr>
          <w:spacing w:val="-3"/>
        </w:rPr>
        <w:t xml:space="preserve"> </w:t>
      </w:r>
      <w:r>
        <w:t>to</w:t>
      </w:r>
      <w:r>
        <w:rPr>
          <w:spacing w:val="-3"/>
        </w:rPr>
        <w:t xml:space="preserve"> </w:t>
      </w:r>
      <w:r>
        <w:t>the</w:t>
      </w:r>
      <w:r>
        <w:rPr>
          <w:spacing w:val="-3"/>
        </w:rPr>
        <w:t xml:space="preserve"> </w:t>
      </w:r>
      <w:r>
        <w:t>table</w:t>
      </w:r>
      <w:r>
        <w:rPr>
          <w:spacing w:val="-3"/>
        </w:rPr>
        <w:t xml:space="preserve"> </w:t>
      </w:r>
      <w:r>
        <w:t>a</w:t>
      </w:r>
      <w:r>
        <w:rPr>
          <w:spacing w:val="-3"/>
        </w:rPr>
        <w:t xml:space="preserve"> </w:t>
      </w:r>
      <w:r>
        <w:t>systematic,</w:t>
      </w:r>
      <w:r>
        <w:rPr>
          <w:spacing w:val="-3"/>
        </w:rPr>
        <w:t xml:space="preserve"> </w:t>
      </w:r>
      <w:r>
        <w:t>genome-wide</w:t>
      </w:r>
      <w:r>
        <w:rPr>
          <w:spacing w:val="-3"/>
        </w:rPr>
        <w:t xml:space="preserve"> </w:t>
      </w:r>
      <w:r>
        <w:t>assessment</w:t>
      </w:r>
      <w:r>
        <w:rPr>
          <w:spacing w:val="-3"/>
        </w:rPr>
        <w:t xml:space="preserve"> </w:t>
      </w:r>
      <w:r>
        <w:t>of</w:t>
      </w:r>
      <w:r>
        <w:rPr>
          <w:spacing w:val="-3"/>
        </w:rPr>
        <w:t xml:space="preserve"> </w:t>
      </w:r>
      <w:r>
        <w:t>which genes are regulated by this process. There is potential to discover novel genes and mechanisms from this interesting longitudinal analysis of gene expression.</w:t>
      </w:r>
    </w:p>
    <w:p w14:paraId="4C4A3939" w14:textId="77777777" w:rsidR="00564ED3" w:rsidRDefault="00564ED3" w:rsidP="00564ED3">
      <w:pPr>
        <w:pStyle w:val="BodyText"/>
        <w:spacing w:before="274"/>
        <w:ind w:right="117"/>
      </w:pPr>
      <w:r>
        <w:t>While</w:t>
      </w:r>
      <w:r>
        <w:rPr>
          <w:spacing w:val="-1"/>
        </w:rPr>
        <w:t xml:space="preserve"> </w:t>
      </w:r>
      <w:r>
        <w:t>my</w:t>
      </w:r>
      <w:r>
        <w:rPr>
          <w:spacing w:val="-1"/>
        </w:rPr>
        <w:t xml:space="preserve"> </w:t>
      </w:r>
      <w:r>
        <w:t>overall</w:t>
      </w:r>
      <w:r>
        <w:rPr>
          <w:spacing w:val="-1"/>
        </w:rPr>
        <w:t xml:space="preserve"> </w:t>
      </w:r>
      <w:r>
        <w:t>impression</w:t>
      </w:r>
      <w:r>
        <w:rPr>
          <w:spacing w:val="-1"/>
        </w:rPr>
        <w:t xml:space="preserve"> </w:t>
      </w:r>
      <w:r>
        <w:t>is</w:t>
      </w:r>
      <w:r>
        <w:rPr>
          <w:spacing w:val="-1"/>
        </w:rPr>
        <w:t xml:space="preserve"> </w:t>
      </w:r>
      <w:r>
        <w:t>favorable,</w:t>
      </w:r>
      <w:r>
        <w:rPr>
          <w:spacing w:val="-1"/>
        </w:rPr>
        <w:t xml:space="preserve"> </w:t>
      </w:r>
      <w:r>
        <w:t>there</w:t>
      </w:r>
      <w:r>
        <w:rPr>
          <w:spacing w:val="-1"/>
        </w:rPr>
        <w:t xml:space="preserve"> </w:t>
      </w:r>
      <w:r>
        <w:t>are</w:t>
      </w:r>
      <w:r>
        <w:rPr>
          <w:spacing w:val="-1"/>
        </w:rPr>
        <w:t xml:space="preserve"> </w:t>
      </w:r>
      <w:r>
        <w:t>some</w:t>
      </w:r>
      <w:r>
        <w:rPr>
          <w:spacing w:val="-1"/>
        </w:rPr>
        <w:t xml:space="preserve"> </w:t>
      </w:r>
      <w:r>
        <w:t>concerns</w:t>
      </w:r>
      <w:r>
        <w:rPr>
          <w:spacing w:val="-1"/>
        </w:rPr>
        <w:t xml:space="preserve"> </w:t>
      </w:r>
      <w:r>
        <w:t>which</w:t>
      </w:r>
      <w:r>
        <w:rPr>
          <w:spacing w:val="-1"/>
        </w:rPr>
        <w:t xml:space="preserve"> </w:t>
      </w:r>
      <w:r>
        <w:t>may</w:t>
      </w:r>
      <w:r>
        <w:rPr>
          <w:spacing w:val="-1"/>
        </w:rPr>
        <w:t xml:space="preserve"> </w:t>
      </w:r>
      <w:r>
        <w:t>require repeated</w:t>
      </w:r>
      <w:r>
        <w:rPr>
          <w:spacing w:val="-1"/>
        </w:rPr>
        <w:t xml:space="preserve"> </w:t>
      </w:r>
      <w:r>
        <w:t>and/or</w:t>
      </w:r>
      <w:r>
        <w:rPr>
          <w:spacing w:val="-1"/>
        </w:rPr>
        <w:t xml:space="preserve"> </w:t>
      </w:r>
      <w:r>
        <w:t>additional</w:t>
      </w:r>
      <w:r>
        <w:rPr>
          <w:spacing w:val="-1"/>
        </w:rPr>
        <w:t xml:space="preserve"> </w:t>
      </w:r>
      <w:r>
        <w:t>analyses,</w:t>
      </w:r>
      <w:r>
        <w:rPr>
          <w:spacing w:val="-1"/>
        </w:rPr>
        <w:t xml:space="preserve"> </w:t>
      </w:r>
      <w:r>
        <w:t>and</w:t>
      </w:r>
      <w:r>
        <w:rPr>
          <w:spacing w:val="-1"/>
        </w:rPr>
        <w:t xml:space="preserve"> </w:t>
      </w:r>
      <w:r>
        <w:t>better</w:t>
      </w:r>
      <w:r>
        <w:rPr>
          <w:spacing w:val="-1"/>
        </w:rPr>
        <w:t xml:space="preserve"> </w:t>
      </w:r>
      <w:r>
        <w:t>discussion.</w:t>
      </w:r>
      <w:r>
        <w:rPr>
          <w:spacing w:val="-1"/>
        </w:rPr>
        <w:t xml:space="preserve"> </w:t>
      </w:r>
      <w:r>
        <w:t>Also</w:t>
      </w:r>
      <w:r>
        <w:rPr>
          <w:spacing w:val="-1"/>
        </w:rPr>
        <w:t xml:space="preserve"> </w:t>
      </w:r>
      <w:r>
        <w:t>the</w:t>
      </w:r>
      <w:r>
        <w:rPr>
          <w:spacing w:val="-1"/>
        </w:rPr>
        <w:t xml:space="preserve"> </w:t>
      </w:r>
      <w:r>
        <w:t>presentation</w:t>
      </w:r>
      <w:r>
        <w:rPr>
          <w:spacing w:val="-1"/>
        </w:rPr>
        <w:t xml:space="preserve"> </w:t>
      </w:r>
      <w:r>
        <w:t>could be improved in some parts.</w:t>
      </w:r>
    </w:p>
    <w:p w14:paraId="56821533" w14:textId="77777777" w:rsidR="00564ED3" w:rsidRDefault="00564ED3" w:rsidP="00564ED3">
      <w:pPr>
        <w:pStyle w:val="BodyText"/>
        <w:ind w:left="0"/>
        <w:jc w:val="left"/>
      </w:pPr>
    </w:p>
    <w:p w14:paraId="57742908" w14:textId="77777777" w:rsidR="00564ED3" w:rsidRDefault="00564ED3" w:rsidP="00564ED3">
      <w:pPr>
        <w:pStyle w:val="ListParagraph"/>
        <w:widowControl w:val="0"/>
        <w:numPr>
          <w:ilvl w:val="0"/>
          <w:numId w:val="2"/>
        </w:numPr>
        <w:tabs>
          <w:tab w:val="left" w:pos="375"/>
        </w:tabs>
        <w:autoSpaceDE w:val="0"/>
        <w:autoSpaceDN w:val="0"/>
        <w:spacing w:after="0" w:line="240" w:lineRule="auto"/>
        <w:ind w:right="117" w:firstLine="0"/>
        <w:contextualSpacing w:val="0"/>
        <w:jc w:val="both"/>
        <w:rPr>
          <w:sz w:val="24"/>
        </w:rPr>
      </w:pPr>
      <w:r>
        <w:rPr>
          <w:sz w:val="24"/>
        </w:rPr>
        <w:t xml:space="preserve">Regarding the association test </w:t>
      </w:r>
      <w:proofErr w:type="spellStart"/>
      <w:r>
        <w:rPr>
          <w:sz w:val="24"/>
        </w:rPr>
        <w:t>beween</w:t>
      </w:r>
      <w:proofErr w:type="spellEnd"/>
      <w:r>
        <w:rPr>
          <w:sz w:val="24"/>
        </w:rPr>
        <w:t xml:space="preserve"> AS-NMD and gene expression levels (page 10, Fig 2), if indeed NMD that they detect regulates gene expression as predicted by their model, we'd expect a strong overlap between genes detected to undergo AS- NMD and genes identified as differentially expressed. Yet the overlap is somewhat modest. They present it as an enrichment in Fig 2B, however the 2-fold to 3-fold enrichment over random overlap is not too impressive: if I read it right, many (a third or a quarter) of the AS-NMD genes are not differentially expressed.</w:t>
      </w:r>
    </w:p>
    <w:p w14:paraId="1E56FA24" w14:textId="77777777" w:rsidR="00564ED3" w:rsidRDefault="00564ED3" w:rsidP="00564ED3">
      <w:pPr>
        <w:pStyle w:val="BodyText"/>
        <w:ind w:left="0"/>
        <w:jc w:val="left"/>
      </w:pPr>
    </w:p>
    <w:p w14:paraId="09C6EF94" w14:textId="77777777" w:rsidR="00564ED3" w:rsidRDefault="00564ED3" w:rsidP="00564ED3">
      <w:pPr>
        <w:pStyle w:val="BodyText"/>
        <w:ind w:right="117"/>
      </w:pPr>
      <w:r>
        <w:t xml:space="preserve">Thus the stringency settings for calling AS-NMD may need to be adjusted and/or pipeline components optimized such as to obtain a better agreement here. Could the results of downstream analysis (functional enrichment </w:t>
      </w:r>
      <w:proofErr w:type="spellStart"/>
      <w:r>
        <w:t>etc</w:t>
      </w:r>
      <w:proofErr w:type="spellEnd"/>
      <w:r>
        <w:t>) be affected by this? They should also keep in mind this dataset will be used as a resource by others thus there would need to be good QC performed.</w:t>
      </w:r>
    </w:p>
    <w:p w14:paraId="2FE1B298" w14:textId="77777777" w:rsidR="00564ED3" w:rsidRDefault="00564ED3" w:rsidP="00564ED3">
      <w:pPr>
        <w:pStyle w:val="BodyText"/>
        <w:ind w:left="0"/>
        <w:jc w:val="left"/>
      </w:pPr>
    </w:p>
    <w:p w14:paraId="6C0AF0A9" w14:textId="34979CD2" w:rsidR="00564ED3" w:rsidRDefault="00564ED3" w:rsidP="0031542E">
      <w:pPr>
        <w:ind w:left="120" w:right="117"/>
        <w:jc w:val="both"/>
        <w:rPr>
          <w:b/>
        </w:rPr>
      </w:pPr>
      <w:r>
        <w:rPr>
          <w:color w:val="0070C0"/>
          <w:sz w:val="24"/>
        </w:rPr>
        <w:t xml:space="preserve">We thank the reviewer for raising this point. The analysis in </w:t>
      </w:r>
      <w:r>
        <w:rPr>
          <w:b/>
          <w:color w:val="0070C0"/>
          <w:sz w:val="24"/>
        </w:rPr>
        <w:t xml:space="preserve">Fig. 2 </w:t>
      </w:r>
      <w:r>
        <w:rPr>
          <w:color w:val="0070C0"/>
          <w:sz w:val="24"/>
        </w:rPr>
        <w:t xml:space="preserve">was carried out to shortlist AS-NMD events that might </w:t>
      </w:r>
      <w:r>
        <w:rPr>
          <w:b/>
          <w:color w:val="0070C0"/>
          <w:sz w:val="24"/>
        </w:rPr>
        <w:t xml:space="preserve">drive gene expression changes or facilitate such changes initiated by other mechanisms </w:t>
      </w:r>
      <w:r>
        <w:rPr>
          <w:color w:val="0070C0"/>
          <w:sz w:val="24"/>
        </w:rPr>
        <w:t xml:space="preserve">(i.e. transcription). However, not all events are expected to work in this manner. For instance, AS-NMD often </w:t>
      </w:r>
      <w:r>
        <w:rPr>
          <w:b/>
          <w:color w:val="0070C0"/>
          <w:sz w:val="24"/>
        </w:rPr>
        <w:t xml:space="preserve">stabilizes expression </w:t>
      </w:r>
      <w:r>
        <w:rPr>
          <w:color w:val="0070C0"/>
          <w:sz w:val="24"/>
        </w:rPr>
        <w:t>of genes encoding RNA-binding proteins (RBPs) via negative feedback. This may be the reason why we detect previously described AS-NMD events in RBP genes</w:t>
      </w:r>
      <w:r>
        <w:rPr>
          <w:color w:val="0070C0"/>
          <w:spacing w:val="57"/>
          <w:w w:val="150"/>
          <w:sz w:val="24"/>
        </w:rPr>
        <w:t xml:space="preserve"> </w:t>
      </w:r>
      <w:r>
        <w:rPr>
          <w:color w:val="0070C0"/>
          <w:sz w:val="24"/>
        </w:rPr>
        <w:t>such</w:t>
      </w:r>
      <w:r>
        <w:rPr>
          <w:color w:val="0070C0"/>
          <w:spacing w:val="56"/>
          <w:w w:val="150"/>
          <w:sz w:val="24"/>
        </w:rPr>
        <w:t xml:space="preserve"> </w:t>
      </w:r>
      <w:r>
        <w:rPr>
          <w:color w:val="0070C0"/>
          <w:sz w:val="24"/>
        </w:rPr>
        <w:t>as</w:t>
      </w:r>
      <w:r>
        <w:rPr>
          <w:color w:val="0070C0"/>
          <w:spacing w:val="56"/>
          <w:w w:val="150"/>
          <w:sz w:val="24"/>
        </w:rPr>
        <w:t xml:space="preserve"> </w:t>
      </w:r>
      <w:r>
        <w:rPr>
          <w:i/>
          <w:color w:val="0070C0"/>
          <w:sz w:val="24"/>
        </w:rPr>
        <w:t>Srsf11/p54</w:t>
      </w:r>
      <w:r>
        <w:rPr>
          <w:color w:val="0070C0"/>
          <w:sz w:val="24"/>
        </w:rPr>
        <w:t>,</w:t>
      </w:r>
      <w:r>
        <w:rPr>
          <w:color w:val="0070C0"/>
          <w:spacing w:val="57"/>
          <w:w w:val="150"/>
          <w:sz w:val="24"/>
        </w:rPr>
        <w:t xml:space="preserve"> </w:t>
      </w:r>
      <w:r>
        <w:rPr>
          <w:i/>
          <w:color w:val="0070C0"/>
          <w:sz w:val="24"/>
        </w:rPr>
        <w:t>Tra2a</w:t>
      </w:r>
      <w:r>
        <w:rPr>
          <w:i/>
          <w:color w:val="0070C0"/>
          <w:spacing w:val="57"/>
          <w:w w:val="150"/>
          <w:sz w:val="24"/>
        </w:rPr>
        <w:t xml:space="preserve"> </w:t>
      </w:r>
      <w:r>
        <w:rPr>
          <w:color w:val="0070C0"/>
          <w:sz w:val="24"/>
        </w:rPr>
        <w:t>or</w:t>
      </w:r>
      <w:r>
        <w:rPr>
          <w:color w:val="0070C0"/>
          <w:spacing w:val="57"/>
          <w:w w:val="150"/>
          <w:sz w:val="24"/>
        </w:rPr>
        <w:t xml:space="preserve"> </w:t>
      </w:r>
      <w:r>
        <w:rPr>
          <w:i/>
          <w:color w:val="0070C0"/>
          <w:sz w:val="24"/>
        </w:rPr>
        <w:t>Tra2b</w:t>
      </w:r>
      <w:r>
        <w:rPr>
          <w:i/>
          <w:color w:val="0070C0"/>
          <w:spacing w:val="56"/>
          <w:w w:val="150"/>
          <w:sz w:val="24"/>
        </w:rPr>
        <w:t xml:space="preserve"> </w:t>
      </w:r>
      <w:r>
        <w:rPr>
          <w:color w:val="0070C0"/>
          <w:sz w:val="24"/>
        </w:rPr>
        <w:t>[PMIDs</w:t>
      </w:r>
      <w:r>
        <w:rPr>
          <w:color w:val="0070C0"/>
          <w:spacing w:val="57"/>
          <w:w w:val="150"/>
          <w:sz w:val="24"/>
        </w:rPr>
        <w:t xml:space="preserve"> </w:t>
      </w:r>
      <w:r>
        <w:rPr>
          <w:color w:val="0070C0"/>
          <w:sz w:val="24"/>
        </w:rPr>
        <w:t>14709600,</w:t>
      </w:r>
      <w:r>
        <w:rPr>
          <w:color w:val="0070C0"/>
          <w:spacing w:val="56"/>
          <w:w w:val="150"/>
          <w:sz w:val="24"/>
        </w:rPr>
        <w:t xml:space="preserve"> </w:t>
      </w:r>
      <w:r>
        <w:rPr>
          <w:color w:val="0070C0"/>
          <w:sz w:val="24"/>
        </w:rPr>
        <w:t>17361132,</w:t>
      </w:r>
      <w:r>
        <w:rPr>
          <w:color w:val="0070C0"/>
          <w:spacing w:val="57"/>
          <w:w w:val="150"/>
          <w:sz w:val="24"/>
        </w:rPr>
        <w:t xml:space="preserve"> </w:t>
      </w:r>
      <w:r>
        <w:rPr>
          <w:color w:val="0070C0"/>
          <w:spacing w:val="-5"/>
          <w:sz w:val="24"/>
        </w:rPr>
        <w:t>and</w:t>
      </w:r>
      <w:r w:rsidR="0031542E">
        <w:rPr>
          <w:color w:val="0070C0"/>
          <w:spacing w:val="-5"/>
          <w:sz w:val="24"/>
        </w:rPr>
        <w:t xml:space="preserve"> </w:t>
      </w:r>
      <w:r>
        <w:rPr>
          <w:color w:val="0070C0"/>
        </w:rPr>
        <w:t>17369403]</w:t>
      </w:r>
      <w:r>
        <w:rPr>
          <w:color w:val="0070C0"/>
          <w:spacing w:val="61"/>
        </w:rPr>
        <w:t xml:space="preserve"> </w:t>
      </w:r>
      <w:r>
        <w:rPr>
          <w:color w:val="0070C0"/>
        </w:rPr>
        <w:t>as</w:t>
      </w:r>
      <w:r>
        <w:rPr>
          <w:color w:val="0070C0"/>
          <w:spacing w:val="63"/>
        </w:rPr>
        <w:t xml:space="preserve"> </w:t>
      </w:r>
      <w:r>
        <w:rPr>
          <w:color w:val="0070C0"/>
        </w:rPr>
        <w:t>CHX-responsive</w:t>
      </w:r>
      <w:r>
        <w:rPr>
          <w:color w:val="0070C0"/>
          <w:spacing w:val="64"/>
        </w:rPr>
        <w:t xml:space="preserve"> </w:t>
      </w:r>
      <w:r>
        <w:rPr>
          <w:color w:val="0070C0"/>
        </w:rPr>
        <w:t>(revised</w:t>
      </w:r>
      <w:r>
        <w:rPr>
          <w:color w:val="0070C0"/>
          <w:spacing w:val="63"/>
        </w:rPr>
        <w:t xml:space="preserve"> </w:t>
      </w:r>
      <w:r>
        <w:rPr>
          <w:b/>
          <w:color w:val="0070C0"/>
        </w:rPr>
        <w:t>Table</w:t>
      </w:r>
      <w:r>
        <w:rPr>
          <w:b/>
          <w:color w:val="0070C0"/>
          <w:spacing w:val="63"/>
        </w:rPr>
        <w:t xml:space="preserve"> </w:t>
      </w:r>
      <w:r>
        <w:rPr>
          <w:b/>
          <w:color w:val="0070C0"/>
        </w:rPr>
        <w:t>S2</w:t>
      </w:r>
      <w:r>
        <w:rPr>
          <w:color w:val="0070C0"/>
        </w:rPr>
        <w:t>)</w:t>
      </w:r>
      <w:r>
        <w:rPr>
          <w:color w:val="0070C0"/>
          <w:spacing w:val="64"/>
        </w:rPr>
        <w:t xml:space="preserve"> </w:t>
      </w:r>
      <w:r>
        <w:rPr>
          <w:color w:val="0070C0"/>
        </w:rPr>
        <w:t>but</w:t>
      </w:r>
      <w:r>
        <w:rPr>
          <w:color w:val="0070C0"/>
          <w:spacing w:val="63"/>
        </w:rPr>
        <w:t xml:space="preserve"> </w:t>
      </w:r>
      <w:r>
        <w:rPr>
          <w:color w:val="0070C0"/>
        </w:rPr>
        <w:t>not</w:t>
      </w:r>
      <w:r>
        <w:rPr>
          <w:color w:val="0070C0"/>
          <w:spacing w:val="63"/>
        </w:rPr>
        <w:t xml:space="preserve"> </w:t>
      </w:r>
      <w:r>
        <w:rPr>
          <w:color w:val="0070C0"/>
        </w:rPr>
        <w:t>"facilitating"</w:t>
      </w:r>
      <w:r>
        <w:rPr>
          <w:color w:val="0070C0"/>
          <w:spacing w:val="64"/>
        </w:rPr>
        <w:t xml:space="preserve"> </w:t>
      </w:r>
      <w:r>
        <w:rPr>
          <w:color w:val="0070C0"/>
          <w:spacing w:val="-2"/>
        </w:rPr>
        <w:t>(revised</w:t>
      </w:r>
      <w:r w:rsidR="0031542E">
        <w:rPr>
          <w:color w:val="0070C0"/>
          <w:spacing w:val="-2"/>
        </w:rPr>
        <w:t xml:space="preserve"> </w:t>
      </w:r>
      <w:r>
        <w:rPr>
          <w:color w:val="0070C0"/>
        </w:rPr>
        <w:t>Table</w:t>
      </w:r>
      <w:r>
        <w:rPr>
          <w:color w:val="0070C0"/>
          <w:spacing w:val="-3"/>
        </w:rPr>
        <w:t xml:space="preserve"> </w:t>
      </w:r>
      <w:r>
        <w:rPr>
          <w:color w:val="0070C0"/>
          <w:spacing w:val="-4"/>
        </w:rPr>
        <w:t>S4).</w:t>
      </w:r>
    </w:p>
    <w:p w14:paraId="7ABF66AC" w14:textId="77777777" w:rsidR="00564ED3" w:rsidRDefault="00564ED3" w:rsidP="00564ED3">
      <w:pPr>
        <w:pStyle w:val="BodyText"/>
        <w:ind w:left="0"/>
        <w:jc w:val="left"/>
      </w:pPr>
    </w:p>
    <w:p w14:paraId="1BD2C840" w14:textId="77777777" w:rsidR="00564ED3" w:rsidRDefault="00564ED3" w:rsidP="00564ED3">
      <w:pPr>
        <w:pStyle w:val="BodyText"/>
        <w:ind w:right="117"/>
      </w:pPr>
      <w:r>
        <w:rPr>
          <w:color w:val="0070C0"/>
        </w:rPr>
        <w:t xml:space="preserve">We used reasonably stringent |ΔPSI|&gt;0.1 and probability&gt;0.9 Whippet cutoffs throughout our study. In our experience, this allows sufficiently sensitive detection of true positive AS events. Increasing the cutoff stringency to |ΔPSI|&gt;0.25 and probability&gt;0.95 improved the overlap between AS and gene regulation (new </w:t>
      </w:r>
      <w:r>
        <w:rPr>
          <w:b/>
          <w:color w:val="0070C0"/>
        </w:rPr>
        <w:t>Fig. S5</w:t>
      </w:r>
      <w:r>
        <w:rPr>
          <w:color w:val="0070C0"/>
        </w:rPr>
        <w:t>).</w:t>
      </w:r>
      <w:r>
        <w:rPr>
          <w:color w:val="0070C0"/>
          <w:spacing w:val="29"/>
        </w:rPr>
        <w:t xml:space="preserve"> </w:t>
      </w:r>
      <w:r>
        <w:rPr>
          <w:color w:val="0070C0"/>
        </w:rPr>
        <w:t>However,</w:t>
      </w:r>
      <w:r>
        <w:rPr>
          <w:color w:val="0070C0"/>
          <w:spacing w:val="32"/>
        </w:rPr>
        <w:t xml:space="preserve"> </w:t>
      </w:r>
      <w:r>
        <w:rPr>
          <w:color w:val="0070C0"/>
        </w:rPr>
        <w:t>this</w:t>
      </w:r>
      <w:r>
        <w:rPr>
          <w:color w:val="0070C0"/>
          <w:spacing w:val="32"/>
        </w:rPr>
        <w:t xml:space="preserve"> </w:t>
      </w:r>
      <w:r>
        <w:rPr>
          <w:color w:val="0070C0"/>
        </w:rPr>
        <w:t>also</w:t>
      </w:r>
      <w:r>
        <w:rPr>
          <w:color w:val="0070C0"/>
          <w:spacing w:val="32"/>
        </w:rPr>
        <w:t xml:space="preserve"> </w:t>
      </w:r>
      <w:r>
        <w:rPr>
          <w:color w:val="0070C0"/>
        </w:rPr>
        <w:t>resulted</w:t>
      </w:r>
      <w:r>
        <w:rPr>
          <w:color w:val="0070C0"/>
          <w:spacing w:val="32"/>
        </w:rPr>
        <w:t xml:space="preserve"> </w:t>
      </w:r>
      <w:r>
        <w:rPr>
          <w:color w:val="0070C0"/>
        </w:rPr>
        <w:t>in</w:t>
      </w:r>
      <w:r>
        <w:rPr>
          <w:color w:val="0070C0"/>
          <w:spacing w:val="32"/>
        </w:rPr>
        <w:t xml:space="preserve"> </w:t>
      </w:r>
      <w:r>
        <w:rPr>
          <w:color w:val="0070C0"/>
        </w:rPr>
        <w:t>the</w:t>
      </w:r>
      <w:r>
        <w:rPr>
          <w:color w:val="0070C0"/>
          <w:spacing w:val="32"/>
        </w:rPr>
        <w:t xml:space="preserve"> </w:t>
      </w:r>
      <w:r>
        <w:rPr>
          <w:color w:val="0070C0"/>
        </w:rPr>
        <w:t>loss</w:t>
      </w:r>
      <w:r>
        <w:rPr>
          <w:color w:val="0070C0"/>
          <w:spacing w:val="32"/>
        </w:rPr>
        <w:t xml:space="preserve"> </w:t>
      </w:r>
      <w:r>
        <w:rPr>
          <w:color w:val="0070C0"/>
        </w:rPr>
        <w:t>of</w:t>
      </w:r>
      <w:r>
        <w:rPr>
          <w:color w:val="0070C0"/>
          <w:spacing w:val="32"/>
        </w:rPr>
        <w:t xml:space="preserve"> </w:t>
      </w:r>
      <w:r>
        <w:rPr>
          <w:color w:val="0070C0"/>
        </w:rPr>
        <w:t>some</w:t>
      </w:r>
      <w:r>
        <w:rPr>
          <w:color w:val="0070C0"/>
          <w:spacing w:val="32"/>
        </w:rPr>
        <w:t xml:space="preserve"> </w:t>
      </w:r>
      <w:r>
        <w:rPr>
          <w:color w:val="0070C0"/>
        </w:rPr>
        <w:t>true-positive</w:t>
      </w:r>
      <w:r>
        <w:rPr>
          <w:color w:val="0070C0"/>
          <w:spacing w:val="32"/>
        </w:rPr>
        <w:t xml:space="preserve"> </w:t>
      </w:r>
      <w:r>
        <w:rPr>
          <w:color w:val="0070C0"/>
        </w:rPr>
        <w:t>events,</w:t>
      </w:r>
      <w:r>
        <w:rPr>
          <w:color w:val="0070C0"/>
          <w:spacing w:val="32"/>
        </w:rPr>
        <w:t xml:space="preserve"> </w:t>
      </w:r>
      <w:r>
        <w:rPr>
          <w:color w:val="0070C0"/>
          <w:spacing w:val="-2"/>
        </w:rPr>
        <w:t>including</w:t>
      </w:r>
    </w:p>
    <w:p w14:paraId="00590B28" w14:textId="77777777" w:rsidR="00564ED3" w:rsidRDefault="00564ED3" w:rsidP="00564ED3">
      <w:pPr>
        <w:pStyle w:val="BodyText"/>
        <w:spacing w:before="3"/>
        <w:ind w:right="117"/>
      </w:pPr>
      <w:r>
        <w:rPr>
          <w:color w:val="0070C0"/>
        </w:rPr>
        <w:t xml:space="preserve">e.g. the NMD-stimulating cassette exon in the </w:t>
      </w:r>
      <w:r>
        <w:rPr>
          <w:i/>
          <w:color w:val="0070C0"/>
        </w:rPr>
        <w:t xml:space="preserve">Srsf9 </w:t>
      </w:r>
      <w:r>
        <w:rPr>
          <w:color w:val="0070C0"/>
        </w:rPr>
        <w:t xml:space="preserve">gene validated in </w:t>
      </w:r>
      <w:r>
        <w:rPr>
          <w:b/>
          <w:color w:val="0070C0"/>
        </w:rPr>
        <w:t xml:space="preserve">Fig. S9 </w:t>
      </w:r>
      <w:r>
        <w:rPr>
          <w:color w:val="0070C0"/>
        </w:rPr>
        <w:t xml:space="preserve">or the NMD-stimulating alternative donor in </w:t>
      </w:r>
      <w:r>
        <w:rPr>
          <w:i/>
          <w:color w:val="0070C0"/>
        </w:rPr>
        <w:t>Hps1</w:t>
      </w:r>
      <w:r>
        <w:rPr>
          <w:color w:val="0070C0"/>
        </w:rPr>
        <w:t xml:space="preserve">, which we characterized previously [PMID: </w:t>
      </w:r>
      <w:r>
        <w:rPr>
          <w:color w:val="0070C0"/>
        </w:rPr>
        <w:lastRenderedPageBreak/>
        <w:t>25375251].</w:t>
      </w:r>
    </w:p>
    <w:p w14:paraId="730DB114" w14:textId="77777777" w:rsidR="00564ED3" w:rsidRDefault="00564ED3" w:rsidP="00564ED3">
      <w:pPr>
        <w:pStyle w:val="BodyText"/>
        <w:ind w:left="0"/>
        <w:jc w:val="left"/>
      </w:pPr>
    </w:p>
    <w:p w14:paraId="6F4F4B45" w14:textId="77777777" w:rsidR="00564ED3" w:rsidRDefault="00564ED3" w:rsidP="00564ED3">
      <w:pPr>
        <w:pStyle w:val="BodyText"/>
        <w:ind w:right="117"/>
      </w:pPr>
      <w:r>
        <w:rPr>
          <w:color w:val="0070C0"/>
        </w:rPr>
        <w:t>Thus, our current settings appear to strike a reasonable balance between stringency and sensitivity. Nonetheless, we added the more stringently defined AS-NMD targets as</w:t>
      </w:r>
      <w:r>
        <w:rPr>
          <w:color w:val="0070C0"/>
          <w:spacing w:val="-2"/>
        </w:rPr>
        <w:t xml:space="preserve"> </w:t>
      </w:r>
      <w:r>
        <w:rPr>
          <w:color w:val="0070C0"/>
        </w:rPr>
        <w:t>the</w:t>
      </w:r>
      <w:r>
        <w:rPr>
          <w:color w:val="0070C0"/>
          <w:spacing w:val="-2"/>
        </w:rPr>
        <w:t xml:space="preserve"> </w:t>
      </w:r>
      <w:r>
        <w:rPr>
          <w:color w:val="0070C0"/>
        </w:rPr>
        <w:t>second</w:t>
      </w:r>
      <w:r>
        <w:rPr>
          <w:color w:val="0070C0"/>
          <w:spacing w:val="-2"/>
        </w:rPr>
        <w:t xml:space="preserve"> </w:t>
      </w:r>
      <w:r>
        <w:rPr>
          <w:color w:val="0070C0"/>
        </w:rPr>
        <w:t>tab</w:t>
      </w:r>
      <w:r>
        <w:rPr>
          <w:color w:val="0070C0"/>
          <w:spacing w:val="-2"/>
        </w:rPr>
        <w:t xml:space="preserve"> </w:t>
      </w:r>
      <w:r>
        <w:rPr>
          <w:color w:val="0070C0"/>
        </w:rPr>
        <w:t>in</w:t>
      </w:r>
      <w:r>
        <w:rPr>
          <w:color w:val="0070C0"/>
          <w:spacing w:val="-2"/>
        </w:rPr>
        <w:t xml:space="preserve"> </w:t>
      </w:r>
      <w:r>
        <w:rPr>
          <w:color w:val="0070C0"/>
        </w:rPr>
        <w:t>the</w:t>
      </w:r>
      <w:r>
        <w:rPr>
          <w:color w:val="0070C0"/>
          <w:spacing w:val="-2"/>
        </w:rPr>
        <w:t xml:space="preserve"> </w:t>
      </w:r>
      <w:r>
        <w:rPr>
          <w:color w:val="0070C0"/>
        </w:rPr>
        <w:t>revised</w:t>
      </w:r>
      <w:r>
        <w:rPr>
          <w:color w:val="0070C0"/>
          <w:spacing w:val="-2"/>
        </w:rPr>
        <w:t xml:space="preserve"> </w:t>
      </w:r>
      <w:r>
        <w:rPr>
          <w:b/>
          <w:color w:val="0070C0"/>
        </w:rPr>
        <w:t>Table</w:t>
      </w:r>
      <w:r>
        <w:rPr>
          <w:b/>
          <w:color w:val="0070C0"/>
          <w:spacing w:val="-2"/>
        </w:rPr>
        <w:t xml:space="preserve"> </w:t>
      </w:r>
      <w:r>
        <w:rPr>
          <w:b/>
          <w:color w:val="0070C0"/>
        </w:rPr>
        <w:t>S4</w:t>
      </w:r>
      <w:r>
        <w:rPr>
          <w:color w:val="0070C0"/>
        </w:rPr>
        <w:t>,</w:t>
      </w:r>
      <w:r>
        <w:rPr>
          <w:color w:val="0070C0"/>
          <w:spacing w:val="-2"/>
        </w:rPr>
        <w:t xml:space="preserve"> </w:t>
      </w:r>
      <w:r>
        <w:rPr>
          <w:color w:val="0070C0"/>
        </w:rPr>
        <w:t>keeping</w:t>
      </w:r>
      <w:r>
        <w:rPr>
          <w:color w:val="0070C0"/>
          <w:spacing w:val="-2"/>
        </w:rPr>
        <w:t xml:space="preserve"> </w:t>
      </w:r>
      <w:r>
        <w:rPr>
          <w:color w:val="0070C0"/>
        </w:rPr>
        <w:t>in</w:t>
      </w:r>
      <w:r>
        <w:rPr>
          <w:color w:val="0070C0"/>
          <w:spacing w:val="-2"/>
        </w:rPr>
        <w:t xml:space="preserve"> </w:t>
      </w:r>
      <w:r>
        <w:rPr>
          <w:color w:val="0070C0"/>
        </w:rPr>
        <w:t>mind</w:t>
      </w:r>
      <w:r>
        <w:rPr>
          <w:color w:val="0070C0"/>
          <w:spacing w:val="-2"/>
        </w:rPr>
        <w:t xml:space="preserve"> </w:t>
      </w:r>
      <w:r>
        <w:rPr>
          <w:color w:val="0070C0"/>
        </w:rPr>
        <w:t>that</w:t>
      </w:r>
      <w:r>
        <w:rPr>
          <w:color w:val="0070C0"/>
          <w:spacing w:val="-2"/>
        </w:rPr>
        <w:t xml:space="preserve"> </w:t>
      </w:r>
      <w:r>
        <w:rPr>
          <w:color w:val="0070C0"/>
        </w:rPr>
        <w:t>our</w:t>
      </w:r>
      <w:r>
        <w:rPr>
          <w:color w:val="0070C0"/>
          <w:spacing w:val="-2"/>
        </w:rPr>
        <w:t xml:space="preserve"> </w:t>
      </w:r>
      <w:r>
        <w:rPr>
          <w:color w:val="0070C0"/>
        </w:rPr>
        <w:t>data</w:t>
      </w:r>
      <w:r>
        <w:rPr>
          <w:color w:val="0070C0"/>
          <w:spacing w:val="-2"/>
        </w:rPr>
        <w:t xml:space="preserve"> </w:t>
      </w:r>
      <w:r>
        <w:rPr>
          <w:color w:val="0070C0"/>
        </w:rPr>
        <w:t>might</w:t>
      </w:r>
      <w:r>
        <w:rPr>
          <w:color w:val="0070C0"/>
          <w:spacing w:val="-2"/>
        </w:rPr>
        <w:t xml:space="preserve"> </w:t>
      </w:r>
      <w:r>
        <w:rPr>
          <w:color w:val="0070C0"/>
        </w:rPr>
        <w:t>be</w:t>
      </w:r>
      <w:r>
        <w:rPr>
          <w:color w:val="0070C0"/>
          <w:spacing w:val="-2"/>
        </w:rPr>
        <w:t xml:space="preserve"> </w:t>
      </w:r>
      <w:r>
        <w:rPr>
          <w:color w:val="0070C0"/>
        </w:rPr>
        <w:t>used as a resource for others.</w:t>
      </w:r>
    </w:p>
    <w:p w14:paraId="500779CC" w14:textId="77777777" w:rsidR="00564ED3" w:rsidRDefault="00564ED3" w:rsidP="00564ED3">
      <w:pPr>
        <w:pStyle w:val="ListParagraph"/>
        <w:widowControl w:val="0"/>
        <w:numPr>
          <w:ilvl w:val="0"/>
          <w:numId w:val="2"/>
        </w:numPr>
        <w:tabs>
          <w:tab w:val="left" w:pos="403"/>
        </w:tabs>
        <w:autoSpaceDE w:val="0"/>
        <w:autoSpaceDN w:val="0"/>
        <w:spacing w:before="274" w:after="0" w:line="240" w:lineRule="auto"/>
        <w:ind w:right="117" w:firstLine="0"/>
        <w:contextualSpacing w:val="0"/>
        <w:jc w:val="both"/>
        <w:rPr>
          <w:sz w:val="24"/>
        </w:rPr>
      </w:pPr>
      <w:r>
        <w:rPr>
          <w:sz w:val="24"/>
        </w:rPr>
        <w:t xml:space="preserve">There seems to be some focus in the manuscript on their tool „factR2", which seems to be presented as a novel contribution of their study (at least the version 2 of the tool). If so, there should be a comparison to existing tools which can </w:t>
      </w:r>
      <w:proofErr w:type="spellStart"/>
      <w:r>
        <w:rPr>
          <w:sz w:val="24"/>
        </w:rPr>
        <w:t>peform</w:t>
      </w:r>
      <w:proofErr w:type="spellEnd"/>
      <w:r>
        <w:rPr>
          <w:sz w:val="24"/>
        </w:rPr>
        <w:t xml:space="preserve"> related functions, at the very minimum in a table overview of the functions of factR2 and</w:t>
      </w:r>
      <w:r>
        <w:rPr>
          <w:spacing w:val="-2"/>
          <w:sz w:val="24"/>
        </w:rPr>
        <w:t xml:space="preserve"> </w:t>
      </w:r>
      <w:r>
        <w:rPr>
          <w:sz w:val="24"/>
        </w:rPr>
        <w:t>other</w:t>
      </w:r>
      <w:r>
        <w:rPr>
          <w:spacing w:val="-2"/>
          <w:sz w:val="24"/>
        </w:rPr>
        <w:t xml:space="preserve"> </w:t>
      </w:r>
      <w:r>
        <w:rPr>
          <w:sz w:val="24"/>
        </w:rPr>
        <w:t>tool(s).</w:t>
      </w:r>
      <w:r>
        <w:rPr>
          <w:spacing w:val="-2"/>
          <w:sz w:val="24"/>
        </w:rPr>
        <w:t xml:space="preserve"> </w:t>
      </w:r>
      <w:r>
        <w:rPr>
          <w:sz w:val="24"/>
        </w:rPr>
        <w:t>It</w:t>
      </w:r>
      <w:r>
        <w:rPr>
          <w:spacing w:val="-2"/>
          <w:sz w:val="24"/>
        </w:rPr>
        <w:t xml:space="preserve"> </w:t>
      </w:r>
      <w:r>
        <w:rPr>
          <w:sz w:val="24"/>
        </w:rPr>
        <w:t>would</w:t>
      </w:r>
      <w:r>
        <w:rPr>
          <w:spacing w:val="-2"/>
          <w:sz w:val="24"/>
        </w:rPr>
        <w:t xml:space="preserve"> </w:t>
      </w:r>
      <w:r>
        <w:rPr>
          <w:sz w:val="24"/>
        </w:rPr>
        <w:t>be</w:t>
      </w:r>
      <w:r>
        <w:rPr>
          <w:spacing w:val="-2"/>
          <w:sz w:val="24"/>
        </w:rPr>
        <w:t xml:space="preserve"> </w:t>
      </w:r>
      <w:r>
        <w:rPr>
          <w:sz w:val="24"/>
        </w:rPr>
        <w:t>helpful</w:t>
      </w:r>
      <w:r>
        <w:rPr>
          <w:spacing w:val="-2"/>
          <w:sz w:val="24"/>
        </w:rPr>
        <w:t xml:space="preserve"> </w:t>
      </w:r>
      <w:r>
        <w:rPr>
          <w:sz w:val="24"/>
        </w:rPr>
        <w:t>to</w:t>
      </w:r>
      <w:r>
        <w:rPr>
          <w:spacing w:val="-2"/>
          <w:sz w:val="24"/>
        </w:rPr>
        <w:t xml:space="preserve"> </w:t>
      </w:r>
      <w:r>
        <w:rPr>
          <w:sz w:val="24"/>
        </w:rPr>
        <w:t>have</w:t>
      </w:r>
      <w:r>
        <w:rPr>
          <w:spacing w:val="-2"/>
          <w:sz w:val="24"/>
        </w:rPr>
        <w:t xml:space="preserve"> </w:t>
      </w:r>
      <w:r>
        <w:rPr>
          <w:sz w:val="24"/>
        </w:rPr>
        <w:t>this</w:t>
      </w:r>
      <w:r>
        <w:rPr>
          <w:spacing w:val="-2"/>
          <w:sz w:val="24"/>
        </w:rPr>
        <w:t xml:space="preserve"> </w:t>
      </w:r>
      <w:r>
        <w:rPr>
          <w:sz w:val="24"/>
        </w:rPr>
        <w:t>assessed</w:t>
      </w:r>
      <w:r>
        <w:rPr>
          <w:spacing w:val="-2"/>
          <w:sz w:val="24"/>
        </w:rPr>
        <w:t xml:space="preserve"> </w:t>
      </w:r>
      <w:r>
        <w:rPr>
          <w:sz w:val="24"/>
        </w:rPr>
        <w:t>in</w:t>
      </w:r>
      <w:r>
        <w:rPr>
          <w:spacing w:val="-2"/>
          <w:sz w:val="24"/>
        </w:rPr>
        <w:t xml:space="preserve"> </w:t>
      </w:r>
      <w:r>
        <w:rPr>
          <w:sz w:val="24"/>
        </w:rPr>
        <w:t>terms</w:t>
      </w:r>
      <w:r>
        <w:rPr>
          <w:spacing w:val="-2"/>
          <w:sz w:val="24"/>
        </w:rPr>
        <w:t xml:space="preserve"> </w:t>
      </w:r>
      <w:r>
        <w:rPr>
          <w:sz w:val="24"/>
        </w:rPr>
        <w:t>of</w:t>
      </w:r>
      <w:r>
        <w:rPr>
          <w:spacing w:val="-2"/>
          <w:sz w:val="24"/>
        </w:rPr>
        <w:t xml:space="preserve"> </w:t>
      </w:r>
      <w:r>
        <w:rPr>
          <w:sz w:val="24"/>
        </w:rPr>
        <w:t>analysis</w:t>
      </w:r>
      <w:r>
        <w:rPr>
          <w:spacing w:val="-2"/>
          <w:sz w:val="24"/>
        </w:rPr>
        <w:t xml:space="preserve"> </w:t>
      </w:r>
      <w:r>
        <w:rPr>
          <w:sz w:val="24"/>
        </w:rPr>
        <w:t>outputs on their longitudinal dataset; since they describe in the Discussion that a contribution of their paper is the workflow for identifying AS-NMD (helpful, important) there should be a more detailed comparative analysis of this part of the study.</w:t>
      </w:r>
    </w:p>
    <w:p w14:paraId="49D857F5" w14:textId="77777777" w:rsidR="00564ED3" w:rsidRDefault="00564ED3" w:rsidP="00564ED3">
      <w:pPr>
        <w:pStyle w:val="BodyText"/>
        <w:spacing w:before="4"/>
        <w:ind w:left="0"/>
        <w:jc w:val="left"/>
      </w:pPr>
    </w:p>
    <w:p w14:paraId="0BB32B79" w14:textId="77777777" w:rsidR="00564ED3" w:rsidRDefault="00564ED3" w:rsidP="00564ED3">
      <w:pPr>
        <w:pStyle w:val="BodyText"/>
        <w:spacing w:before="1" w:line="237" w:lineRule="auto"/>
        <w:ind w:right="117"/>
      </w:pPr>
      <w:r>
        <w:rPr>
          <w:color w:val="0070C0"/>
        </w:rPr>
        <w:t xml:space="preserve">As suggested, we added a table (new </w:t>
      </w:r>
      <w:r>
        <w:rPr>
          <w:b/>
          <w:color w:val="0070C0"/>
        </w:rPr>
        <w:t>Table S1</w:t>
      </w:r>
      <w:r>
        <w:rPr>
          <w:color w:val="0070C0"/>
        </w:rPr>
        <w:t>) showing that factR2 provides a wider range of relevant functions compared to other tools for AS-NMD analyses.</w:t>
      </w:r>
    </w:p>
    <w:p w14:paraId="73976FC9" w14:textId="77777777" w:rsidR="00564ED3" w:rsidRDefault="00564ED3" w:rsidP="00564ED3">
      <w:pPr>
        <w:pStyle w:val="BodyText"/>
        <w:ind w:left="0"/>
        <w:jc w:val="left"/>
      </w:pPr>
    </w:p>
    <w:p w14:paraId="13A86004" w14:textId="77777777" w:rsidR="00564ED3" w:rsidRDefault="00564ED3" w:rsidP="00564ED3">
      <w:pPr>
        <w:pStyle w:val="ListParagraph"/>
        <w:widowControl w:val="0"/>
        <w:numPr>
          <w:ilvl w:val="0"/>
          <w:numId w:val="2"/>
        </w:numPr>
        <w:tabs>
          <w:tab w:val="left" w:pos="411"/>
        </w:tabs>
        <w:autoSpaceDE w:val="0"/>
        <w:autoSpaceDN w:val="0"/>
        <w:spacing w:before="1" w:after="0" w:line="240" w:lineRule="auto"/>
        <w:ind w:right="117" w:firstLine="0"/>
        <w:contextualSpacing w:val="0"/>
        <w:jc w:val="both"/>
        <w:rPr>
          <w:sz w:val="24"/>
        </w:rPr>
      </w:pPr>
      <w:r>
        <w:rPr>
          <w:sz w:val="24"/>
        </w:rPr>
        <w:t>The clustering of trajectories into 28 (!) types. Is the high number of clusters statistically supported (given the number of time points is not that large, and given uncertainty in the estimates)? Are most of them at all biologically meaningful?</w:t>
      </w:r>
      <w:r>
        <w:rPr>
          <w:spacing w:val="40"/>
          <w:sz w:val="24"/>
        </w:rPr>
        <w:t xml:space="preserve"> </w:t>
      </w:r>
      <w:r>
        <w:rPr>
          <w:sz w:val="24"/>
        </w:rPr>
        <w:t xml:space="preserve">Most of their analyses seem to use only the 2 extreme types of trajectories if I understand </w:t>
      </w:r>
      <w:r>
        <w:rPr>
          <w:spacing w:val="-2"/>
          <w:sz w:val="24"/>
        </w:rPr>
        <w:t>correctly.</w:t>
      </w:r>
    </w:p>
    <w:p w14:paraId="3D7845CE" w14:textId="77777777" w:rsidR="00564ED3" w:rsidRDefault="00564ED3" w:rsidP="00564ED3">
      <w:pPr>
        <w:pStyle w:val="BodyText"/>
        <w:ind w:left="0"/>
        <w:jc w:val="left"/>
      </w:pPr>
    </w:p>
    <w:p w14:paraId="4A1ACD32" w14:textId="77777777" w:rsidR="00564ED3" w:rsidRDefault="00564ED3" w:rsidP="00564ED3">
      <w:pPr>
        <w:pStyle w:val="BodyText"/>
        <w:tabs>
          <w:tab w:val="left" w:pos="1665"/>
          <w:tab w:val="left" w:pos="2637"/>
          <w:tab w:val="left" w:pos="4489"/>
          <w:tab w:val="left" w:pos="5635"/>
          <w:tab w:val="left" w:pos="7354"/>
        </w:tabs>
        <w:ind w:right="117"/>
      </w:pPr>
      <w:r>
        <w:rPr>
          <w:color w:val="0070C0"/>
        </w:rPr>
        <w:t xml:space="preserve">We consistently obtain 28 clusters using the </w:t>
      </w:r>
      <w:proofErr w:type="spellStart"/>
      <w:r>
        <w:rPr>
          <w:color w:val="0070C0"/>
        </w:rPr>
        <w:t>DP_GP_cluster</w:t>
      </w:r>
      <w:proofErr w:type="spellEnd"/>
      <w:r>
        <w:rPr>
          <w:color w:val="0070C0"/>
        </w:rPr>
        <w:t xml:space="preserve"> program, which is </w:t>
      </w:r>
      <w:r>
        <w:rPr>
          <w:color w:val="0070C0"/>
          <w:spacing w:val="-2"/>
        </w:rPr>
        <w:t>designed</w:t>
      </w:r>
      <w:r>
        <w:rPr>
          <w:color w:val="0070C0"/>
        </w:rPr>
        <w:tab/>
      </w:r>
      <w:r>
        <w:rPr>
          <w:color w:val="0070C0"/>
          <w:spacing w:val="-4"/>
        </w:rPr>
        <w:t>for</w:t>
      </w:r>
      <w:r>
        <w:rPr>
          <w:color w:val="0070C0"/>
        </w:rPr>
        <w:tab/>
      </w:r>
      <w:r>
        <w:rPr>
          <w:color w:val="0070C0"/>
          <w:spacing w:val="-2"/>
        </w:rPr>
        <w:t>longitudinal</w:t>
      </w:r>
      <w:r>
        <w:rPr>
          <w:color w:val="0070C0"/>
        </w:rPr>
        <w:tab/>
      </w:r>
      <w:r>
        <w:rPr>
          <w:color w:val="0070C0"/>
          <w:spacing w:val="-4"/>
        </w:rPr>
        <w:t>gene</w:t>
      </w:r>
      <w:r>
        <w:rPr>
          <w:color w:val="0070C0"/>
        </w:rPr>
        <w:tab/>
      </w:r>
      <w:r>
        <w:rPr>
          <w:color w:val="0070C0"/>
          <w:spacing w:val="-2"/>
        </w:rPr>
        <w:t>expression</w:t>
      </w:r>
      <w:r>
        <w:rPr>
          <w:color w:val="0070C0"/>
        </w:rPr>
        <w:tab/>
      </w:r>
      <w:r>
        <w:rPr>
          <w:color w:val="0070C0"/>
          <w:spacing w:val="-2"/>
        </w:rPr>
        <w:t xml:space="preserve">trajectories </w:t>
      </w:r>
      <w:r>
        <w:rPr>
          <w:color w:val="0070C0"/>
        </w:rPr>
        <w:t xml:space="preserve">(https://github.com/PrincetonUniversity/DP_GP_cluster). Conceptually, each transition from a given differentiation stage to the next one may involve 3 possible gene regulation scenarios: no change, upregulation, or downregulation. Considering a time course with 5 time points connected by 4 transitions, the maximum number of possibilities is 3^4=81. Thus, we have no reason to believe that 28 clusters overfit the </w:t>
      </w:r>
      <w:r>
        <w:rPr>
          <w:color w:val="0070C0"/>
          <w:spacing w:val="-2"/>
        </w:rPr>
        <w:t>data.</w:t>
      </w:r>
    </w:p>
    <w:p w14:paraId="013EDD72" w14:textId="77777777" w:rsidR="00564ED3" w:rsidRDefault="00564ED3" w:rsidP="00564ED3">
      <w:pPr>
        <w:pStyle w:val="BodyText"/>
        <w:spacing w:before="2"/>
        <w:ind w:left="0"/>
        <w:jc w:val="left"/>
      </w:pPr>
    </w:p>
    <w:p w14:paraId="63C20F91" w14:textId="77777777" w:rsidR="00564ED3" w:rsidRDefault="00564ED3" w:rsidP="00564ED3">
      <w:pPr>
        <w:pStyle w:val="BodyText"/>
        <w:ind w:right="117"/>
      </w:pPr>
      <w:r>
        <w:rPr>
          <w:color w:val="0070C0"/>
        </w:rPr>
        <w:t xml:space="preserve">To explore the effect of cluster number systematically, we grouped expression trajectories using the k-means method. This argued that NS-CE events are significantly enriched in neurodevelopmentally downregulated genes </w:t>
      </w:r>
      <w:r>
        <w:rPr>
          <w:b/>
          <w:color w:val="0070C0"/>
        </w:rPr>
        <w:t xml:space="preserve">regardless of the k value </w:t>
      </w:r>
      <w:r>
        <w:rPr>
          <w:color w:val="0070C0"/>
        </w:rPr>
        <w:t xml:space="preserve">(new </w:t>
      </w:r>
      <w:r>
        <w:rPr>
          <w:b/>
          <w:color w:val="0070C0"/>
        </w:rPr>
        <w:t>Fig. S7</w:t>
      </w:r>
      <w:r>
        <w:rPr>
          <w:color w:val="0070C0"/>
        </w:rPr>
        <w:t>). Therefore, the number of clusters does not affect our original conclusion.</w:t>
      </w:r>
    </w:p>
    <w:p w14:paraId="6EC29043" w14:textId="77777777" w:rsidR="00564ED3" w:rsidRDefault="00564ED3" w:rsidP="00564ED3"/>
    <w:p w14:paraId="62FF25BE" w14:textId="77777777" w:rsidR="00564ED3" w:rsidRDefault="00564ED3" w:rsidP="00564ED3">
      <w:pPr>
        <w:pStyle w:val="ListParagraph"/>
        <w:widowControl w:val="0"/>
        <w:numPr>
          <w:ilvl w:val="0"/>
          <w:numId w:val="2"/>
        </w:numPr>
        <w:tabs>
          <w:tab w:val="left" w:pos="376"/>
        </w:tabs>
        <w:autoSpaceDE w:val="0"/>
        <w:autoSpaceDN w:val="0"/>
        <w:spacing w:before="79" w:after="0" w:line="237" w:lineRule="auto"/>
        <w:ind w:right="117" w:firstLine="0"/>
        <w:contextualSpacing w:val="0"/>
        <w:jc w:val="both"/>
        <w:rPr>
          <w:sz w:val="24"/>
        </w:rPr>
      </w:pPr>
      <w:r>
        <w:rPr>
          <w:sz w:val="24"/>
        </w:rPr>
        <w:t>I do not understand how in Fig 1C and 1D both the NR-CE and the NS-CE cause increased</w:t>
      </w:r>
      <w:r>
        <w:rPr>
          <w:spacing w:val="39"/>
          <w:sz w:val="24"/>
        </w:rPr>
        <w:t xml:space="preserve"> </w:t>
      </w:r>
      <w:r>
        <w:rPr>
          <w:sz w:val="24"/>
        </w:rPr>
        <w:t>NMD</w:t>
      </w:r>
      <w:r>
        <w:rPr>
          <w:spacing w:val="39"/>
          <w:sz w:val="24"/>
        </w:rPr>
        <w:t xml:space="preserve"> </w:t>
      </w:r>
      <w:r>
        <w:rPr>
          <w:sz w:val="24"/>
        </w:rPr>
        <w:t>(as</w:t>
      </w:r>
      <w:r>
        <w:rPr>
          <w:spacing w:val="40"/>
          <w:sz w:val="24"/>
        </w:rPr>
        <w:t xml:space="preserve"> </w:t>
      </w:r>
      <w:r>
        <w:rPr>
          <w:sz w:val="24"/>
        </w:rPr>
        <w:t>evident</w:t>
      </w:r>
      <w:r>
        <w:rPr>
          <w:spacing w:val="39"/>
          <w:sz w:val="24"/>
        </w:rPr>
        <w:t xml:space="preserve"> </w:t>
      </w:r>
      <w:r>
        <w:rPr>
          <w:sz w:val="24"/>
        </w:rPr>
        <w:t>in</w:t>
      </w:r>
      <w:r>
        <w:rPr>
          <w:spacing w:val="40"/>
          <w:sz w:val="24"/>
        </w:rPr>
        <w:t xml:space="preserve"> </w:t>
      </w:r>
      <w:r>
        <w:rPr>
          <w:sz w:val="24"/>
        </w:rPr>
        <w:t>increased</w:t>
      </w:r>
      <w:r>
        <w:rPr>
          <w:spacing w:val="39"/>
          <w:sz w:val="24"/>
        </w:rPr>
        <w:t xml:space="preserve"> </w:t>
      </w:r>
      <w:r>
        <w:rPr>
          <w:sz w:val="24"/>
        </w:rPr>
        <w:t>%</w:t>
      </w:r>
      <w:r>
        <w:rPr>
          <w:spacing w:val="40"/>
          <w:sz w:val="24"/>
        </w:rPr>
        <w:t xml:space="preserve"> </w:t>
      </w:r>
      <w:r>
        <w:rPr>
          <w:sz w:val="24"/>
        </w:rPr>
        <w:t>of</w:t>
      </w:r>
      <w:r>
        <w:rPr>
          <w:spacing w:val="39"/>
          <w:sz w:val="24"/>
        </w:rPr>
        <w:t xml:space="preserve"> </w:t>
      </w:r>
      <w:r>
        <w:rPr>
          <w:sz w:val="24"/>
        </w:rPr>
        <w:t>CHX-regulated</w:t>
      </w:r>
      <w:r>
        <w:rPr>
          <w:spacing w:val="40"/>
          <w:sz w:val="24"/>
        </w:rPr>
        <w:t xml:space="preserve"> </w:t>
      </w:r>
      <w:r>
        <w:rPr>
          <w:sz w:val="24"/>
        </w:rPr>
        <w:t>plasmids).</w:t>
      </w:r>
      <w:r>
        <w:rPr>
          <w:spacing w:val="68"/>
          <w:w w:val="150"/>
          <w:sz w:val="24"/>
        </w:rPr>
        <w:t xml:space="preserve"> </w:t>
      </w:r>
      <w:r>
        <w:rPr>
          <w:sz w:val="24"/>
        </w:rPr>
        <w:t>Do</w:t>
      </w:r>
      <w:r>
        <w:rPr>
          <w:spacing w:val="40"/>
          <w:sz w:val="24"/>
        </w:rPr>
        <w:t xml:space="preserve"> </w:t>
      </w:r>
      <w:r>
        <w:rPr>
          <w:spacing w:val="-4"/>
          <w:sz w:val="24"/>
        </w:rPr>
        <w:t>they</w:t>
      </w:r>
    </w:p>
    <w:p w14:paraId="7157CAFA" w14:textId="77777777" w:rsidR="00564ED3" w:rsidRDefault="00564ED3" w:rsidP="00564ED3">
      <w:pPr>
        <w:pStyle w:val="BodyText"/>
        <w:spacing w:before="3"/>
        <w:ind w:right="117"/>
      </w:pPr>
      <w:r>
        <w:t xml:space="preserve">„flip" the sign between NR-CE and NS-CE before the display, so that this shows preferential inclusion of NS-CE and </w:t>
      </w:r>
      <w:proofErr w:type="spellStart"/>
      <w:r>
        <w:t>preferetial</w:t>
      </w:r>
      <w:proofErr w:type="spellEnd"/>
      <w:r>
        <w:t xml:space="preserve"> exclusion of NR-CE (</w:t>
      </w:r>
      <w:r>
        <w:rPr>
          <w:b/>
        </w:rPr>
        <w:t>this is not clear from the figure legend?</w:t>
      </w:r>
      <w:r>
        <w:t>)</w:t>
      </w:r>
      <w:r>
        <w:rPr>
          <w:spacing w:val="40"/>
        </w:rPr>
        <w:t xml:space="preserve"> </w:t>
      </w:r>
      <w:r>
        <w:t>If this is not the case, then the result would be worrying since it would suggest that predicted NMD-repressing events (NR-CE) in fact</w:t>
      </w:r>
      <w:r>
        <w:rPr>
          <w:spacing w:val="40"/>
        </w:rPr>
        <w:t xml:space="preserve"> </w:t>
      </w:r>
      <w:r>
        <w:t xml:space="preserve">promote NMD (and thus that either the prediction is often wrong, or the CHX based </w:t>
      </w:r>
      <w:r>
        <w:rPr>
          <w:spacing w:val="-2"/>
        </w:rPr>
        <w:t>measurement).</w:t>
      </w:r>
    </w:p>
    <w:p w14:paraId="5012DAAC" w14:textId="77777777" w:rsidR="00564ED3" w:rsidRDefault="00564ED3" w:rsidP="00564ED3">
      <w:pPr>
        <w:pStyle w:val="BodyText"/>
        <w:spacing w:before="274"/>
        <w:ind w:right="117"/>
      </w:pPr>
      <w:r>
        <w:rPr>
          <w:b/>
          <w:color w:val="0070C0"/>
        </w:rPr>
        <w:t xml:space="preserve">Fig. 1C-D </w:t>
      </w:r>
      <w:r>
        <w:rPr>
          <w:color w:val="0070C0"/>
        </w:rPr>
        <w:t xml:space="preserve">illustrate the magnitude of CHX-induced gene upregulation for different groups of AS-NMD targets responding to CHX at the splicing level. As described on </w:t>
      </w:r>
      <w:r>
        <w:rPr>
          <w:b/>
          <w:color w:val="0070C0"/>
        </w:rPr>
        <w:t xml:space="preserve">page 8 </w:t>
      </w:r>
      <w:r>
        <w:rPr>
          <w:color w:val="0070C0"/>
        </w:rPr>
        <w:t xml:space="preserve">of the revised manuscript, we indeed "flipped the sign" for the splicing regulation in the following </w:t>
      </w:r>
      <w:r>
        <w:rPr>
          <w:color w:val="0070C0"/>
        </w:rPr>
        <w:lastRenderedPageBreak/>
        <w:t>way:</w:t>
      </w:r>
    </w:p>
    <w:p w14:paraId="7E5BCA14" w14:textId="77777777" w:rsidR="00564ED3" w:rsidRDefault="00564ED3" w:rsidP="00564ED3">
      <w:pPr>
        <w:pStyle w:val="BodyText"/>
        <w:spacing w:before="2"/>
        <w:ind w:left="0"/>
        <w:jc w:val="left"/>
      </w:pPr>
    </w:p>
    <w:p w14:paraId="22645A0D" w14:textId="77777777" w:rsidR="00564ED3" w:rsidRDefault="00564ED3" w:rsidP="00564ED3">
      <w:pPr>
        <w:pStyle w:val="BodyText"/>
        <w:ind w:right="117"/>
      </w:pPr>
      <w:r>
        <w:rPr>
          <w:color w:val="0070C0"/>
        </w:rPr>
        <w:t>"We used Whippet [51] for the splicing-level analysis and selected CEs, ADs, AAs and RIs consistently changing their percent spliced in (PSI) values in response to</w:t>
      </w:r>
      <w:r>
        <w:rPr>
          <w:color w:val="0070C0"/>
          <w:spacing w:val="40"/>
        </w:rPr>
        <w:t xml:space="preserve"> </w:t>
      </w:r>
      <w:r>
        <w:rPr>
          <w:color w:val="0070C0"/>
        </w:rPr>
        <w:t>CHX at least at one differentiation stage (NS events, ΔPSI&gt;0.1; NR events, ΔPSI&lt;- 0.1; probability&gt;0.9). We additionally selected NS events with a PSI average of &gt;0.9 for DMSO- and CHX-treated samples, and NR events with a PSI average of &lt;0.1. This was done because these groups have a limited capacity to change splicing in response to CHX but may still be regulated at the gene expression level."</w:t>
      </w:r>
    </w:p>
    <w:p w14:paraId="7EDF7711" w14:textId="77777777" w:rsidR="00564ED3" w:rsidRDefault="00564ED3" w:rsidP="00564ED3">
      <w:pPr>
        <w:pStyle w:val="BodyText"/>
        <w:ind w:left="0"/>
        <w:jc w:val="left"/>
      </w:pPr>
    </w:p>
    <w:p w14:paraId="5DE7B8EA" w14:textId="77777777" w:rsidR="00564ED3" w:rsidRDefault="00564ED3" w:rsidP="00564ED3">
      <w:pPr>
        <w:pStyle w:val="BodyText"/>
      </w:pPr>
      <w:r>
        <w:rPr>
          <w:color w:val="0070C0"/>
        </w:rPr>
        <w:t>We</w:t>
      </w:r>
      <w:r>
        <w:rPr>
          <w:color w:val="0070C0"/>
          <w:spacing w:val="-3"/>
        </w:rPr>
        <w:t xml:space="preserve"> </w:t>
      </w:r>
      <w:r>
        <w:rPr>
          <w:color w:val="0070C0"/>
        </w:rPr>
        <w:t>now</w:t>
      </w:r>
      <w:r>
        <w:rPr>
          <w:color w:val="0070C0"/>
          <w:spacing w:val="-1"/>
        </w:rPr>
        <w:t xml:space="preserve"> </w:t>
      </w:r>
      <w:r>
        <w:rPr>
          <w:color w:val="0070C0"/>
        </w:rPr>
        <w:t>refer</w:t>
      </w:r>
      <w:r>
        <w:rPr>
          <w:color w:val="0070C0"/>
          <w:spacing w:val="-1"/>
        </w:rPr>
        <w:t xml:space="preserve"> </w:t>
      </w:r>
      <w:r>
        <w:rPr>
          <w:color w:val="0070C0"/>
        </w:rPr>
        <w:t>to</w:t>
      </w:r>
      <w:r>
        <w:rPr>
          <w:color w:val="0070C0"/>
          <w:spacing w:val="-1"/>
        </w:rPr>
        <w:t xml:space="preserve"> </w:t>
      </w:r>
      <w:r>
        <w:rPr>
          <w:color w:val="0070C0"/>
        </w:rPr>
        <w:t>this</w:t>
      </w:r>
      <w:r>
        <w:rPr>
          <w:color w:val="0070C0"/>
          <w:spacing w:val="-1"/>
        </w:rPr>
        <w:t xml:space="preserve"> </w:t>
      </w:r>
      <w:r>
        <w:rPr>
          <w:color w:val="0070C0"/>
        </w:rPr>
        <w:t>in-text</w:t>
      </w:r>
      <w:r>
        <w:rPr>
          <w:color w:val="0070C0"/>
          <w:spacing w:val="-1"/>
        </w:rPr>
        <w:t xml:space="preserve"> </w:t>
      </w:r>
      <w:r>
        <w:rPr>
          <w:color w:val="0070C0"/>
        </w:rPr>
        <w:t>description</w:t>
      </w:r>
      <w:r>
        <w:rPr>
          <w:color w:val="0070C0"/>
          <w:spacing w:val="-1"/>
        </w:rPr>
        <w:t xml:space="preserve"> </w:t>
      </w:r>
      <w:r>
        <w:rPr>
          <w:color w:val="0070C0"/>
        </w:rPr>
        <w:t>in</w:t>
      </w:r>
      <w:r>
        <w:rPr>
          <w:color w:val="0070C0"/>
          <w:spacing w:val="-2"/>
        </w:rPr>
        <w:t xml:space="preserve"> </w:t>
      </w:r>
      <w:r>
        <w:rPr>
          <w:color w:val="0070C0"/>
        </w:rPr>
        <w:t>the</w:t>
      </w:r>
      <w:r>
        <w:rPr>
          <w:color w:val="0070C0"/>
          <w:spacing w:val="-2"/>
        </w:rPr>
        <w:t xml:space="preserve"> </w:t>
      </w:r>
      <w:r>
        <w:rPr>
          <w:b/>
          <w:color w:val="0070C0"/>
        </w:rPr>
        <w:t>Fig.</w:t>
      </w:r>
      <w:r>
        <w:rPr>
          <w:b/>
          <w:color w:val="0070C0"/>
          <w:spacing w:val="-1"/>
        </w:rPr>
        <w:t xml:space="preserve"> </w:t>
      </w:r>
      <w:r>
        <w:rPr>
          <w:b/>
          <w:color w:val="0070C0"/>
        </w:rPr>
        <w:t xml:space="preserve">1 </w:t>
      </w:r>
      <w:r>
        <w:rPr>
          <w:color w:val="0070C0"/>
          <w:spacing w:val="-2"/>
        </w:rPr>
        <w:t>legend.</w:t>
      </w:r>
    </w:p>
    <w:p w14:paraId="1DADDF06" w14:textId="77777777" w:rsidR="00564ED3" w:rsidRDefault="00564ED3" w:rsidP="00564ED3">
      <w:pPr>
        <w:pStyle w:val="BodyText"/>
        <w:ind w:left="0"/>
        <w:jc w:val="left"/>
      </w:pPr>
    </w:p>
    <w:p w14:paraId="32519FE1" w14:textId="77777777" w:rsidR="00564ED3" w:rsidRDefault="00564ED3" w:rsidP="00564ED3">
      <w:pPr>
        <w:pStyle w:val="ListParagraph"/>
        <w:widowControl w:val="0"/>
        <w:numPr>
          <w:ilvl w:val="0"/>
          <w:numId w:val="2"/>
        </w:numPr>
        <w:tabs>
          <w:tab w:val="left" w:pos="385"/>
        </w:tabs>
        <w:autoSpaceDE w:val="0"/>
        <w:autoSpaceDN w:val="0"/>
        <w:spacing w:after="0" w:line="240" w:lineRule="auto"/>
        <w:ind w:right="117" w:firstLine="0"/>
        <w:contextualSpacing w:val="0"/>
        <w:jc w:val="both"/>
        <w:rPr>
          <w:sz w:val="24"/>
        </w:rPr>
      </w:pPr>
      <w:r>
        <w:rPr>
          <w:sz w:val="24"/>
        </w:rPr>
        <w:t xml:space="preserve">A good part of the study is about the roles of PTBP1 in the AS-NMD, and their dataset offers nice possibilities to identify genes under PTBP1 control e.g. via </w:t>
      </w:r>
      <w:proofErr w:type="spellStart"/>
      <w:r>
        <w:rPr>
          <w:sz w:val="24"/>
        </w:rPr>
        <w:t>coexpression</w:t>
      </w:r>
      <w:proofErr w:type="spellEnd"/>
      <w:r>
        <w:rPr>
          <w:sz w:val="24"/>
        </w:rPr>
        <w:t xml:space="preserve"> analysis or via genetic perturbation. What was less clear from the text which part of these identified genes are actually novel, compared to either „Previous studies by our group and others identified several AS-NMD events controlled by PTBP1, an RNA-binding protein expressed at high levels in ESCs and NPCs and downregulated</w:t>
      </w:r>
      <w:r>
        <w:rPr>
          <w:spacing w:val="-3"/>
          <w:sz w:val="24"/>
        </w:rPr>
        <w:t xml:space="preserve"> </w:t>
      </w:r>
      <w:r>
        <w:rPr>
          <w:sz w:val="24"/>
        </w:rPr>
        <w:t>in</w:t>
      </w:r>
      <w:r>
        <w:rPr>
          <w:spacing w:val="-3"/>
          <w:sz w:val="24"/>
        </w:rPr>
        <w:t xml:space="preserve"> </w:t>
      </w:r>
      <w:r>
        <w:rPr>
          <w:sz w:val="24"/>
        </w:rPr>
        <w:t>neurons</w:t>
      </w:r>
      <w:r>
        <w:rPr>
          <w:spacing w:val="-3"/>
          <w:sz w:val="24"/>
        </w:rPr>
        <w:t xml:space="preserve"> </w:t>
      </w:r>
      <w:r>
        <w:rPr>
          <w:sz w:val="24"/>
        </w:rPr>
        <w:t>[28-31,</w:t>
      </w:r>
      <w:r>
        <w:rPr>
          <w:spacing w:val="-3"/>
          <w:sz w:val="24"/>
        </w:rPr>
        <w:t xml:space="preserve"> </w:t>
      </w:r>
      <w:r>
        <w:rPr>
          <w:sz w:val="24"/>
        </w:rPr>
        <w:t>34]",</w:t>
      </w:r>
      <w:r>
        <w:rPr>
          <w:spacing w:val="-3"/>
          <w:sz w:val="24"/>
        </w:rPr>
        <w:t xml:space="preserve"> </w:t>
      </w:r>
      <w:r>
        <w:rPr>
          <w:sz w:val="24"/>
        </w:rPr>
        <w:t>or</w:t>
      </w:r>
      <w:r>
        <w:rPr>
          <w:spacing w:val="-3"/>
          <w:sz w:val="24"/>
        </w:rPr>
        <w:t xml:space="preserve"> </w:t>
      </w:r>
      <w:r>
        <w:rPr>
          <w:sz w:val="24"/>
        </w:rPr>
        <w:t>to</w:t>
      </w:r>
      <w:r>
        <w:rPr>
          <w:spacing w:val="-3"/>
          <w:sz w:val="24"/>
        </w:rPr>
        <w:t xml:space="preserve"> </w:t>
      </w:r>
      <w:r>
        <w:rPr>
          <w:sz w:val="24"/>
        </w:rPr>
        <w:t>other</w:t>
      </w:r>
      <w:r>
        <w:rPr>
          <w:spacing w:val="-3"/>
          <w:sz w:val="24"/>
        </w:rPr>
        <w:t xml:space="preserve"> </w:t>
      </w:r>
      <w:r>
        <w:rPr>
          <w:sz w:val="24"/>
        </w:rPr>
        <w:t>knowledge</w:t>
      </w:r>
      <w:r>
        <w:rPr>
          <w:spacing w:val="-3"/>
          <w:sz w:val="24"/>
        </w:rPr>
        <w:t xml:space="preserve"> </w:t>
      </w:r>
      <w:r>
        <w:rPr>
          <w:sz w:val="24"/>
        </w:rPr>
        <w:t>about</w:t>
      </w:r>
      <w:r>
        <w:rPr>
          <w:spacing w:val="-3"/>
          <w:sz w:val="24"/>
        </w:rPr>
        <w:t xml:space="preserve"> </w:t>
      </w:r>
      <w:r>
        <w:rPr>
          <w:sz w:val="24"/>
        </w:rPr>
        <w:t>PTBP1</w:t>
      </w:r>
      <w:r>
        <w:rPr>
          <w:spacing w:val="-3"/>
          <w:sz w:val="24"/>
        </w:rPr>
        <w:t xml:space="preserve"> </w:t>
      </w:r>
      <w:r>
        <w:rPr>
          <w:sz w:val="24"/>
        </w:rPr>
        <w:t>targets.</w:t>
      </w:r>
      <w:r>
        <w:rPr>
          <w:spacing w:val="-3"/>
          <w:sz w:val="24"/>
        </w:rPr>
        <w:t xml:space="preserve"> </w:t>
      </w:r>
      <w:r>
        <w:rPr>
          <w:sz w:val="24"/>
        </w:rPr>
        <w:t>If they claim „These data suggest that PTBP1 controls a wider range of NS-CEs than previously thought" let us have quantification for that claim.</w:t>
      </w:r>
      <w:r>
        <w:rPr>
          <w:spacing w:val="40"/>
          <w:sz w:val="24"/>
        </w:rPr>
        <w:t xml:space="preserve"> </w:t>
      </w:r>
      <w:r>
        <w:rPr>
          <w:sz w:val="24"/>
        </w:rPr>
        <w:t>For the newly-identified genes here (including the Fmnl3 and Iqgap1 and Ripk1 that were followed up), how are the confidence scores from their analysis compared to previously well-known target genes of PTBP1 AS-NMD?</w:t>
      </w:r>
    </w:p>
    <w:p w14:paraId="006F4525" w14:textId="77777777" w:rsidR="00564ED3" w:rsidRDefault="00564ED3" w:rsidP="00564ED3">
      <w:pPr>
        <w:pStyle w:val="BodyText"/>
        <w:spacing w:before="274"/>
        <w:ind w:right="117"/>
      </w:pPr>
      <w:r>
        <w:rPr>
          <w:color w:val="0070C0"/>
        </w:rPr>
        <w:t xml:space="preserve">A PubMed search for the </w:t>
      </w:r>
      <w:r>
        <w:rPr>
          <w:b/>
          <w:color w:val="0070C0"/>
        </w:rPr>
        <w:t xml:space="preserve">46 </w:t>
      </w:r>
      <w:r>
        <w:rPr>
          <w:color w:val="0070C0"/>
        </w:rPr>
        <w:t xml:space="preserve">PTBP1-regulated events in revised </w:t>
      </w:r>
      <w:r>
        <w:rPr>
          <w:b/>
          <w:color w:val="0070C0"/>
        </w:rPr>
        <w:t xml:space="preserve">Table S4 </w:t>
      </w:r>
      <w:r>
        <w:rPr>
          <w:color w:val="0070C0"/>
        </w:rPr>
        <w:t xml:space="preserve">(non-n/a values in the "Predicted effect of PTBP1 on AS-NMD event" column) showed that only </w:t>
      </w:r>
      <w:r>
        <w:rPr>
          <w:b/>
          <w:color w:val="0070C0"/>
        </w:rPr>
        <w:t xml:space="preserve">8 </w:t>
      </w:r>
      <w:r>
        <w:rPr>
          <w:color w:val="0070C0"/>
        </w:rPr>
        <w:t xml:space="preserve">of them had been previously characterized as PTBP1 targets. We added the corresponding PMID or "None" values to the "PubMed results for PTBP1 regulation" column of </w:t>
      </w:r>
      <w:r>
        <w:rPr>
          <w:b/>
          <w:color w:val="0070C0"/>
        </w:rPr>
        <w:t>Table S4</w:t>
      </w:r>
      <w:r>
        <w:rPr>
          <w:color w:val="0070C0"/>
        </w:rPr>
        <w:t>. Incidentally, this analysis confirmed our original description, which we left unchanged in the revised manuscript:</w:t>
      </w:r>
    </w:p>
    <w:p w14:paraId="47BC5E14" w14:textId="77777777" w:rsidR="00564ED3" w:rsidRDefault="00564ED3" w:rsidP="00564ED3">
      <w:pPr>
        <w:pStyle w:val="BodyText"/>
        <w:spacing w:before="3"/>
        <w:ind w:left="0"/>
        <w:jc w:val="left"/>
      </w:pPr>
    </w:p>
    <w:p w14:paraId="2072039B" w14:textId="77777777" w:rsidR="00564ED3" w:rsidRDefault="00564ED3" w:rsidP="00564ED3">
      <w:pPr>
        <w:pStyle w:val="BodyText"/>
        <w:ind w:right="117"/>
      </w:pPr>
      <w:r>
        <w:rPr>
          <w:b/>
          <w:color w:val="0070C0"/>
        </w:rPr>
        <w:t>Page 13</w:t>
      </w:r>
      <w:r>
        <w:rPr>
          <w:color w:val="0070C0"/>
        </w:rPr>
        <w:t>. "PTBP1 was proposed to control Ripk1 and Iqgap1 NS-CE splicing [27, 57- 59], but the role of these exons in the regulation of their host genes during neuronal differentiation was not addressed experimentally. To the best of our knowledge, the Fmnl3 NS-CEs has not been previously identified."</w:t>
      </w:r>
    </w:p>
    <w:p w14:paraId="662C998D" w14:textId="77777777" w:rsidR="0031542E" w:rsidRDefault="0031542E" w:rsidP="00564ED3">
      <w:pPr>
        <w:pStyle w:val="BodyText"/>
        <w:spacing w:before="76"/>
        <w:ind w:right="117"/>
        <w:rPr>
          <w:color w:val="0070C0"/>
        </w:rPr>
      </w:pPr>
    </w:p>
    <w:p w14:paraId="2F0A65BA" w14:textId="39254749" w:rsidR="00564ED3" w:rsidRDefault="00564ED3" w:rsidP="00564ED3">
      <w:pPr>
        <w:pStyle w:val="BodyText"/>
        <w:spacing w:before="76"/>
        <w:ind w:right="117"/>
      </w:pPr>
      <w:r>
        <w:rPr>
          <w:color w:val="0070C0"/>
        </w:rPr>
        <w:t xml:space="preserve">We hope the new column in </w:t>
      </w:r>
      <w:r>
        <w:rPr>
          <w:b/>
          <w:color w:val="0070C0"/>
        </w:rPr>
        <w:t xml:space="preserve">Table S4 </w:t>
      </w:r>
      <w:r>
        <w:rPr>
          <w:color w:val="0070C0"/>
        </w:rPr>
        <w:t>answers Reviewer's question. However, we are reluctant</w:t>
      </w:r>
      <w:r>
        <w:rPr>
          <w:color w:val="0070C0"/>
          <w:spacing w:val="-1"/>
        </w:rPr>
        <w:t xml:space="preserve"> </w:t>
      </w:r>
      <w:r>
        <w:rPr>
          <w:color w:val="0070C0"/>
        </w:rPr>
        <w:t>(and</w:t>
      </w:r>
      <w:r>
        <w:rPr>
          <w:color w:val="0070C0"/>
          <w:spacing w:val="-1"/>
        </w:rPr>
        <w:t xml:space="preserve"> </w:t>
      </w:r>
      <w:r>
        <w:rPr>
          <w:color w:val="0070C0"/>
        </w:rPr>
        <w:t>probably</w:t>
      </w:r>
      <w:r>
        <w:rPr>
          <w:color w:val="0070C0"/>
          <w:spacing w:val="-1"/>
        </w:rPr>
        <w:t xml:space="preserve"> </w:t>
      </w:r>
      <w:r>
        <w:rPr>
          <w:color w:val="0070C0"/>
        </w:rPr>
        <w:t>not</w:t>
      </w:r>
      <w:r>
        <w:rPr>
          <w:color w:val="0070C0"/>
          <w:spacing w:val="-1"/>
        </w:rPr>
        <w:t xml:space="preserve"> </w:t>
      </w:r>
      <w:r>
        <w:rPr>
          <w:color w:val="0070C0"/>
        </w:rPr>
        <w:t>allowed</w:t>
      </w:r>
      <w:r>
        <w:rPr>
          <w:color w:val="0070C0"/>
          <w:spacing w:val="-1"/>
        </w:rPr>
        <w:t xml:space="preserve"> </w:t>
      </w:r>
      <w:r>
        <w:rPr>
          <w:color w:val="0070C0"/>
        </w:rPr>
        <w:t>by</w:t>
      </w:r>
      <w:r>
        <w:rPr>
          <w:color w:val="0070C0"/>
          <w:spacing w:val="-1"/>
        </w:rPr>
        <w:t xml:space="preserve"> </w:t>
      </w:r>
      <w:r>
        <w:rPr>
          <w:color w:val="0070C0"/>
        </w:rPr>
        <w:t>the</w:t>
      </w:r>
      <w:r>
        <w:rPr>
          <w:color w:val="0070C0"/>
          <w:spacing w:val="-1"/>
        </w:rPr>
        <w:t xml:space="preserve"> </w:t>
      </w:r>
      <w:r>
        <w:rPr>
          <w:color w:val="0070C0"/>
        </w:rPr>
        <w:t>journal)</w:t>
      </w:r>
      <w:r>
        <w:rPr>
          <w:color w:val="0070C0"/>
          <w:spacing w:val="-1"/>
        </w:rPr>
        <w:t xml:space="preserve"> </w:t>
      </w:r>
      <w:r>
        <w:rPr>
          <w:color w:val="0070C0"/>
        </w:rPr>
        <w:t>to</w:t>
      </w:r>
      <w:r>
        <w:rPr>
          <w:color w:val="0070C0"/>
          <w:spacing w:val="-1"/>
        </w:rPr>
        <w:t xml:space="preserve"> </w:t>
      </w:r>
      <w:r>
        <w:rPr>
          <w:color w:val="0070C0"/>
        </w:rPr>
        <w:t>claim</w:t>
      </w:r>
      <w:r>
        <w:rPr>
          <w:color w:val="0070C0"/>
          <w:spacing w:val="-1"/>
        </w:rPr>
        <w:t xml:space="preserve"> </w:t>
      </w:r>
      <w:r>
        <w:rPr>
          <w:color w:val="0070C0"/>
        </w:rPr>
        <w:t>that</w:t>
      </w:r>
      <w:r>
        <w:rPr>
          <w:color w:val="0070C0"/>
          <w:spacing w:val="-1"/>
        </w:rPr>
        <w:t xml:space="preserve"> </w:t>
      </w:r>
      <w:r>
        <w:rPr>
          <w:color w:val="0070C0"/>
        </w:rPr>
        <w:t>the</w:t>
      </w:r>
      <w:r>
        <w:rPr>
          <w:color w:val="0070C0"/>
          <w:spacing w:val="-1"/>
        </w:rPr>
        <w:t xml:space="preserve"> </w:t>
      </w:r>
      <w:r>
        <w:rPr>
          <w:b/>
          <w:color w:val="0070C0"/>
        </w:rPr>
        <w:t>38</w:t>
      </w:r>
      <w:r>
        <w:rPr>
          <w:b/>
          <w:color w:val="0070C0"/>
          <w:spacing w:val="-1"/>
        </w:rPr>
        <w:t xml:space="preserve"> </w:t>
      </w:r>
      <w:r>
        <w:rPr>
          <w:color w:val="0070C0"/>
        </w:rPr>
        <w:t>PTBP1</w:t>
      </w:r>
      <w:r>
        <w:rPr>
          <w:color w:val="0070C0"/>
          <w:spacing w:val="-1"/>
        </w:rPr>
        <w:t xml:space="preserve"> </w:t>
      </w:r>
      <w:r>
        <w:rPr>
          <w:color w:val="0070C0"/>
        </w:rPr>
        <w:t>targets not found on PubMed are "novel". It is possible that some of them are mentioned in published supplemental data, which are not searched by PubMed, etc. With this in mind, we do not think it would be informative to compare confidence scores between the two groups of targets.</w:t>
      </w:r>
    </w:p>
    <w:p w14:paraId="3CED6491" w14:textId="77777777" w:rsidR="00564ED3" w:rsidRDefault="00564ED3" w:rsidP="00564ED3">
      <w:pPr>
        <w:pStyle w:val="BodyText"/>
        <w:spacing w:before="274"/>
        <w:jc w:val="left"/>
      </w:pPr>
      <w:r>
        <w:rPr>
          <w:spacing w:val="-2"/>
        </w:rPr>
        <w:t>Minor:</w:t>
      </w:r>
    </w:p>
    <w:p w14:paraId="7A37D9E7" w14:textId="77777777" w:rsidR="00564ED3" w:rsidRDefault="00564ED3" w:rsidP="00564ED3">
      <w:pPr>
        <w:pStyle w:val="BodyText"/>
        <w:ind w:left="0"/>
        <w:jc w:val="left"/>
      </w:pPr>
    </w:p>
    <w:p w14:paraId="4BAF5AD8" w14:textId="77777777" w:rsidR="00564ED3" w:rsidRDefault="00564ED3" w:rsidP="00564ED3">
      <w:pPr>
        <w:pStyle w:val="ListParagraph"/>
        <w:widowControl w:val="0"/>
        <w:numPr>
          <w:ilvl w:val="0"/>
          <w:numId w:val="2"/>
        </w:numPr>
        <w:tabs>
          <w:tab w:val="left" w:pos="360"/>
        </w:tabs>
        <w:autoSpaceDE w:val="0"/>
        <w:autoSpaceDN w:val="0"/>
        <w:spacing w:after="0" w:line="240" w:lineRule="auto"/>
        <w:ind w:right="117" w:firstLine="0"/>
        <w:contextualSpacing w:val="0"/>
        <w:jc w:val="both"/>
        <w:rPr>
          <w:sz w:val="24"/>
        </w:rPr>
      </w:pPr>
      <w:r>
        <w:rPr>
          <w:sz w:val="24"/>
        </w:rPr>
        <w:t>It</w:t>
      </w:r>
      <w:r>
        <w:rPr>
          <w:spacing w:val="-3"/>
          <w:sz w:val="24"/>
        </w:rPr>
        <w:t xml:space="preserve"> </w:t>
      </w:r>
      <w:r>
        <w:rPr>
          <w:sz w:val="24"/>
        </w:rPr>
        <w:t>is</w:t>
      </w:r>
      <w:r>
        <w:rPr>
          <w:spacing w:val="-3"/>
          <w:sz w:val="24"/>
        </w:rPr>
        <w:t xml:space="preserve"> </w:t>
      </w:r>
      <w:r>
        <w:rPr>
          <w:sz w:val="24"/>
        </w:rPr>
        <w:t>curious</w:t>
      </w:r>
      <w:r>
        <w:rPr>
          <w:spacing w:val="-3"/>
          <w:sz w:val="24"/>
        </w:rPr>
        <w:t xml:space="preserve"> </w:t>
      </w:r>
      <w:r>
        <w:rPr>
          <w:sz w:val="24"/>
        </w:rPr>
        <w:t>that</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5881</w:t>
      </w:r>
      <w:r>
        <w:rPr>
          <w:spacing w:val="-3"/>
          <w:sz w:val="24"/>
        </w:rPr>
        <w:t xml:space="preserve"> </w:t>
      </w:r>
      <w:r>
        <w:rPr>
          <w:sz w:val="24"/>
        </w:rPr>
        <w:t>additional</w:t>
      </w:r>
      <w:r>
        <w:rPr>
          <w:spacing w:val="-3"/>
          <w:sz w:val="24"/>
        </w:rPr>
        <w:t xml:space="preserve"> </w:t>
      </w:r>
      <w:r>
        <w:rPr>
          <w:sz w:val="24"/>
        </w:rPr>
        <w:t>transcripts</w:t>
      </w:r>
      <w:r>
        <w:rPr>
          <w:spacing w:val="-3"/>
          <w:sz w:val="24"/>
        </w:rPr>
        <w:t xml:space="preserve"> </w:t>
      </w:r>
      <w:r>
        <w:rPr>
          <w:sz w:val="24"/>
        </w:rPr>
        <w:t>that</w:t>
      </w:r>
      <w:r>
        <w:rPr>
          <w:spacing w:val="-3"/>
          <w:sz w:val="24"/>
        </w:rPr>
        <w:t xml:space="preserve"> </w:t>
      </w:r>
      <w:r>
        <w:rPr>
          <w:sz w:val="24"/>
        </w:rPr>
        <w:t>had</w:t>
      </w:r>
      <w:r>
        <w:rPr>
          <w:spacing w:val="-3"/>
          <w:sz w:val="24"/>
        </w:rPr>
        <w:t xml:space="preserve"> </w:t>
      </w:r>
      <w:r>
        <w:rPr>
          <w:sz w:val="24"/>
        </w:rPr>
        <w:t>not</w:t>
      </w:r>
      <w:r>
        <w:rPr>
          <w:spacing w:val="-3"/>
          <w:sz w:val="24"/>
        </w:rPr>
        <w:t xml:space="preserve"> </w:t>
      </w:r>
      <w:r>
        <w:rPr>
          <w:sz w:val="24"/>
        </w:rPr>
        <w:t>been</w:t>
      </w:r>
      <w:r>
        <w:rPr>
          <w:spacing w:val="-3"/>
          <w:sz w:val="24"/>
        </w:rPr>
        <w:t xml:space="preserve"> </w:t>
      </w:r>
      <w:r>
        <w:rPr>
          <w:sz w:val="24"/>
        </w:rPr>
        <w:t>previously flagged as possible NMD targets" - can they comment which features their tool can discover that previous tools cannot?</w:t>
      </w:r>
    </w:p>
    <w:p w14:paraId="213CE7EA" w14:textId="77777777" w:rsidR="00564ED3" w:rsidRDefault="00564ED3" w:rsidP="00564ED3">
      <w:pPr>
        <w:pStyle w:val="BodyText"/>
        <w:ind w:left="0"/>
        <w:jc w:val="left"/>
      </w:pPr>
    </w:p>
    <w:p w14:paraId="3899AE83" w14:textId="77777777" w:rsidR="00564ED3" w:rsidRDefault="00564ED3" w:rsidP="00564ED3">
      <w:pPr>
        <w:pStyle w:val="BodyText"/>
        <w:ind w:right="117"/>
      </w:pPr>
      <w:r>
        <w:rPr>
          <w:color w:val="0070C0"/>
        </w:rPr>
        <w:t xml:space="preserve">factR2 categorizes transcripts based on their gene of origin and supplements unannotated transcripts with open reading frame (ORF) information derived from known protein-coding isoforms. The program then consistently applies the &gt;50 </w:t>
      </w:r>
      <w:proofErr w:type="spellStart"/>
      <w:r>
        <w:rPr>
          <w:color w:val="0070C0"/>
        </w:rPr>
        <w:t>nt</w:t>
      </w:r>
      <w:proofErr w:type="spellEnd"/>
      <w:r>
        <w:rPr>
          <w:color w:val="0070C0"/>
        </w:rPr>
        <w:t xml:space="preserve"> from a stop codon to the last exon junction rule to shortlist NMD candidates.</w:t>
      </w:r>
    </w:p>
    <w:p w14:paraId="7AC89B66" w14:textId="77777777" w:rsidR="00564ED3" w:rsidRDefault="00564ED3" w:rsidP="00564ED3">
      <w:pPr>
        <w:pStyle w:val="BodyText"/>
        <w:spacing w:before="3"/>
        <w:ind w:left="0"/>
        <w:jc w:val="left"/>
      </w:pPr>
    </w:p>
    <w:p w14:paraId="7CFE80A7" w14:textId="77777777" w:rsidR="00564ED3" w:rsidRDefault="00564ED3" w:rsidP="00564ED3">
      <w:pPr>
        <w:pStyle w:val="BodyText"/>
        <w:ind w:right="117"/>
      </w:pPr>
      <w:r>
        <w:rPr>
          <w:color w:val="0070C0"/>
        </w:rPr>
        <w:t>We introduced a new panel (</w:t>
      </w:r>
      <w:r>
        <w:rPr>
          <w:b/>
          <w:color w:val="0070C0"/>
        </w:rPr>
        <w:t>Fig. S3A</w:t>
      </w:r>
      <w:r>
        <w:rPr>
          <w:color w:val="0070C0"/>
        </w:rPr>
        <w:t>) displaying the GENCODE biotypes for</w:t>
      </w:r>
      <w:r>
        <w:rPr>
          <w:color w:val="0070C0"/>
          <w:spacing w:val="40"/>
        </w:rPr>
        <w:t xml:space="preserve"> </w:t>
      </w:r>
      <w:r>
        <w:rPr>
          <w:color w:val="0070C0"/>
        </w:rPr>
        <w:t xml:space="preserve">factR2-predicted NMD targets. The new NMD candidates come from four biotypes: </w:t>
      </w:r>
      <w:proofErr w:type="spellStart"/>
      <w:r>
        <w:rPr>
          <w:color w:val="0070C0"/>
        </w:rPr>
        <w:t>protein_coding</w:t>
      </w:r>
      <w:proofErr w:type="spellEnd"/>
      <w:r>
        <w:rPr>
          <w:color w:val="0070C0"/>
        </w:rPr>
        <w:t xml:space="preserve">, </w:t>
      </w:r>
      <w:proofErr w:type="spellStart"/>
      <w:r>
        <w:rPr>
          <w:color w:val="0070C0"/>
        </w:rPr>
        <w:t>retained_intron</w:t>
      </w:r>
      <w:proofErr w:type="spellEnd"/>
      <w:r>
        <w:rPr>
          <w:color w:val="0070C0"/>
        </w:rPr>
        <w:t xml:space="preserve">, </w:t>
      </w:r>
      <w:proofErr w:type="spellStart"/>
      <w:r>
        <w:rPr>
          <w:color w:val="0070C0"/>
        </w:rPr>
        <w:t>processed_transcript</w:t>
      </w:r>
      <w:proofErr w:type="spellEnd"/>
      <w:r>
        <w:rPr>
          <w:color w:val="0070C0"/>
        </w:rPr>
        <w:t xml:space="preserve">, and lncRNA. In the </w:t>
      </w:r>
      <w:proofErr w:type="spellStart"/>
      <w:r>
        <w:rPr>
          <w:color w:val="0070C0"/>
        </w:rPr>
        <w:t>protein_coding</w:t>
      </w:r>
      <w:proofErr w:type="spellEnd"/>
      <w:r>
        <w:rPr>
          <w:color w:val="0070C0"/>
        </w:rPr>
        <w:t xml:space="preserve"> group, factR2 tends to identify a premature termination codon (PTC) overlooked by GENCODE. For the remaining three groups, NMD sensitivity is typically predicted by detecting a PTC in the newly annotated ORF.</w:t>
      </w:r>
    </w:p>
    <w:p w14:paraId="4A9A7663" w14:textId="77777777" w:rsidR="00564ED3" w:rsidRDefault="00564ED3" w:rsidP="00564ED3">
      <w:pPr>
        <w:pStyle w:val="ListParagraph"/>
        <w:widowControl w:val="0"/>
        <w:numPr>
          <w:ilvl w:val="0"/>
          <w:numId w:val="2"/>
        </w:numPr>
        <w:tabs>
          <w:tab w:val="left" w:pos="467"/>
        </w:tabs>
        <w:autoSpaceDE w:val="0"/>
        <w:autoSpaceDN w:val="0"/>
        <w:spacing w:before="274" w:after="0" w:line="240" w:lineRule="auto"/>
        <w:ind w:right="117" w:firstLine="0"/>
        <w:contextualSpacing w:val="0"/>
        <w:jc w:val="both"/>
        <w:rPr>
          <w:sz w:val="24"/>
        </w:rPr>
      </w:pPr>
      <w:r>
        <w:rPr>
          <w:sz w:val="24"/>
        </w:rPr>
        <w:t>The heading „NS-CEs work in coordination with NMD-independent gene downregulation mechanisms" suggests a general claim however that part of the manuscript seems to focus only on the 3 selected genes. Their existing data might be useful to test if this claim holds generally.</w:t>
      </w:r>
    </w:p>
    <w:p w14:paraId="22BC8736" w14:textId="77777777" w:rsidR="00564ED3" w:rsidRDefault="00564ED3" w:rsidP="00564ED3">
      <w:pPr>
        <w:pStyle w:val="BodyText"/>
        <w:spacing w:before="2"/>
        <w:ind w:left="0"/>
        <w:jc w:val="left"/>
      </w:pPr>
    </w:p>
    <w:p w14:paraId="359BF4E4" w14:textId="77777777" w:rsidR="00564ED3" w:rsidRDefault="00564ED3" w:rsidP="00564ED3">
      <w:pPr>
        <w:pStyle w:val="BodyText"/>
        <w:ind w:right="119"/>
      </w:pPr>
      <w:r>
        <w:rPr>
          <w:color w:val="0070C0"/>
        </w:rPr>
        <w:t xml:space="preserve">To find out if NS-CEs may cooperate with NMD-independent mechanisms globally, we examined developmental trajectories of genes containing CHX-responsive facilitating NS-CEs with and without CHX (new </w:t>
      </w:r>
      <w:r>
        <w:rPr>
          <w:b/>
          <w:color w:val="0070C0"/>
        </w:rPr>
        <w:t>Fig. S16</w:t>
      </w:r>
      <w:r>
        <w:rPr>
          <w:color w:val="0070C0"/>
        </w:rPr>
        <w:t>). Here is the description of this analysis in the revised manuscript:</w:t>
      </w:r>
    </w:p>
    <w:p w14:paraId="3B0E933D" w14:textId="77777777" w:rsidR="00564ED3" w:rsidRDefault="00564ED3" w:rsidP="00564ED3">
      <w:pPr>
        <w:pStyle w:val="BodyText"/>
        <w:spacing w:before="274"/>
        <w:ind w:right="117"/>
      </w:pPr>
      <w:r>
        <w:rPr>
          <w:b/>
          <w:color w:val="0070C0"/>
        </w:rPr>
        <w:t>Page 17</w:t>
      </w:r>
      <w:r>
        <w:rPr>
          <w:color w:val="0070C0"/>
        </w:rPr>
        <w:t>. "Our additional bioinformatics analysis showed that genes containing functional NMD-stimulated cassette exons generally maintained declining neurodevelopmental</w:t>
      </w:r>
      <w:r>
        <w:rPr>
          <w:color w:val="0070C0"/>
          <w:spacing w:val="-4"/>
        </w:rPr>
        <w:t xml:space="preserve"> </w:t>
      </w:r>
      <w:r>
        <w:rPr>
          <w:color w:val="0070C0"/>
        </w:rPr>
        <w:t>trends</w:t>
      </w:r>
      <w:r>
        <w:rPr>
          <w:color w:val="0070C0"/>
          <w:spacing w:val="-4"/>
        </w:rPr>
        <w:t xml:space="preserve"> </w:t>
      </w:r>
      <w:r>
        <w:rPr>
          <w:color w:val="0070C0"/>
        </w:rPr>
        <w:t>in</w:t>
      </w:r>
      <w:r>
        <w:rPr>
          <w:color w:val="0070C0"/>
          <w:spacing w:val="-4"/>
        </w:rPr>
        <w:t xml:space="preserve"> </w:t>
      </w:r>
      <w:r>
        <w:rPr>
          <w:color w:val="0070C0"/>
        </w:rPr>
        <w:t>the</w:t>
      </w:r>
      <w:r>
        <w:rPr>
          <w:color w:val="0070C0"/>
          <w:spacing w:val="-4"/>
        </w:rPr>
        <w:t xml:space="preserve"> </w:t>
      </w:r>
      <w:r>
        <w:rPr>
          <w:color w:val="0070C0"/>
        </w:rPr>
        <w:t>presence</w:t>
      </w:r>
      <w:r>
        <w:rPr>
          <w:color w:val="0070C0"/>
          <w:spacing w:val="-4"/>
        </w:rPr>
        <w:t xml:space="preserve"> </w:t>
      </w:r>
      <w:r>
        <w:rPr>
          <w:color w:val="0070C0"/>
        </w:rPr>
        <w:t>of</w:t>
      </w:r>
      <w:r>
        <w:rPr>
          <w:color w:val="0070C0"/>
          <w:spacing w:val="-4"/>
        </w:rPr>
        <w:t xml:space="preserve"> </w:t>
      </w:r>
      <w:r>
        <w:rPr>
          <w:color w:val="0070C0"/>
        </w:rPr>
        <w:t>CHX,</w:t>
      </w:r>
      <w:r>
        <w:rPr>
          <w:color w:val="0070C0"/>
          <w:spacing w:val="-4"/>
        </w:rPr>
        <w:t xml:space="preserve"> </w:t>
      </w:r>
      <w:r>
        <w:rPr>
          <w:color w:val="0070C0"/>
        </w:rPr>
        <w:t>even</w:t>
      </w:r>
      <w:r>
        <w:rPr>
          <w:color w:val="0070C0"/>
          <w:spacing w:val="-4"/>
        </w:rPr>
        <w:t xml:space="preserve"> </w:t>
      </w:r>
      <w:r>
        <w:rPr>
          <w:color w:val="0070C0"/>
        </w:rPr>
        <w:t>though</w:t>
      </w:r>
      <w:r>
        <w:rPr>
          <w:color w:val="0070C0"/>
          <w:spacing w:val="-4"/>
        </w:rPr>
        <w:t xml:space="preserve"> </w:t>
      </w:r>
      <w:r>
        <w:rPr>
          <w:color w:val="0070C0"/>
        </w:rPr>
        <w:t>their</w:t>
      </w:r>
      <w:r>
        <w:rPr>
          <w:color w:val="0070C0"/>
          <w:spacing w:val="-4"/>
        </w:rPr>
        <w:t xml:space="preserve"> </w:t>
      </w:r>
      <w:r>
        <w:rPr>
          <w:color w:val="0070C0"/>
        </w:rPr>
        <w:t>downregulation was</w:t>
      </w:r>
      <w:r>
        <w:rPr>
          <w:color w:val="0070C0"/>
          <w:spacing w:val="-2"/>
        </w:rPr>
        <w:t xml:space="preserve"> </w:t>
      </w:r>
      <w:r>
        <w:rPr>
          <w:color w:val="0070C0"/>
        </w:rPr>
        <w:t>more</w:t>
      </w:r>
      <w:r>
        <w:rPr>
          <w:color w:val="0070C0"/>
          <w:spacing w:val="-2"/>
        </w:rPr>
        <w:t xml:space="preserve"> </w:t>
      </w:r>
      <w:r>
        <w:rPr>
          <w:color w:val="0070C0"/>
        </w:rPr>
        <w:t>robust</w:t>
      </w:r>
      <w:r>
        <w:rPr>
          <w:color w:val="0070C0"/>
          <w:spacing w:val="-2"/>
        </w:rPr>
        <w:t xml:space="preserve"> </w:t>
      </w:r>
      <w:r>
        <w:rPr>
          <w:color w:val="0070C0"/>
        </w:rPr>
        <w:t>in</w:t>
      </w:r>
      <w:r>
        <w:rPr>
          <w:color w:val="0070C0"/>
          <w:spacing w:val="-2"/>
        </w:rPr>
        <w:t xml:space="preserve"> </w:t>
      </w:r>
      <w:r>
        <w:rPr>
          <w:color w:val="0070C0"/>
        </w:rPr>
        <w:t>DMSO-</w:t>
      </w:r>
      <w:r>
        <w:rPr>
          <w:color w:val="0070C0"/>
          <w:spacing w:val="-2"/>
        </w:rPr>
        <w:t xml:space="preserve"> </w:t>
      </w:r>
      <w:r>
        <w:rPr>
          <w:color w:val="0070C0"/>
        </w:rPr>
        <w:t>compared</w:t>
      </w:r>
      <w:r>
        <w:rPr>
          <w:color w:val="0070C0"/>
          <w:spacing w:val="-2"/>
        </w:rPr>
        <w:t xml:space="preserve"> </w:t>
      </w:r>
      <w:r>
        <w:rPr>
          <w:color w:val="0070C0"/>
        </w:rPr>
        <w:t>to</w:t>
      </w:r>
      <w:r>
        <w:rPr>
          <w:color w:val="0070C0"/>
          <w:spacing w:val="-2"/>
        </w:rPr>
        <w:t xml:space="preserve"> </w:t>
      </w:r>
      <w:r>
        <w:rPr>
          <w:color w:val="0070C0"/>
        </w:rPr>
        <w:t>CHX-treated</w:t>
      </w:r>
      <w:r>
        <w:rPr>
          <w:color w:val="0070C0"/>
          <w:spacing w:val="-2"/>
        </w:rPr>
        <w:t xml:space="preserve"> </w:t>
      </w:r>
      <w:r>
        <w:rPr>
          <w:color w:val="0070C0"/>
        </w:rPr>
        <w:t>samples</w:t>
      </w:r>
      <w:r>
        <w:rPr>
          <w:color w:val="0070C0"/>
          <w:spacing w:val="-2"/>
        </w:rPr>
        <w:t xml:space="preserve"> </w:t>
      </w:r>
      <w:r>
        <w:rPr>
          <w:color w:val="0070C0"/>
        </w:rPr>
        <w:t>(Fig.</w:t>
      </w:r>
      <w:r>
        <w:rPr>
          <w:color w:val="0070C0"/>
          <w:spacing w:val="-2"/>
        </w:rPr>
        <w:t xml:space="preserve"> </w:t>
      </w:r>
      <w:r>
        <w:rPr>
          <w:color w:val="0070C0"/>
        </w:rPr>
        <w:t>S16).</w:t>
      </w:r>
      <w:r>
        <w:rPr>
          <w:color w:val="0070C0"/>
          <w:spacing w:val="-2"/>
        </w:rPr>
        <w:t xml:space="preserve"> </w:t>
      </w:r>
      <w:r>
        <w:rPr>
          <w:color w:val="0070C0"/>
        </w:rPr>
        <w:t>This</w:t>
      </w:r>
      <w:r>
        <w:rPr>
          <w:color w:val="0070C0"/>
          <w:spacing w:val="-2"/>
        </w:rPr>
        <w:t xml:space="preserve"> </w:t>
      </w:r>
      <w:r>
        <w:rPr>
          <w:color w:val="0070C0"/>
        </w:rPr>
        <w:t>points to a wider crosstalk between AS-NMD and other gene regulation mechanisms."</w:t>
      </w:r>
    </w:p>
    <w:p w14:paraId="39335EC8" w14:textId="77777777" w:rsidR="00564ED3" w:rsidRDefault="00564ED3" w:rsidP="00564ED3">
      <w:pPr>
        <w:pStyle w:val="BodyText"/>
        <w:ind w:left="0"/>
        <w:jc w:val="left"/>
      </w:pPr>
    </w:p>
    <w:p w14:paraId="02C7ED69" w14:textId="77777777" w:rsidR="00564ED3" w:rsidRDefault="00564ED3" w:rsidP="00564ED3">
      <w:pPr>
        <w:pStyle w:val="ListParagraph"/>
        <w:widowControl w:val="0"/>
        <w:numPr>
          <w:ilvl w:val="0"/>
          <w:numId w:val="2"/>
        </w:numPr>
        <w:tabs>
          <w:tab w:val="left" w:pos="364"/>
        </w:tabs>
        <w:autoSpaceDE w:val="0"/>
        <w:autoSpaceDN w:val="0"/>
        <w:spacing w:after="0" w:line="240" w:lineRule="auto"/>
        <w:ind w:right="117" w:firstLine="0"/>
        <w:contextualSpacing w:val="0"/>
        <w:jc w:val="both"/>
        <w:rPr>
          <w:sz w:val="24"/>
        </w:rPr>
      </w:pPr>
      <w:r>
        <w:rPr>
          <w:sz w:val="24"/>
        </w:rPr>
        <w:t>Overall the manuscript is dense, and loaded with jargon which might be simplified, and with numeric estimates/statistics which might be better simply shown on figures; there is also a bit of an acronym overload. Consider simplifying to make text more accessible to broad audience.</w:t>
      </w:r>
    </w:p>
    <w:p w14:paraId="4AEB84F3" w14:textId="77777777" w:rsidR="00564ED3" w:rsidRDefault="00564ED3" w:rsidP="00564ED3">
      <w:pPr>
        <w:pStyle w:val="BodyText"/>
        <w:spacing w:before="4"/>
        <w:ind w:left="0"/>
        <w:jc w:val="left"/>
      </w:pPr>
    </w:p>
    <w:p w14:paraId="485833C6" w14:textId="77777777" w:rsidR="00564ED3" w:rsidRDefault="00564ED3" w:rsidP="00564ED3">
      <w:pPr>
        <w:pStyle w:val="BodyText"/>
        <w:spacing w:before="1" w:line="237" w:lineRule="auto"/>
        <w:ind w:right="118"/>
      </w:pPr>
      <w:r>
        <w:rPr>
          <w:color w:val="0070C0"/>
        </w:rPr>
        <w:t>We have edited the text for clarity and removed numeric estimates/statistics and acronyms, where possible.</w:t>
      </w:r>
    </w:p>
    <w:p w14:paraId="5425E7FC" w14:textId="77777777" w:rsidR="0031542E" w:rsidRDefault="0031542E" w:rsidP="00564ED3">
      <w:pPr>
        <w:pStyle w:val="Heading1"/>
        <w:spacing w:before="70"/>
      </w:pPr>
    </w:p>
    <w:p w14:paraId="40673D11" w14:textId="580BB4DA" w:rsidR="00564ED3" w:rsidRPr="0031542E" w:rsidRDefault="00564ED3" w:rsidP="00564ED3">
      <w:pPr>
        <w:pStyle w:val="Heading1"/>
        <w:spacing w:before="70"/>
        <w:rPr>
          <w:sz w:val="24"/>
          <w:szCs w:val="24"/>
        </w:rPr>
      </w:pPr>
      <w:r w:rsidRPr="0031542E">
        <w:rPr>
          <w:sz w:val="24"/>
          <w:szCs w:val="24"/>
        </w:rPr>
        <w:t>Reviewer</w:t>
      </w:r>
      <w:r w:rsidRPr="0031542E">
        <w:rPr>
          <w:spacing w:val="-4"/>
          <w:sz w:val="24"/>
          <w:szCs w:val="24"/>
        </w:rPr>
        <w:t xml:space="preserve"> </w:t>
      </w:r>
      <w:r w:rsidRPr="0031542E">
        <w:rPr>
          <w:spacing w:val="-5"/>
          <w:sz w:val="24"/>
          <w:szCs w:val="24"/>
        </w:rPr>
        <w:t>#3</w:t>
      </w:r>
    </w:p>
    <w:p w14:paraId="539E9502" w14:textId="77777777" w:rsidR="00564ED3" w:rsidRDefault="00564ED3" w:rsidP="00564ED3">
      <w:pPr>
        <w:pStyle w:val="BodyText"/>
        <w:spacing w:before="5" w:line="237" w:lineRule="auto"/>
        <w:ind w:right="117"/>
      </w:pPr>
      <w:r>
        <w:t>AS NMD in a developmental paradigm focusing on a forward programming of ESCs into neurons</w:t>
      </w:r>
    </w:p>
    <w:p w14:paraId="05C753C8" w14:textId="77777777" w:rsidR="00564ED3" w:rsidRDefault="00564ED3" w:rsidP="00564ED3">
      <w:pPr>
        <w:pStyle w:val="BodyText"/>
        <w:ind w:left="0"/>
        <w:jc w:val="left"/>
      </w:pPr>
    </w:p>
    <w:p w14:paraId="4AE5E244" w14:textId="77777777" w:rsidR="00564ED3" w:rsidRDefault="00564ED3" w:rsidP="00564ED3">
      <w:pPr>
        <w:pStyle w:val="BodyText"/>
        <w:spacing w:before="1" w:line="242" w:lineRule="auto"/>
        <w:ind w:right="117"/>
      </w:pPr>
      <w:r>
        <w:t>Overall I like this paper. It is well conceived and address an important issue. The experiments are thoughtfully designed and would add value to the field.</w:t>
      </w:r>
    </w:p>
    <w:p w14:paraId="702636E6" w14:textId="77777777" w:rsidR="00564ED3" w:rsidRDefault="00564ED3" w:rsidP="00564ED3">
      <w:pPr>
        <w:pStyle w:val="BodyText"/>
        <w:spacing w:before="273"/>
        <w:jc w:val="left"/>
      </w:pPr>
      <w:r>
        <w:rPr>
          <w:color w:val="0070C0"/>
        </w:rPr>
        <w:t>Thank</w:t>
      </w:r>
      <w:r>
        <w:rPr>
          <w:color w:val="0070C0"/>
          <w:spacing w:val="-1"/>
        </w:rPr>
        <w:t xml:space="preserve"> </w:t>
      </w:r>
      <w:r>
        <w:rPr>
          <w:color w:val="0070C0"/>
        </w:rPr>
        <w:t>you very</w:t>
      </w:r>
      <w:r>
        <w:rPr>
          <w:color w:val="0070C0"/>
          <w:spacing w:val="-1"/>
        </w:rPr>
        <w:t xml:space="preserve"> </w:t>
      </w:r>
      <w:r>
        <w:rPr>
          <w:color w:val="0070C0"/>
        </w:rPr>
        <w:t>much for</w:t>
      </w:r>
      <w:r>
        <w:rPr>
          <w:color w:val="0070C0"/>
          <w:spacing w:val="-1"/>
        </w:rPr>
        <w:t xml:space="preserve"> </w:t>
      </w:r>
      <w:r>
        <w:rPr>
          <w:color w:val="0070C0"/>
        </w:rPr>
        <w:t xml:space="preserve">pointing this </w:t>
      </w:r>
      <w:r>
        <w:rPr>
          <w:color w:val="0070C0"/>
          <w:spacing w:val="-4"/>
        </w:rPr>
        <w:t>out.</w:t>
      </w:r>
    </w:p>
    <w:p w14:paraId="0514FA7D" w14:textId="77777777" w:rsidR="00564ED3" w:rsidRDefault="00564ED3" w:rsidP="00564ED3">
      <w:pPr>
        <w:pStyle w:val="BodyText"/>
        <w:spacing w:before="2"/>
        <w:ind w:left="0"/>
        <w:jc w:val="left"/>
      </w:pPr>
    </w:p>
    <w:p w14:paraId="10DA344D" w14:textId="77777777" w:rsidR="00564ED3" w:rsidRDefault="00564ED3" w:rsidP="00564ED3">
      <w:pPr>
        <w:pStyle w:val="BodyText"/>
        <w:spacing w:line="237" w:lineRule="auto"/>
        <w:ind w:right="117"/>
      </w:pPr>
      <w:r>
        <w:t>I feel it is a strong candidate to be published in GB after some consideration is given to the following points:</w:t>
      </w:r>
    </w:p>
    <w:p w14:paraId="1E152BDE" w14:textId="77777777" w:rsidR="00564ED3" w:rsidRDefault="00564ED3" w:rsidP="00564ED3">
      <w:pPr>
        <w:pStyle w:val="BodyText"/>
        <w:spacing w:before="1"/>
        <w:ind w:left="0"/>
        <w:jc w:val="left"/>
      </w:pPr>
    </w:p>
    <w:p w14:paraId="2D409879" w14:textId="77777777" w:rsidR="00564ED3" w:rsidRDefault="00564ED3" w:rsidP="00564ED3">
      <w:pPr>
        <w:pStyle w:val="BodyText"/>
        <w:jc w:val="left"/>
      </w:pPr>
      <w:r>
        <w:rPr>
          <w:spacing w:val="-2"/>
        </w:rPr>
        <w:t>Model</w:t>
      </w:r>
    </w:p>
    <w:p w14:paraId="222635F9" w14:textId="77777777" w:rsidR="00564ED3" w:rsidRDefault="00564ED3" w:rsidP="00564ED3">
      <w:pPr>
        <w:pStyle w:val="ListParagraph"/>
        <w:widowControl w:val="0"/>
        <w:numPr>
          <w:ilvl w:val="0"/>
          <w:numId w:val="1"/>
        </w:numPr>
        <w:tabs>
          <w:tab w:val="left" w:pos="379"/>
        </w:tabs>
        <w:autoSpaceDE w:val="0"/>
        <w:autoSpaceDN w:val="0"/>
        <w:spacing w:before="2" w:after="0" w:line="275" w:lineRule="exact"/>
        <w:ind w:hanging="259"/>
        <w:contextualSpacing w:val="0"/>
        <w:rPr>
          <w:sz w:val="24"/>
        </w:rPr>
      </w:pPr>
      <w:r>
        <w:rPr>
          <w:sz w:val="24"/>
        </w:rPr>
        <w:t>please</w:t>
      </w:r>
      <w:r>
        <w:rPr>
          <w:spacing w:val="-5"/>
          <w:sz w:val="24"/>
        </w:rPr>
        <w:t xml:space="preserve"> </w:t>
      </w:r>
      <w:r>
        <w:rPr>
          <w:sz w:val="24"/>
        </w:rPr>
        <w:t>can</w:t>
      </w:r>
      <w:r>
        <w:rPr>
          <w:spacing w:val="-2"/>
          <w:sz w:val="24"/>
        </w:rPr>
        <w:t xml:space="preserve"> </w:t>
      </w:r>
      <w:r>
        <w:rPr>
          <w:sz w:val="24"/>
        </w:rPr>
        <w:t>the</w:t>
      </w:r>
      <w:r>
        <w:rPr>
          <w:spacing w:val="-2"/>
          <w:sz w:val="24"/>
        </w:rPr>
        <w:t xml:space="preserve"> </w:t>
      </w:r>
      <w:r>
        <w:rPr>
          <w:sz w:val="24"/>
        </w:rPr>
        <w:t>authors</w:t>
      </w:r>
      <w:r>
        <w:rPr>
          <w:spacing w:val="-2"/>
          <w:sz w:val="24"/>
        </w:rPr>
        <w:t xml:space="preserve"> </w:t>
      </w:r>
      <w:r>
        <w:rPr>
          <w:sz w:val="24"/>
        </w:rPr>
        <w:t>define</w:t>
      </w:r>
      <w:r>
        <w:rPr>
          <w:spacing w:val="-2"/>
          <w:sz w:val="24"/>
        </w:rPr>
        <w:t xml:space="preserve"> </w:t>
      </w:r>
      <w:r>
        <w:rPr>
          <w:sz w:val="24"/>
        </w:rPr>
        <w:t>the</w:t>
      </w:r>
      <w:r>
        <w:rPr>
          <w:spacing w:val="-3"/>
          <w:sz w:val="24"/>
        </w:rPr>
        <w:t xml:space="preserve"> </w:t>
      </w:r>
      <w:r>
        <w:rPr>
          <w:sz w:val="24"/>
        </w:rPr>
        <w:t>neuronal</w:t>
      </w:r>
      <w:r>
        <w:rPr>
          <w:spacing w:val="-1"/>
          <w:sz w:val="24"/>
        </w:rPr>
        <w:t xml:space="preserve"> </w:t>
      </w:r>
      <w:r>
        <w:rPr>
          <w:spacing w:val="-2"/>
          <w:sz w:val="24"/>
        </w:rPr>
        <w:t>subtype?</w:t>
      </w:r>
    </w:p>
    <w:p w14:paraId="2EF14708" w14:textId="77777777" w:rsidR="00564ED3" w:rsidRDefault="00564ED3" w:rsidP="00564ED3">
      <w:pPr>
        <w:pStyle w:val="ListParagraph"/>
        <w:widowControl w:val="0"/>
        <w:numPr>
          <w:ilvl w:val="0"/>
          <w:numId w:val="1"/>
        </w:numPr>
        <w:tabs>
          <w:tab w:val="left" w:pos="379"/>
        </w:tabs>
        <w:autoSpaceDE w:val="0"/>
        <w:autoSpaceDN w:val="0"/>
        <w:spacing w:after="0" w:line="275" w:lineRule="exact"/>
        <w:ind w:hanging="259"/>
        <w:contextualSpacing w:val="0"/>
        <w:rPr>
          <w:sz w:val="24"/>
        </w:rPr>
      </w:pPr>
      <w:r>
        <w:rPr>
          <w:sz w:val="24"/>
        </w:rPr>
        <w:t>What</w:t>
      </w:r>
      <w:r>
        <w:rPr>
          <w:spacing w:val="-2"/>
          <w:sz w:val="24"/>
        </w:rPr>
        <w:t xml:space="preserve"> </w:t>
      </w:r>
      <w:r>
        <w:rPr>
          <w:sz w:val="24"/>
        </w:rPr>
        <w:t>is</w:t>
      </w:r>
      <w:r>
        <w:rPr>
          <w:spacing w:val="-1"/>
          <w:sz w:val="24"/>
        </w:rPr>
        <w:t xml:space="preserve"> </w:t>
      </w:r>
      <w:r>
        <w:rPr>
          <w:sz w:val="24"/>
        </w:rPr>
        <w:t>their</w:t>
      </w:r>
      <w:r>
        <w:rPr>
          <w:spacing w:val="-1"/>
          <w:sz w:val="24"/>
        </w:rPr>
        <w:t xml:space="preserve"> </w:t>
      </w:r>
      <w:r>
        <w:rPr>
          <w:sz w:val="24"/>
        </w:rPr>
        <w:t>axial</w:t>
      </w:r>
      <w:r>
        <w:rPr>
          <w:spacing w:val="-2"/>
          <w:sz w:val="24"/>
        </w:rPr>
        <w:t xml:space="preserve"> </w:t>
      </w:r>
      <w:r>
        <w:rPr>
          <w:sz w:val="24"/>
        </w:rPr>
        <w:t>level</w:t>
      </w:r>
      <w:r>
        <w:rPr>
          <w:spacing w:val="-1"/>
          <w:sz w:val="24"/>
        </w:rPr>
        <w:t xml:space="preserve"> </w:t>
      </w:r>
      <w:r>
        <w:rPr>
          <w:sz w:val="24"/>
        </w:rPr>
        <w:t>/</w:t>
      </w:r>
      <w:r>
        <w:rPr>
          <w:spacing w:val="-1"/>
          <w:sz w:val="24"/>
        </w:rPr>
        <w:t xml:space="preserve"> </w:t>
      </w:r>
      <w:r>
        <w:rPr>
          <w:sz w:val="24"/>
        </w:rPr>
        <w:t>regional</w:t>
      </w:r>
      <w:r>
        <w:rPr>
          <w:spacing w:val="-1"/>
          <w:sz w:val="24"/>
        </w:rPr>
        <w:t xml:space="preserve"> </w:t>
      </w:r>
      <w:r>
        <w:rPr>
          <w:spacing w:val="-2"/>
          <w:sz w:val="24"/>
        </w:rPr>
        <w:t>identity?</w:t>
      </w:r>
    </w:p>
    <w:p w14:paraId="793ED2DF" w14:textId="77777777" w:rsidR="00564ED3" w:rsidRDefault="00564ED3" w:rsidP="00564ED3">
      <w:pPr>
        <w:pStyle w:val="BodyText"/>
        <w:ind w:left="0"/>
        <w:jc w:val="left"/>
      </w:pPr>
    </w:p>
    <w:p w14:paraId="7A2CB476" w14:textId="77777777" w:rsidR="00564ED3" w:rsidRDefault="00564ED3" w:rsidP="00564ED3">
      <w:pPr>
        <w:pStyle w:val="BodyText"/>
        <w:ind w:right="117"/>
      </w:pPr>
      <w:r>
        <w:rPr>
          <w:color w:val="0070C0"/>
        </w:rPr>
        <w:t xml:space="preserve">To address these questions, we conducted subtype/region-specific </w:t>
      </w:r>
      <w:proofErr w:type="spellStart"/>
      <w:r>
        <w:rPr>
          <w:color w:val="0070C0"/>
        </w:rPr>
        <w:t>MuSiC</w:t>
      </w:r>
      <w:proofErr w:type="spellEnd"/>
      <w:r>
        <w:rPr>
          <w:color w:val="0070C0"/>
        </w:rPr>
        <w:t xml:space="preserve"> analysis. Alongside the cell type deconvolution in the </w:t>
      </w:r>
      <w:r>
        <w:rPr>
          <w:b/>
          <w:color w:val="0070C0"/>
        </w:rPr>
        <w:t>Fig. S2C</w:t>
      </w:r>
      <w:r>
        <w:rPr>
          <w:color w:val="0070C0"/>
        </w:rPr>
        <w:t xml:space="preserve">, this new data suggest that induced TRE-Ngn2 neurons tend to share gene expression patterns with several groups of glutamatergic cortical/hippocampal neurons (new </w:t>
      </w:r>
      <w:r>
        <w:rPr>
          <w:b/>
          <w:color w:val="0070C0"/>
        </w:rPr>
        <w:t>Fig. S2D</w:t>
      </w:r>
      <w:r>
        <w:rPr>
          <w:color w:val="0070C0"/>
        </w:rPr>
        <w:t>). The prominence of three distinct axial/regional signatures at the final differentiation time point (Cajal-</w:t>
      </w:r>
      <w:proofErr w:type="spellStart"/>
      <w:r>
        <w:rPr>
          <w:color w:val="0070C0"/>
        </w:rPr>
        <w:t>Retzius</w:t>
      </w:r>
      <w:proofErr w:type="spellEnd"/>
      <w:r>
        <w:rPr>
          <w:color w:val="0070C0"/>
        </w:rPr>
        <w:t>, L5 pyramidal-tract cortical, and CA3 hippocampal neurons) suggests that the TRE-Ngn2 glutamatergic neurons have heterogeneous or mixed identities (</w:t>
      </w:r>
      <w:r>
        <w:rPr>
          <w:b/>
          <w:color w:val="0070C0"/>
        </w:rPr>
        <w:t>Fig. S2D</w:t>
      </w:r>
      <w:r>
        <w:rPr>
          <w:color w:val="0070C0"/>
        </w:rPr>
        <w:t>). This is not unusual for in vitro differentiation systems – for example, NGN2-induced human neurons are likely even more heterogeneous [e.g., PMID: 34358451].</w:t>
      </w:r>
    </w:p>
    <w:p w14:paraId="20141206" w14:textId="77777777" w:rsidR="00564ED3" w:rsidRDefault="00564ED3" w:rsidP="00564ED3">
      <w:pPr>
        <w:pStyle w:val="BodyText"/>
        <w:spacing w:before="3"/>
        <w:ind w:left="0"/>
        <w:jc w:val="left"/>
      </w:pPr>
    </w:p>
    <w:p w14:paraId="3D042D19" w14:textId="77777777" w:rsidR="00564ED3" w:rsidRDefault="00564ED3" w:rsidP="00564ED3">
      <w:pPr>
        <w:pStyle w:val="ListParagraph"/>
        <w:widowControl w:val="0"/>
        <w:numPr>
          <w:ilvl w:val="0"/>
          <w:numId w:val="1"/>
        </w:numPr>
        <w:tabs>
          <w:tab w:val="left" w:pos="403"/>
        </w:tabs>
        <w:autoSpaceDE w:val="0"/>
        <w:autoSpaceDN w:val="0"/>
        <w:spacing w:after="0" w:line="240" w:lineRule="auto"/>
        <w:ind w:left="120" w:right="117" w:firstLine="0"/>
        <w:contextualSpacing w:val="0"/>
        <w:jc w:val="both"/>
        <w:rPr>
          <w:sz w:val="24"/>
        </w:rPr>
      </w:pPr>
      <w:r>
        <w:rPr>
          <w:sz w:val="24"/>
        </w:rPr>
        <w:t xml:space="preserve">How enriched are the cultures for neuron subtype specific markers at the protein level? (I appreciate the </w:t>
      </w:r>
      <w:proofErr w:type="spellStart"/>
      <w:r>
        <w:rPr>
          <w:sz w:val="24"/>
        </w:rPr>
        <w:t>MuSiC</w:t>
      </w:r>
      <w:proofErr w:type="spellEnd"/>
      <w:r>
        <w:rPr>
          <w:sz w:val="24"/>
        </w:rPr>
        <w:t xml:space="preserve"> analysis, but it is only transcript level and we know that the relationship between transcript and protein is </w:t>
      </w:r>
      <w:proofErr w:type="spellStart"/>
      <w:r>
        <w:rPr>
          <w:sz w:val="24"/>
        </w:rPr>
        <w:t>non linear</w:t>
      </w:r>
      <w:proofErr w:type="spellEnd"/>
      <w:r>
        <w:rPr>
          <w:sz w:val="24"/>
        </w:rPr>
        <w:t>).</w:t>
      </w:r>
    </w:p>
    <w:p w14:paraId="6442E568" w14:textId="77777777" w:rsidR="00564ED3" w:rsidRDefault="00564ED3" w:rsidP="00564ED3">
      <w:pPr>
        <w:pStyle w:val="BodyText"/>
        <w:ind w:left="0"/>
        <w:jc w:val="left"/>
      </w:pPr>
    </w:p>
    <w:p w14:paraId="7567B200" w14:textId="77777777" w:rsidR="00564ED3" w:rsidRDefault="00564ED3" w:rsidP="00564ED3">
      <w:pPr>
        <w:pStyle w:val="BodyText"/>
        <w:ind w:right="117"/>
      </w:pPr>
      <w:r>
        <w:rPr>
          <w:color w:val="0070C0"/>
        </w:rPr>
        <w:t xml:space="preserve">We have extended our immunofluorescence analyses by co-staining mature induced neurons for pre- and post-synaptic markers (synaptophysin/SYP and DLG4/PSD-95). This produced characteristic punctate staining patterns (new </w:t>
      </w:r>
      <w:r>
        <w:rPr>
          <w:b/>
          <w:color w:val="0070C0"/>
        </w:rPr>
        <w:t>Fig. S1F</w:t>
      </w:r>
      <w:r>
        <w:rPr>
          <w:color w:val="0070C0"/>
        </w:rPr>
        <w:t xml:space="preserve">). Combined with the TUBB3/TUJ1, MAP2, and ANK3/ANKG immunofluorescence data in </w:t>
      </w:r>
      <w:r>
        <w:rPr>
          <w:b/>
          <w:color w:val="0070C0"/>
        </w:rPr>
        <w:t>Fig. S1C-E</w:t>
      </w:r>
      <w:r>
        <w:rPr>
          <w:color w:val="0070C0"/>
        </w:rPr>
        <w:t>, this argues that the upregulation of the corresponding mRNAs in differentiating TRE-Ngn2 cells (</w:t>
      </w:r>
      <w:r>
        <w:rPr>
          <w:b/>
          <w:color w:val="0070C0"/>
        </w:rPr>
        <w:t xml:space="preserve">Fig. S2B </w:t>
      </w:r>
      <w:r>
        <w:rPr>
          <w:color w:val="0070C0"/>
        </w:rPr>
        <w:t xml:space="preserve">and </w:t>
      </w:r>
      <w:r>
        <w:rPr>
          <w:b/>
          <w:color w:val="0070C0"/>
        </w:rPr>
        <w:t>Fig. S10A</w:t>
      </w:r>
      <w:r>
        <w:rPr>
          <w:color w:val="0070C0"/>
        </w:rPr>
        <w:t xml:space="preserve">) is mirrored at the protein </w:t>
      </w:r>
      <w:r>
        <w:rPr>
          <w:color w:val="0070C0"/>
          <w:spacing w:val="-2"/>
        </w:rPr>
        <w:t>level.</w:t>
      </w:r>
    </w:p>
    <w:p w14:paraId="2624A76F" w14:textId="77777777" w:rsidR="00564ED3" w:rsidRDefault="00564ED3" w:rsidP="00564ED3">
      <w:pPr>
        <w:pStyle w:val="BodyText"/>
        <w:ind w:left="0"/>
        <w:jc w:val="left"/>
      </w:pPr>
    </w:p>
    <w:p w14:paraId="6738037F" w14:textId="77777777" w:rsidR="00564ED3" w:rsidRDefault="00564ED3" w:rsidP="00564ED3">
      <w:pPr>
        <w:pStyle w:val="ListParagraph"/>
        <w:widowControl w:val="0"/>
        <w:numPr>
          <w:ilvl w:val="0"/>
          <w:numId w:val="1"/>
        </w:numPr>
        <w:tabs>
          <w:tab w:val="left" w:pos="379"/>
        </w:tabs>
        <w:autoSpaceDE w:val="0"/>
        <w:autoSpaceDN w:val="0"/>
        <w:spacing w:after="0" w:line="240" w:lineRule="auto"/>
        <w:ind w:hanging="259"/>
        <w:contextualSpacing w:val="0"/>
        <w:jc w:val="both"/>
        <w:rPr>
          <w:sz w:val="24"/>
        </w:rPr>
      </w:pPr>
      <w:r>
        <w:rPr>
          <w:sz w:val="24"/>
        </w:rPr>
        <w:t>Are</w:t>
      </w:r>
      <w:r>
        <w:rPr>
          <w:spacing w:val="-3"/>
          <w:sz w:val="24"/>
        </w:rPr>
        <w:t xml:space="preserve"> </w:t>
      </w:r>
      <w:r>
        <w:rPr>
          <w:sz w:val="24"/>
        </w:rPr>
        <w:t>the</w:t>
      </w:r>
      <w:r>
        <w:rPr>
          <w:spacing w:val="-3"/>
          <w:sz w:val="24"/>
        </w:rPr>
        <w:t xml:space="preserve"> </w:t>
      </w:r>
      <w:r>
        <w:rPr>
          <w:sz w:val="24"/>
        </w:rPr>
        <w:t>neurons</w:t>
      </w:r>
      <w:r>
        <w:rPr>
          <w:spacing w:val="-1"/>
          <w:sz w:val="24"/>
        </w:rPr>
        <w:t xml:space="preserve"> </w:t>
      </w:r>
      <w:r>
        <w:rPr>
          <w:spacing w:val="-2"/>
          <w:sz w:val="24"/>
        </w:rPr>
        <w:t>functional?</w:t>
      </w:r>
    </w:p>
    <w:p w14:paraId="6AEB057D" w14:textId="77777777" w:rsidR="00564ED3" w:rsidRDefault="00564ED3" w:rsidP="00564ED3">
      <w:pPr>
        <w:pStyle w:val="BodyText"/>
        <w:ind w:left="0"/>
        <w:jc w:val="left"/>
      </w:pPr>
    </w:p>
    <w:p w14:paraId="4BDAE683" w14:textId="77777777" w:rsidR="0031542E" w:rsidRDefault="00564ED3" w:rsidP="0031542E">
      <w:pPr>
        <w:pStyle w:val="BodyText"/>
        <w:ind w:right="117"/>
        <w:rPr>
          <w:color w:val="4F81BD"/>
        </w:rPr>
      </w:pPr>
      <w:r>
        <w:rPr>
          <w:color w:val="4F81BD"/>
        </w:rPr>
        <w:t xml:space="preserve">The current set of our immunostaining data shows that the induced neurons express both pre- and post-synaptic markers (SYP and DLG4), as well as the axon initial segment marker ANK3 </w:t>
      </w:r>
      <w:r>
        <w:rPr>
          <w:color w:val="0070C0"/>
        </w:rPr>
        <w:t>(</w:t>
      </w:r>
      <w:r>
        <w:rPr>
          <w:b/>
          <w:color w:val="0070C0"/>
        </w:rPr>
        <w:t>Fig. S1D-F</w:t>
      </w:r>
      <w:r>
        <w:rPr>
          <w:color w:val="0070C0"/>
        </w:rPr>
        <w:t>)</w:t>
      </w:r>
      <w:r>
        <w:rPr>
          <w:color w:val="4F81BD"/>
        </w:rPr>
        <w:t xml:space="preserve">. Interestingly, we often detect SYP- and DLG4- positive puncta near each other, pointing to possible synapse formation (see close-ups in the newly added panel </w:t>
      </w:r>
      <w:r>
        <w:rPr>
          <w:b/>
          <w:color w:val="4F81BD"/>
        </w:rPr>
        <w:t>Fig. S1F</w:t>
      </w:r>
      <w:r>
        <w:rPr>
          <w:color w:val="4F81BD"/>
        </w:rPr>
        <w:t>). We believe that more involved tests for neuronal functionality would go outside of the scope of our study, which is focused on a gene regulation mechanism.</w:t>
      </w:r>
    </w:p>
    <w:p w14:paraId="14209A38" w14:textId="479C2241" w:rsidR="00564ED3" w:rsidRDefault="00564ED3" w:rsidP="0031542E">
      <w:pPr>
        <w:pStyle w:val="BodyText"/>
        <w:ind w:right="117"/>
      </w:pPr>
      <w:r>
        <w:t>How close are these to the regional identity / maturity of then primary cortical cultures used later in this study?</w:t>
      </w:r>
    </w:p>
    <w:p w14:paraId="41C91150" w14:textId="77777777" w:rsidR="00564ED3" w:rsidRDefault="00564ED3" w:rsidP="00564ED3">
      <w:pPr>
        <w:pStyle w:val="BodyText"/>
        <w:ind w:left="0"/>
        <w:jc w:val="left"/>
      </w:pPr>
    </w:p>
    <w:p w14:paraId="59AA0207" w14:textId="77777777" w:rsidR="00564ED3" w:rsidRDefault="00564ED3" w:rsidP="00564ED3">
      <w:pPr>
        <w:pStyle w:val="BodyText"/>
        <w:spacing w:before="1"/>
        <w:ind w:right="117"/>
      </w:pPr>
      <w:r>
        <w:rPr>
          <w:color w:val="0070C0"/>
        </w:rPr>
        <w:t xml:space="preserve">Correlating gene expression between different samples (new </w:t>
      </w:r>
      <w:r>
        <w:rPr>
          <w:b/>
          <w:color w:val="0070C0"/>
        </w:rPr>
        <w:t>Fig. S4D</w:t>
      </w:r>
      <w:r>
        <w:rPr>
          <w:color w:val="0070C0"/>
        </w:rPr>
        <w:t>) suggests that the day-in-vitro 5 (DIV5) and day-in-vitro 21 (DIV21) cortical neurons used in our work correspond to the differentiation day 12 and 24 TRE-Ngn2 neurons,</w:t>
      </w:r>
      <w:r>
        <w:rPr>
          <w:color w:val="0070C0"/>
          <w:spacing w:val="40"/>
        </w:rPr>
        <w:t xml:space="preserve"> </w:t>
      </w:r>
      <w:r>
        <w:rPr>
          <w:color w:val="0070C0"/>
          <w:spacing w:val="-2"/>
        </w:rPr>
        <w:t>respectively.</w:t>
      </w:r>
    </w:p>
    <w:p w14:paraId="6A1CA9D2" w14:textId="77777777" w:rsidR="00564ED3" w:rsidRDefault="00564ED3" w:rsidP="00564ED3">
      <w:pPr>
        <w:pStyle w:val="BodyText"/>
        <w:spacing w:before="2"/>
        <w:ind w:left="0"/>
        <w:jc w:val="left"/>
      </w:pPr>
    </w:p>
    <w:p w14:paraId="68ABD0FA" w14:textId="77777777" w:rsidR="00564ED3" w:rsidRDefault="00564ED3" w:rsidP="00564ED3">
      <w:pPr>
        <w:pStyle w:val="BodyText"/>
        <w:spacing w:line="275" w:lineRule="exact"/>
      </w:pPr>
      <w:r>
        <w:t>Bioinformatics</w:t>
      </w:r>
      <w:r>
        <w:rPr>
          <w:spacing w:val="-3"/>
        </w:rPr>
        <w:t xml:space="preserve"> </w:t>
      </w:r>
      <w:r>
        <w:rPr>
          <w:spacing w:val="-10"/>
        </w:rPr>
        <w:t>-</w:t>
      </w:r>
    </w:p>
    <w:p w14:paraId="227CF20B" w14:textId="77777777" w:rsidR="00564ED3" w:rsidRDefault="00564ED3" w:rsidP="00564ED3">
      <w:pPr>
        <w:pStyle w:val="ListParagraph"/>
        <w:widowControl w:val="0"/>
        <w:numPr>
          <w:ilvl w:val="0"/>
          <w:numId w:val="1"/>
        </w:numPr>
        <w:tabs>
          <w:tab w:val="left" w:pos="408"/>
        </w:tabs>
        <w:autoSpaceDE w:val="0"/>
        <w:autoSpaceDN w:val="0"/>
        <w:spacing w:after="0" w:line="240" w:lineRule="auto"/>
        <w:ind w:left="120" w:right="117" w:firstLine="0"/>
        <w:contextualSpacing w:val="0"/>
        <w:jc w:val="both"/>
        <w:rPr>
          <w:sz w:val="24"/>
        </w:rPr>
      </w:pPr>
      <w:r>
        <w:rPr>
          <w:sz w:val="24"/>
        </w:rPr>
        <w:t>tools to predict NMD are not reliable (i.e. poor overlap between those predicted and those identified by experiments). The superiority of the approach employed here could be articulated more definitively.</w:t>
      </w:r>
    </w:p>
    <w:p w14:paraId="2E5E6710" w14:textId="77777777" w:rsidR="00564ED3" w:rsidRDefault="00564ED3" w:rsidP="00564ED3">
      <w:pPr>
        <w:pStyle w:val="BodyText"/>
        <w:spacing w:before="275" w:line="242" w:lineRule="auto"/>
        <w:ind w:right="117"/>
      </w:pPr>
      <w:r>
        <w:rPr>
          <w:color w:val="0070C0"/>
        </w:rPr>
        <w:t>We have added a new table (</w:t>
      </w:r>
      <w:r>
        <w:rPr>
          <w:b/>
          <w:color w:val="0070C0"/>
        </w:rPr>
        <w:t>Table S1</w:t>
      </w:r>
      <w:r>
        <w:rPr>
          <w:color w:val="0070C0"/>
        </w:rPr>
        <w:t xml:space="preserve">) highlighting the improvements offered by </w:t>
      </w:r>
      <w:proofErr w:type="spellStart"/>
      <w:r>
        <w:rPr>
          <w:color w:val="0070C0"/>
        </w:rPr>
        <w:t>factR</w:t>
      </w:r>
      <w:proofErr w:type="spellEnd"/>
      <w:r>
        <w:rPr>
          <w:color w:val="0070C0"/>
        </w:rPr>
        <w:t xml:space="preserve"> compared to other currently available packages.</w:t>
      </w:r>
    </w:p>
    <w:p w14:paraId="76A4AD32" w14:textId="77777777" w:rsidR="00564ED3" w:rsidRDefault="00564ED3" w:rsidP="00564ED3">
      <w:pPr>
        <w:pStyle w:val="ListParagraph"/>
        <w:widowControl w:val="0"/>
        <w:numPr>
          <w:ilvl w:val="0"/>
          <w:numId w:val="1"/>
        </w:numPr>
        <w:tabs>
          <w:tab w:val="left" w:pos="404"/>
        </w:tabs>
        <w:autoSpaceDE w:val="0"/>
        <w:autoSpaceDN w:val="0"/>
        <w:spacing w:before="275" w:after="0" w:line="237" w:lineRule="auto"/>
        <w:ind w:left="120" w:right="117" w:firstLine="0"/>
        <w:contextualSpacing w:val="0"/>
        <w:jc w:val="both"/>
        <w:rPr>
          <w:sz w:val="24"/>
        </w:rPr>
      </w:pPr>
      <w:r>
        <w:rPr>
          <w:sz w:val="24"/>
        </w:rPr>
        <w:t xml:space="preserve">Can the authors comment on their choice of splicing tool in terms of advantages </w:t>
      </w:r>
      <w:r>
        <w:rPr>
          <w:sz w:val="24"/>
        </w:rPr>
        <w:lastRenderedPageBreak/>
        <w:t>over others (</w:t>
      </w:r>
      <w:proofErr w:type="spellStart"/>
      <w:r>
        <w:rPr>
          <w:sz w:val="24"/>
        </w:rPr>
        <w:t>rMATs</w:t>
      </w:r>
      <w:proofErr w:type="spellEnd"/>
      <w:r>
        <w:rPr>
          <w:sz w:val="24"/>
        </w:rPr>
        <w:t>, MAGIQ etc).</w:t>
      </w:r>
    </w:p>
    <w:p w14:paraId="269555F2" w14:textId="77777777" w:rsidR="00564ED3" w:rsidRDefault="00564ED3" w:rsidP="00564ED3">
      <w:pPr>
        <w:pStyle w:val="BodyText"/>
        <w:spacing w:before="1"/>
        <w:ind w:left="0"/>
        <w:jc w:val="left"/>
      </w:pPr>
    </w:p>
    <w:p w14:paraId="4A0EE547" w14:textId="77777777" w:rsidR="00564ED3" w:rsidRDefault="00564ED3" w:rsidP="00564ED3">
      <w:pPr>
        <w:pStyle w:val="BodyText"/>
        <w:ind w:right="117"/>
      </w:pPr>
      <w:r>
        <w:rPr>
          <w:color w:val="0070C0"/>
        </w:rPr>
        <w:t xml:space="preserve">We selected Whippet because it is fast and has very modest memory requirements. We could not use MAJIQ because it focuses on </w:t>
      </w:r>
      <w:r>
        <w:rPr>
          <w:b/>
          <w:color w:val="0070C0"/>
        </w:rPr>
        <w:t>splice junctions</w:t>
      </w:r>
      <w:r>
        <w:rPr>
          <w:color w:val="0070C0"/>
        </w:rPr>
        <w:t xml:space="preserve">, while we wanted to identify NMD-associated </w:t>
      </w:r>
      <w:r>
        <w:rPr>
          <w:b/>
          <w:color w:val="0070C0"/>
        </w:rPr>
        <w:t>events</w:t>
      </w:r>
      <w:r>
        <w:rPr>
          <w:color w:val="0070C0"/>
        </w:rPr>
        <w:t xml:space="preserve">. To check if the choice of splicing tools matters, we reanalyzed our data by the event-centric program </w:t>
      </w:r>
      <w:proofErr w:type="spellStart"/>
      <w:r>
        <w:rPr>
          <w:color w:val="0070C0"/>
        </w:rPr>
        <w:t>rMATS</w:t>
      </w:r>
      <w:proofErr w:type="spellEnd"/>
      <w:r>
        <w:rPr>
          <w:color w:val="0070C0"/>
        </w:rPr>
        <w:t>. The new result (</w:t>
      </w:r>
      <w:r>
        <w:rPr>
          <w:b/>
          <w:color w:val="0070C0"/>
        </w:rPr>
        <w:t>Fig. S3D</w:t>
      </w:r>
      <w:r>
        <w:rPr>
          <w:color w:val="0070C0"/>
        </w:rPr>
        <w:t>) closely resembles the original Whippet-produced panel (</w:t>
      </w:r>
      <w:r>
        <w:rPr>
          <w:b/>
          <w:color w:val="0070C0"/>
        </w:rPr>
        <w:t>Fig. 1E</w:t>
      </w:r>
      <w:r>
        <w:rPr>
          <w:color w:val="0070C0"/>
        </w:rPr>
        <w:t>), confirming the robustness of our AS-NMD event shortlisting procedure.</w:t>
      </w:r>
    </w:p>
    <w:p w14:paraId="387EAFC2" w14:textId="77777777" w:rsidR="00564ED3" w:rsidRDefault="00564ED3" w:rsidP="00564ED3">
      <w:pPr>
        <w:pStyle w:val="BodyText"/>
        <w:spacing w:before="3"/>
        <w:ind w:left="0"/>
        <w:jc w:val="left"/>
      </w:pPr>
    </w:p>
    <w:p w14:paraId="6F296C95" w14:textId="77777777" w:rsidR="00564ED3" w:rsidRDefault="00564ED3" w:rsidP="00564ED3">
      <w:pPr>
        <w:pStyle w:val="BodyText"/>
        <w:spacing w:line="275" w:lineRule="exact"/>
        <w:jc w:val="left"/>
      </w:pPr>
      <w:r>
        <w:rPr>
          <w:spacing w:val="-2"/>
        </w:rPr>
        <w:t>Tools</w:t>
      </w:r>
    </w:p>
    <w:p w14:paraId="2337786E" w14:textId="77777777" w:rsidR="00564ED3" w:rsidRDefault="00564ED3" w:rsidP="00564ED3">
      <w:pPr>
        <w:pStyle w:val="ListParagraph"/>
        <w:widowControl w:val="0"/>
        <w:numPr>
          <w:ilvl w:val="0"/>
          <w:numId w:val="1"/>
        </w:numPr>
        <w:tabs>
          <w:tab w:val="left" w:pos="401"/>
        </w:tabs>
        <w:autoSpaceDE w:val="0"/>
        <w:autoSpaceDN w:val="0"/>
        <w:spacing w:after="0" w:line="242" w:lineRule="auto"/>
        <w:ind w:left="120" w:right="117" w:firstLine="0"/>
        <w:contextualSpacing w:val="0"/>
        <w:rPr>
          <w:sz w:val="24"/>
        </w:rPr>
      </w:pPr>
      <w:r>
        <w:rPr>
          <w:sz w:val="24"/>
        </w:rPr>
        <w:t xml:space="preserve">CHX is a </w:t>
      </w:r>
      <w:proofErr w:type="spellStart"/>
      <w:r>
        <w:rPr>
          <w:sz w:val="24"/>
        </w:rPr>
        <w:t>non specific</w:t>
      </w:r>
      <w:proofErr w:type="spellEnd"/>
      <w:r>
        <w:rPr>
          <w:sz w:val="24"/>
        </w:rPr>
        <w:t xml:space="preserve"> tool to inhibit NMD - orthogonality is required e.g. UPF1</w:t>
      </w:r>
      <w:r>
        <w:rPr>
          <w:spacing w:val="80"/>
          <w:w w:val="150"/>
          <w:sz w:val="24"/>
        </w:rPr>
        <w:t xml:space="preserve"> </w:t>
      </w:r>
      <w:r>
        <w:rPr>
          <w:sz w:val="24"/>
        </w:rPr>
        <w:t>KD and/or SMG7 KD, overlapping identified targets.</w:t>
      </w:r>
    </w:p>
    <w:p w14:paraId="2213E7CF" w14:textId="77777777" w:rsidR="00564ED3" w:rsidRDefault="00564ED3" w:rsidP="00564ED3">
      <w:pPr>
        <w:pStyle w:val="BodyText"/>
        <w:spacing w:before="271"/>
        <w:ind w:right="117"/>
      </w:pPr>
      <w:r>
        <w:rPr>
          <w:color w:val="0070C0"/>
        </w:rPr>
        <w:t xml:space="preserve">We analyzed the effect of UPF1 knockdown for the three shortlisted targets (Fmnl3, Iqgap1 and Ripk1; revised </w:t>
      </w:r>
      <w:r>
        <w:rPr>
          <w:b/>
          <w:color w:val="0070C0"/>
        </w:rPr>
        <w:t>Fig. S12</w:t>
      </w:r>
      <w:r>
        <w:rPr>
          <w:color w:val="0070C0"/>
        </w:rPr>
        <w:t>). Although the knockdown of UPF1 was only partial (</w:t>
      </w:r>
      <w:r>
        <w:rPr>
          <w:b/>
          <w:color w:val="0070C0"/>
        </w:rPr>
        <w:t>Fig. S12A</w:t>
      </w:r>
      <w:r>
        <w:rPr>
          <w:color w:val="0070C0"/>
        </w:rPr>
        <w:t>), we detected statistically significant rescue of all three targets in siPtbp1-treated samples (</w:t>
      </w:r>
      <w:r>
        <w:rPr>
          <w:b/>
          <w:color w:val="0070C0"/>
        </w:rPr>
        <w:t>Fig. S12B-D</w:t>
      </w:r>
      <w:r>
        <w:rPr>
          <w:color w:val="0070C0"/>
        </w:rPr>
        <w:t>).</w:t>
      </w:r>
    </w:p>
    <w:p w14:paraId="70B0AD7D" w14:textId="77777777" w:rsidR="00564ED3" w:rsidRDefault="00564ED3" w:rsidP="00564ED3">
      <w:pPr>
        <w:pStyle w:val="BodyText"/>
        <w:spacing w:before="274"/>
        <w:jc w:val="left"/>
      </w:pPr>
      <w:r>
        <w:rPr>
          <w:spacing w:val="-2"/>
        </w:rPr>
        <w:t>Discussion</w:t>
      </w:r>
    </w:p>
    <w:p w14:paraId="44FC8494" w14:textId="77777777" w:rsidR="00564ED3" w:rsidRDefault="00564ED3" w:rsidP="00564ED3">
      <w:pPr>
        <w:pStyle w:val="ListParagraph"/>
        <w:widowControl w:val="0"/>
        <w:numPr>
          <w:ilvl w:val="0"/>
          <w:numId w:val="1"/>
        </w:numPr>
        <w:tabs>
          <w:tab w:val="left" w:pos="383"/>
        </w:tabs>
        <w:autoSpaceDE w:val="0"/>
        <w:autoSpaceDN w:val="0"/>
        <w:spacing w:before="5" w:after="0" w:line="237" w:lineRule="auto"/>
        <w:ind w:left="120" w:right="117" w:firstLine="0"/>
        <w:contextualSpacing w:val="0"/>
        <w:rPr>
          <w:sz w:val="24"/>
        </w:rPr>
      </w:pPr>
      <w:r>
        <w:rPr>
          <w:sz w:val="24"/>
        </w:rPr>
        <w:t>can the authors expand their discussion on specific non NMD forms of RNA decay and their relevance in this context.</w:t>
      </w:r>
    </w:p>
    <w:p w14:paraId="2676F876" w14:textId="77777777" w:rsidR="00564ED3" w:rsidRDefault="00564ED3" w:rsidP="00564ED3">
      <w:pPr>
        <w:pStyle w:val="BodyText"/>
        <w:spacing w:before="1"/>
        <w:ind w:left="0"/>
        <w:jc w:val="left"/>
      </w:pPr>
    </w:p>
    <w:p w14:paraId="3D26806A" w14:textId="77777777" w:rsidR="00564ED3" w:rsidRDefault="00564ED3" w:rsidP="00564ED3">
      <w:pPr>
        <w:pStyle w:val="BodyText"/>
        <w:ind w:right="117"/>
      </w:pPr>
      <w:r>
        <w:rPr>
          <w:color w:val="0070C0"/>
        </w:rPr>
        <w:t>To address this comment, we have added the following sentence with some relevant references</w:t>
      </w:r>
      <w:r>
        <w:rPr>
          <w:color w:val="0070C0"/>
          <w:spacing w:val="-1"/>
        </w:rPr>
        <w:t xml:space="preserve"> </w:t>
      </w:r>
      <w:r>
        <w:rPr>
          <w:color w:val="0070C0"/>
        </w:rPr>
        <w:t>on</w:t>
      </w:r>
      <w:r>
        <w:rPr>
          <w:color w:val="0070C0"/>
          <w:spacing w:val="-1"/>
        </w:rPr>
        <w:t xml:space="preserve"> </w:t>
      </w:r>
      <w:r>
        <w:rPr>
          <w:b/>
          <w:color w:val="0070C0"/>
        </w:rPr>
        <w:t>page</w:t>
      </w:r>
      <w:r>
        <w:rPr>
          <w:b/>
          <w:color w:val="0070C0"/>
          <w:spacing w:val="-1"/>
        </w:rPr>
        <w:t xml:space="preserve"> </w:t>
      </w:r>
      <w:r>
        <w:rPr>
          <w:b/>
          <w:color w:val="0070C0"/>
        </w:rPr>
        <w:t>22</w:t>
      </w:r>
      <w:r>
        <w:rPr>
          <w:color w:val="0070C0"/>
        </w:rPr>
        <w:t>:</w:t>
      </w:r>
      <w:r>
        <w:rPr>
          <w:color w:val="0070C0"/>
          <w:spacing w:val="-1"/>
        </w:rPr>
        <w:t xml:space="preserve"> </w:t>
      </w:r>
      <w:r>
        <w:rPr>
          <w:color w:val="0070C0"/>
        </w:rPr>
        <w:t>"Exploring</w:t>
      </w:r>
      <w:r>
        <w:rPr>
          <w:color w:val="0070C0"/>
          <w:spacing w:val="-1"/>
        </w:rPr>
        <w:t xml:space="preserve"> </w:t>
      </w:r>
      <w:r>
        <w:rPr>
          <w:color w:val="0070C0"/>
        </w:rPr>
        <w:t>potential</w:t>
      </w:r>
      <w:r>
        <w:rPr>
          <w:color w:val="0070C0"/>
          <w:spacing w:val="-1"/>
        </w:rPr>
        <w:t xml:space="preserve"> </w:t>
      </w:r>
      <w:r>
        <w:rPr>
          <w:color w:val="0070C0"/>
        </w:rPr>
        <w:t>crosstalk</w:t>
      </w:r>
      <w:r>
        <w:rPr>
          <w:color w:val="0070C0"/>
          <w:spacing w:val="-1"/>
        </w:rPr>
        <w:t xml:space="preserve"> </w:t>
      </w:r>
      <w:r>
        <w:rPr>
          <w:color w:val="0070C0"/>
        </w:rPr>
        <w:t>between</w:t>
      </w:r>
      <w:r>
        <w:rPr>
          <w:color w:val="0070C0"/>
          <w:spacing w:val="-1"/>
        </w:rPr>
        <w:t xml:space="preserve"> </w:t>
      </w:r>
      <w:r>
        <w:rPr>
          <w:color w:val="0070C0"/>
        </w:rPr>
        <w:t>AS-NMD</w:t>
      </w:r>
      <w:r>
        <w:rPr>
          <w:color w:val="0070C0"/>
          <w:spacing w:val="-1"/>
        </w:rPr>
        <w:t xml:space="preserve"> </w:t>
      </w:r>
      <w:r>
        <w:rPr>
          <w:color w:val="0070C0"/>
        </w:rPr>
        <w:t>and</w:t>
      </w:r>
      <w:r>
        <w:rPr>
          <w:color w:val="0070C0"/>
          <w:spacing w:val="-1"/>
        </w:rPr>
        <w:t xml:space="preserve"> </w:t>
      </w:r>
      <w:r>
        <w:rPr>
          <w:color w:val="0070C0"/>
        </w:rPr>
        <w:t>these,</w:t>
      </w:r>
      <w:r>
        <w:rPr>
          <w:color w:val="0070C0"/>
          <w:spacing w:val="-1"/>
        </w:rPr>
        <w:t xml:space="preserve"> </w:t>
      </w:r>
      <w:r>
        <w:rPr>
          <w:color w:val="0070C0"/>
        </w:rPr>
        <w:t>as well as other processes regulating mRNA stability, nucleocytoplasmic distribution, and translational activity [77-79] in different developmental and physiological contexts may unveil novel mechanisms regulating eukaryotic gene expression."</w:t>
      </w:r>
    </w:p>
    <w:p w14:paraId="0919292B" w14:textId="77777777" w:rsidR="00564ED3" w:rsidRDefault="00564ED3" w:rsidP="00564ED3">
      <w:pPr>
        <w:pStyle w:val="BodyText"/>
        <w:ind w:left="0"/>
        <w:jc w:val="left"/>
      </w:pPr>
    </w:p>
    <w:p w14:paraId="254D151D" w14:textId="77777777" w:rsidR="00564ED3" w:rsidRDefault="00564ED3" w:rsidP="00564ED3">
      <w:pPr>
        <w:pStyle w:val="ListParagraph"/>
        <w:widowControl w:val="0"/>
        <w:numPr>
          <w:ilvl w:val="0"/>
          <w:numId w:val="1"/>
        </w:numPr>
        <w:tabs>
          <w:tab w:val="left" w:pos="521"/>
        </w:tabs>
        <w:autoSpaceDE w:val="0"/>
        <w:autoSpaceDN w:val="0"/>
        <w:spacing w:after="0" w:line="240" w:lineRule="auto"/>
        <w:ind w:left="120" w:right="117" w:firstLine="0"/>
        <w:contextualSpacing w:val="0"/>
        <w:jc w:val="both"/>
        <w:rPr>
          <w:sz w:val="24"/>
        </w:rPr>
      </w:pPr>
      <w:r>
        <w:rPr>
          <w:sz w:val="24"/>
        </w:rPr>
        <w:t>Can the authors speculate on how uniform this model would be across different neuronal subtypes, glia and other tissues (I appreciated very much the comparison to granulocytes and agree this argues for broad relevance).</w:t>
      </w:r>
    </w:p>
    <w:p w14:paraId="57DBBD6E" w14:textId="77777777" w:rsidR="00564ED3" w:rsidRDefault="00564ED3" w:rsidP="00564ED3">
      <w:pPr>
        <w:pStyle w:val="BodyText"/>
        <w:spacing w:before="76"/>
        <w:ind w:right="117"/>
      </w:pPr>
      <w:r>
        <w:rPr>
          <w:color w:val="0070C0"/>
        </w:rPr>
        <w:t>We have characterized dentate gyrus granule cells, as an example of a distinct group of neurons (</w:t>
      </w:r>
      <w:r>
        <w:rPr>
          <w:b/>
          <w:color w:val="0070C0"/>
        </w:rPr>
        <w:t>pages 17-18</w:t>
      </w:r>
      <w:r>
        <w:rPr>
          <w:color w:val="0070C0"/>
        </w:rPr>
        <w:t xml:space="preserve">; </w:t>
      </w:r>
      <w:r>
        <w:rPr>
          <w:b/>
          <w:color w:val="0070C0"/>
        </w:rPr>
        <w:t>Fig. 6A-D</w:t>
      </w:r>
      <w:r>
        <w:rPr>
          <w:color w:val="0070C0"/>
        </w:rPr>
        <w:t xml:space="preserve">). This analysis identified numerous AS-NMD targets that partially overlapped their TRE-Ngn2 counterparts (revised </w:t>
      </w:r>
      <w:r>
        <w:rPr>
          <w:b/>
          <w:color w:val="0070C0"/>
        </w:rPr>
        <w:t>Table S6</w:t>
      </w:r>
      <w:r>
        <w:rPr>
          <w:color w:val="0070C0"/>
        </w:rPr>
        <w:t>). A separate study will be required for systematic comparisons of AS-NMD targets across different tissues and cell types.</w:t>
      </w:r>
    </w:p>
    <w:p w14:paraId="23FF03E6" w14:textId="77777777" w:rsidR="00564ED3" w:rsidRDefault="00564ED3" w:rsidP="00564ED3">
      <w:pPr>
        <w:pStyle w:val="BodyText"/>
        <w:ind w:left="0"/>
        <w:jc w:val="left"/>
      </w:pPr>
    </w:p>
    <w:p w14:paraId="0945475B" w14:textId="77777777" w:rsidR="00564ED3" w:rsidRDefault="00564ED3" w:rsidP="00564ED3">
      <w:pPr>
        <w:pStyle w:val="ListParagraph"/>
        <w:widowControl w:val="0"/>
        <w:numPr>
          <w:ilvl w:val="0"/>
          <w:numId w:val="1"/>
        </w:numPr>
        <w:tabs>
          <w:tab w:val="left" w:pos="670"/>
          <w:tab w:val="left" w:pos="1315"/>
          <w:tab w:val="left" w:pos="1706"/>
          <w:tab w:val="left" w:pos="2230"/>
          <w:tab w:val="left" w:pos="3554"/>
          <w:tab w:val="left" w:pos="4159"/>
          <w:tab w:val="left" w:pos="4923"/>
          <w:tab w:val="left" w:pos="5341"/>
          <w:tab w:val="left" w:pos="5678"/>
          <w:tab w:val="left" w:pos="6616"/>
          <w:tab w:val="left" w:pos="7594"/>
        </w:tabs>
        <w:autoSpaceDE w:val="0"/>
        <w:autoSpaceDN w:val="0"/>
        <w:spacing w:before="1" w:after="0" w:line="240" w:lineRule="auto"/>
        <w:ind w:left="670" w:hanging="550"/>
        <w:contextualSpacing w:val="0"/>
        <w:rPr>
          <w:sz w:val="24"/>
        </w:rPr>
      </w:pPr>
      <w:r>
        <w:rPr>
          <w:spacing w:val="-5"/>
          <w:sz w:val="24"/>
        </w:rPr>
        <w:t>how</w:t>
      </w:r>
      <w:r>
        <w:rPr>
          <w:sz w:val="24"/>
        </w:rPr>
        <w:tab/>
      </w:r>
      <w:r>
        <w:rPr>
          <w:spacing w:val="-5"/>
          <w:sz w:val="24"/>
        </w:rPr>
        <w:t>is</w:t>
      </w:r>
      <w:r>
        <w:rPr>
          <w:sz w:val="24"/>
        </w:rPr>
        <w:tab/>
      </w:r>
      <w:r>
        <w:rPr>
          <w:spacing w:val="-5"/>
          <w:sz w:val="24"/>
        </w:rPr>
        <w:t>the</w:t>
      </w:r>
      <w:r>
        <w:rPr>
          <w:sz w:val="24"/>
        </w:rPr>
        <w:tab/>
      </w:r>
      <w:r>
        <w:rPr>
          <w:spacing w:val="-2"/>
          <w:sz w:val="24"/>
        </w:rPr>
        <w:t>mechanism</w:t>
      </w:r>
      <w:r>
        <w:rPr>
          <w:sz w:val="24"/>
        </w:rPr>
        <w:tab/>
      </w:r>
      <w:proofErr w:type="spellStart"/>
      <w:r>
        <w:rPr>
          <w:spacing w:val="-4"/>
          <w:sz w:val="24"/>
        </w:rPr>
        <w:t>fine</w:t>
      </w:r>
      <w:r>
        <w:rPr>
          <w:sz w:val="24"/>
        </w:rPr>
        <w:tab/>
      </w:r>
      <w:r>
        <w:rPr>
          <w:spacing w:val="-2"/>
          <w:sz w:val="24"/>
        </w:rPr>
        <w:t>tuned</w:t>
      </w:r>
      <w:proofErr w:type="spellEnd"/>
      <w:r>
        <w:rPr>
          <w:sz w:val="24"/>
        </w:rPr>
        <w:tab/>
      </w:r>
      <w:r>
        <w:rPr>
          <w:spacing w:val="-5"/>
          <w:sz w:val="24"/>
        </w:rPr>
        <w:t>in</w:t>
      </w:r>
      <w:r>
        <w:rPr>
          <w:sz w:val="24"/>
        </w:rPr>
        <w:tab/>
      </w:r>
      <w:r>
        <w:rPr>
          <w:spacing w:val="-10"/>
          <w:sz w:val="24"/>
        </w:rPr>
        <w:t>a</w:t>
      </w:r>
      <w:r>
        <w:rPr>
          <w:sz w:val="24"/>
        </w:rPr>
        <w:tab/>
      </w:r>
      <w:r>
        <w:rPr>
          <w:spacing w:val="-2"/>
          <w:sz w:val="24"/>
        </w:rPr>
        <w:t>context</w:t>
      </w:r>
      <w:r>
        <w:rPr>
          <w:sz w:val="24"/>
        </w:rPr>
        <w:tab/>
      </w:r>
      <w:r>
        <w:rPr>
          <w:spacing w:val="-2"/>
          <w:sz w:val="24"/>
        </w:rPr>
        <w:t>specific</w:t>
      </w:r>
      <w:r>
        <w:rPr>
          <w:sz w:val="24"/>
        </w:rPr>
        <w:tab/>
      </w:r>
      <w:r>
        <w:rPr>
          <w:spacing w:val="-2"/>
          <w:sz w:val="24"/>
        </w:rPr>
        <w:t>manner?</w:t>
      </w:r>
    </w:p>
    <w:p w14:paraId="41CF1565" w14:textId="77777777" w:rsidR="00564ED3" w:rsidRDefault="00564ED3" w:rsidP="00564ED3">
      <w:pPr>
        <w:pStyle w:val="BodyText"/>
        <w:spacing w:before="276"/>
        <w:ind w:right="117"/>
      </w:pPr>
      <w:r>
        <w:rPr>
          <w:color w:val="0070C0"/>
        </w:rPr>
        <w:t xml:space="preserve">The revised Discussion alludes to potential RPB-based mechanisms, as well as the crosstalk between AS-NMD and other post-transcriptional processes (see </w:t>
      </w:r>
      <w:r>
        <w:rPr>
          <w:b/>
          <w:color w:val="0070C0"/>
        </w:rPr>
        <w:t>pages 21- 22</w:t>
      </w:r>
      <w:r>
        <w:rPr>
          <w:color w:val="0070C0"/>
        </w:rPr>
        <w:t>). We feel that a more elaborate discussion would be too speculative at this stage.</w:t>
      </w:r>
    </w:p>
    <w:p w14:paraId="4074AB64" w14:textId="77777777" w:rsidR="00564ED3" w:rsidRDefault="00564ED3" w:rsidP="00564ED3">
      <w:pPr>
        <w:pStyle w:val="BodyText"/>
        <w:spacing w:before="276" w:line="275" w:lineRule="exact"/>
        <w:jc w:val="left"/>
      </w:pPr>
      <w:r>
        <w:rPr>
          <w:spacing w:val="-2"/>
        </w:rPr>
        <w:t>Figures:</w:t>
      </w:r>
    </w:p>
    <w:p w14:paraId="56E00427" w14:textId="77777777" w:rsidR="00564ED3" w:rsidRDefault="00564ED3" w:rsidP="00564ED3">
      <w:pPr>
        <w:pStyle w:val="ListParagraph"/>
        <w:widowControl w:val="0"/>
        <w:numPr>
          <w:ilvl w:val="0"/>
          <w:numId w:val="1"/>
        </w:numPr>
        <w:tabs>
          <w:tab w:val="left" w:pos="518"/>
        </w:tabs>
        <w:autoSpaceDE w:val="0"/>
        <w:autoSpaceDN w:val="0"/>
        <w:spacing w:after="0" w:line="240" w:lineRule="auto"/>
        <w:ind w:left="120" w:right="117" w:firstLine="0"/>
        <w:contextualSpacing w:val="0"/>
        <w:jc w:val="both"/>
        <w:rPr>
          <w:sz w:val="24"/>
        </w:rPr>
      </w:pPr>
      <w:r>
        <w:rPr>
          <w:sz w:val="24"/>
        </w:rPr>
        <w:t xml:space="preserve">What is the structure shown in S1 D? This 'ball and chain' </w:t>
      </w:r>
      <w:proofErr w:type="spellStart"/>
      <w:r>
        <w:rPr>
          <w:sz w:val="24"/>
        </w:rPr>
        <w:t>apprearance</w:t>
      </w:r>
      <w:proofErr w:type="spellEnd"/>
      <w:r>
        <w:rPr>
          <w:sz w:val="24"/>
        </w:rPr>
        <w:t xml:space="preserve"> suggests the cell bodies have formed 3D clusters with 'fascicles' protruding. This makes analysis esp. omit analysis challenging as it adds the confounding variable of a</w:t>
      </w:r>
      <w:r>
        <w:rPr>
          <w:spacing w:val="40"/>
          <w:sz w:val="24"/>
        </w:rPr>
        <w:t xml:space="preserve"> </w:t>
      </w:r>
      <w:r>
        <w:rPr>
          <w:sz w:val="24"/>
        </w:rPr>
        <w:t xml:space="preserve">change in cell-cell interactions - please can the authors comment on this. There are solutions to maintain the cultures as a monolayer e.g. using a cationic substrate like </w:t>
      </w:r>
      <w:r>
        <w:rPr>
          <w:spacing w:val="-4"/>
          <w:sz w:val="24"/>
        </w:rPr>
        <w:t>PEI</w:t>
      </w:r>
    </w:p>
    <w:p w14:paraId="6B0C2A6D" w14:textId="77777777" w:rsidR="00564ED3" w:rsidRDefault="00564ED3" w:rsidP="00564ED3">
      <w:pPr>
        <w:pStyle w:val="BodyText"/>
        <w:spacing w:before="1"/>
        <w:ind w:left="0"/>
        <w:jc w:val="left"/>
      </w:pPr>
    </w:p>
    <w:p w14:paraId="4CC484C5" w14:textId="77777777" w:rsidR="00564ED3" w:rsidRDefault="00564ED3" w:rsidP="00564ED3">
      <w:pPr>
        <w:pStyle w:val="BodyText"/>
        <w:ind w:right="117"/>
      </w:pPr>
      <w:r>
        <w:rPr>
          <w:b/>
          <w:color w:val="0070C0"/>
        </w:rPr>
        <w:t xml:space="preserve">Fig. S1D </w:t>
      </w:r>
      <w:r>
        <w:rPr>
          <w:color w:val="0070C0"/>
        </w:rPr>
        <w:t xml:space="preserve">shows an individual neuron, and we have now added DAPI staining for clarity. In our procedure, surfaces are coated with diluted </w:t>
      </w:r>
      <w:proofErr w:type="spellStart"/>
      <w:r>
        <w:rPr>
          <w:color w:val="0070C0"/>
        </w:rPr>
        <w:t>Geltrex</w:t>
      </w:r>
      <w:proofErr w:type="spellEnd"/>
      <w:r>
        <w:rPr>
          <w:color w:val="0070C0"/>
        </w:rPr>
        <w:t xml:space="preserve"> to minimize clustering of neuronal somas and fasciculation of neurites (see Materials and </w:t>
      </w:r>
      <w:r>
        <w:rPr>
          <w:color w:val="0070C0"/>
          <w:spacing w:val="-2"/>
        </w:rPr>
        <w:t>Methods).</w:t>
      </w:r>
    </w:p>
    <w:p w14:paraId="2A264612" w14:textId="77777777" w:rsidR="00564ED3" w:rsidRDefault="00564ED3" w:rsidP="00564ED3">
      <w:pPr>
        <w:pStyle w:val="ListParagraph"/>
        <w:widowControl w:val="0"/>
        <w:numPr>
          <w:ilvl w:val="0"/>
          <w:numId w:val="1"/>
        </w:numPr>
        <w:tabs>
          <w:tab w:val="left" w:pos="499"/>
        </w:tabs>
        <w:autoSpaceDE w:val="0"/>
        <w:autoSpaceDN w:val="0"/>
        <w:spacing w:before="274" w:after="0" w:line="240" w:lineRule="auto"/>
        <w:ind w:left="499" w:hanging="379"/>
        <w:contextualSpacing w:val="0"/>
        <w:rPr>
          <w:sz w:val="24"/>
        </w:rPr>
      </w:pPr>
      <w:r>
        <w:rPr>
          <w:sz w:val="24"/>
        </w:rPr>
        <w:t>Some</w:t>
      </w:r>
      <w:r>
        <w:rPr>
          <w:spacing w:val="-2"/>
          <w:sz w:val="24"/>
        </w:rPr>
        <w:t xml:space="preserve"> </w:t>
      </w:r>
      <w:r>
        <w:rPr>
          <w:sz w:val="24"/>
        </w:rPr>
        <w:t>poor resolution like</w:t>
      </w:r>
      <w:r>
        <w:rPr>
          <w:spacing w:val="-1"/>
          <w:sz w:val="24"/>
        </w:rPr>
        <w:t xml:space="preserve"> </w:t>
      </w:r>
      <w:r>
        <w:rPr>
          <w:sz w:val="24"/>
        </w:rPr>
        <w:t xml:space="preserve">S1 E </w:t>
      </w:r>
      <w:r>
        <w:rPr>
          <w:spacing w:val="-2"/>
          <w:sz w:val="24"/>
        </w:rPr>
        <w:t>Tubb3</w:t>
      </w:r>
    </w:p>
    <w:p w14:paraId="195AE57A" w14:textId="77777777" w:rsidR="00564ED3" w:rsidRDefault="00564ED3" w:rsidP="00564ED3">
      <w:pPr>
        <w:pStyle w:val="BodyText"/>
        <w:ind w:left="0"/>
        <w:jc w:val="left"/>
      </w:pPr>
    </w:p>
    <w:p w14:paraId="4F2230FE" w14:textId="77777777" w:rsidR="00564ED3" w:rsidRDefault="00564ED3" w:rsidP="00564ED3">
      <w:pPr>
        <w:pStyle w:val="BodyText"/>
        <w:jc w:val="left"/>
      </w:pPr>
      <w:r>
        <w:rPr>
          <w:color w:val="4F81BD"/>
        </w:rPr>
        <w:t>We</w:t>
      </w:r>
      <w:r>
        <w:rPr>
          <w:color w:val="4F81BD"/>
          <w:spacing w:val="-5"/>
        </w:rPr>
        <w:t xml:space="preserve"> </w:t>
      </w:r>
      <w:r>
        <w:rPr>
          <w:color w:val="4F81BD"/>
        </w:rPr>
        <w:t>now</w:t>
      </w:r>
      <w:r>
        <w:rPr>
          <w:color w:val="4F81BD"/>
          <w:spacing w:val="-1"/>
        </w:rPr>
        <w:t xml:space="preserve"> </w:t>
      </w:r>
      <w:r>
        <w:rPr>
          <w:color w:val="4F81BD"/>
        </w:rPr>
        <w:t>show</w:t>
      </w:r>
      <w:r>
        <w:rPr>
          <w:color w:val="4F81BD"/>
          <w:spacing w:val="-1"/>
        </w:rPr>
        <w:t xml:space="preserve"> </w:t>
      </w:r>
      <w:r>
        <w:rPr>
          <w:color w:val="4F81BD"/>
        </w:rPr>
        <w:t>a</w:t>
      </w:r>
      <w:r>
        <w:rPr>
          <w:color w:val="4F81BD"/>
          <w:spacing w:val="-2"/>
        </w:rPr>
        <w:t xml:space="preserve"> </w:t>
      </w:r>
      <w:r>
        <w:rPr>
          <w:color w:val="4F81BD"/>
        </w:rPr>
        <w:t>better-resolved</w:t>
      </w:r>
      <w:r>
        <w:rPr>
          <w:color w:val="4F81BD"/>
          <w:spacing w:val="-2"/>
        </w:rPr>
        <w:t xml:space="preserve"> </w:t>
      </w:r>
      <w:r>
        <w:rPr>
          <w:color w:val="4F81BD"/>
        </w:rPr>
        <w:t>image</w:t>
      </w:r>
      <w:r>
        <w:rPr>
          <w:color w:val="4F81BD"/>
          <w:spacing w:val="-2"/>
        </w:rPr>
        <w:t xml:space="preserve"> </w:t>
      </w:r>
      <w:r>
        <w:rPr>
          <w:color w:val="4F81BD"/>
        </w:rPr>
        <w:t>in</w:t>
      </w:r>
      <w:r>
        <w:rPr>
          <w:color w:val="4F81BD"/>
          <w:spacing w:val="-2"/>
        </w:rPr>
        <w:t xml:space="preserve"> </w:t>
      </w:r>
      <w:r>
        <w:rPr>
          <w:b/>
          <w:color w:val="4F81BD"/>
        </w:rPr>
        <w:t>Fig.</w:t>
      </w:r>
      <w:r>
        <w:rPr>
          <w:b/>
          <w:color w:val="4F81BD"/>
          <w:spacing w:val="-1"/>
        </w:rPr>
        <w:t xml:space="preserve"> </w:t>
      </w:r>
      <w:r>
        <w:rPr>
          <w:b/>
          <w:color w:val="4F81BD"/>
          <w:spacing w:val="-4"/>
        </w:rPr>
        <w:t>S1E</w:t>
      </w:r>
      <w:r>
        <w:rPr>
          <w:color w:val="4F81BD"/>
          <w:spacing w:val="-4"/>
        </w:rPr>
        <w:t>.</w:t>
      </w:r>
    </w:p>
    <w:p w14:paraId="6DBE5889" w14:textId="77777777" w:rsidR="00564ED3" w:rsidRDefault="00564ED3" w:rsidP="00564ED3">
      <w:pPr>
        <w:pStyle w:val="BodyText"/>
        <w:ind w:left="0"/>
        <w:jc w:val="left"/>
      </w:pPr>
    </w:p>
    <w:p w14:paraId="3A577EEC" w14:textId="77777777" w:rsidR="00564ED3" w:rsidRDefault="00564ED3" w:rsidP="00564ED3">
      <w:pPr>
        <w:pStyle w:val="BodyText"/>
        <w:jc w:val="left"/>
      </w:pPr>
      <w:r>
        <w:t>14.</w:t>
      </w:r>
      <w:r>
        <w:rPr>
          <w:spacing w:val="-3"/>
        </w:rPr>
        <w:t xml:space="preserve"> </w:t>
      </w:r>
      <w:r>
        <w:t>Cortical</w:t>
      </w:r>
      <w:r>
        <w:rPr>
          <w:spacing w:val="-1"/>
        </w:rPr>
        <w:t xml:space="preserve"> </w:t>
      </w:r>
      <w:r>
        <w:t>neurons</w:t>
      </w:r>
      <w:r>
        <w:rPr>
          <w:spacing w:val="-1"/>
        </w:rPr>
        <w:t xml:space="preserve"> </w:t>
      </w:r>
      <w:r>
        <w:t>in</w:t>
      </w:r>
      <w:r>
        <w:rPr>
          <w:spacing w:val="-1"/>
        </w:rPr>
        <w:t xml:space="preserve"> </w:t>
      </w:r>
      <w:r>
        <w:t>S4</w:t>
      </w:r>
      <w:r>
        <w:rPr>
          <w:spacing w:val="-1"/>
        </w:rPr>
        <w:t xml:space="preserve"> </w:t>
      </w:r>
      <w:r>
        <w:t>C</w:t>
      </w:r>
      <w:r>
        <w:rPr>
          <w:spacing w:val="-2"/>
        </w:rPr>
        <w:t xml:space="preserve"> </w:t>
      </w:r>
      <w:r>
        <w:t>look</w:t>
      </w:r>
      <w:r>
        <w:rPr>
          <w:spacing w:val="-1"/>
        </w:rPr>
        <w:t xml:space="preserve"> </w:t>
      </w:r>
      <w:r>
        <w:t>very</w:t>
      </w:r>
      <w:r>
        <w:rPr>
          <w:spacing w:val="-1"/>
        </w:rPr>
        <w:t xml:space="preserve"> </w:t>
      </w:r>
      <w:r>
        <w:t>immature</w:t>
      </w:r>
      <w:r>
        <w:rPr>
          <w:spacing w:val="-1"/>
        </w:rPr>
        <w:t xml:space="preserve"> </w:t>
      </w:r>
      <w:r>
        <w:rPr>
          <w:spacing w:val="-2"/>
        </w:rPr>
        <w:t>(morphologically).</w:t>
      </w:r>
    </w:p>
    <w:p w14:paraId="49AD0704" w14:textId="77777777" w:rsidR="00564ED3" w:rsidRDefault="00564ED3" w:rsidP="00564ED3">
      <w:pPr>
        <w:pStyle w:val="BodyText"/>
        <w:ind w:left="0"/>
        <w:jc w:val="left"/>
      </w:pPr>
    </w:p>
    <w:p w14:paraId="0DF2F1C8" w14:textId="77777777" w:rsidR="00564ED3" w:rsidRDefault="00564ED3" w:rsidP="00564ED3">
      <w:pPr>
        <w:pStyle w:val="BodyText"/>
        <w:ind w:right="117"/>
      </w:pPr>
      <w:r>
        <w:rPr>
          <w:color w:val="0070C0"/>
        </w:rPr>
        <w:t xml:space="preserve">The original version of </w:t>
      </w:r>
      <w:r>
        <w:rPr>
          <w:b/>
          <w:color w:val="0070C0"/>
        </w:rPr>
        <w:t xml:space="preserve">Fig. S4C </w:t>
      </w:r>
      <w:r>
        <w:rPr>
          <w:color w:val="0070C0"/>
        </w:rPr>
        <w:t xml:space="preserve">displayed DIV5 neurons stained for the neuronal marker MAP2. We have added MAP2-staining data for DIV21 to the revised </w:t>
      </w:r>
      <w:r>
        <w:rPr>
          <w:b/>
          <w:color w:val="0070C0"/>
        </w:rPr>
        <w:t>Fig. S4C</w:t>
      </w:r>
      <w:r>
        <w:rPr>
          <w:color w:val="0070C0"/>
        </w:rPr>
        <w:t>, where the neurons have more mature appearance.</w:t>
      </w:r>
    </w:p>
    <w:p w14:paraId="691816D1" w14:textId="349F7481" w:rsidR="0033120F" w:rsidRPr="00340706" w:rsidRDefault="00564ED3" w:rsidP="0033120F">
      <w:r>
        <w:t xml:space="preserve"> </w:t>
      </w:r>
    </w:p>
    <w:p w14:paraId="5C3051A0" w14:textId="77777777" w:rsidR="0033120F" w:rsidRPr="00340706" w:rsidRDefault="0033120F" w:rsidP="0033120F">
      <w:pPr>
        <w:rPr>
          <w:b/>
          <w:sz w:val="24"/>
          <w:szCs w:val="24"/>
        </w:rPr>
      </w:pPr>
      <w:r w:rsidRPr="00340706">
        <w:rPr>
          <w:b/>
          <w:sz w:val="24"/>
          <w:szCs w:val="24"/>
        </w:rPr>
        <w:t>Second round of review</w:t>
      </w:r>
    </w:p>
    <w:p w14:paraId="44B85113" w14:textId="77777777" w:rsidR="0033120F" w:rsidRPr="00340706" w:rsidRDefault="0033120F" w:rsidP="0033120F">
      <w:pPr>
        <w:rPr>
          <w:b/>
        </w:rPr>
      </w:pPr>
      <w:r w:rsidRPr="00340706">
        <w:rPr>
          <w:b/>
        </w:rPr>
        <w:t>Reviewer 1</w:t>
      </w:r>
    </w:p>
    <w:p w14:paraId="24DB854B" w14:textId="77777777" w:rsidR="00DD111E" w:rsidRDefault="00DD111E" w:rsidP="0033120F">
      <w:pPr>
        <w:rPr>
          <w:rFonts w:ascii="Verdana" w:hAnsi="Verdana"/>
          <w:color w:val="000033"/>
          <w:sz w:val="17"/>
          <w:szCs w:val="17"/>
          <w:shd w:val="clear" w:color="auto" w:fill="FFFFFF"/>
        </w:rPr>
      </w:pPr>
      <w:r>
        <w:rPr>
          <w:rFonts w:ascii="Verdana" w:hAnsi="Verdana"/>
          <w:color w:val="000033"/>
          <w:sz w:val="17"/>
          <w:szCs w:val="17"/>
          <w:shd w:val="clear" w:color="auto" w:fill="FFFFFF"/>
        </w:rPr>
        <w:t>All ok now.</w:t>
      </w:r>
    </w:p>
    <w:p w14:paraId="3AE1D84D" w14:textId="1A1EA638" w:rsidR="0033120F" w:rsidRPr="00340706" w:rsidRDefault="0033120F" w:rsidP="0033120F">
      <w:pPr>
        <w:rPr>
          <w:b/>
        </w:rPr>
      </w:pPr>
      <w:r w:rsidRPr="00340706">
        <w:rPr>
          <w:b/>
        </w:rPr>
        <w:t>Reviewer 2</w:t>
      </w:r>
    </w:p>
    <w:p w14:paraId="0E6EDC6A" w14:textId="37681FAA" w:rsidR="00DD111E" w:rsidRPr="00DD111E" w:rsidRDefault="00DD111E" w:rsidP="0033120F">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In the revised manuscript, the authors have </w:t>
      </w:r>
      <w:proofErr w:type="spellStart"/>
      <w:r>
        <w:rPr>
          <w:rFonts w:ascii="Verdana" w:hAnsi="Verdana"/>
          <w:color w:val="000033"/>
          <w:sz w:val="17"/>
          <w:szCs w:val="17"/>
          <w:shd w:val="clear" w:color="auto" w:fill="FFFFFF"/>
        </w:rPr>
        <w:t>adressed</w:t>
      </w:r>
      <w:proofErr w:type="spellEnd"/>
      <w:r>
        <w:rPr>
          <w:rFonts w:ascii="Verdana" w:hAnsi="Verdana"/>
          <w:color w:val="000033"/>
          <w:sz w:val="17"/>
          <w:szCs w:val="17"/>
          <w:shd w:val="clear" w:color="auto" w:fill="FFFFFF"/>
        </w:rPr>
        <w:t xml:space="preserve"> issues raised by myself and other reviewers.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have outstanding comments that need to be resolved, regarding author responses to my queries.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 think their answer to point 1 is lacking. A lack of correlation </w:t>
      </w:r>
      <w:proofErr w:type="spellStart"/>
      <w:r>
        <w:rPr>
          <w:rFonts w:ascii="Verdana" w:hAnsi="Verdana"/>
          <w:color w:val="000033"/>
          <w:sz w:val="17"/>
          <w:szCs w:val="17"/>
          <w:shd w:val="clear" w:color="auto" w:fill="FFFFFF"/>
        </w:rPr>
        <w:t>bewteen</w:t>
      </w:r>
      <w:proofErr w:type="spellEnd"/>
      <w:r>
        <w:rPr>
          <w:rFonts w:ascii="Verdana" w:hAnsi="Verdana"/>
          <w:color w:val="000033"/>
          <w:sz w:val="17"/>
          <w:szCs w:val="17"/>
          <w:shd w:val="clear" w:color="auto" w:fill="FFFFFF"/>
        </w:rPr>
        <w:t xml:space="preserve"> the estimated AS-NMD and the changes in gene expression levels might indeed be explained by feedback mechanisms as they write. However this is </w:t>
      </w:r>
      <w:proofErr w:type="spellStart"/>
      <w:r>
        <w:rPr>
          <w:rFonts w:ascii="Verdana" w:hAnsi="Verdana"/>
          <w:color w:val="000033"/>
          <w:sz w:val="17"/>
          <w:szCs w:val="17"/>
          <w:shd w:val="clear" w:color="auto" w:fill="FFFFFF"/>
        </w:rPr>
        <w:t>besides</w:t>
      </w:r>
      <w:proofErr w:type="spellEnd"/>
      <w:r>
        <w:rPr>
          <w:rFonts w:ascii="Verdana" w:hAnsi="Verdana"/>
          <w:color w:val="000033"/>
          <w:sz w:val="17"/>
          <w:szCs w:val="17"/>
          <w:shd w:val="clear" w:color="auto" w:fill="FFFFFF"/>
        </w:rPr>
        <w:t xml:space="preserve"> the point. The burden of proof is on them to show these regulatory changes driven by AS-NMD do occur and can be measured robustly, instead of finding complicated explanation why they are difficult to measure and claiming that this is evidence they must nonetheless exist (it is not evidence thereof). The lack of agreement/low enrichments are more likely explained by measurement error, which could be substantial.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If their measurements of AS-NMD have certain accuracy and make some non-negligible amount of error (which seems to be the case judging from above), they should state this the text with more transparency and caution to the reader: please state clearly in the text what are the enrichments regarding "CHX-responsive AS-NMD events were enriched for positively correlated entries (Fig. 2A). The enrichment was predominantly due to CEs rather than other types of AS-NMD events (Fig. 2A-B)." Moreover please in addition to the p-value state also the FDR for the "Hereafter, we will use the term "facilitating" to refer to CHX-responsive events showing significant positive correlation (P&lt;0.05) between NMD-protective splicing patterns and gene expression." and related in Table S4 the column "AS-NMD event-gene correlation, P-value" should also have a FDR corrected corresponding column in the same table, in both sheets. (probable typo: confusingly one sheet states Table S4 and other Table S3).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Their answer to the trajectory clustering concern "the maximum number of possibilities is 3^4=81. Thus, we have no reason to believe that 28 clusters overfit the data." actually argues for the opposite of what they think it argues. 28 clusters out of 81 possible single-instance clusters is a very high number of clusters. How well this is supported in the data or how it helps interpretation is a little unclear. I do understand and agree that this clustering is not the most critical point for the conclusion, but it sticks out not in a good way. It would improve the manuscript to add a caveat.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Regarding my last comment "Overall the manuscript is dense, and loaded with jargon which might be simplified..." it could have been addressed much better than it was in this revision. This is obviously just a presentation issue and does not change the quality/interest of the results, but I do think it is worth to invest much more effort to make the manuscript accessible to a broad audience. Also, consider making it shorter by relegating parts to a supplementary text.</w:t>
      </w:r>
    </w:p>
    <w:p w14:paraId="305999AF" w14:textId="065A0096" w:rsidR="0033120F" w:rsidRPr="00340706" w:rsidRDefault="0033120F" w:rsidP="0033120F">
      <w:pPr>
        <w:rPr>
          <w:b/>
        </w:rPr>
      </w:pPr>
      <w:r w:rsidRPr="00340706">
        <w:rPr>
          <w:b/>
        </w:rPr>
        <w:lastRenderedPageBreak/>
        <w:t>Authors’ response to reviewers</w:t>
      </w:r>
    </w:p>
    <w:p w14:paraId="47B279F5" w14:textId="77777777" w:rsidR="00564ED3" w:rsidRPr="0031542E" w:rsidRDefault="00564ED3" w:rsidP="00564ED3">
      <w:pPr>
        <w:pStyle w:val="Title"/>
        <w:rPr>
          <w:sz w:val="24"/>
          <w:szCs w:val="24"/>
        </w:rPr>
      </w:pPr>
      <w:r w:rsidRPr="0031542E">
        <w:rPr>
          <w:sz w:val="24"/>
          <w:szCs w:val="24"/>
        </w:rPr>
        <w:t>Reviewer</w:t>
      </w:r>
      <w:r w:rsidRPr="0031542E">
        <w:rPr>
          <w:spacing w:val="36"/>
          <w:sz w:val="24"/>
          <w:szCs w:val="24"/>
        </w:rPr>
        <w:t xml:space="preserve"> </w:t>
      </w:r>
      <w:r w:rsidRPr="0031542E">
        <w:rPr>
          <w:spacing w:val="-5"/>
          <w:sz w:val="24"/>
          <w:szCs w:val="24"/>
        </w:rPr>
        <w:t>#2:</w:t>
      </w:r>
    </w:p>
    <w:p w14:paraId="24FD87CB" w14:textId="77777777" w:rsidR="00564ED3" w:rsidRDefault="00564ED3" w:rsidP="00564ED3">
      <w:pPr>
        <w:pStyle w:val="BodyText"/>
        <w:spacing w:before="32"/>
      </w:pPr>
      <w:r>
        <w:t>In</w:t>
      </w:r>
      <w:r>
        <w:rPr>
          <w:spacing w:val="61"/>
        </w:rPr>
        <w:t xml:space="preserve"> </w:t>
      </w:r>
      <w:r>
        <w:t>the</w:t>
      </w:r>
      <w:r>
        <w:rPr>
          <w:spacing w:val="61"/>
        </w:rPr>
        <w:t xml:space="preserve"> </w:t>
      </w:r>
      <w:r>
        <w:t>revised</w:t>
      </w:r>
      <w:r>
        <w:rPr>
          <w:spacing w:val="61"/>
        </w:rPr>
        <w:t xml:space="preserve"> </w:t>
      </w:r>
      <w:r>
        <w:t>manuscript,</w:t>
      </w:r>
      <w:r>
        <w:rPr>
          <w:spacing w:val="59"/>
        </w:rPr>
        <w:t xml:space="preserve"> </w:t>
      </w:r>
      <w:r>
        <w:t>the</w:t>
      </w:r>
      <w:r>
        <w:rPr>
          <w:spacing w:val="62"/>
        </w:rPr>
        <w:t xml:space="preserve"> </w:t>
      </w:r>
      <w:r>
        <w:t>authors</w:t>
      </w:r>
      <w:r>
        <w:rPr>
          <w:spacing w:val="59"/>
        </w:rPr>
        <w:t xml:space="preserve"> </w:t>
      </w:r>
      <w:r>
        <w:t>have</w:t>
      </w:r>
      <w:r>
        <w:rPr>
          <w:spacing w:val="61"/>
        </w:rPr>
        <w:t xml:space="preserve"> </w:t>
      </w:r>
      <w:proofErr w:type="spellStart"/>
      <w:r>
        <w:t>adressed</w:t>
      </w:r>
      <w:proofErr w:type="spellEnd"/>
      <w:r>
        <w:rPr>
          <w:spacing w:val="61"/>
        </w:rPr>
        <w:t xml:space="preserve"> </w:t>
      </w:r>
      <w:r>
        <w:t>issues</w:t>
      </w:r>
      <w:r>
        <w:rPr>
          <w:spacing w:val="60"/>
        </w:rPr>
        <w:t xml:space="preserve"> </w:t>
      </w:r>
      <w:r>
        <w:t>raised</w:t>
      </w:r>
      <w:r>
        <w:rPr>
          <w:spacing w:val="61"/>
        </w:rPr>
        <w:t xml:space="preserve"> </w:t>
      </w:r>
      <w:r>
        <w:t>by</w:t>
      </w:r>
      <w:r>
        <w:rPr>
          <w:spacing w:val="61"/>
        </w:rPr>
        <w:t xml:space="preserve"> </w:t>
      </w:r>
      <w:r>
        <w:t>myself</w:t>
      </w:r>
      <w:r>
        <w:rPr>
          <w:spacing w:val="60"/>
        </w:rPr>
        <w:t xml:space="preserve"> </w:t>
      </w:r>
      <w:r>
        <w:t>and</w:t>
      </w:r>
      <w:r>
        <w:rPr>
          <w:spacing w:val="61"/>
        </w:rPr>
        <w:t xml:space="preserve"> </w:t>
      </w:r>
      <w:r>
        <w:rPr>
          <w:spacing w:val="-2"/>
        </w:rPr>
        <w:t>other</w:t>
      </w:r>
    </w:p>
    <w:p w14:paraId="2D4F3DC8" w14:textId="77777777" w:rsidR="00564ED3" w:rsidRDefault="00564ED3" w:rsidP="00564ED3">
      <w:pPr>
        <w:pStyle w:val="BodyText"/>
        <w:spacing w:before="33"/>
      </w:pPr>
      <w:r>
        <w:rPr>
          <w:spacing w:val="-2"/>
        </w:rPr>
        <w:t>reviewers.</w:t>
      </w:r>
    </w:p>
    <w:p w14:paraId="5401DCA0" w14:textId="77777777" w:rsidR="00564ED3" w:rsidRDefault="00564ED3" w:rsidP="00564ED3">
      <w:pPr>
        <w:pStyle w:val="BodyText"/>
        <w:spacing w:before="64"/>
        <w:ind w:left="0"/>
      </w:pPr>
    </w:p>
    <w:p w14:paraId="6679BE17" w14:textId="77777777" w:rsidR="00564ED3" w:rsidRDefault="00564ED3" w:rsidP="00564ED3">
      <w:pPr>
        <w:pStyle w:val="BodyText"/>
      </w:pPr>
      <w:r>
        <w:t>I</w:t>
      </w:r>
      <w:r>
        <w:rPr>
          <w:spacing w:val="46"/>
        </w:rPr>
        <w:t xml:space="preserve"> </w:t>
      </w:r>
      <w:r>
        <w:t>have</w:t>
      </w:r>
      <w:r>
        <w:rPr>
          <w:spacing w:val="48"/>
        </w:rPr>
        <w:t xml:space="preserve"> </w:t>
      </w:r>
      <w:r>
        <w:t>outstanding</w:t>
      </w:r>
      <w:r>
        <w:rPr>
          <w:spacing w:val="47"/>
        </w:rPr>
        <w:t xml:space="preserve"> </w:t>
      </w:r>
      <w:r>
        <w:t>comments</w:t>
      </w:r>
      <w:r>
        <w:rPr>
          <w:spacing w:val="48"/>
        </w:rPr>
        <w:t xml:space="preserve"> </w:t>
      </w:r>
      <w:r>
        <w:t>that</w:t>
      </w:r>
      <w:r>
        <w:rPr>
          <w:spacing w:val="46"/>
        </w:rPr>
        <w:t xml:space="preserve"> </w:t>
      </w:r>
      <w:r>
        <w:t>need</w:t>
      </w:r>
      <w:r>
        <w:rPr>
          <w:spacing w:val="48"/>
        </w:rPr>
        <w:t xml:space="preserve"> </w:t>
      </w:r>
      <w:r>
        <w:t>to</w:t>
      </w:r>
      <w:r>
        <w:rPr>
          <w:spacing w:val="48"/>
        </w:rPr>
        <w:t xml:space="preserve"> </w:t>
      </w:r>
      <w:r>
        <w:t>be</w:t>
      </w:r>
      <w:r>
        <w:rPr>
          <w:spacing w:val="47"/>
        </w:rPr>
        <w:t xml:space="preserve"> </w:t>
      </w:r>
      <w:r>
        <w:t>resolved,</w:t>
      </w:r>
      <w:r>
        <w:rPr>
          <w:spacing w:val="47"/>
        </w:rPr>
        <w:t xml:space="preserve"> </w:t>
      </w:r>
      <w:r>
        <w:t>regarding</w:t>
      </w:r>
      <w:r>
        <w:rPr>
          <w:spacing w:val="47"/>
        </w:rPr>
        <w:t xml:space="preserve"> </w:t>
      </w:r>
      <w:r>
        <w:t>author</w:t>
      </w:r>
      <w:r>
        <w:rPr>
          <w:spacing w:val="47"/>
        </w:rPr>
        <w:t xml:space="preserve"> </w:t>
      </w:r>
      <w:r>
        <w:t>responses</w:t>
      </w:r>
      <w:r>
        <w:rPr>
          <w:spacing w:val="47"/>
        </w:rPr>
        <w:t xml:space="preserve"> </w:t>
      </w:r>
      <w:r>
        <w:t>to</w:t>
      </w:r>
      <w:r>
        <w:rPr>
          <w:spacing w:val="48"/>
        </w:rPr>
        <w:t xml:space="preserve"> </w:t>
      </w:r>
      <w:r>
        <w:rPr>
          <w:spacing w:val="-5"/>
        </w:rPr>
        <w:t>my</w:t>
      </w:r>
    </w:p>
    <w:p w14:paraId="677E5BA2" w14:textId="77777777" w:rsidR="00564ED3" w:rsidRDefault="00564ED3" w:rsidP="00564ED3">
      <w:pPr>
        <w:pStyle w:val="BodyText"/>
        <w:spacing w:before="27"/>
      </w:pPr>
      <w:r>
        <w:rPr>
          <w:spacing w:val="-2"/>
        </w:rPr>
        <w:t>queries.</w:t>
      </w:r>
    </w:p>
    <w:p w14:paraId="758E498A" w14:textId="77777777" w:rsidR="00564ED3" w:rsidRDefault="00564ED3" w:rsidP="00564ED3">
      <w:pPr>
        <w:pStyle w:val="BodyText"/>
        <w:spacing w:before="64"/>
        <w:ind w:left="0"/>
      </w:pPr>
    </w:p>
    <w:p w14:paraId="6EA81E5A" w14:textId="77777777" w:rsidR="00564ED3" w:rsidRDefault="00564ED3" w:rsidP="00564ED3">
      <w:pPr>
        <w:pStyle w:val="BodyText"/>
        <w:spacing w:line="268" w:lineRule="auto"/>
        <w:ind w:right="111"/>
      </w:pPr>
      <w:r>
        <w:t xml:space="preserve">I think their answer to point 1 is lacking. A lack of correlation </w:t>
      </w:r>
      <w:proofErr w:type="spellStart"/>
      <w:r>
        <w:t>bewteen</w:t>
      </w:r>
      <w:proofErr w:type="spellEnd"/>
      <w:r>
        <w:t xml:space="preserve"> the estimated AS-NMD</w:t>
      </w:r>
      <w:r>
        <w:rPr>
          <w:spacing w:val="40"/>
        </w:rPr>
        <w:t xml:space="preserve"> </w:t>
      </w:r>
      <w:r>
        <w:t>and</w:t>
      </w:r>
      <w:r>
        <w:rPr>
          <w:spacing w:val="40"/>
        </w:rPr>
        <w:t xml:space="preserve"> </w:t>
      </w:r>
      <w:r>
        <w:t>the</w:t>
      </w:r>
      <w:r>
        <w:rPr>
          <w:spacing w:val="40"/>
        </w:rPr>
        <w:t xml:space="preserve"> </w:t>
      </w:r>
      <w:r>
        <w:t>changes</w:t>
      </w:r>
      <w:r>
        <w:rPr>
          <w:spacing w:val="40"/>
        </w:rPr>
        <w:t xml:space="preserve"> </w:t>
      </w:r>
      <w:r>
        <w:t>in</w:t>
      </w:r>
      <w:r>
        <w:rPr>
          <w:spacing w:val="40"/>
        </w:rPr>
        <w:t xml:space="preserve"> </w:t>
      </w:r>
      <w:r>
        <w:t>gene</w:t>
      </w:r>
      <w:r>
        <w:rPr>
          <w:spacing w:val="40"/>
        </w:rPr>
        <w:t xml:space="preserve"> </w:t>
      </w:r>
      <w:r>
        <w:t>expression</w:t>
      </w:r>
      <w:r>
        <w:rPr>
          <w:spacing w:val="40"/>
        </w:rPr>
        <w:t xml:space="preserve"> </w:t>
      </w:r>
      <w:r>
        <w:t>levels</w:t>
      </w:r>
      <w:r>
        <w:rPr>
          <w:spacing w:val="40"/>
        </w:rPr>
        <w:t xml:space="preserve"> </w:t>
      </w:r>
      <w:r>
        <w:t>might</w:t>
      </w:r>
      <w:r>
        <w:rPr>
          <w:spacing w:val="40"/>
        </w:rPr>
        <w:t xml:space="preserve"> </w:t>
      </w:r>
      <w:r>
        <w:t>indeed</w:t>
      </w:r>
      <w:r>
        <w:rPr>
          <w:spacing w:val="40"/>
        </w:rPr>
        <w:t xml:space="preserve"> </w:t>
      </w:r>
      <w:r>
        <w:t>be</w:t>
      </w:r>
      <w:r>
        <w:rPr>
          <w:spacing w:val="40"/>
        </w:rPr>
        <w:t xml:space="preserve"> </w:t>
      </w:r>
      <w:r>
        <w:t>explained</w:t>
      </w:r>
      <w:r>
        <w:rPr>
          <w:spacing w:val="40"/>
        </w:rPr>
        <w:t xml:space="preserve"> </w:t>
      </w:r>
      <w:r>
        <w:t>by</w:t>
      </w:r>
      <w:r>
        <w:rPr>
          <w:spacing w:val="40"/>
        </w:rPr>
        <w:t xml:space="preserve"> </w:t>
      </w:r>
      <w:r>
        <w:t>feedback mechanisms</w:t>
      </w:r>
      <w:r>
        <w:rPr>
          <w:spacing w:val="25"/>
        </w:rPr>
        <w:t xml:space="preserve"> </w:t>
      </w:r>
      <w:r>
        <w:t>as</w:t>
      </w:r>
      <w:r>
        <w:rPr>
          <w:spacing w:val="25"/>
        </w:rPr>
        <w:t xml:space="preserve"> </w:t>
      </w:r>
      <w:r>
        <w:t>they</w:t>
      </w:r>
      <w:r>
        <w:rPr>
          <w:spacing w:val="25"/>
        </w:rPr>
        <w:t xml:space="preserve"> </w:t>
      </w:r>
      <w:r>
        <w:t>write.</w:t>
      </w:r>
      <w:r>
        <w:rPr>
          <w:spacing w:val="23"/>
        </w:rPr>
        <w:t xml:space="preserve"> </w:t>
      </w:r>
      <w:r>
        <w:t>However</w:t>
      </w:r>
      <w:r>
        <w:rPr>
          <w:spacing w:val="23"/>
        </w:rPr>
        <w:t xml:space="preserve"> </w:t>
      </w:r>
      <w:r>
        <w:t>this</w:t>
      </w:r>
      <w:r>
        <w:rPr>
          <w:spacing w:val="25"/>
        </w:rPr>
        <w:t xml:space="preserve"> </w:t>
      </w:r>
      <w:r>
        <w:t>is</w:t>
      </w:r>
      <w:r>
        <w:rPr>
          <w:spacing w:val="25"/>
        </w:rPr>
        <w:t xml:space="preserve"> </w:t>
      </w:r>
      <w:proofErr w:type="spellStart"/>
      <w:r>
        <w:t>besides</w:t>
      </w:r>
      <w:proofErr w:type="spellEnd"/>
      <w:r>
        <w:rPr>
          <w:spacing w:val="25"/>
        </w:rPr>
        <w:t xml:space="preserve"> </w:t>
      </w:r>
      <w:r>
        <w:t>the</w:t>
      </w:r>
      <w:r>
        <w:rPr>
          <w:spacing w:val="25"/>
        </w:rPr>
        <w:t xml:space="preserve"> </w:t>
      </w:r>
      <w:r>
        <w:t>point.</w:t>
      </w:r>
      <w:r>
        <w:rPr>
          <w:spacing w:val="23"/>
        </w:rPr>
        <w:t xml:space="preserve"> </w:t>
      </w:r>
      <w:r>
        <w:t>The</w:t>
      </w:r>
      <w:r>
        <w:rPr>
          <w:spacing w:val="25"/>
        </w:rPr>
        <w:t xml:space="preserve"> </w:t>
      </w:r>
      <w:r>
        <w:t>burden</w:t>
      </w:r>
      <w:r>
        <w:rPr>
          <w:spacing w:val="25"/>
        </w:rPr>
        <w:t xml:space="preserve"> </w:t>
      </w:r>
      <w:r>
        <w:t>of</w:t>
      </w:r>
      <w:r>
        <w:rPr>
          <w:spacing w:val="23"/>
        </w:rPr>
        <w:t xml:space="preserve"> </w:t>
      </w:r>
      <w:r>
        <w:t>proof</w:t>
      </w:r>
      <w:r>
        <w:rPr>
          <w:spacing w:val="23"/>
        </w:rPr>
        <w:t xml:space="preserve"> </w:t>
      </w:r>
      <w:r>
        <w:t>is</w:t>
      </w:r>
      <w:r>
        <w:rPr>
          <w:spacing w:val="25"/>
        </w:rPr>
        <w:t xml:space="preserve"> </w:t>
      </w:r>
      <w:r>
        <w:t>on</w:t>
      </w:r>
      <w:r>
        <w:rPr>
          <w:spacing w:val="25"/>
        </w:rPr>
        <w:t xml:space="preserve"> </w:t>
      </w:r>
      <w:r>
        <w:t>them to</w:t>
      </w:r>
      <w:r>
        <w:rPr>
          <w:spacing w:val="40"/>
        </w:rPr>
        <w:t xml:space="preserve"> </w:t>
      </w:r>
      <w:r>
        <w:t>show</w:t>
      </w:r>
      <w:r>
        <w:rPr>
          <w:spacing w:val="40"/>
        </w:rPr>
        <w:t xml:space="preserve"> </w:t>
      </w:r>
      <w:r>
        <w:t>these</w:t>
      </w:r>
      <w:r>
        <w:rPr>
          <w:spacing w:val="40"/>
        </w:rPr>
        <w:t xml:space="preserve"> </w:t>
      </w:r>
      <w:r>
        <w:t>regulatory</w:t>
      </w:r>
      <w:r>
        <w:rPr>
          <w:spacing w:val="40"/>
        </w:rPr>
        <w:t xml:space="preserve"> </w:t>
      </w:r>
      <w:r>
        <w:t>changes</w:t>
      </w:r>
      <w:r>
        <w:rPr>
          <w:spacing w:val="40"/>
        </w:rPr>
        <w:t xml:space="preserve"> </w:t>
      </w:r>
      <w:r>
        <w:t>driven</w:t>
      </w:r>
      <w:r>
        <w:rPr>
          <w:spacing w:val="40"/>
        </w:rPr>
        <w:t xml:space="preserve"> </w:t>
      </w:r>
      <w:r>
        <w:t>by</w:t>
      </w:r>
      <w:r>
        <w:rPr>
          <w:spacing w:val="40"/>
        </w:rPr>
        <w:t xml:space="preserve"> </w:t>
      </w:r>
      <w:r>
        <w:t>AS-NMD</w:t>
      </w:r>
      <w:r>
        <w:rPr>
          <w:spacing w:val="40"/>
        </w:rPr>
        <w:t xml:space="preserve"> </w:t>
      </w:r>
      <w:r>
        <w:t>do</w:t>
      </w:r>
      <w:r>
        <w:rPr>
          <w:spacing w:val="40"/>
        </w:rPr>
        <w:t xml:space="preserve"> </w:t>
      </w:r>
      <w:r>
        <w:t>occur</w:t>
      </w:r>
      <w:r>
        <w:rPr>
          <w:spacing w:val="40"/>
        </w:rPr>
        <w:t xml:space="preserve"> </w:t>
      </w:r>
      <w:r>
        <w:t>and</w:t>
      </w:r>
      <w:r>
        <w:rPr>
          <w:spacing w:val="40"/>
        </w:rPr>
        <w:t xml:space="preserve"> </w:t>
      </w:r>
      <w:r>
        <w:t>can</w:t>
      </w:r>
      <w:r>
        <w:rPr>
          <w:spacing w:val="40"/>
        </w:rPr>
        <w:t xml:space="preserve"> </w:t>
      </w:r>
      <w:r>
        <w:t>be</w:t>
      </w:r>
      <w:r>
        <w:rPr>
          <w:spacing w:val="40"/>
        </w:rPr>
        <w:t xml:space="preserve"> </w:t>
      </w:r>
      <w:r>
        <w:t>measured robustly, instead of finding complicated explanation why they are difficult to measure and</w:t>
      </w:r>
      <w:r>
        <w:rPr>
          <w:spacing w:val="40"/>
        </w:rPr>
        <w:t xml:space="preserve"> </w:t>
      </w:r>
      <w:r>
        <w:t>claiming</w:t>
      </w:r>
      <w:r>
        <w:rPr>
          <w:spacing w:val="40"/>
        </w:rPr>
        <w:t xml:space="preserve"> </w:t>
      </w:r>
      <w:r>
        <w:t>that</w:t>
      </w:r>
      <w:r>
        <w:rPr>
          <w:spacing w:val="40"/>
        </w:rPr>
        <w:t xml:space="preserve"> </w:t>
      </w:r>
      <w:r>
        <w:t>this</w:t>
      </w:r>
      <w:r>
        <w:rPr>
          <w:spacing w:val="40"/>
        </w:rPr>
        <w:t xml:space="preserve"> </w:t>
      </w:r>
      <w:r>
        <w:t>is</w:t>
      </w:r>
      <w:r>
        <w:rPr>
          <w:spacing w:val="40"/>
        </w:rPr>
        <w:t xml:space="preserve"> </w:t>
      </w:r>
      <w:r>
        <w:t>evidence</w:t>
      </w:r>
      <w:r>
        <w:rPr>
          <w:spacing w:val="40"/>
        </w:rPr>
        <w:t xml:space="preserve"> </w:t>
      </w:r>
      <w:r>
        <w:t>they</w:t>
      </w:r>
      <w:r>
        <w:rPr>
          <w:spacing w:val="40"/>
        </w:rPr>
        <w:t xml:space="preserve"> </w:t>
      </w:r>
      <w:r>
        <w:t>must</w:t>
      </w:r>
      <w:r>
        <w:rPr>
          <w:spacing w:val="40"/>
        </w:rPr>
        <w:t xml:space="preserve"> </w:t>
      </w:r>
      <w:r>
        <w:t>nonetheless</w:t>
      </w:r>
      <w:r>
        <w:rPr>
          <w:spacing w:val="40"/>
        </w:rPr>
        <w:t xml:space="preserve"> </w:t>
      </w:r>
      <w:r>
        <w:t>exist</w:t>
      </w:r>
      <w:r>
        <w:rPr>
          <w:spacing w:val="40"/>
        </w:rPr>
        <w:t xml:space="preserve"> </w:t>
      </w:r>
      <w:r>
        <w:t>(it</w:t>
      </w:r>
      <w:r>
        <w:rPr>
          <w:spacing w:val="40"/>
        </w:rPr>
        <w:t xml:space="preserve"> </w:t>
      </w:r>
      <w:r>
        <w:t>is</w:t>
      </w:r>
      <w:r>
        <w:rPr>
          <w:spacing w:val="40"/>
        </w:rPr>
        <w:t xml:space="preserve"> </w:t>
      </w:r>
      <w:r>
        <w:t>not</w:t>
      </w:r>
      <w:r>
        <w:rPr>
          <w:spacing w:val="40"/>
        </w:rPr>
        <w:t xml:space="preserve"> </w:t>
      </w:r>
      <w:r>
        <w:t>evidence</w:t>
      </w:r>
      <w:r>
        <w:rPr>
          <w:spacing w:val="40"/>
        </w:rPr>
        <w:t xml:space="preserve"> </w:t>
      </w:r>
      <w:r>
        <w:t>thereof).</w:t>
      </w:r>
      <w:r>
        <w:rPr>
          <w:spacing w:val="40"/>
        </w:rPr>
        <w:t xml:space="preserve"> </w:t>
      </w:r>
      <w:r>
        <w:t>The lack</w:t>
      </w:r>
      <w:r>
        <w:rPr>
          <w:spacing w:val="40"/>
        </w:rPr>
        <w:t xml:space="preserve"> </w:t>
      </w:r>
      <w:r>
        <w:t>of</w:t>
      </w:r>
      <w:r>
        <w:rPr>
          <w:spacing w:val="40"/>
        </w:rPr>
        <w:t xml:space="preserve"> </w:t>
      </w:r>
      <w:r>
        <w:t>agreement/low</w:t>
      </w:r>
      <w:r>
        <w:rPr>
          <w:spacing w:val="40"/>
        </w:rPr>
        <w:t xml:space="preserve"> </w:t>
      </w:r>
      <w:r>
        <w:t>enrichments</w:t>
      </w:r>
      <w:r>
        <w:rPr>
          <w:spacing w:val="40"/>
        </w:rPr>
        <w:t xml:space="preserve"> </w:t>
      </w:r>
      <w:r>
        <w:t>are</w:t>
      </w:r>
      <w:r>
        <w:rPr>
          <w:spacing w:val="40"/>
        </w:rPr>
        <w:t xml:space="preserve"> </w:t>
      </w:r>
      <w:r>
        <w:t>more</w:t>
      </w:r>
      <w:r>
        <w:rPr>
          <w:spacing w:val="40"/>
        </w:rPr>
        <w:t xml:space="preserve"> </w:t>
      </w:r>
      <w:r>
        <w:t>likely</w:t>
      </w:r>
      <w:r>
        <w:rPr>
          <w:spacing w:val="40"/>
        </w:rPr>
        <w:t xml:space="preserve"> </w:t>
      </w:r>
      <w:r>
        <w:t>explained</w:t>
      </w:r>
      <w:r>
        <w:rPr>
          <w:spacing w:val="40"/>
        </w:rPr>
        <w:t xml:space="preserve"> </w:t>
      </w:r>
      <w:r>
        <w:t>by</w:t>
      </w:r>
      <w:r>
        <w:rPr>
          <w:spacing w:val="40"/>
        </w:rPr>
        <w:t xml:space="preserve"> </w:t>
      </w:r>
      <w:r>
        <w:t>measurement</w:t>
      </w:r>
      <w:r>
        <w:rPr>
          <w:spacing w:val="40"/>
        </w:rPr>
        <w:t xml:space="preserve"> </w:t>
      </w:r>
      <w:r>
        <w:t>error,</w:t>
      </w:r>
      <w:r>
        <w:rPr>
          <w:spacing w:val="40"/>
        </w:rPr>
        <w:t xml:space="preserve"> </w:t>
      </w:r>
      <w:r>
        <w:t>which could be substantial.</w:t>
      </w:r>
    </w:p>
    <w:p w14:paraId="42A16033" w14:textId="77777777" w:rsidR="00564ED3" w:rsidRDefault="00564ED3" w:rsidP="00564ED3">
      <w:pPr>
        <w:pStyle w:val="BodyText"/>
        <w:spacing w:before="33"/>
        <w:ind w:left="0"/>
      </w:pPr>
    </w:p>
    <w:p w14:paraId="43F467F5" w14:textId="77777777" w:rsidR="00564ED3" w:rsidRDefault="00564ED3" w:rsidP="00564ED3">
      <w:pPr>
        <w:pStyle w:val="BodyText"/>
        <w:spacing w:before="1" w:line="268" w:lineRule="auto"/>
        <w:ind w:right="110"/>
      </w:pPr>
      <w:r>
        <w:t>If</w:t>
      </w:r>
      <w:r>
        <w:rPr>
          <w:spacing w:val="40"/>
        </w:rPr>
        <w:t xml:space="preserve"> </w:t>
      </w:r>
      <w:r>
        <w:t>their</w:t>
      </w:r>
      <w:r>
        <w:rPr>
          <w:spacing w:val="40"/>
        </w:rPr>
        <w:t xml:space="preserve"> </w:t>
      </w:r>
      <w:r>
        <w:t>measurements</w:t>
      </w:r>
      <w:r>
        <w:rPr>
          <w:spacing w:val="40"/>
        </w:rPr>
        <w:t xml:space="preserve"> </w:t>
      </w:r>
      <w:r>
        <w:t>of</w:t>
      </w:r>
      <w:r>
        <w:rPr>
          <w:spacing w:val="40"/>
        </w:rPr>
        <w:t xml:space="preserve"> </w:t>
      </w:r>
      <w:r>
        <w:t>AS-NMD</w:t>
      </w:r>
      <w:r>
        <w:rPr>
          <w:spacing w:val="40"/>
        </w:rPr>
        <w:t xml:space="preserve"> </w:t>
      </w:r>
      <w:r>
        <w:t>have</w:t>
      </w:r>
      <w:r>
        <w:rPr>
          <w:spacing w:val="40"/>
        </w:rPr>
        <w:t xml:space="preserve"> </w:t>
      </w:r>
      <w:r>
        <w:t>certain</w:t>
      </w:r>
      <w:r>
        <w:rPr>
          <w:spacing w:val="40"/>
        </w:rPr>
        <w:t xml:space="preserve"> </w:t>
      </w:r>
      <w:r>
        <w:t>accuracy</w:t>
      </w:r>
      <w:r>
        <w:rPr>
          <w:spacing w:val="40"/>
        </w:rPr>
        <w:t xml:space="preserve"> </w:t>
      </w:r>
      <w:r>
        <w:t>and</w:t>
      </w:r>
      <w:r>
        <w:rPr>
          <w:spacing w:val="40"/>
        </w:rPr>
        <w:t xml:space="preserve"> </w:t>
      </w:r>
      <w:r>
        <w:t>make</w:t>
      </w:r>
      <w:r>
        <w:rPr>
          <w:spacing w:val="40"/>
        </w:rPr>
        <w:t xml:space="preserve"> </w:t>
      </w:r>
      <w:r>
        <w:t>some</w:t>
      </w:r>
      <w:r>
        <w:rPr>
          <w:spacing w:val="40"/>
        </w:rPr>
        <w:t xml:space="preserve"> </w:t>
      </w:r>
      <w:r>
        <w:t>non-negligible amount</w:t>
      </w:r>
      <w:r>
        <w:rPr>
          <w:spacing w:val="28"/>
        </w:rPr>
        <w:t xml:space="preserve"> </w:t>
      </w:r>
      <w:r>
        <w:t>of</w:t>
      </w:r>
      <w:r>
        <w:rPr>
          <w:spacing w:val="28"/>
        </w:rPr>
        <w:t xml:space="preserve"> </w:t>
      </w:r>
      <w:r>
        <w:t>error</w:t>
      </w:r>
      <w:r>
        <w:rPr>
          <w:spacing w:val="29"/>
        </w:rPr>
        <w:t xml:space="preserve"> </w:t>
      </w:r>
      <w:r>
        <w:t>(which</w:t>
      </w:r>
      <w:r>
        <w:rPr>
          <w:spacing w:val="31"/>
        </w:rPr>
        <w:t xml:space="preserve"> </w:t>
      </w:r>
      <w:r>
        <w:t>seems</w:t>
      </w:r>
      <w:r>
        <w:rPr>
          <w:spacing w:val="29"/>
        </w:rPr>
        <w:t xml:space="preserve"> </w:t>
      </w:r>
      <w:r>
        <w:t>to</w:t>
      </w:r>
      <w:r>
        <w:rPr>
          <w:spacing w:val="31"/>
        </w:rPr>
        <w:t xml:space="preserve"> </w:t>
      </w:r>
      <w:r>
        <w:t>be</w:t>
      </w:r>
      <w:r>
        <w:rPr>
          <w:spacing w:val="31"/>
        </w:rPr>
        <w:t xml:space="preserve"> </w:t>
      </w:r>
      <w:r>
        <w:t>the</w:t>
      </w:r>
      <w:r>
        <w:rPr>
          <w:spacing w:val="31"/>
        </w:rPr>
        <w:t xml:space="preserve"> </w:t>
      </w:r>
      <w:r>
        <w:t>case</w:t>
      </w:r>
      <w:r>
        <w:rPr>
          <w:spacing w:val="28"/>
        </w:rPr>
        <w:t xml:space="preserve"> </w:t>
      </w:r>
      <w:r>
        <w:t>judging</w:t>
      </w:r>
      <w:r>
        <w:rPr>
          <w:spacing w:val="29"/>
        </w:rPr>
        <w:t xml:space="preserve"> </w:t>
      </w:r>
      <w:r>
        <w:t>from</w:t>
      </w:r>
      <w:r>
        <w:rPr>
          <w:spacing w:val="32"/>
        </w:rPr>
        <w:t xml:space="preserve"> </w:t>
      </w:r>
      <w:r>
        <w:t>above),</w:t>
      </w:r>
      <w:r>
        <w:rPr>
          <w:spacing w:val="28"/>
        </w:rPr>
        <w:t xml:space="preserve"> </w:t>
      </w:r>
      <w:r>
        <w:t>they</w:t>
      </w:r>
      <w:r>
        <w:rPr>
          <w:spacing w:val="29"/>
        </w:rPr>
        <w:t xml:space="preserve"> </w:t>
      </w:r>
      <w:r>
        <w:t>should</w:t>
      </w:r>
      <w:r>
        <w:rPr>
          <w:spacing w:val="29"/>
        </w:rPr>
        <w:t xml:space="preserve"> </w:t>
      </w:r>
      <w:r>
        <w:t>state</w:t>
      </w:r>
      <w:r>
        <w:rPr>
          <w:spacing w:val="29"/>
        </w:rPr>
        <w:t xml:space="preserve"> </w:t>
      </w:r>
      <w:r>
        <w:t>this</w:t>
      </w:r>
      <w:r>
        <w:rPr>
          <w:spacing w:val="29"/>
        </w:rPr>
        <w:t xml:space="preserve"> </w:t>
      </w:r>
      <w:r>
        <w:t>the text</w:t>
      </w:r>
      <w:r>
        <w:rPr>
          <w:spacing w:val="40"/>
        </w:rPr>
        <w:t xml:space="preserve"> </w:t>
      </w:r>
      <w:r>
        <w:t>with</w:t>
      </w:r>
      <w:r>
        <w:rPr>
          <w:spacing w:val="40"/>
        </w:rPr>
        <w:t xml:space="preserve"> </w:t>
      </w:r>
      <w:r>
        <w:t>more</w:t>
      </w:r>
      <w:r>
        <w:rPr>
          <w:spacing w:val="40"/>
        </w:rPr>
        <w:t xml:space="preserve"> </w:t>
      </w:r>
      <w:r>
        <w:t>transparency</w:t>
      </w:r>
      <w:r>
        <w:rPr>
          <w:spacing w:val="40"/>
        </w:rPr>
        <w:t xml:space="preserve"> </w:t>
      </w:r>
      <w:r>
        <w:t>and</w:t>
      </w:r>
      <w:r>
        <w:rPr>
          <w:spacing w:val="40"/>
        </w:rPr>
        <w:t xml:space="preserve"> </w:t>
      </w:r>
      <w:r>
        <w:t>caution</w:t>
      </w:r>
      <w:r>
        <w:rPr>
          <w:spacing w:val="40"/>
        </w:rPr>
        <w:t xml:space="preserve"> </w:t>
      </w:r>
      <w:r>
        <w:t>to</w:t>
      </w:r>
      <w:r>
        <w:rPr>
          <w:spacing w:val="40"/>
        </w:rPr>
        <w:t xml:space="preserve"> </w:t>
      </w:r>
      <w:r>
        <w:t>the</w:t>
      </w:r>
      <w:r>
        <w:rPr>
          <w:spacing w:val="40"/>
        </w:rPr>
        <w:t xml:space="preserve"> </w:t>
      </w:r>
      <w:r>
        <w:t>reader:</w:t>
      </w:r>
      <w:r>
        <w:rPr>
          <w:spacing w:val="40"/>
        </w:rPr>
        <w:t xml:space="preserve"> </w:t>
      </w:r>
      <w:r>
        <w:t>please</w:t>
      </w:r>
      <w:r>
        <w:rPr>
          <w:spacing w:val="40"/>
        </w:rPr>
        <w:t xml:space="preserve"> </w:t>
      </w:r>
      <w:r>
        <w:t>state</w:t>
      </w:r>
      <w:r>
        <w:rPr>
          <w:spacing w:val="40"/>
        </w:rPr>
        <w:t xml:space="preserve"> </w:t>
      </w:r>
      <w:r>
        <w:t>clearly</w:t>
      </w:r>
      <w:r>
        <w:rPr>
          <w:spacing w:val="40"/>
        </w:rPr>
        <w:t xml:space="preserve"> </w:t>
      </w:r>
      <w:r>
        <w:t>in</w:t>
      </w:r>
      <w:r>
        <w:rPr>
          <w:spacing w:val="40"/>
        </w:rPr>
        <w:t xml:space="preserve"> </w:t>
      </w:r>
      <w:r>
        <w:t>the</w:t>
      </w:r>
      <w:r>
        <w:rPr>
          <w:spacing w:val="40"/>
        </w:rPr>
        <w:t xml:space="preserve"> </w:t>
      </w:r>
      <w:r>
        <w:t>text</w:t>
      </w:r>
      <w:r>
        <w:rPr>
          <w:spacing w:val="40"/>
        </w:rPr>
        <w:t xml:space="preserve"> </w:t>
      </w:r>
      <w:r>
        <w:t>what are</w:t>
      </w:r>
      <w:r>
        <w:rPr>
          <w:spacing w:val="40"/>
        </w:rPr>
        <w:t xml:space="preserve"> </w:t>
      </w:r>
      <w:r>
        <w:t>the</w:t>
      </w:r>
      <w:r>
        <w:rPr>
          <w:spacing w:val="40"/>
        </w:rPr>
        <w:t xml:space="preserve"> </w:t>
      </w:r>
      <w:r>
        <w:t>enrichments</w:t>
      </w:r>
      <w:r>
        <w:rPr>
          <w:spacing w:val="40"/>
        </w:rPr>
        <w:t xml:space="preserve"> </w:t>
      </w:r>
      <w:r>
        <w:t>regarding</w:t>
      </w:r>
      <w:r>
        <w:rPr>
          <w:spacing w:val="40"/>
        </w:rPr>
        <w:t xml:space="preserve"> </w:t>
      </w:r>
      <w:r>
        <w:t>"CHX-responsive</w:t>
      </w:r>
      <w:r>
        <w:rPr>
          <w:spacing w:val="40"/>
        </w:rPr>
        <w:t xml:space="preserve"> </w:t>
      </w:r>
      <w:r>
        <w:t>AS-NMD</w:t>
      </w:r>
      <w:r>
        <w:rPr>
          <w:spacing w:val="40"/>
        </w:rPr>
        <w:t xml:space="preserve"> </w:t>
      </w:r>
      <w:r>
        <w:t>events</w:t>
      </w:r>
      <w:r>
        <w:rPr>
          <w:spacing w:val="40"/>
        </w:rPr>
        <w:t xml:space="preserve"> </w:t>
      </w:r>
      <w:r>
        <w:t>were</w:t>
      </w:r>
      <w:r>
        <w:rPr>
          <w:spacing w:val="40"/>
        </w:rPr>
        <w:t xml:space="preserve"> </w:t>
      </w:r>
      <w:r>
        <w:t>enriched</w:t>
      </w:r>
      <w:r>
        <w:rPr>
          <w:spacing w:val="40"/>
        </w:rPr>
        <w:t xml:space="preserve"> </w:t>
      </w:r>
      <w:r>
        <w:t>for</w:t>
      </w:r>
      <w:r>
        <w:rPr>
          <w:spacing w:val="80"/>
          <w:w w:val="150"/>
        </w:rPr>
        <w:t xml:space="preserve"> </w:t>
      </w:r>
      <w:r>
        <w:t>positively</w:t>
      </w:r>
      <w:r>
        <w:rPr>
          <w:spacing w:val="40"/>
        </w:rPr>
        <w:t xml:space="preserve"> </w:t>
      </w:r>
      <w:r>
        <w:t>correlated</w:t>
      </w:r>
      <w:r>
        <w:rPr>
          <w:spacing w:val="40"/>
        </w:rPr>
        <w:t xml:space="preserve"> </w:t>
      </w:r>
      <w:r>
        <w:t>entries</w:t>
      </w:r>
      <w:r>
        <w:rPr>
          <w:spacing w:val="40"/>
        </w:rPr>
        <w:t xml:space="preserve"> </w:t>
      </w:r>
      <w:r>
        <w:t>(Fig.</w:t>
      </w:r>
      <w:r>
        <w:rPr>
          <w:spacing w:val="40"/>
        </w:rPr>
        <w:t xml:space="preserve"> </w:t>
      </w:r>
      <w:r>
        <w:t>2A).</w:t>
      </w:r>
      <w:r>
        <w:rPr>
          <w:spacing w:val="40"/>
        </w:rPr>
        <w:t xml:space="preserve"> </w:t>
      </w:r>
      <w:r>
        <w:t>The</w:t>
      </w:r>
      <w:r>
        <w:rPr>
          <w:spacing w:val="40"/>
        </w:rPr>
        <w:t xml:space="preserve"> </w:t>
      </w:r>
      <w:r>
        <w:t>enrichment</w:t>
      </w:r>
      <w:r>
        <w:rPr>
          <w:spacing w:val="40"/>
        </w:rPr>
        <w:t xml:space="preserve"> </w:t>
      </w:r>
      <w:r>
        <w:t>was</w:t>
      </w:r>
      <w:r>
        <w:rPr>
          <w:spacing w:val="40"/>
        </w:rPr>
        <w:t xml:space="preserve"> </w:t>
      </w:r>
      <w:r>
        <w:t>predominantly</w:t>
      </w:r>
      <w:r>
        <w:rPr>
          <w:spacing w:val="40"/>
        </w:rPr>
        <w:t xml:space="preserve"> </w:t>
      </w:r>
      <w:r>
        <w:t>due</w:t>
      </w:r>
      <w:r>
        <w:rPr>
          <w:spacing w:val="40"/>
        </w:rPr>
        <w:t xml:space="preserve"> </w:t>
      </w:r>
      <w:r>
        <w:t>to</w:t>
      </w:r>
      <w:r>
        <w:rPr>
          <w:spacing w:val="40"/>
        </w:rPr>
        <w:t xml:space="preserve"> </w:t>
      </w:r>
      <w:r>
        <w:t>CEs</w:t>
      </w:r>
      <w:r>
        <w:rPr>
          <w:spacing w:val="40"/>
        </w:rPr>
        <w:t xml:space="preserve"> </w:t>
      </w:r>
      <w:r>
        <w:t>rather than</w:t>
      </w:r>
      <w:r>
        <w:rPr>
          <w:spacing w:val="40"/>
        </w:rPr>
        <w:t xml:space="preserve"> </w:t>
      </w:r>
      <w:r>
        <w:t>other types of AS-NMD</w:t>
      </w:r>
      <w:r>
        <w:rPr>
          <w:spacing w:val="40"/>
        </w:rPr>
        <w:t xml:space="preserve"> </w:t>
      </w:r>
      <w:r>
        <w:t>events (Fig. 2A-B)."</w:t>
      </w:r>
    </w:p>
    <w:p w14:paraId="1244FD45" w14:textId="77777777" w:rsidR="00564ED3" w:rsidRDefault="00564ED3" w:rsidP="00564ED3">
      <w:pPr>
        <w:pStyle w:val="BodyText"/>
        <w:spacing w:before="31"/>
        <w:ind w:left="0"/>
      </w:pPr>
    </w:p>
    <w:p w14:paraId="7BB4FCAE" w14:textId="77777777" w:rsidR="00564ED3" w:rsidRDefault="00564ED3" w:rsidP="00564ED3">
      <w:pPr>
        <w:pStyle w:val="BodyText"/>
        <w:spacing w:line="268" w:lineRule="auto"/>
        <w:ind w:right="111"/>
      </w:pPr>
      <w:r>
        <w:rPr>
          <w:color w:val="4472C4"/>
        </w:rPr>
        <w:t>We</w:t>
      </w:r>
      <w:r>
        <w:rPr>
          <w:color w:val="4472C4"/>
          <w:spacing w:val="36"/>
        </w:rPr>
        <w:t xml:space="preserve"> </w:t>
      </w:r>
      <w:r>
        <w:rPr>
          <w:color w:val="4472C4"/>
        </w:rPr>
        <w:t>agree</w:t>
      </w:r>
      <w:r>
        <w:rPr>
          <w:color w:val="4472C4"/>
          <w:spacing w:val="36"/>
        </w:rPr>
        <w:t xml:space="preserve"> </w:t>
      </w:r>
      <w:r>
        <w:rPr>
          <w:color w:val="4472C4"/>
        </w:rPr>
        <w:t>that</w:t>
      </w:r>
      <w:r>
        <w:rPr>
          <w:color w:val="4472C4"/>
          <w:spacing w:val="33"/>
        </w:rPr>
        <w:t xml:space="preserve"> </w:t>
      </w:r>
      <w:r>
        <w:rPr>
          <w:color w:val="4472C4"/>
        </w:rPr>
        <w:t>measurement</w:t>
      </w:r>
      <w:r>
        <w:rPr>
          <w:color w:val="4472C4"/>
          <w:spacing w:val="33"/>
        </w:rPr>
        <w:t xml:space="preserve"> </w:t>
      </w:r>
      <w:r>
        <w:rPr>
          <w:color w:val="4472C4"/>
        </w:rPr>
        <w:t>errors</w:t>
      </w:r>
      <w:r>
        <w:rPr>
          <w:color w:val="4472C4"/>
          <w:spacing w:val="35"/>
        </w:rPr>
        <w:t xml:space="preserve"> </w:t>
      </w:r>
      <w:r>
        <w:rPr>
          <w:color w:val="4472C4"/>
        </w:rPr>
        <w:t>might</w:t>
      </w:r>
      <w:r>
        <w:rPr>
          <w:color w:val="4472C4"/>
          <w:spacing w:val="33"/>
        </w:rPr>
        <w:t xml:space="preserve"> </w:t>
      </w:r>
      <w:r>
        <w:rPr>
          <w:color w:val="4472C4"/>
        </w:rPr>
        <w:t>underlie</w:t>
      </w:r>
      <w:r>
        <w:rPr>
          <w:color w:val="4472C4"/>
          <w:spacing w:val="35"/>
        </w:rPr>
        <w:t xml:space="preserve"> </w:t>
      </w:r>
      <w:r>
        <w:rPr>
          <w:color w:val="4472C4"/>
        </w:rPr>
        <w:t>the</w:t>
      </w:r>
      <w:r>
        <w:rPr>
          <w:color w:val="4472C4"/>
          <w:spacing w:val="36"/>
        </w:rPr>
        <w:t xml:space="preserve"> </w:t>
      </w:r>
      <w:r>
        <w:rPr>
          <w:color w:val="4472C4"/>
        </w:rPr>
        <w:t>lack</w:t>
      </w:r>
      <w:r>
        <w:rPr>
          <w:color w:val="4472C4"/>
          <w:spacing w:val="35"/>
        </w:rPr>
        <w:t xml:space="preserve"> </w:t>
      </w:r>
      <w:r>
        <w:rPr>
          <w:color w:val="4472C4"/>
        </w:rPr>
        <w:t>of</w:t>
      </w:r>
      <w:r>
        <w:rPr>
          <w:color w:val="4472C4"/>
          <w:spacing w:val="33"/>
        </w:rPr>
        <w:t xml:space="preserve"> </w:t>
      </w:r>
      <w:r>
        <w:rPr>
          <w:color w:val="4472C4"/>
        </w:rPr>
        <w:t>detectable</w:t>
      </w:r>
      <w:r>
        <w:rPr>
          <w:color w:val="4472C4"/>
          <w:spacing w:val="36"/>
        </w:rPr>
        <w:t xml:space="preserve"> </w:t>
      </w:r>
      <w:r>
        <w:rPr>
          <w:color w:val="4472C4"/>
        </w:rPr>
        <w:t>correlation</w:t>
      </w:r>
      <w:r>
        <w:rPr>
          <w:color w:val="4472C4"/>
          <w:spacing w:val="36"/>
        </w:rPr>
        <w:t xml:space="preserve"> </w:t>
      </w:r>
      <w:r>
        <w:rPr>
          <w:color w:val="4472C4"/>
        </w:rPr>
        <w:t>of</w:t>
      </w:r>
      <w:r>
        <w:rPr>
          <w:color w:val="4472C4"/>
          <w:spacing w:val="33"/>
        </w:rPr>
        <w:t xml:space="preserve"> </w:t>
      </w:r>
      <w:r>
        <w:rPr>
          <w:color w:val="4472C4"/>
        </w:rPr>
        <w:t>some AS-NMD events with gene expression dynamics. Indeed, we see</w:t>
      </w:r>
      <w:r>
        <w:rPr>
          <w:color w:val="4472C4"/>
          <w:spacing w:val="40"/>
        </w:rPr>
        <w:t xml:space="preserve"> </w:t>
      </w:r>
      <w:r>
        <w:rPr>
          <w:color w:val="4472C4"/>
        </w:rPr>
        <w:t>an increase in correlation</w:t>
      </w:r>
      <w:r>
        <w:rPr>
          <w:color w:val="4472C4"/>
          <w:spacing w:val="80"/>
        </w:rPr>
        <w:t xml:space="preserve"> </w:t>
      </w:r>
      <w:r>
        <w:rPr>
          <w:color w:val="4472C4"/>
        </w:rPr>
        <w:t>when</w:t>
      </w:r>
      <w:r>
        <w:rPr>
          <w:color w:val="4472C4"/>
          <w:spacing w:val="40"/>
        </w:rPr>
        <w:t xml:space="preserve"> </w:t>
      </w:r>
      <w:r>
        <w:rPr>
          <w:color w:val="4472C4"/>
        </w:rPr>
        <w:t>we</w:t>
      </w:r>
      <w:r>
        <w:rPr>
          <w:color w:val="4472C4"/>
          <w:spacing w:val="40"/>
        </w:rPr>
        <w:t xml:space="preserve"> </w:t>
      </w:r>
      <w:r>
        <w:rPr>
          <w:color w:val="4472C4"/>
        </w:rPr>
        <w:t>consider</w:t>
      </w:r>
      <w:r>
        <w:rPr>
          <w:color w:val="4472C4"/>
          <w:spacing w:val="40"/>
        </w:rPr>
        <w:t xml:space="preserve"> </w:t>
      </w:r>
      <w:r>
        <w:rPr>
          <w:color w:val="4472C4"/>
        </w:rPr>
        <w:t>more</w:t>
      </w:r>
      <w:r>
        <w:rPr>
          <w:color w:val="4472C4"/>
          <w:spacing w:val="40"/>
        </w:rPr>
        <w:t xml:space="preserve"> </w:t>
      </w:r>
      <w:r>
        <w:rPr>
          <w:color w:val="4472C4"/>
        </w:rPr>
        <w:t>stringently</w:t>
      </w:r>
      <w:r>
        <w:rPr>
          <w:color w:val="4472C4"/>
          <w:spacing w:val="40"/>
        </w:rPr>
        <w:t xml:space="preserve"> </w:t>
      </w:r>
      <w:r>
        <w:rPr>
          <w:color w:val="4472C4"/>
        </w:rPr>
        <w:t>defined,</w:t>
      </w:r>
      <w:r>
        <w:rPr>
          <w:color w:val="4472C4"/>
          <w:spacing w:val="40"/>
        </w:rPr>
        <w:t xml:space="preserve"> </w:t>
      </w:r>
      <w:r>
        <w:rPr>
          <w:color w:val="4472C4"/>
        </w:rPr>
        <w:t>i.e.</w:t>
      </w:r>
      <w:r>
        <w:rPr>
          <w:color w:val="4472C4"/>
          <w:spacing w:val="40"/>
        </w:rPr>
        <w:t xml:space="preserve"> </w:t>
      </w:r>
      <w:r>
        <w:rPr>
          <w:color w:val="4472C4"/>
        </w:rPr>
        <w:t>less</w:t>
      </w:r>
      <w:r>
        <w:rPr>
          <w:color w:val="4472C4"/>
          <w:spacing w:val="40"/>
        </w:rPr>
        <w:t xml:space="preserve"> </w:t>
      </w:r>
      <w:r>
        <w:rPr>
          <w:color w:val="4472C4"/>
        </w:rPr>
        <w:t>"noisy"</w:t>
      </w:r>
      <w:r>
        <w:rPr>
          <w:color w:val="4472C4"/>
          <w:spacing w:val="40"/>
        </w:rPr>
        <w:t xml:space="preserve"> </w:t>
      </w:r>
      <w:r>
        <w:rPr>
          <w:color w:val="4472C4"/>
        </w:rPr>
        <w:t>groups</w:t>
      </w:r>
      <w:r>
        <w:rPr>
          <w:color w:val="4472C4"/>
          <w:spacing w:val="40"/>
        </w:rPr>
        <w:t xml:space="preserve"> </w:t>
      </w:r>
      <w:r>
        <w:rPr>
          <w:color w:val="4472C4"/>
        </w:rPr>
        <w:t>of</w:t>
      </w:r>
      <w:r>
        <w:rPr>
          <w:color w:val="4472C4"/>
          <w:spacing w:val="40"/>
        </w:rPr>
        <w:t xml:space="preserve"> </w:t>
      </w:r>
      <w:r>
        <w:rPr>
          <w:color w:val="4472C4"/>
        </w:rPr>
        <w:t>NS-CE</w:t>
      </w:r>
      <w:r>
        <w:rPr>
          <w:color w:val="4472C4"/>
          <w:spacing w:val="40"/>
        </w:rPr>
        <w:t xml:space="preserve"> </w:t>
      </w:r>
      <w:r>
        <w:rPr>
          <w:color w:val="4472C4"/>
        </w:rPr>
        <w:t>events. Compared</w:t>
      </w:r>
      <w:r>
        <w:rPr>
          <w:color w:val="4472C4"/>
          <w:spacing w:val="40"/>
        </w:rPr>
        <w:t xml:space="preserve"> </w:t>
      </w:r>
      <w:r>
        <w:rPr>
          <w:color w:val="4472C4"/>
        </w:rPr>
        <w:t>to</w:t>
      </w:r>
      <w:r>
        <w:rPr>
          <w:color w:val="4472C4"/>
          <w:spacing w:val="40"/>
        </w:rPr>
        <w:t xml:space="preserve"> </w:t>
      </w:r>
      <w:r>
        <w:rPr>
          <w:color w:val="4472C4"/>
        </w:rPr>
        <w:t>control</w:t>
      </w:r>
      <w:r>
        <w:rPr>
          <w:color w:val="4472C4"/>
          <w:spacing w:val="40"/>
        </w:rPr>
        <w:t xml:space="preserve"> </w:t>
      </w:r>
      <w:r>
        <w:rPr>
          <w:color w:val="4472C4"/>
        </w:rPr>
        <w:t>events,</w:t>
      </w:r>
      <w:r>
        <w:rPr>
          <w:color w:val="4472C4"/>
          <w:spacing w:val="40"/>
        </w:rPr>
        <w:t xml:space="preserve"> </w:t>
      </w:r>
      <w:r>
        <w:rPr>
          <w:color w:val="4472C4"/>
        </w:rPr>
        <w:t>NS-CEs</w:t>
      </w:r>
      <w:r>
        <w:rPr>
          <w:color w:val="4472C4"/>
          <w:spacing w:val="40"/>
        </w:rPr>
        <w:t xml:space="preserve"> </w:t>
      </w:r>
      <w:r>
        <w:rPr>
          <w:color w:val="4472C4"/>
        </w:rPr>
        <w:t>shortlisted</w:t>
      </w:r>
      <w:r>
        <w:rPr>
          <w:color w:val="4472C4"/>
          <w:spacing w:val="40"/>
        </w:rPr>
        <w:t xml:space="preserve"> </w:t>
      </w:r>
      <w:r>
        <w:rPr>
          <w:color w:val="4472C4"/>
        </w:rPr>
        <w:t>with</w:t>
      </w:r>
      <w:r>
        <w:rPr>
          <w:color w:val="4472C4"/>
          <w:spacing w:val="40"/>
        </w:rPr>
        <w:t xml:space="preserve"> </w:t>
      </w:r>
      <w:r>
        <w:rPr>
          <w:color w:val="4472C4"/>
        </w:rPr>
        <w:t>ΔPSI&gt;0.1</w:t>
      </w:r>
      <w:r>
        <w:rPr>
          <w:color w:val="4472C4"/>
          <w:spacing w:val="40"/>
        </w:rPr>
        <w:t xml:space="preserve"> </w:t>
      </w:r>
      <w:r>
        <w:rPr>
          <w:color w:val="4472C4"/>
        </w:rPr>
        <w:t>and</w:t>
      </w:r>
      <w:r>
        <w:rPr>
          <w:color w:val="4472C4"/>
          <w:spacing w:val="40"/>
        </w:rPr>
        <w:t xml:space="preserve"> </w:t>
      </w:r>
      <w:r>
        <w:rPr>
          <w:color w:val="4472C4"/>
        </w:rPr>
        <w:t>probability&gt;0.9</w:t>
      </w:r>
      <w:r>
        <w:rPr>
          <w:color w:val="4472C4"/>
          <w:spacing w:val="40"/>
        </w:rPr>
        <w:t xml:space="preserve"> </w:t>
      </w:r>
      <w:r>
        <w:rPr>
          <w:color w:val="4472C4"/>
        </w:rPr>
        <w:t xml:space="preserve">cutoffs were enriched for significantly correlated entries </w:t>
      </w:r>
      <w:r>
        <w:rPr>
          <w:b/>
          <w:color w:val="4472C4"/>
        </w:rPr>
        <w:t xml:space="preserve">~2.4-fold </w:t>
      </w:r>
      <w:r>
        <w:rPr>
          <w:color w:val="4472C4"/>
        </w:rPr>
        <w:t xml:space="preserve">(Fig. 2A-B; correlation P&lt;0.05), whereas NS-CEs shortlisted with ΔPSI&gt;0.25 and probability&gt;0.95 cutoffs were enriched for significantly correlated entries </w:t>
      </w:r>
      <w:r>
        <w:rPr>
          <w:b/>
          <w:color w:val="4472C4"/>
        </w:rPr>
        <w:t xml:space="preserve">~2.7-fold </w:t>
      </w:r>
      <w:r>
        <w:rPr>
          <w:color w:val="4472C4"/>
        </w:rPr>
        <w:t xml:space="preserve">(Fig. S5). An even stronger gain in enrichment was detected for the more stringent correlation </w:t>
      </w:r>
      <w:r>
        <w:rPr>
          <w:i/>
          <w:color w:val="4472C4"/>
        </w:rPr>
        <w:t>P</w:t>
      </w:r>
      <w:r>
        <w:rPr>
          <w:color w:val="4472C4"/>
        </w:rPr>
        <w:t xml:space="preserve">-value of 0.001: </w:t>
      </w:r>
      <w:r>
        <w:rPr>
          <w:b/>
          <w:color w:val="4472C4"/>
        </w:rPr>
        <w:t xml:space="preserve">~3.8-fold </w:t>
      </w:r>
      <w:r>
        <w:rPr>
          <w:color w:val="4472C4"/>
        </w:rPr>
        <w:t>for ΔPSI&gt;0.1 and probability&gt;0.9</w:t>
      </w:r>
      <w:r>
        <w:rPr>
          <w:color w:val="4472C4"/>
          <w:spacing w:val="40"/>
        </w:rPr>
        <w:t xml:space="preserve"> </w:t>
      </w:r>
      <w:r>
        <w:rPr>
          <w:color w:val="4472C4"/>
        </w:rPr>
        <w:t>NS-CEs</w:t>
      </w:r>
      <w:r>
        <w:rPr>
          <w:color w:val="4472C4"/>
          <w:spacing w:val="40"/>
        </w:rPr>
        <w:t xml:space="preserve"> </w:t>
      </w:r>
      <w:r>
        <w:rPr>
          <w:color w:val="4472C4"/>
        </w:rPr>
        <w:t>(Fig.</w:t>
      </w:r>
      <w:r>
        <w:rPr>
          <w:color w:val="4472C4"/>
          <w:spacing w:val="40"/>
        </w:rPr>
        <w:t xml:space="preserve"> </w:t>
      </w:r>
      <w:r>
        <w:rPr>
          <w:color w:val="4472C4"/>
        </w:rPr>
        <w:t>2A-B)</w:t>
      </w:r>
      <w:r>
        <w:rPr>
          <w:color w:val="4472C4"/>
          <w:spacing w:val="40"/>
        </w:rPr>
        <w:t xml:space="preserve"> </w:t>
      </w:r>
      <w:r>
        <w:rPr>
          <w:color w:val="4472C4"/>
        </w:rPr>
        <w:t>and</w:t>
      </w:r>
      <w:r>
        <w:rPr>
          <w:color w:val="4472C4"/>
          <w:spacing w:val="40"/>
        </w:rPr>
        <w:t xml:space="preserve"> </w:t>
      </w:r>
      <w:r>
        <w:rPr>
          <w:b/>
          <w:color w:val="4472C4"/>
        </w:rPr>
        <w:t>~5.8-fold</w:t>
      </w:r>
      <w:r>
        <w:rPr>
          <w:b/>
          <w:color w:val="4472C4"/>
          <w:spacing w:val="40"/>
        </w:rPr>
        <w:t xml:space="preserve"> </w:t>
      </w:r>
      <w:r>
        <w:rPr>
          <w:color w:val="4472C4"/>
        </w:rPr>
        <w:t>for</w:t>
      </w:r>
      <w:r>
        <w:rPr>
          <w:color w:val="4472C4"/>
          <w:spacing w:val="40"/>
        </w:rPr>
        <w:t xml:space="preserve"> </w:t>
      </w:r>
      <w:r>
        <w:rPr>
          <w:color w:val="4472C4"/>
        </w:rPr>
        <w:t>the</w:t>
      </w:r>
      <w:r>
        <w:rPr>
          <w:color w:val="4472C4"/>
          <w:spacing w:val="40"/>
        </w:rPr>
        <w:t xml:space="preserve"> </w:t>
      </w:r>
      <w:r>
        <w:rPr>
          <w:color w:val="4472C4"/>
        </w:rPr>
        <w:t>ΔPSI&gt;0.25</w:t>
      </w:r>
      <w:r>
        <w:rPr>
          <w:color w:val="4472C4"/>
          <w:spacing w:val="40"/>
        </w:rPr>
        <w:t xml:space="preserve"> </w:t>
      </w:r>
      <w:r>
        <w:rPr>
          <w:color w:val="4472C4"/>
        </w:rPr>
        <w:t>and</w:t>
      </w:r>
      <w:r>
        <w:rPr>
          <w:color w:val="4472C4"/>
          <w:spacing w:val="40"/>
        </w:rPr>
        <w:t xml:space="preserve"> </w:t>
      </w:r>
      <w:r>
        <w:rPr>
          <w:color w:val="4472C4"/>
        </w:rPr>
        <w:t>probability&gt;0.95 NS-CEs (Fig. S5).</w:t>
      </w:r>
    </w:p>
    <w:p w14:paraId="694E9D63" w14:textId="77777777" w:rsidR="00564ED3" w:rsidRDefault="00564ED3" w:rsidP="00564ED3">
      <w:pPr>
        <w:pStyle w:val="BodyText"/>
        <w:spacing w:before="35"/>
        <w:ind w:left="0"/>
      </w:pPr>
    </w:p>
    <w:p w14:paraId="07F8DAAD" w14:textId="77777777" w:rsidR="00564ED3" w:rsidRDefault="00564ED3" w:rsidP="00564ED3">
      <w:pPr>
        <w:pStyle w:val="BodyText"/>
      </w:pPr>
      <w:r>
        <w:rPr>
          <w:color w:val="4472C4"/>
        </w:rPr>
        <w:t>As</w:t>
      </w:r>
      <w:r>
        <w:rPr>
          <w:color w:val="4472C4"/>
          <w:spacing w:val="73"/>
        </w:rPr>
        <w:t xml:space="preserve"> </w:t>
      </w:r>
      <w:r>
        <w:rPr>
          <w:color w:val="4472C4"/>
        </w:rPr>
        <w:t>suggested</w:t>
      </w:r>
      <w:r>
        <w:rPr>
          <w:color w:val="4472C4"/>
          <w:spacing w:val="73"/>
        </w:rPr>
        <w:t xml:space="preserve"> </w:t>
      </w:r>
      <w:r>
        <w:rPr>
          <w:color w:val="4472C4"/>
        </w:rPr>
        <w:t>by</w:t>
      </w:r>
      <w:r>
        <w:rPr>
          <w:color w:val="4472C4"/>
          <w:spacing w:val="73"/>
        </w:rPr>
        <w:t xml:space="preserve"> </w:t>
      </w:r>
      <w:r>
        <w:rPr>
          <w:color w:val="4472C4"/>
        </w:rPr>
        <w:t>the</w:t>
      </w:r>
      <w:r>
        <w:rPr>
          <w:color w:val="4472C4"/>
          <w:spacing w:val="74"/>
        </w:rPr>
        <w:t xml:space="preserve"> </w:t>
      </w:r>
      <w:r>
        <w:rPr>
          <w:color w:val="4472C4"/>
        </w:rPr>
        <w:t>reviewer,</w:t>
      </w:r>
      <w:r>
        <w:rPr>
          <w:color w:val="4472C4"/>
          <w:spacing w:val="72"/>
        </w:rPr>
        <w:t xml:space="preserve"> </w:t>
      </w:r>
      <w:r>
        <w:rPr>
          <w:color w:val="4472C4"/>
        </w:rPr>
        <w:t>we</w:t>
      </w:r>
      <w:r>
        <w:rPr>
          <w:color w:val="4472C4"/>
          <w:spacing w:val="73"/>
        </w:rPr>
        <w:t xml:space="preserve"> </w:t>
      </w:r>
      <w:r>
        <w:rPr>
          <w:color w:val="4472C4"/>
        </w:rPr>
        <w:t>now</w:t>
      </w:r>
      <w:r>
        <w:rPr>
          <w:color w:val="4472C4"/>
          <w:spacing w:val="75"/>
        </w:rPr>
        <w:t xml:space="preserve"> </w:t>
      </w:r>
      <w:r>
        <w:rPr>
          <w:color w:val="4472C4"/>
        </w:rPr>
        <w:t>explicitly</w:t>
      </w:r>
      <w:r>
        <w:rPr>
          <w:color w:val="4472C4"/>
          <w:spacing w:val="73"/>
        </w:rPr>
        <w:t xml:space="preserve"> </w:t>
      </w:r>
      <w:r>
        <w:rPr>
          <w:color w:val="4472C4"/>
        </w:rPr>
        <w:t>mention</w:t>
      </w:r>
      <w:r>
        <w:rPr>
          <w:color w:val="4472C4"/>
          <w:spacing w:val="73"/>
        </w:rPr>
        <w:t xml:space="preserve"> </w:t>
      </w:r>
      <w:r>
        <w:rPr>
          <w:color w:val="4472C4"/>
        </w:rPr>
        <w:t>fold</w:t>
      </w:r>
      <w:r>
        <w:rPr>
          <w:color w:val="4472C4"/>
          <w:spacing w:val="74"/>
        </w:rPr>
        <w:t xml:space="preserve"> </w:t>
      </w:r>
      <w:r>
        <w:rPr>
          <w:color w:val="4472C4"/>
        </w:rPr>
        <w:t>enrichment</w:t>
      </w:r>
      <w:r>
        <w:rPr>
          <w:color w:val="4472C4"/>
          <w:spacing w:val="72"/>
        </w:rPr>
        <w:t xml:space="preserve"> </w:t>
      </w:r>
      <w:r>
        <w:rPr>
          <w:color w:val="4472C4"/>
        </w:rPr>
        <w:t>values</w:t>
      </w:r>
      <w:r>
        <w:rPr>
          <w:color w:val="4472C4"/>
          <w:spacing w:val="72"/>
        </w:rPr>
        <w:t xml:space="preserve"> </w:t>
      </w:r>
      <w:r>
        <w:rPr>
          <w:color w:val="4472C4"/>
        </w:rPr>
        <w:t>in</w:t>
      </w:r>
      <w:r>
        <w:rPr>
          <w:color w:val="4472C4"/>
          <w:spacing w:val="73"/>
        </w:rPr>
        <w:t xml:space="preserve"> </w:t>
      </w:r>
      <w:r>
        <w:rPr>
          <w:color w:val="4472C4"/>
          <w:spacing w:val="-5"/>
        </w:rPr>
        <w:t>the</w:t>
      </w:r>
    </w:p>
    <w:p w14:paraId="70E9CE0D" w14:textId="77777777" w:rsidR="00564ED3" w:rsidRDefault="00564ED3" w:rsidP="00564ED3">
      <w:pPr>
        <w:pStyle w:val="BodyText"/>
        <w:spacing w:before="32"/>
      </w:pPr>
      <w:r>
        <w:rPr>
          <w:color w:val="4472C4"/>
        </w:rPr>
        <w:t>Results</w:t>
      </w:r>
      <w:r>
        <w:rPr>
          <w:color w:val="4472C4"/>
          <w:spacing w:val="76"/>
        </w:rPr>
        <w:t xml:space="preserve"> </w:t>
      </w:r>
      <w:r>
        <w:rPr>
          <w:color w:val="4472C4"/>
        </w:rPr>
        <w:t>(page</w:t>
      </w:r>
      <w:r>
        <w:rPr>
          <w:color w:val="4472C4"/>
          <w:spacing w:val="77"/>
        </w:rPr>
        <w:t xml:space="preserve"> </w:t>
      </w:r>
      <w:r>
        <w:rPr>
          <w:color w:val="4472C4"/>
        </w:rPr>
        <w:t>10):</w:t>
      </w:r>
      <w:r>
        <w:rPr>
          <w:color w:val="4472C4"/>
          <w:spacing w:val="75"/>
        </w:rPr>
        <w:t xml:space="preserve"> </w:t>
      </w:r>
      <w:r>
        <w:rPr>
          <w:color w:val="4472C4"/>
        </w:rPr>
        <w:t>"The</w:t>
      </w:r>
      <w:r>
        <w:rPr>
          <w:color w:val="4472C4"/>
          <w:spacing w:val="77"/>
        </w:rPr>
        <w:t xml:space="preserve"> </w:t>
      </w:r>
      <w:r>
        <w:rPr>
          <w:color w:val="4472C4"/>
        </w:rPr>
        <w:t>enrichment</w:t>
      </w:r>
      <w:r>
        <w:rPr>
          <w:color w:val="4472C4"/>
          <w:spacing w:val="75"/>
        </w:rPr>
        <w:t xml:space="preserve"> </w:t>
      </w:r>
      <w:r>
        <w:rPr>
          <w:color w:val="4472C4"/>
        </w:rPr>
        <w:t>of</w:t>
      </w:r>
      <w:r>
        <w:rPr>
          <w:color w:val="4472C4"/>
          <w:spacing w:val="75"/>
        </w:rPr>
        <w:t xml:space="preserve"> </w:t>
      </w:r>
      <w:r>
        <w:rPr>
          <w:color w:val="4472C4"/>
        </w:rPr>
        <w:t>correlated</w:t>
      </w:r>
      <w:r>
        <w:rPr>
          <w:color w:val="4472C4"/>
          <w:spacing w:val="77"/>
        </w:rPr>
        <w:t xml:space="preserve"> </w:t>
      </w:r>
      <w:r>
        <w:rPr>
          <w:color w:val="4472C4"/>
        </w:rPr>
        <w:t>events</w:t>
      </w:r>
      <w:r>
        <w:rPr>
          <w:color w:val="4472C4"/>
          <w:spacing w:val="76"/>
        </w:rPr>
        <w:t xml:space="preserve"> </w:t>
      </w:r>
      <w:r>
        <w:rPr>
          <w:color w:val="4472C4"/>
        </w:rPr>
        <w:t>amongst</w:t>
      </w:r>
      <w:r>
        <w:rPr>
          <w:color w:val="4472C4"/>
          <w:spacing w:val="76"/>
        </w:rPr>
        <w:t xml:space="preserve"> </w:t>
      </w:r>
      <w:r>
        <w:rPr>
          <w:color w:val="4472C4"/>
        </w:rPr>
        <w:t>NS-CEs</w:t>
      </w:r>
      <w:r>
        <w:rPr>
          <w:color w:val="4472C4"/>
          <w:spacing w:val="76"/>
        </w:rPr>
        <w:t xml:space="preserve"> </w:t>
      </w:r>
      <w:r>
        <w:rPr>
          <w:color w:val="4472C4"/>
        </w:rPr>
        <w:t>ranged</w:t>
      </w:r>
      <w:r>
        <w:rPr>
          <w:color w:val="4472C4"/>
          <w:spacing w:val="77"/>
        </w:rPr>
        <w:t xml:space="preserve"> </w:t>
      </w:r>
      <w:r>
        <w:rPr>
          <w:color w:val="4472C4"/>
          <w:spacing w:val="-4"/>
        </w:rPr>
        <w:t>from</w:t>
      </w:r>
    </w:p>
    <w:p w14:paraId="5492B332" w14:textId="77777777" w:rsidR="00564ED3" w:rsidRDefault="00564ED3" w:rsidP="00564ED3">
      <w:pPr>
        <w:pStyle w:val="BodyText"/>
        <w:spacing w:before="32" w:line="266" w:lineRule="auto"/>
        <w:ind w:right="111"/>
      </w:pPr>
      <w:r>
        <w:rPr>
          <w:color w:val="4472C4"/>
        </w:rPr>
        <w:t>~2.4-fold</w:t>
      </w:r>
      <w:r>
        <w:rPr>
          <w:color w:val="4472C4"/>
          <w:spacing w:val="40"/>
        </w:rPr>
        <w:t xml:space="preserve"> </w:t>
      </w:r>
      <w:r>
        <w:rPr>
          <w:color w:val="4472C4"/>
        </w:rPr>
        <w:t>(ΔPSI&gt;0.1</w:t>
      </w:r>
      <w:r>
        <w:rPr>
          <w:color w:val="4472C4"/>
          <w:spacing w:val="40"/>
        </w:rPr>
        <w:t xml:space="preserve"> </w:t>
      </w:r>
      <w:r>
        <w:rPr>
          <w:color w:val="4472C4"/>
        </w:rPr>
        <w:t>and</w:t>
      </w:r>
      <w:r>
        <w:rPr>
          <w:color w:val="4472C4"/>
          <w:spacing w:val="40"/>
        </w:rPr>
        <w:t xml:space="preserve"> </w:t>
      </w:r>
      <w:r>
        <w:rPr>
          <w:color w:val="4472C4"/>
        </w:rPr>
        <w:t>probability&gt;0.9</w:t>
      </w:r>
      <w:r>
        <w:rPr>
          <w:color w:val="4472C4"/>
          <w:spacing w:val="40"/>
        </w:rPr>
        <w:t xml:space="preserve"> </w:t>
      </w:r>
      <w:r>
        <w:rPr>
          <w:color w:val="4472C4"/>
        </w:rPr>
        <w:t>Whippet</w:t>
      </w:r>
      <w:r>
        <w:rPr>
          <w:color w:val="4472C4"/>
          <w:spacing w:val="40"/>
        </w:rPr>
        <w:t xml:space="preserve"> </w:t>
      </w:r>
      <w:r>
        <w:rPr>
          <w:color w:val="4472C4"/>
        </w:rPr>
        <w:t>cutoffs</w:t>
      </w:r>
      <w:r>
        <w:rPr>
          <w:color w:val="4472C4"/>
          <w:spacing w:val="40"/>
        </w:rPr>
        <w:t xml:space="preserve"> </w:t>
      </w:r>
      <w:r>
        <w:rPr>
          <w:color w:val="4472C4"/>
        </w:rPr>
        <w:t>and</w:t>
      </w:r>
      <w:r>
        <w:rPr>
          <w:color w:val="4472C4"/>
          <w:spacing w:val="40"/>
        </w:rPr>
        <w:t xml:space="preserve"> </w:t>
      </w:r>
      <w:r>
        <w:rPr>
          <w:color w:val="4472C4"/>
        </w:rPr>
        <w:t>P&lt;0.05</w:t>
      </w:r>
      <w:r>
        <w:rPr>
          <w:color w:val="4472C4"/>
          <w:spacing w:val="40"/>
        </w:rPr>
        <w:t xml:space="preserve"> </w:t>
      </w:r>
      <w:r>
        <w:rPr>
          <w:color w:val="4472C4"/>
        </w:rPr>
        <w:t>correlation</w:t>
      </w:r>
      <w:r>
        <w:rPr>
          <w:color w:val="4472C4"/>
          <w:spacing w:val="40"/>
        </w:rPr>
        <w:t xml:space="preserve"> </w:t>
      </w:r>
      <w:r>
        <w:rPr>
          <w:color w:val="4472C4"/>
        </w:rPr>
        <w:t>cutoff;</w:t>
      </w:r>
      <w:r>
        <w:rPr>
          <w:color w:val="4472C4"/>
          <w:spacing w:val="40"/>
        </w:rPr>
        <w:t xml:space="preserve"> </w:t>
      </w:r>
      <w:r>
        <w:rPr>
          <w:color w:val="4472C4"/>
        </w:rPr>
        <w:t>Fig. 2A-B) to ~5.8-fold (ΔPSI&gt;0.25 and probability&gt;0.95 Whippet cutoffs and P&lt;0.001 correlation cutoff; Fig. S5)."</w:t>
      </w:r>
    </w:p>
    <w:p w14:paraId="1AF1635A" w14:textId="77777777" w:rsidR="00564ED3" w:rsidRDefault="00564ED3" w:rsidP="00564ED3">
      <w:pPr>
        <w:pStyle w:val="BodyText"/>
        <w:spacing w:before="37"/>
        <w:ind w:left="0"/>
      </w:pPr>
    </w:p>
    <w:p w14:paraId="397D3389" w14:textId="77777777" w:rsidR="00564ED3" w:rsidRDefault="00564ED3" w:rsidP="00564ED3">
      <w:pPr>
        <w:pStyle w:val="BodyText"/>
        <w:spacing w:line="268" w:lineRule="auto"/>
        <w:ind w:right="110"/>
      </w:pPr>
      <w:r>
        <w:rPr>
          <w:color w:val="4472C4"/>
        </w:rPr>
        <w:t xml:space="preserve">For further transparency, we have included the following paragraph in the revised Discussion </w:t>
      </w:r>
      <w:r>
        <w:rPr>
          <w:color w:val="4472C4"/>
        </w:rPr>
        <w:lastRenderedPageBreak/>
        <w:t>(page 21): "It should be noted that we utilized relatively lenient cutoffs (Whippet ΔPSI&gt;0.1, probability&gt;0.9</w:t>
      </w:r>
      <w:r>
        <w:rPr>
          <w:color w:val="4472C4"/>
          <w:spacing w:val="40"/>
        </w:rPr>
        <w:t xml:space="preserve"> </w:t>
      </w:r>
      <w:r>
        <w:rPr>
          <w:color w:val="4472C4"/>
        </w:rPr>
        <w:t>and</w:t>
      </w:r>
      <w:r>
        <w:rPr>
          <w:color w:val="4472C4"/>
          <w:spacing w:val="40"/>
        </w:rPr>
        <w:t xml:space="preserve"> </w:t>
      </w:r>
      <w:r>
        <w:rPr>
          <w:color w:val="4472C4"/>
        </w:rPr>
        <w:t>correlation</w:t>
      </w:r>
      <w:r>
        <w:rPr>
          <w:color w:val="4472C4"/>
          <w:spacing w:val="40"/>
        </w:rPr>
        <w:t xml:space="preserve"> </w:t>
      </w:r>
      <w:r>
        <w:rPr>
          <w:color w:val="4472C4"/>
        </w:rPr>
        <w:t>P&lt;0.05)</w:t>
      </w:r>
      <w:r>
        <w:rPr>
          <w:color w:val="4472C4"/>
          <w:spacing w:val="40"/>
        </w:rPr>
        <w:t xml:space="preserve"> </w:t>
      </w:r>
      <w:r>
        <w:rPr>
          <w:color w:val="4472C4"/>
        </w:rPr>
        <w:t>to</w:t>
      </w:r>
      <w:r>
        <w:rPr>
          <w:color w:val="4472C4"/>
          <w:spacing w:val="40"/>
        </w:rPr>
        <w:t xml:space="preserve"> </w:t>
      </w:r>
      <w:r>
        <w:rPr>
          <w:color w:val="4472C4"/>
        </w:rPr>
        <w:t>shortlist</w:t>
      </w:r>
      <w:r>
        <w:rPr>
          <w:color w:val="4472C4"/>
          <w:spacing w:val="40"/>
        </w:rPr>
        <w:t xml:space="preserve"> </w:t>
      </w:r>
      <w:r>
        <w:rPr>
          <w:color w:val="4472C4"/>
        </w:rPr>
        <w:t>AS-NMD</w:t>
      </w:r>
      <w:r>
        <w:rPr>
          <w:color w:val="4472C4"/>
          <w:spacing w:val="40"/>
        </w:rPr>
        <w:t xml:space="preserve"> </w:t>
      </w:r>
      <w:r>
        <w:rPr>
          <w:color w:val="4472C4"/>
        </w:rPr>
        <w:t>events</w:t>
      </w:r>
      <w:r>
        <w:rPr>
          <w:color w:val="4472C4"/>
          <w:spacing w:val="40"/>
        </w:rPr>
        <w:t xml:space="preserve"> </w:t>
      </w:r>
      <w:r>
        <w:rPr>
          <w:color w:val="4472C4"/>
        </w:rPr>
        <w:t>potentially</w:t>
      </w:r>
      <w:r>
        <w:rPr>
          <w:color w:val="4472C4"/>
          <w:spacing w:val="40"/>
        </w:rPr>
        <w:t xml:space="preserve"> </w:t>
      </w:r>
      <w:r>
        <w:rPr>
          <w:color w:val="4472C4"/>
        </w:rPr>
        <w:t>influencing gene expression in neurodevelopment (the first tab in Table S4). factR2 users may consider adjusting these parameters, based on the data in Fig. 2A-B, Fig. S5, and the second tab of</w:t>
      </w:r>
      <w:r>
        <w:rPr>
          <w:color w:val="4472C4"/>
          <w:spacing w:val="80"/>
          <w:w w:val="150"/>
        </w:rPr>
        <w:t xml:space="preserve"> </w:t>
      </w:r>
      <w:r>
        <w:rPr>
          <w:color w:val="4472C4"/>
        </w:rPr>
        <w:t>Table</w:t>
      </w:r>
      <w:r>
        <w:rPr>
          <w:color w:val="4472C4"/>
          <w:spacing w:val="40"/>
        </w:rPr>
        <w:t xml:space="preserve"> </w:t>
      </w:r>
      <w:r>
        <w:rPr>
          <w:color w:val="4472C4"/>
        </w:rPr>
        <w:t>S4,</w:t>
      </w:r>
      <w:r>
        <w:rPr>
          <w:color w:val="4472C4"/>
          <w:spacing w:val="40"/>
        </w:rPr>
        <w:t xml:space="preserve"> </w:t>
      </w:r>
      <w:r>
        <w:rPr>
          <w:color w:val="4472C4"/>
        </w:rPr>
        <w:t>to</w:t>
      </w:r>
      <w:r>
        <w:rPr>
          <w:color w:val="4472C4"/>
          <w:spacing w:val="40"/>
        </w:rPr>
        <w:t xml:space="preserve"> </w:t>
      </w:r>
      <w:r>
        <w:rPr>
          <w:color w:val="4472C4"/>
        </w:rPr>
        <w:t>strike</w:t>
      </w:r>
      <w:r>
        <w:rPr>
          <w:color w:val="4472C4"/>
          <w:spacing w:val="40"/>
        </w:rPr>
        <w:t xml:space="preserve"> </w:t>
      </w:r>
      <w:r>
        <w:rPr>
          <w:color w:val="4472C4"/>
        </w:rPr>
        <w:t>the</w:t>
      </w:r>
      <w:r>
        <w:rPr>
          <w:color w:val="4472C4"/>
          <w:spacing w:val="40"/>
        </w:rPr>
        <w:t xml:space="preserve"> </w:t>
      </w:r>
      <w:r>
        <w:rPr>
          <w:color w:val="4472C4"/>
        </w:rPr>
        <w:t>optimal</w:t>
      </w:r>
      <w:r>
        <w:rPr>
          <w:color w:val="4472C4"/>
          <w:spacing w:val="40"/>
        </w:rPr>
        <w:t xml:space="preserve"> </w:t>
      </w:r>
      <w:r>
        <w:rPr>
          <w:color w:val="4472C4"/>
        </w:rPr>
        <w:t>balance</w:t>
      </w:r>
      <w:r>
        <w:rPr>
          <w:color w:val="4472C4"/>
          <w:spacing w:val="40"/>
        </w:rPr>
        <w:t xml:space="preserve"> </w:t>
      </w:r>
      <w:r>
        <w:rPr>
          <w:color w:val="4472C4"/>
        </w:rPr>
        <w:t>between</w:t>
      </w:r>
      <w:r>
        <w:rPr>
          <w:color w:val="4472C4"/>
          <w:spacing w:val="40"/>
        </w:rPr>
        <w:t xml:space="preserve"> </w:t>
      </w:r>
      <w:r>
        <w:rPr>
          <w:color w:val="4472C4"/>
        </w:rPr>
        <w:t>capturing</w:t>
      </w:r>
      <w:r>
        <w:rPr>
          <w:color w:val="4472C4"/>
          <w:spacing w:val="40"/>
        </w:rPr>
        <w:t xml:space="preserve"> </w:t>
      </w:r>
      <w:r>
        <w:rPr>
          <w:color w:val="4472C4"/>
        </w:rPr>
        <w:t>all</w:t>
      </w:r>
      <w:r>
        <w:rPr>
          <w:color w:val="4472C4"/>
          <w:spacing w:val="40"/>
        </w:rPr>
        <w:t xml:space="preserve"> </w:t>
      </w:r>
      <w:r>
        <w:rPr>
          <w:color w:val="4472C4"/>
        </w:rPr>
        <w:t>regulatory</w:t>
      </w:r>
      <w:r>
        <w:rPr>
          <w:color w:val="4472C4"/>
          <w:spacing w:val="40"/>
        </w:rPr>
        <w:t xml:space="preserve"> </w:t>
      </w:r>
      <w:r>
        <w:rPr>
          <w:color w:val="4472C4"/>
        </w:rPr>
        <w:t>events</w:t>
      </w:r>
      <w:r>
        <w:rPr>
          <w:color w:val="4472C4"/>
          <w:spacing w:val="40"/>
        </w:rPr>
        <w:t xml:space="preserve"> </w:t>
      </w:r>
      <w:r>
        <w:rPr>
          <w:color w:val="4472C4"/>
        </w:rPr>
        <w:t>and</w:t>
      </w:r>
      <w:r>
        <w:rPr>
          <w:color w:val="4472C4"/>
          <w:spacing w:val="40"/>
        </w:rPr>
        <w:t xml:space="preserve"> </w:t>
      </w:r>
      <w:r>
        <w:rPr>
          <w:color w:val="4472C4"/>
        </w:rPr>
        <w:t>events with the strongest regulation potential."</w:t>
      </w:r>
    </w:p>
    <w:p w14:paraId="132EDF52" w14:textId="77777777" w:rsidR="00564ED3" w:rsidRDefault="00564ED3" w:rsidP="00564ED3">
      <w:pPr>
        <w:pStyle w:val="BodyText"/>
        <w:spacing w:before="32"/>
        <w:ind w:left="0"/>
      </w:pPr>
    </w:p>
    <w:p w14:paraId="4B6ECD81" w14:textId="0FCEF1FF" w:rsidR="00564ED3" w:rsidRDefault="00564ED3" w:rsidP="0031542E">
      <w:pPr>
        <w:pStyle w:val="BodyText"/>
        <w:spacing w:line="268" w:lineRule="auto"/>
        <w:ind w:right="111"/>
      </w:pPr>
      <w:r>
        <w:t>Moreover</w:t>
      </w:r>
      <w:r>
        <w:rPr>
          <w:spacing w:val="29"/>
        </w:rPr>
        <w:t xml:space="preserve"> </w:t>
      </w:r>
      <w:r>
        <w:t>please</w:t>
      </w:r>
      <w:r>
        <w:rPr>
          <w:spacing w:val="30"/>
        </w:rPr>
        <w:t xml:space="preserve"> </w:t>
      </w:r>
      <w:r>
        <w:t>in</w:t>
      </w:r>
      <w:r>
        <w:rPr>
          <w:spacing w:val="30"/>
        </w:rPr>
        <w:t xml:space="preserve"> </w:t>
      </w:r>
      <w:r>
        <w:t>addition</w:t>
      </w:r>
      <w:r>
        <w:rPr>
          <w:spacing w:val="30"/>
        </w:rPr>
        <w:t xml:space="preserve"> </w:t>
      </w:r>
      <w:r>
        <w:t>to</w:t>
      </w:r>
      <w:r>
        <w:rPr>
          <w:spacing w:val="30"/>
        </w:rPr>
        <w:t xml:space="preserve"> </w:t>
      </w:r>
      <w:r>
        <w:t>the</w:t>
      </w:r>
      <w:r>
        <w:rPr>
          <w:spacing w:val="30"/>
        </w:rPr>
        <w:t xml:space="preserve"> </w:t>
      </w:r>
      <w:r>
        <w:t>p-value</w:t>
      </w:r>
      <w:r>
        <w:rPr>
          <w:spacing w:val="30"/>
        </w:rPr>
        <w:t xml:space="preserve"> </w:t>
      </w:r>
      <w:r>
        <w:t>state</w:t>
      </w:r>
      <w:r>
        <w:rPr>
          <w:spacing w:val="30"/>
        </w:rPr>
        <w:t xml:space="preserve"> </w:t>
      </w:r>
      <w:r>
        <w:t>also</w:t>
      </w:r>
      <w:r>
        <w:rPr>
          <w:spacing w:val="30"/>
        </w:rPr>
        <w:t xml:space="preserve"> </w:t>
      </w:r>
      <w:r>
        <w:t>the</w:t>
      </w:r>
      <w:r>
        <w:rPr>
          <w:spacing w:val="30"/>
        </w:rPr>
        <w:t xml:space="preserve"> </w:t>
      </w:r>
      <w:r>
        <w:t>FDR</w:t>
      </w:r>
      <w:r>
        <w:rPr>
          <w:spacing w:val="30"/>
        </w:rPr>
        <w:t xml:space="preserve"> </w:t>
      </w:r>
      <w:r>
        <w:t>for</w:t>
      </w:r>
      <w:r>
        <w:rPr>
          <w:spacing w:val="29"/>
        </w:rPr>
        <w:t xml:space="preserve"> </w:t>
      </w:r>
      <w:r>
        <w:t>the</w:t>
      </w:r>
      <w:r>
        <w:rPr>
          <w:spacing w:val="30"/>
        </w:rPr>
        <w:t xml:space="preserve"> </w:t>
      </w:r>
      <w:r>
        <w:t>"Hereafter,</w:t>
      </w:r>
      <w:r>
        <w:rPr>
          <w:spacing w:val="29"/>
        </w:rPr>
        <w:t xml:space="preserve"> </w:t>
      </w:r>
      <w:r>
        <w:t>we</w:t>
      </w:r>
      <w:r>
        <w:rPr>
          <w:spacing w:val="30"/>
        </w:rPr>
        <w:t xml:space="preserve"> </w:t>
      </w:r>
      <w:r>
        <w:t>will</w:t>
      </w:r>
      <w:r>
        <w:rPr>
          <w:spacing w:val="28"/>
        </w:rPr>
        <w:t xml:space="preserve"> </w:t>
      </w:r>
      <w:r>
        <w:t>use the</w:t>
      </w:r>
      <w:r>
        <w:rPr>
          <w:spacing w:val="40"/>
        </w:rPr>
        <w:t xml:space="preserve"> </w:t>
      </w:r>
      <w:r>
        <w:t>term</w:t>
      </w:r>
      <w:r>
        <w:rPr>
          <w:spacing w:val="40"/>
        </w:rPr>
        <w:t xml:space="preserve"> </w:t>
      </w:r>
      <w:r>
        <w:t>"facilitating"</w:t>
      </w:r>
      <w:r>
        <w:rPr>
          <w:spacing w:val="40"/>
        </w:rPr>
        <w:t xml:space="preserve"> </w:t>
      </w:r>
      <w:r>
        <w:t>to</w:t>
      </w:r>
      <w:r>
        <w:rPr>
          <w:spacing w:val="40"/>
        </w:rPr>
        <w:t xml:space="preserve"> </w:t>
      </w:r>
      <w:r>
        <w:t>refer</w:t>
      </w:r>
      <w:r>
        <w:rPr>
          <w:spacing w:val="40"/>
        </w:rPr>
        <w:t xml:space="preserve"> </w:t>
      </w:r>
      <w:r>
        <w:t>to</w:t>
      </w:r>
      <w:r>
        <w:rPr>
          <w:spacing w:val="40"/>
        </w:rPr>
        <w:t xml:space="preserve"> </w:t>
      </w:r>
      <w:r>
        <w:t>CHX-responsive</w:t>
      </w:r>
      <w:r>
        <w:rPr>
          <w:spacing w:val="40"/>
        </w:rPr>
        <w:t xml:space="preserve"> </w:t>
      </w:r>
      <w:r>
        <w:t>events</w:t>
      </w:r>
      <w:r>
        <w:rPr>
          <w:spacing w:val="40"/>
        </w:rPr>
        <w:t xml:space="preserve"> </w:t>
      </w:r>
      <w:r>
        <w:t>showing</w:t>
      </w:r>
      <w:r>
        <w:rPr>
          <w:spacing w:val="40"/>
        </w:rPr>
        <w:t xml:space="preserve"> </w:t>
      </w:r>
      <w:r>
        <w:t>significant</w:t>
      </w:r>
      <w:r>
        <w:rPr>
          <w:spacing w:val="40"/>
        </w:rPr>
        <w:t xml:space="preserve"> </w:t>
      </w:r>
      <w:r>
        <w:t>positive correlation</w:t>
      </w:r>
      <w:r>
        <w:rPr>
          <w:spacing w:val="64"/>
        </w:rPr>
        <w:t xml:space="preserve"> </w:t>
      </w:r>
      <w:r>
        <w:t>(P&lt;0.05)</w:t>
      </w:r>
      <w:r>
        <w:rPr>
          <w:spacing w:val="63"/>
        </w:rPr>
        <w:t xml:space="preserve"> </w:t>
      </w:r>
      <w:r>
        <w:t>between</w:t>
      </w:r>
      <w:r>
        <w:rPr>
          <w:spacing w:val="64"/>
        </w:rPr>
        <w:t xml:space="preserve"> </w:t>
      </w:r>
      <w:r>
        <w:t>NMD-protective</w:t>
      </w:r>
      <w:r>
        <w:rPr>
          <w:spacing w:val="64"/>
        </w:rPr>
        <w:t xml:space="preserve"> </w:t>
      </w:r>
      <w:r>
        <w:t>splicing</w:t>
      </w:r>
      <w:r>
        <w:rPr>
          <w:spacing w:val="64"/>
        </w:rPr>
        <w:t xml:space="preserve"> </w:t>
      </w:r>
      <w:r>
        <w:t>patterns</w:t>
      </w:r>
      <w:r>
        <w:rPr>
          <w:spacing w:val="63"/>
        </w:rPr>
        <w:t xml:space="preserve"> </w:t>
      </w:r>
      <w:r>
        <w:t>and</w:t>
      </w:r>
      <w:r>
        <w:rPr>
          <w:spacing w:val="65"/>
        </w:rPr>
        <w:t xml:space="preserve"> </w:t>
      </w:r>
      <w:r>
        <w:t>gene</w:t>
      </w:r>
      <w:r>
        <w:rPr>
          <w:spacing w:val="64"/>
        </w:rPr>
        <w:t xml:space="preserve"> </w:t>
      </w:r>
      <w:r>
        <w:t>expression."</w:t>
      </w:r>
      <w:r>
        <w:rPr>
          <w:spacing w:val="63"/>
        </w:rPr>
        <w:t xml:space="preserve"> </w:t>
      </w:r>
      <w:r w:rsidR="0031542E">
        <w:rPr>
          <w:spacing w:val="-5"/>
        </w:rPr>
        <w:t>A</w:t>
      </w:r>
      <w:r>
        <w:rPr>
          <w:spacing w:val="-5"/>
        </w:rPr>
        <w:t>nd</w:t>
      </w:r>
      <w:r w:rsidR="0031542E">
        <w:t xml:space="preserve"> </w:t>
      </w:r>
      <w:r>
        <w:t>related</w:t>
      </w:r>
      <w:r>
        <w:rPr>
          <w:spacing w:val="40"/>
        </w:rPr>
        <w:t xml:space="preserve"> </w:t>
      </w:r>
      <w:r>
        <w:t>in</w:t>
      </w:r>
      <w:r>
        <w:rPr>
          <w:spacing w:val="40"/>
        </w:rPr>
        <w:t xml:space="preserve"> </w:t>
      </w:r>
      <w:r>
        <w:t>Table</w:t>
      </w:r>
      <w:r>
        <w:rPr>
          <w:spacing w:val="40"/>
        </w:rPr>
        <w:t xml:space="preserve"> </w:t>
      </w:r>
      <w:r>
        <w:t>S4</w:t>
      </w:r>
      <w:r>
        <w:rPr>
          <w:spacing w:val="40"/>
        </w:rPr>
        <w:t xml:space="preserve"> </w:t>
      </w:r>
      <w:r>
        <w:t>the</w:t>
      </w:r>
      <w:r>
        <w:rPr>
          <w:spacing w:val="40"/>
        </w:rPr>
        <w:t xml:space="preserve"> </w:t>
      </w:r>
      <w:r>
        <w:t>column</w:t>
      </w:r>
      <w:r>
        <w:rPr>
          <w:spacing w:val="40"/>
        </w:rPr>
        <w:t xml:space="preserve"> </w:t>
      </w:r>
      <w:r>
        <w:t>"AS-NMD</w:t>
      </w:r>
      <w:r>
        <w:rPr>
          <w:spacing w:val="40"/>
        </w:rPr>
        <w:t xml:space="preserve"> </w:t>
      </w:r>
      <w:r>
        <w:t>event-gene</w:t>
      </w:r>
      <w:r>
        <w:rPr>
          <w:spacing w:val="40"/>
        </w:rPr>
        <w:t xml:space="preserve"> </w:t>
      </w:r>
      <w:r>
        <w:t>correlation,</w:t>
      </w:r>
      <w:r>
        <w:rPr>
          <w:spacing w:val="40"/>
        </w:rPr>
        <w:t xml:space="preserve"> </w:t>
      </w:r>
      <w:r>
        <w:t>P-value"</w:t>
      </w:r>
      <w:r>
        <w:rPr>
          <w:spacing w:val="40"/>
        </w:rPr>
        <w:t xml:space="preserve"> </w:t>
      </w:r>
      <w:r>
        <w:t>should</w:t>
      </w:r>
      <w:r>
        <w:rPr>
          <w:spacing w:val="40"/>
        </w:rPr>
        <w:t xml:space="preserve"> </w:t>
      </w:r>
      <w:r>
        <w:t>also</w:t>
      </w:r>
      <w:r>
        <w:rPr>
          <w:spacing w:val="40"/>
        </w:rPr>
        <w:t xml:space="preserve"> </w:t>
      </w:r>
      <w:r>
        <w:t>have a FDR corrected corresponding column in the same table, in both sheets.</w:t>
      </w:r>
      <w:r>
        <w:rPr>
          <w:spacing w:val="40"/>
        </w:rPr>
        <w:t xml:space="preserve"> </w:t>
      </w:r>
      <w:r>
        <w:t>(probable typo: confusingly</w:t>
      </w:r>
      <w:r>
        <w:rPr>
          <w:spacing w:val="40"/>
        </w:rPr>
        <w:t xml:space="preserve"> </w:t>
      </w:r>
      <w:r>
        <w:t>one</w:t>
      </w:r>
      <w:r>
        <w:rPr>
          <w:spacing w:val="40"/>
        </w:rPr>
        <w:t xml:space="preserve"> </w:t>
      </w:r>
      <w:r>
        <w:t>sheet states Table</w:t>
      </w:r>
      <w:r>
        <w:rPr>
          <w:spacing w:val="40"/>
        </w:rPr>
        <w:t xml:space="preserve"> </w:t>
      </w:r>
      <w:r>
        <w:t>S4</w:t>
      </w:r>
      <w:r>
        <w:rPr>
          <w:spacing w:val="40"/>
        </w:rPr>
        <w:t xml:space="preserve"> </w:t>
      </w:r>
      <w:r>
        <w:t>and</w:t>
      </w:r>
      <w:r>
        <w:rPr>
          <w:spacing w:val="40"/>
        </w:rPr>
        <w:t xml:space="preserve"> </w:t>
      </w:r>
      <w:r>
        <w:t>other Table</w:t>
      </w:r>
      <w:r>
        <w:rPr>
          <w:spacing w:val="40"/>
        </w:rPr>
        <w:t xml:space="preserve"> </w:t>
      </w:r>
      <w:r>
        <w:t>S3).</w:t>
      </w:r>
    </w:p>
    <w:p w14:paraId="74CEA84D" w14:textId="77777777" w:rsidR="00564ED3" w:rsidRDefault="00564ED3" w:rsidP="00564ED3">
      <w:pPr>
        <w:pStyle w:val="BodyText"/>
        <w:spacing w:before="34"/>
        <w:ind w:left="0"/>
      </w:pPr>
    </w:p>
    <w:p w14:paraId="371B7507" w14:textId="77777777" w:rsidR="00564ED3" w:rsidRDefault="00564ED3" w:rsidP="00564ED3">
      <w:pPr>
        <w:pStyle w:val="BodyText"/>
        <w:spacing w:before="1" w:line="268" w:lineRule="auto"/>
        <w:ind w:right="114"/>
      </w:pPr>
      <w:r>
        <w:rPr>
          <w:color w:val="4472C4"/>
        </w:rPr>
        <w:t>We</w:t>
      </w:r>
      <w:r>
        <w:rPr>
          <w:color w:val="4472C4"/>
          <w:spacing w:val="20"/>
        </w:rPr>
        <w:t xml:space="preserve"> </w:t>
      </w:r>
      <w:r>
        <w:rPr>
          <w:color w:val="4472C4"/>
        </w:rPr>
        <w:t>have</w:t>
      </w:r>
      <w:r>
        <w:rPr>
          <w:color w:val="4472C4"/>
          <w:spacing w:val="20"/>
        </w:rPr>
        <w:t xml:space="preserve"> </w:t>
      </w:r>
      <w:r>
        <w:rPr>
          <w:color w:val="4472C4"/>
        </w:rPr>
        <w:t>added</w:t>
      </w:r>
      <w:r>
        <w:rPr>
          <w:color w:val="4472C4"/>
          <w:spacing w:val="20"/>
        </w:rPr>
        <w:t xml:space="preserve"> </w:t>
      </w:r>
      <w:r>
        <w:rPr>
          <w:color w:val="4472C4"/>
        </w:rPr>
        <w:t>the</w:t>
      </w:r>
      <w:r>
        <w:rPr>
          <w:color w:val="4472C4"/>
          <w:spacing w:val="21"/>
        </w:rPr>
        <w:t xml:space="preserve"> </w:t>
      </w:r>
      <w:r>
        <w:rPr>
          <w:color w:val="4472C4"/>
        </w:rPr>
        <w:t>FDR</w:t>
      </w:r>
      <w:r>
        <w:rPr>
          <w:color w:val="4472C4"/>
          <w:spacing w:val="21"/>
        </w:rPr>
        <w:t xml:space="preserve"> </w:t>
      </w:r>
      <w:r>
        <w:rPr>
          <w:color w:val="4472C4"/>
        </w:rPr>
        <w:t>column</w:t>
      </w:r>
      <w:r>
        <w:rPr>
          <w:color w:val="4472C4"/>
          <w:spacing w:val="20"/>
        </w:rPr>
        <w:t xml:space="preserve"> </w:t>
      </w:r>
      <w:r>
        <w:rPr>
          <w:color w:val="4472C4"/>
        </w:rPr>
        <w:t>in</w:t>
      </w:r>
      <w:r>
        <w:rPr>
          <w:color w:val="4472C4"/>
          <w:spacing w:val="20"/>
        </w:rPr>
        <w:t xml:space="preserve"> </w:t>
      </w:r>
      <w:r>
        <w:rPr>
          <w:color w:val="4472C4"/>
        </w:rPr>
        <w:t>both</w:t>
      </w:r>
      <w:r>
        <w:rPr>
          <w:color w:val="4472C4"/>
          <w:spacing w:val="20"/>
        </w:rPr>
        <w:t xml:space="preserve"> </w:t>
      </w:r>
      <w:r>
        <w:rPr>
          <w:color w:val="4472C4"/>
        </w:rPr>
        <w:t>tabs</w:t>
      </w:r>
      <w:r>
        <w:rPr>
          <w:color w:val="4472C4"/>
          <w:spacing w:val="20"/>
        </w:rPr>
        <w:t xml:space="preserve"> </w:t>
      </w:r>
      <w:r>
        <w:rPr>
          <w:color w:val="4472C4"/>
        </w:rPr>
        <w:t>of Table</w:t>
      </w:r>
      <w:r>
        <w:rPr>
          <w:color w:val="4472C4"/>
          <w:spacing w:val="20"/>
        </w:rPr>
        <w:t xml:space="preserve"> </w:t>
      </w:r>
      <w:r>
        <w:rPr>
          <w:color w:val="4472C4"/>
        </w:rPr>
        <w:t>S4</w:t>
      </w:r>
      <w:r>
        <w:rPr>
          <w:color w:val="4472C4"/>
          <w:spacing w:val="21"/>
        </w:rPr>
        <w:t xml:space="preserve"> </w:t>
      </w:r>
      <w:r>
        <w:rPr>
          <w:color w:val="4472C4"/>
        </w:rPr>
        <w:t>and</w:t>
      </w:r>
      <w:r>
        <w:rPr>
          <w:color w:val="4472C4"/>
          <w:spacing w:val="20"/>
        </w:rPr>
        <w:t xml:space="preserve"> </w:t>
      </w:r>
      <w:r>
        <w:rPr>
          <w:color w:val="4472C4"/>
        </w:rPr>
        <w:t>now</w:t>
      </w:r>
      <w:r>
        <w:rPr>
          <w:color w:val="4472C4"/>
          <w:spacing w:val="21"/>
        </w:rPr>
        <w:t xml:space="preserve"> </w:t>
      </w:r>
      <w:r>
        <w:rPr>
          <w:color w:val="4472C4"/>
        </w:rPr>
        <w:t>mention</w:t>
      </w:r>
      <w:r>
        <w:rPr>
          <w:color w:val="4472C4"/>
          <w:spacing w:val="20"/>
        </w:rPr>
        <w:t xml:space="preserve"> </w:t>
      </w:r>
      <w:r>
        <w:rPr>
          <w:color w:val="4472C4"/>
        </w:rPr>
        <w:t>the</w:t>
      </w:r>
      <w:r>
        <w:rPr>
          <w:color w:val="4472C4"/>
          <w:spacing w:val="20"/>
        </w:rPr>
        <w:t xml:space="preserve"> </w:t>
      </w:r>
      <w:r>
        <w:rPr>
          <w:color w:val="4472C4"/>
        </w:rPr>
        <w:t>FDR</w:t>
      </w:r>
      <w:r>
        <w:rPr>
          <w:color w:val="4472C4"/>
          <w:spacing w:val="21"/>
        </w:rPr>
        <w:t xml:space="preserve"> </w:t>
      </w:r>
      <w:r>
        <w:rPr>
          <w:color w:val="4472C4"/>
        </w:rPr>
        <w:t>cutoff in the</w:t>
      </w:r>
      <w:r>
        <w:rPr>
          <w:color w:val="4472C4"/>
          <w:spacing w:val="40"/>
        </w:rPr>
        <w:t xml:space="preserve"> </w:t>
      </w:r>
      <w:r>
        <w:rPr>
          <w:color w:val="4472C4"/>
        </w:rPr>
        <w:t>revised</w:t>
      </w:r>
      <w:r>
        <w:rPr>
          <w:color w:val="4472C4"/>
          <w:spacing w:val="40"/>
        </w:rPr>
        <w:t xml:space="preserve"> </w:t>
      </w:r>
      <w:r>
        <w:rPr>
          <w:color w:val="4472C4"/>
        </w:rPr>
        <w:t>text:</w:t>
      </w:r>
      <w:r>
        <w:rPr>
          <w:color w:val="4472C4"/>
          <w:spacing w:val="40"/>
        </w:rPr>
        <w:t xml:space="preserve"> </w:t>
      </w:r>
      <w:r>
        <w:rPr>
          <w:color w:val="4472C4"/>
        </w:rPr>
        <w:t>"Hereafter,</w:t>
      </w:r>
      <w:r>
        <w:rPr>
          <w:color w:val="4472C4"/>
          <w:spacing w:val="40"/>
        </w:rPr>
        <w:t xml:space="preserve"> </w:t>
      </w:r>
      <w:r>
        <w:rPr>
          <w:color w:val="4472C4"/>
        </w:rPr>
        <w:t>we</w:t>
      </w:r>
      <w:r>
        <w:rPr>
          <w:color w:val="4472C4"/>
          <w:spacing w:val="40"/>
        </w:rPr>
        <w:t xml:space="preserve"> </w:t>
      </w:r>
      <w:r>
        <w:rPr>
          <w:color w:val="4472C4"/>
        </w:rPr>
        <w:t>will</w:t>
      </w:r>
      <w:r>
        <w:rPr>
          <w:color w:val="4472C4"/>
          <w:spacing w:val="40"/>
        </w:rPr>
        <w:t xml:space="preserve"> </w:t>
      </w:r>
      <w:r>
        <w:rPr>
          <w:color w:val="4472C4"/>
        </w:rPr>
        <w:t>use</w:t>
      </w:r>
      <w:r>
        <w:rPr>
          <w:color w:val="4472C4"/>
          <w:spacing w:val="40"/>
        </w:rPr>
        <w:t xml:space="preserve"> </w:t>
      </w:r>
      <w:r>
        <w:rPr>
          <w:color w:val="4472C4"/>
        </w:rPr>
        <w:t>the</w:t>
      </w:r>
      <w:r>
        <w:rPr>
          <w:color w:val="4472C4"/>
          <w:spacing w:val="40"/>
        </w:rPr>
        <w:t xml:space="preserve"> </w:t>
      </w:r>
      <w:r>
        <w:rPr>
          <w:color w:val="4472C4"/>
        </w:rPr>
        <w:t>term</w:t>
      </w:r>
      <w:r>
        <w:rPr>
          <w:color w:val="4472C4"/>
          <w:spacing w:val="40"/>
        </w:rPr>
        <w:t xml:space="preserve"> </w:t>
      </w:r>
      <w:r>
        <w:rPr>
          <w:color w:val="4472C4"/>
        </w:rPr>
        <w:t>"facilitating"</w:t>
      </w:r>
      <w:r>
        <w:rPr>
          <w:color w:val="4472C4"/>
          <w:spacing w:val="40"/>
        </w:rPr>
        <w:t xml:space="preserve"> </w:t>
      </w:r>
      <w:r>
        <w:rPr>
          <w:color w:val="4472C4"/>
        </w:rPr>
        <w:t>to</w:t>
      </w:r>
      <w:r>
        <w:rPr>
          <w:color w:val="4472C4"/>
          <w:spacing w:val="40"/>
        </w:rPr>
        <w:t xml:space="preserve"> </w:t>
      </w:r>
      <w:r>
        <w:rPr>
          <w:color w:val="4472C4"/>
        </w:rPr>
        <w:t>refer</w:t>
      </w:r>
      <w:r>
        <w:rPr>
          <w:color w:val="4472C4"/>
          <w:spacing w:val="40"/>
        </w:rPr>
        <w:t xml:space="preserve"> </w:t>
      </w:r>
      <w:r>
        <w:rPr>
          <w:color w:val="4472C4"/>
        </w:rPr>
        <w:t>to</w:t>
      </w:r>
      <w:r>
        <w:rPr>
          <w:color w:val="4472C4"/>
          <w:spacing w:val="40"/>
        </w:rPr>
        <w:t xml:space="preserve"> </w:t>
      </w:r>
      <w:r>
        <w:rPr>
          <w:color w:val="4472C4"/>
        </w:rPr>
        <w:t>CHX-responsive events showing significant positive correlation (P&lt;0.05; FDR&lt;0.1) between NMD-protective splicing patterns and gene expression". We have also corrected the typo in the title of the</w:t>
      </w:r>
      <w:r>
        <w:rPr>
          <w:color w:val="4472C4"/>
          <w:spacing w:val="80"/>
        </w:rPr>
        <w:t xml:space="preserve"> </w:t>
      </w:r>
      <w:r>
        <w:rPr>
          <w:color w:val="4472C4"/>
        </w:rPr>
        <w:t>second tab of Table S4.</w:t>
      </w:r>
    </w:p>
    <w:p w14:paraId="33656C7A" w14:textId="77777777" w:rsidR="00564ED3" w:rsidRDefault="00564ED3" w:rsidP="00564ED3">
      <w:pPr>
        <w:pStyle w:val="BodyText"/>
        <w:spacing w:before="30"/>
        <w:ind w:left="0"/>
      </w:pPr>
    </w:p>
    <w:p w14:paraId="54FF637A" w14:textId="77777777" w:rsidR="00564ED3" w:rsidRDefault="00564ED3" w:rsidP="00564ED3">
      <w:pPr>
        <w:pStyle w:val="BodyText"/>
        <w:spacing w:before="1" w:line="268" w:lineRule="auto"/>
        <w:ind w:right="111"/>
      </w:pPr>
      <w:r>
        <w:t>Their answer to the trajectory clustering concern "the maximum number of possibilities is</w:t>
      </w:r>
      <w:r>
        <w:rPr>
          <w:spacing w:val="80"/>
        </w:rPr>
        <w:t xml:space="preserve"> </w:t>
      </w:r>
      <w:r>
        <w:t>3^4=81.</w:t>
      </w:r>
      <w:r>
        <w:rPr>
          <w:spacing w:val="40"/>
        </w:rPr>
        <w:t xml:space="preserve"> </w:t>
      </w:r>
      <w:r>
        <w:t>Thus,</w:t>
      </w:r>
      <w:r>
        <w:rPr>
          <w:spacing w:val="40"/>
        </w:rPr>
        <w:t xml:space="preserve"> </w:t>
      </w:r>
      <w:r>
        <w:t>we</w:t>
      </w:r>
      <w:r>
        <w:rPr>
          <w:spacing w:val="40"/>
        </w:rPr>
        <w:t xml:space="preserve"> </w:t>
      </w:r>
      <w:r>
        <w:t>have</w:t>
      </w:r>
      <w:r>
        <w:rPr>
          <w:spacing w:val="40"/>
        </w:rPr>
        <w:t xml:space="preserve"> </w:t>
      </w:r>
      <w:r>
        <w:t>no</w:t>
      </w:r>
      <w:r>
        <w:rPr>
          <w:spacing w:val="40"/>
        </w:rPr>
        <w:t xml:space="preserve"> </w:t>
      </w:r>
      <w:r>
        <w:t>reason</w:t>
      </w:r>
      <w:r>
        <w:rPr>
          <w:spacing w:val="40"/>
        </w:rPr>
        <w:t xml:space="preserve"> </w:t>
      </w:r>
      <w:r>
        <w:t>to</w:t>
      </w:r>
      <w:r>
        <w:rPr>
          <w:spacing w:val="40"/>
        </w:rPr>
        <w:t xml:space="preserve"> </w:t>
      </w:r>
      <w:r>
        <w:t>believe</w:t>
      </w:r>
      <w:r>
        <w:rPr>
          <w:spacing w:val="40"/>
        </w:rPr>
        <w:t xml:space="preserve"> </w:t>
      </w:r>
      <w:r>
        <w:t>that</w:t>
      </w:r>
      <w:r>
        <w:rPr>
          <w:spacing w:val="40"/>
        </w:rPr>
        <w:t xml:space="preserve"> </w:t>
      </w:r>
      <w:r>
        <w:t>28</w:t>
      </w:r>
      <w:r>
        <w:rPr>
          <w:spacing w:val="40"/>
        </w:rPr>
        <w:t xml:space="preserve"> </w:t>
      </w:r>
      <w:r>
        <w:t>clusters</w:t>
      </w:r>
      <w:r>
        <w:rPr>
          <w:spacing w:val="40"/>
        </w:rPr>
        <w:t xml:space="preserve"> </w:t>
      </w:r>
      <w:r>
        <w:t>overfit</w:t>
      </w:r>
      <w:r>
        <w:rPr>
          <w:spacing w:val="40"/>
        </w:rPr>
        <w:t xml:space="preserve"> </w:t>
      </w:r>
      <w:r>
        <w:t>the</w:t>
      </w:r>
      <w:r>
        <w:rPr>
          <w:spacing w:val="40"/>
        </w:rPr>
        <w:t xml:space="preserve"> </w:t>
      </w:r>
      <w:r>
        <w:t>data."</w:t>
      </w:r>
      <w:r>
        <w:rPr>
          <w:spacing w:val="40"/>
        </w:rPr>
        <w:t xml:space="preserve"> </w:t>
      </w:r>
      <w:r>
        <w:t>actually argues for the opposite of what they think it argues. 28 clusters out of 81 possible single-</w:t>
      </w:r>
      <w:r>
        <w:rPr>
          <w:spacing w:val="40"/>
        </w:rPr>
        <w:t xml:space="preserve"> </w:t>
      </w:r>
      <w:r>
        <w:t>instance</w:t>
      </w:r>
      <w:r>
        <w:rPr>
          <w:spacing w:val="30"/>
        </w:rPr>
        <w:t xml:space="preserve"> </w:t>
      </w:r>
      <w:r>
        <w:t>clusters</w:t>
      </w:r>
      <w:r>
        <w:rPr>
          <w:spacing w:val="30"/>
        </w:rPr>
        <w:t xml:space="preserve"> </w:t>
      </w:r>
      <w:r>
        <w:t>is</w:t>
      </w:r>
      <w:r>
        <w:rPr>
          <w:spacing w:val="30"/>
        </w:rPr>
        <w:t xml:space="preserve"> </w:t>
      </w:r>
      <w:r>
        <w:t>a</w:t>
      </w:r>
      <w:r>
        <w:rPr>
          <w:spacing w:val="30"/>
        </w:rPr>
        <w:t xml:space="preserve"> </w:t>
      </w:r>
      <w:r>
        <w:t>very</w:t>
      </w:r>
      <w:r>
        <w:rPr>
          <w:spacing w:val="30"/>
        </w:rPr>
        <w:t xml:space="preserve"> </w:t>
      </w:r>
      <w:r>
        <w:t>high</w:t>
      </w:r>
      <w:r>
        <w:rPr>
          <w:spacing w:val="30"/>
        </w:rPr>
        <w:t xml:space="preserve"> </w:t>
      </w:r>
      <w:r>
        <w:t>number</w:t>
      </w:r>
      <w:r>
        <w:rPr>
          <w:spacing w:val="29"/>
        </w:rPr>
        <w:t xml:space="preserve"> </w:t>
      </w:r>
      <w:r>
        <w:t>of</w:t>
      </w:r>
      <w:r>
        <w:rPr>
          <w:spacing w:val="29"/>
        </w:rPr>
        <w:t xml:space="preserve"> </w:t>
      </w:r>
      <w:r>
        <w:t>clusters.</w:t>
      </w:r>
      <w:r>
        <w:rPr>
          <w:spacing w:val="29"/>
        </w:rPr>
        <w:t xml:space="preserve"> </w:t>
      </w:r>
      <w:r>
        <w:t>How</w:t>
      </w:r>
      <w:r>
        <w:rPr>
          <w:spacing w:val="31"/>
        </w:rPr>
        <w:t xml:space="preserve"> </w:t>
      </w:r>
      <w:r>
        <w:t>well</w:t>
      </w:r>
      <w:r>
        <w:rPr>
          <w:spacing w:val="29"/>
        </w:rPr>
        <w:t xml:space="preserve"> </w:t>
      </w:r>
      <w:r>
        <w:t>this</w:t>
      </w:r>
      <w:r>
        <w:rPr>
          <w:spacing w:val="30"/>
        </w:rPr>
        <w:t xml:space="preserve"> </w:t>
      </w:r>
      <w:r>
        <w:t>is</w:t>
      </w:r>
      <w:r>
        <w:rPr>
          <w:spacing w:val="30"/>
        </w:rPr>
        <w:t xml:space="preserve"> </w:t>
      </w:r>
      <w:r>
        <w:t>supported</w:t>
      </w:r>
      <w:r>
        <w:rPr>
          <w:spacing w:val="30"/>
        </w:rPr>
        <w:t xml:space="preserve"> </w:t>
      </w:r>
      <w:r>
        <w:t>in</w:t>
      </w:r>
      <w:r>
        <w:rPr>
          <w:spacing w:val="30"/>
        </w:rPr>
        <w:t xml:space="preserve"> </w:t>
      </w:r>
      <w:r>
        <w:t>the</w:t>
      </w:r>
      <w:r>
        <w:rPr>
          <w:spacing w:val="30"/>
        </w:rPr>
        <w:t xml:space="preserve"> </w:t>
      </w:r>
      <w:r>
        <w:t>data</w:t>
      </w:r>
      <w:r>
        <w:rPr>
          <w:spacing w:val="30"/>
        </w:rPr>
        <w:t xml:space="preserve"> </w:t>
      </w:r>
      <w:r>
        <w:t>or how</w:t>
      </w:r>
      <w:r>
        <w:rPr>
          <w:spacing w:val="27"/>
        </w:rPr>
        <w:t xml:space="preserve"> </w:t>
      </w:r>
      <w:r>
        <w:t>it</w:t>
      </w:r>
      <w:r>
        <w:rPr>
          <w:spacing w:val="24"/>
        </w:rPr>
        <w:t xml:space="preserve"> </w:t>
      </w:r>
      <w:r>
        <w:t>helps</w:t>
      </w:r>
      <w:r>
        <w:rPr>
          <w:spacing w:val="25"/>
        </w:rPr>
        <w:t xml:space="preserve"> </w:t>
      </w:r>
      <w:r>
        <w:t>interpretation</w:t>
      </w:r>
      <w:r>
        <w:rPr>
          <w:spacing w:val="25"/>
        </w:rPr>
        <w:t xml:space="preserve"> </w:t>
      </w:r>
      <w:r>
        <w:t>is</w:t>
      </w:r>
      <w:r>
        <w:rPr>
          <w:spacing w:val="25"/>
        </w:rPr>
        <w:t xml:space="preserve"> </w:t>
      </w:r>
      <w:r>
        <w:t>a</w:t>
      </w:r>
      <w:r>
        <w:rPr>
          <w:spacing w:val="25"/>
        </w:rPr>
        <w:t xml:space="preserve"> </w:t>
      </w:r>
      <w:r>
        <w:t>little</w:t>
      </w:r>
      <w:r>
        <w:rPr>
          <w:spacing w:val="25"/>
        </w:rPr>
        <w:t xml:space="preserve"> </w:t>
      </w:r>
      <w:r>
        <w:t>unclear.</w:t>
      </w:r>
      <w:r>
        <w:rPr>
          <w:spacing w:val="80"/>
        </w:rPr>
        <w:t xml:space="preserve"> </w:t>
      </w:r>
      <w:r>
        <w:t>I</w:t>
      </w:r>
      <w:r>
        <w:rPr>
          <w:spacing w:val="24"/>
        </w:rPr>
        <w:t xml:space="preserve"> </w:t>
      </w:r>
      <w:r>
        <w:t>do</w:t>
      </w:r>
      <w:r>
        <w:rPr>
          <w:spacing w:val="25"/>
        </w:rPr>
        <w:t xml:space="preserve"> </w:t>
      </w:r>
      <w:r>
        <w:t>understand</w:t>
      </w:r>
      <w:r>
        <w:rPr>
          <w:spacing w:val="25"/>
        </w:rPr>
        <w:t xml:space="preserve"> </w:t>
      </w:r>
      <w:r>
        <w:t>and</w:t>
      </w:r>
      <w:r>
        <w:rPr>
          <w:spacing w:val="25"/>
        </w:rPr>
        <w:t xml:space="preserve"> </w:t>
      </w:r>
      <w:r>
        <w:t>agree</w:t>
      </w:r>
      <w:r>
        <w:rPr>
          <w:spacing w:val="25"/>
        </w:rPr>
        <w:t xml:space="preserve"> </w:t>
      </w:r>
      <w:r>
        <w:t>that</w:t>
      </w:r>
      <w:r>
        <w:rPr>
          <w:spacing w:val="24"/>
        </w:rPr>
        <w:t xml:space="preserve"> </w:t>
      </w:r>
      <w:r>
        <w:t>this</w:t>
      </w:r>
      <w:r>
        <w:rPr>
          <w:spacing w:val="25"/>
        </w:rPr>
        <w:t xml:space="preserve"> </w:t>
      </w:r>
      <w:r>
        <w:t>clustering</w:t>
      </w:r>
      <w:r>
        <w:rPr>
          <w:spacing w:val="25"/>
        </w:rPr>
        <w:t xml:space="preserve"> </w:t>
      </w:r>
      <w:r>
        <w:t>is not</w:t>
      </w:r>
      <w:r>
        <w:rPr>
          <w:spacing w:val="40"/>
        </w:rPr>
        <w:t xml:space="preserve"> </w:t>
      </w:r>
      <w:r>
        <w:t>the</w:t>
      </w:r>
      <w:r>
        <w:rPr>
          <w:spacing w:val="40"/>
        </w:rPr>
        <w:t xml:space="preserve"> </w:t>
      </w:r>
      <w:r>
        <w:t>most</w:t>
      </w:r>
      <w:r>
        <w:rPr>
          <w:spacing w:val="40"/>
        </w:rPr>
        <w:t xml:space="preserve"> </w:t>
      </w:r>
      <w:r>
        <w:t>critical</w:t>
      </w:r>
      <w:r>
        <w:rPr>
          <w:spacing w:val="40"/>
        </w:rPr>
        <w:t xml:space="preserve"> </w:t>
      </w:r>
      <w:r>
        <w:t>point</w:t>
      </w:r>
      <w:r>
        <w:rPr>
          <w:spacing w:val="40"/>
        </w:rPr>
        <w:t xml:space="preserve"> </w:t>
      </w:r>
      <w:r>
        <w:t>for</w:t>
      </w:r>
      <w:r>
        <w:rPr>
          <w:spacing w:val="40"/>
        </w:rPr>
        <w:t xml:space="preserve"> </w:t>
      </w:r>
      <w:r>
        <w:t>the</w:t>
      </w:r>
      <w:r>
        <w:rPr>
          <w:spacing w:val="40"/>
        </w:rPr>
        <w:t xml:space="preserve"> </w:t>
      </w:r>
      <w:r>
        <w:t>conclusion,</w:t>
      </w:r>
      <w:r>
        <w:rPr>
          <w:spacing w:val="40"/>
        </w:rPr>
        <w:t xml:space="preserve"> </w:t>
      </w:r>
      <w:r>
        <w:t>but</w:t>
      </w:r>
      <w:r>
        <w:rPr>
          <w:spacing w:val="40"/>
        </w:rPr>
        <w:t xml:space="preserve"> </w:t>
      </w:r>
      <w:r>
        <w:t>it</w:t>
      </w:r>
      <w:r>
        <w:rPr>
          <w:spacing w:val="40"/>
        </w:rPr>
        <w:t xml:space="preserve"> </w:t>
      </w:r>
      <w:r>
        <w:t>sticks</w:t>
      </w:r>
      <w:r>
        <w:rPr>
          <w:spacing w:val="40"/>
        </w:rPr>
        <w:t xml:space="preserve"> </w:t>
      </w:r>
      <w:r>
        <w:t>out</w:t>
      </w:r>
      <w:r>
        <w:rPr>
          <w:spacing w:val="40"/>
        </w:rPr>
        <w:t xml:space="preserve"> </w:t>
      </w:r>
      <w:r>
        <w:t>not</w:t>
      </w:r>
      <w:r>
        <w:rPr>
          <w:spacing w:val="40"/>
        </w:rPr>
        <w:t xml:space="preserve"> </w:t>
      </w:r>
      <w:r>
        <w:t>in</w:t>
      </w:r>
      <w:r>
        <w:rPr>
          <w:spacing w:val="40"/>
        </w:rPr>
        <w:t xml:space="preserve"> </w:t>
      </w:r>
      <w:r>
        <w:t>a</w:t>
      </w:r>
      <w:r>
        <w:rPr>
          <w:spacing w:val="40"/>
        </w:rPr>
        <w:t xml:space="preserve"> </w:t>
      </w:r>
      <w:r>
        <w:t>good</w:t>
      </w:r>
      <w:r>
        <w:rPr>
          <w:spacing w:val="40"/>
        </w:rPr>
        <w:t xml:space="preserve"> </w:t>
      </w:r>
      <w:r>
        <w:t>way.</w:t>
      </w:r>
      <w:r>
        <w:rPr>
          <w:spacing w:val="40"/>
        </w:rPr>
        <w:t xml:space="preserve"> </w:t>
      </w:r>
      <w:r>
        <w:t>It</w:t>
      </w:r>
      <w:r>
        <w:rPr>
          <w:spacing w:val="40"/>
        </w:rPr>
        <w:t xml:space="preserve"> </w:t>
      </w:r>
      <w:r>
        <w:t>would improve the manuscript to add a caveat.</w:t>
      </w:r>
    </w:p>
    <w:p w14:paraId="64983362" w14:textId="77777777" w:rsidR="00564ED3" w:rsidRDefault="00564ED3" w:rsidP="00564ED3">
      <w:pPr>
        <w:pStyle w:val="BodyText"/>
        <w:spacing w:before="32"/>
        <w:ind w:left="0"/>
      </w:pPr>
    </w:p>
    <w:p w14:paraId="3DF81E4E" w14:textId="77777777" w:rsidR="00564ED3" w:rsidRDefault="00564ED3" w:rsidP="00564ED3">
      <w:pPr>
        <w:pStyle w:val="BodyText"/>
        <w:spacing w:line="268" w:lineRule="auto"/>
        <w:ind w:right="113"/>
      </w:pPr>
      <w:r>
        <w:rPr>
          <w:color w:val="4472C4"/>
        </w:rPr>
        <w:t>To address this concern and the suggestion on shortening the manuscript (see below), we</w:t>
      </w:r>
      <w:r>
        <w:rPr>
          <w:color w:val="4472C4"/>
          <w:spacing w:val="40"/>
        </w:rPr>
        <w:t xml:space="preserve"> </w:t>
      </w:r>
      <w:r>
        <w:rPr>
          <w:color w:val="4472C4"/>
        </w:rPr>
        <w:t xml:space="preserve">moved all the clustering data using both </w:t>
      </w:r>
      <w:proofErr w:type="spellStart"/>
      <w:r>
        <w:rPr>
          <w:color w:val="4472C4"/>
        </w:rPr>
        <w:t>DP_GP_cluster</w:t>
      </w:r>
      <w:proofErr w:type="spellEnd"/>
      <w:r>
        <w:rPr>
          <w:color w:val="4472C4"/>
        </w:rPr>
        <w:t xml:space="preserve"> and k-means methods to the supplement</w:t>
      </w:r>
      <w:r>
        <w:rPr>
          <w:color w:val="4472C4"/>
          <w:spacing w:val="40"/>
        </w:rPr>
        <w:t xml:space="preserve"> </w:t>
      </w:r>
      <w:r>
        <w:rPr>
          <w:color w:val="4472C4"/>
        </w:rPr>
        <w:t>(see</w:t>
      </w:r>
      <w:r>
        <w:rPr>
          <w:color w:val="4472C4"/>
          <w:spacing w:val="40"/>
        </w:rPr>
        <w:t xml:space="preserve"> </w:t>
      </w:r>
      <w:r>
        <w:rPr>
          <w:color w:val="4472C4"/>
        </w:rPr>
        <w:t>new</w:t>
      </w:r>
      <w:r>
        <w:rPr>
          <w:color w:val="4472C4"/>
          <w:spacing w:val="40"/>
        </w:rPr>
        <w:t xml:space="preserve"> </w:t>
      </w:r>
      <w:r>
        <w:rPr>
          <w:color w:val="4472C4"/>
        </w:rPr>
        <w:t>Fig.</w:t>
      </w:r>
      <w:r>
        <w:rPr>
          <w:color w:val="4472C4"/>
          <w:spacing w:val="40"/>
        </w:rPr>
        <w:t xml:space="preserve"> </w:t>
      </w:r>
      <w:r>
        <w:rPr>
          <w:color w:val="4472C4"/>
        </w:rPr>
        <w:t>S7</w:t>
      </w:r>
      <w:r>
        <w:rPr>
          <w:color w:val="4472C4"/>
          <w:spacing w:val="40"/>
        </w:rPr>
        <w:t xml:space="preserve"> </w:t>
      </w:r>
      <w:r>
        <w:rPr>
          <w:color w:val="4472C4"/>
        </w:rPr>
        <w:t>and</w:t>
      </w:r>
      <w:r>
        <w:rPr>
          <w:color w:val="4472C4"/>
          <w:spacing w:val="40"/>
        </w:rPr>
        <w:t xml:space="preserve"> </w:t>
      </w:r>
      <w:r>
        <w:rPr>
          <w:color w:val="4472C4"/>
        </w:rPr>
        <w:t>its</w:t>
      </w:r>
      <w:r>
        <w:rPr>
          <w:color w:val="4472C4"/>
          <w:spacing w:val="40"/>
        </w:rPr>
        <w:t xml:space="preserve"> </w:t>
      </w:r>
      <w:r>
        <w:rPr>
          <w:color w:val="4472C4"/>
        </w:rPr>
        <w:t>legend).</w:t>
      </w:r>
      <w:r>
        <w:rPr>
          <w:color w:val="4472C4"/>
          <w:spacing w:val="40"/>
        </w:rPr>
        <w:t xml:space="preserve"> </w:t>
      </w:r>
      <w:r>
        <w:rPr>
          <w:color w:val="4472C4"/>
        </w:rPr>
        <w:t>Fig.</w:t>
      </w:r>
      <w:r>
        <w:rPr>
          <w:color w:val="4472C4"/>
          <w:spacing w:val="40"/>
        </w:rPr>
        <w:t xml:space="preserve"> </w:t>
      </w:r>
      <w:r>
        <w:rPr>
          <w:color w:val="4472C4"/>
        </w:rPr>
        <w:t>2</w:t>
      </w:r>
      <w:r>
        <w:rPr>
          <w:color w:val="4472C4"/>
          <w:spacing w:val="40"/>
        </w:rPr>
        <w:t xml:space="preserve"> </w:t>
      </w:r>
      <w:r>
        <w:rPr>
          <w:color w:val="4472C4"/>
        </w:rPr>
        <w:t>now</w:t>
      </w:r>
      <w:r>
        <w:rPr>
          <w:color w:val="4472C4"/>
          <w:spacing w:val="40"/>
        </w:rPr>
        <w:t xml:space="preserve"> </w:t>
      </w:r>
      <w:r>
        <w:rPr>
          <w:color w:val="4472C4"/>
        </w:rPr>
        <w:t>shows</w:t>
      </w:r>
      <w:r>
        <w:rPr>
          <w:color w:val="4472C4"/>
          <w:spacing w:val="40"/>
        </w:rPr>
        <w:t xml:space="preserve"> </w:t>
      </w:r>
      <w:r>
        <w:rPr>
          <w:color w:val="4472C4"/>
        </w:rPr>
        <w:t>enrichment</w:t>
      </w:r>
      <w:r>
        <w:rPr>
          <w:color w:val="4472C4"/>
          <w:spacing w:val="40"/>
        </w:rPr>
        <w:t xml:space="preserve"> </w:t>
      </w:r>
      <w:r>
        <w:rPr>
          <w:color w:val="4472C4"/>
        </w:rPr>
        <w:t>data</w:t>
      </w:r>
      <w:r>
        <w:rPr>
          <w:color w:val="4472C4"/>
          <w:spacing w:val="40"/>
        </w:rPr>
        <w:t xml:space="preserve"> </w:t>
      </w:r>
      <w:r>
        <w:rPr>
          <w:color w:val="4472C4"/>
        </w:rPr>
        <w:t>for individual genes (panels C-F). Our original conclusion remains unchanged: genes with CHX- responsive</w:t>
      </w:r>
      <w:r>
        <w:rPr>
          <w:color w:val="4472C4"/>
          <w:spacing w:val="40"/>
        </w:rPr>
        <w:t xml:space="preserve"> </w:t>
      </w:r>
      <w:r>
        <w:rPr>
          <w:color w:val="4472C4"/>
        </w:rPr>
        <w:t>facilitating</w:t>
      </w:r>
      <w:r>
        <w:rPr>
          <w:color w:val="4472C4"/>
          <w:spacing w:val="40"/>
        </w:rPr>
        <w:t xml:space="preserve"> </w:t>
      </w:r>
      <w:r>
        <w:rPr>
          <w:color w:val="4472C4"/>
        </w:rPr>
        <w:t>CEs,</w:t>
      </w:r>
      <w:r>
        <w:rPr>
          <w:color w:val="4472C4"/>
          <w:spacing w:val="40"/>
        </w:rPr>
        <w:t xml:space="preserve"> </w:t>
      </w:r>
      <w:r>
        <w:rPr>
          <w:color w:val="4472C4"/>
        </w:rPr>
        <w:t>particularly</w:t>
      </w:r>
      <w:r>
        <w:rPr>
          <w:color w:val="4472C4"/>
          <w:spacing w:val="40"/>
        </w:rPr>
        <w:t xml:space="preserve"> </w:t>
      </w:r>
      <w:r>
        <w:rPr>
          <w:color w:val="4472C4"/>
        </w:rPr>
        <w:t>NS-CEs</w:t>
      </w:r>
      <w:r>
        <w:rPr>
          <w:color w:val="4472C4"/>
          <w:spacing w:val="40"/>
        </w:rPr>
        <w:t xml:space="preserve"> </w:t>
      </w:r>
      <w:r>
        <w:rPr>
          <w:color w:val="4472C4"/>
        </w:rPr>
        <w:t>are</w:t>
      </w:r>
      <w:r>
        <w:rPr>
          <w:color w:val="4472C4"/>
          <w:spacing w:val="40"/>
        </w:rPr>
        <w:t xml:space="preserve"> </w:t>
      </w:r>
      <w:r>
        <w:rPr>
          <w:color w:val="4472C4"/>
        </w:rPr>
        <w:t>enriched</w:t>
      </w:r>
      <w:r>
        <w:rPr>
          <w:color w:val="4472C4"/>
          <w:spacing w:val="40"/>
        </w:rPr>
        <w:t xml:space="preserve"> </w:t>
      </w:r>
      <w:r>
        <w:rPr>
          <w:color w:val="4472C4"/>
        </w:rPr>
        <w:t>for</w:t>
      </w:r>
      <w:r>
        <w:rPr>
          <w:color w:val="4472C4"/>
          <w:spacing w:val="40"/>
        </w:rPr>
        <w:t xml:space="preserve"> </w:t>
      </w:r>
      <w:r>
        <w:rPr>
          <w:color w:val="4472C4"/>
        </w:rPr>
        <w:t>monotonic</w:t>
      </w:r>
      <w:r>
        <w:rPr>
          <w:color w:val="4472C4"/>
          <w:spacing w:val="40"/>
        </w:rPr>
        <w:t xml:space="preserve"> </w:t>
      </w:r>
      <w:r>
        <w:rPr>
          <w:color w:val="4472C4"/>
        </w:rPr>
        <w:t>downregulation</w:t>
      </w:r>
      <w:r>
        <w:rPr>
          <w:color w:val="4472C4"/>
          <w:spacing w:val="40"/>
        </w:rPr>
        <w:t xml:space="preserve"> </w:t>
      </w:r>
      <w:r>
        <w:rPr>
          <w:color w:val="4472C4"/>
        </w:rPr>
        <w:t>in neurodevelopment.</w:t>
      </w:r>
    </w:p>
    <w:p w14:paraId="72AF58CB" w14:textId="77777777" w:rsidR="00564ED3" w:rsidRDefault="00564ED3" w:rsidP="00564ED3">
      <w:pPr>
        <w:pStyle w:val="BodyText"/>
        <w:spacing w:before="32"/>
        <w:ind w:left="0"/>
      </w:pPr>
    </w:p>
    <w:p w14:paraId="4BEE685E" w14:textId="77777777" w:rsidR="00564ED3" w:rsidRDefault="00564ED3" w:rsidP="00564ED3">
      <w:pPr>
        <w:pStyle w:val="BodyText"/>
        <w:spacing w:line="268" w:lineRule="auto"/>
        <w:ind w:right="111"/>
      </w:pPr>
      <w:r>
        <w:t>Regarding my last comment "Overall the manuscript is dense, and loaded with jargon which might</w:t>
      </w:r>
      <w:r>
        <w:rPr>
          <w:spacing w:val="33"/>
        </w:rPr>
        <w:t xml:space="preserve"> </w:t>
      </w:r>
      <w:r>
        <w:t>be</w:t>
      </w:r>
      <w:r>
        <w:rPr>
          <w:spacing w:val="35"/>
        </w:rPr>
        <w:t xml:space="preserve"> </w:t>
      </w:r>
      <w:r>
        <w:t>simplified..."</w:t>
      </w:r>
      <w:r>
        <w:rPr>
          <w:spacing w:val="33"/>
        </w:rPr>
        <w:t xml:space="preserve"> </w:t>
      </w:r>
      <w:r>
        <w:t>it</w:t>
      </w:r>
      <w:r>
        <w:rPr>
          <w:spacing w:val="33"/>
        </w:rPr>
        <w:t xml:space="preserve"> </w:t>
      </w:r>
      <w:r>
        <w:t>could</w:t>
      </w:r>
      <w:r>
        <w:rPr>
          <w:spacing w:val="35"/>
        </w:rPr>
        <w:t xml:space="preserve"> </w:t>
      </w:r>
      <w:r>
        <w:t>have</w:t>
      </w:r>
      <w:r>
        <w:rPr>
          <w:spacing w:val="35"/>
        </w:rPr>
        <w:t xml:space="preserve"> </w:t>
      </w:r>
      <w:r>
        <w:t>been</w:t>
      </w:r>
      <w:r>
        <w:rPr>
          <w:spacing w:val="35"/>
        </w:rPr>
        <w:t xml:space="preserve"> </w:t>
      </w:r>
      <w:r>
        <w:t>addressed</w:t>
      </w:r>
      <w:r>
        <w:rPr>
          <w:spacing w:val="35"/>
        </w:rPr>
        <w:t xml:space="preserve"> </w:t>
      </w:r>
      <w:r>
        <w:t>much</w:t>
      </w:r>
      <w:r>
        <w:rPr>
          <w:spacing w:val="35"/>
        </w:rPr>
        <w:t xml:space="preserve"> </w:t>
      </w:r>
      <w:r>
        <w:t>better</w:t>
      </w:r>
      <w:r>
        <w:rPr>
          <w:spacing w:val="33"/>
        </w:rPr>
        <w:t xml:space="preserve"> </w:t>
      </w:r>
      <w:r>
        <w:t>than</w:t>
      </w:r>
      <w:r>
        <w:rPr>
          <w:spacing w:val="35"/>
        </w:rPr>
        <w:t xml:space="preserve"> </w:t>
      </w:r>
      <w:r>
        <w:t>it</w:t>
      </w:r>
      <w:r>
        <w:rPr>
          <w:spacing w:val="33"/>
        </w:rPr>
        <w:t xml:space="preserve"> </w:t>
      </w:r>
      <w:r>
        <w:t>was</w:t>
      </w:r>
      <w:r>
        <w:rPr>
          <w:spacing w:val="35"/>
        </w:rPr>
        <w:t xml:space="preserve"> </w:t>
      </w:r>
      <w:r>
        <w:t>in</w:t>
      </w:r>
      <w:r>
        <w:rPr>
          <w:spacing w:val="35"/>
        </w:rPr>
        <w:t xml:space="preserve"> </w:t>
      </w:r>
      <w:r>
        <w:t>this</w:t>
      </w:r>
      <w:r>
        <w:rPr>
          <w:spacing w:val="35"/>
        </w:rPr>
        <w:t xml:space="preserve"> </w:t>
      </w:r>
      <w:r>
        <w:t>revision. This</w:t>
      </w:r>
      <w:r>
        <w:rPr>
          <w:spacing w:val="40"/>
        </w:rPr>
        <w:t xml:space="preserve"> </w:t>
      </w:r>
      <w:r>
        <w:t>is</w:t>
      </w:r>
      <w:r>
        <w:rPr>
          <w:spacing w:val="40"/>
        </w:rPr>
        <w:t xml:space="preserve"> </w:t>
      </w:r>
      <w:r>
        <w:t>obviously</w:t>
      </w:r>
      <w:r>
        <w:rPr>
          <w:spacing w:val="40"/>
        </w:rPr>
        <w:t xml:space="preserve"> </w:t>
      </w:r>
      <w:r>
        <w:t>just</w:t>
      </w:r>
      <w:r>
        <w:rPr>
          <w:spacing w:val="40"/>
        </w:rPr>
        <w:t xml:space="preserve"> </w:t>
      </w:r>
      <w:r>
        <w:t>a</w:t>
      </w:r>
      <w:r>
        <w:rPr>
          <w:spacing w:val="40"/>
        </w:rPr>
        <w:t xml:space="preserve"> </w:t>
      </w:r>
      <w:r>
        <w:t>presentation</w:t>
      </w:r>
      <w:r>
        <w:rPr>
          <w:spacing w:val="40"/>
        </w:rPr>
        <w:t xml:space="preserve"> </w:t>
      </w:r>
      <w:r>
        <w:t>issue</w:t>
      </w:r>
      <w:r>
        <w:rPr>
          <w:spacing w:val="40"/>
        </w:rPr>
        <w:t xml:space="preserve"> </w:t>
      </w:r>
      <w:r>
        <w:t>and</w:t>
      </w:r>
      <w:r>
        <w:rPr>
          <w:spacing w:val="40"/>
        </w:rPr>
        <w:t xml:space="preserve"> </w:t>
      </w:r>
      <w:r>
        <w:t>does</w:t>
      </w:r>
      <w:r>
        <w:rPr>
          <w:spacing w:val="40"/>
        </w:rPr>
        <w:t xml:space="preserve"> </w:t>
      </w:r>
      <w:r>
        <w:t>not</w:t>
      </w:r>
      <w:r>
        <w:rPr>
          <w:spacing w:val="40"/>
        </w:rPr>
        <w:t xml:space="preserve"> </w:t>
      </w:r>
      <w:r>
        <w:t>change</w:t>
      </w:r>
      <w:r>
        <w:rPr>
          <w:spacing w:val="40"/>
        </w:rPr>
        <w:t xml:space="preserve"> </w:t>
      </w:r>
      <w:r>
        <w:t>the</w:t>
      </w:r>
      <w:r>
        <w:rPr>
          <w:spacing w:val="40"/>
        </w:rPr>
        <w:t xml:space="preserve"> </w:t>
      </w:r>
      <w:r>
        <w:t>quality/interest</w:t>
      </w:r>
      <w:r>
        <w:rPr>
          <w:spacing w:val="40"/>
        </w:rPr>
        <w:t xml:space="preserve"> </w:t>
      </w:r>
      <w:r>
        <w:t>of</w:t>
      </w:r>
      <w:r>
        <w:rPr>
          <w:spacing w:val="40"/>
        </w:rPr>
        <w:t xml:space="preserve"> </w:t>
      </w:r>
      <w:r>
        <w:t>the results,</w:t>
      </w:r>
      <w:r>
        <w:rPr>
          <w:spacing w:val="40"/>
        </w:rPr>
        <w:t xml:space="preserve"> </w:t>
      </w:r>
      <w:r>
        <w:t>but</w:t>
      </w:r>
      <w:r>
        <w:rPr>
          <w:spacing w:val="40"/>
        </w:rPr>
        <w:t xml:space="preserve"> </w:t>
      </w:r>
      <w:r>
        <w:t>I</w:t>
      </w:r>
      <w:r>
        <w:rPr>
          <w:spacing w:val="40"/>
        </w:rPr>
        <w:t xml:space="preserve"> </w:t>
      </w:r>
      <w:r>
        <w:t>do</w:t>
      </w:r>
      <w:r>
        <w:rPr>
          <w:spacing w:val="40"/>
        </w:rPr>
        <w:t xml:space="preserve"> </w:t>
      </w:r>
      <w:r>
        <w:t>think</w:t>
      </w:r>
      <w:r>
        <w:rPr>
          <w:spacing w:val="40"/>
        </w:rPr>
        <w:t xml:space="preserve"> </w:t>
      </w:r>
      <w:r>
        <w:t>it</w:t>
      </w:r>
      <w:r>
        <w:rPr>
          <w:spacing w:val="40"/>
        </w:rPr>
        <w:t xml:space="preserve"> </w:t>
      </w:r>
      <w:r>
        <w:t>is</w:t>
      </w:r>
      <w:r>
        <w:rPr>
          <w:spacing w:val="40"/>
        </w:rPr>
        <w:t xml:space="preserve"> </w:t>
      </w:r>
      <w:r>
        <w:t>worth</w:t>
      </w:r>
      <w:r>
        <w:rPr>
          <w:spacing w:val="40"/>
        </w:rPr>
        <w:t xml:space="preserve"> </w:t>
      </w:r>
      <w:r>
        <w:t>to</w:t>
      </w:r>
      <w:r>
        <w:rPr>
          <w:spacing w:val="40"/>
        </w:rPr>
        <w:t xml:space="preserve"> </w:t>
      </w:r>
      <w:r>
        <w:t>invest</w:t>
      </w:r>
      <w:r>
        <w:rPr>
          <w:spacing w:val="40"/>
        </w:rPr>
        <w:t xml:space="preserve"> </w:t>
      </w:r>
      <w:r>
        <w:t>much</w:t>
      </w:r>
      <w:r>
        <w:rPr>
          <w:spacing w:val="40"/>
        </w:rPr>
        <w:t xml:space="preserve"> </w:t>
      </w:r>
      <w:r>
        <w:t>more</w:t>
      </w:r>
      <w:r>
        <w:rPr>
          <w:spacing w:val="40"/>
        </w:rPr>
        <w:t xml:space="preserve"> </w:t>
      </w:r>
      <w:r>
        <w:t>effort</w:t>
      </w:r>
      <w:r>
        <w:rPr>
          <w:spacing w:val="40"/>
        </w:rPr>
        <w:t xml:space="preserve"> </w:t>
      </w:r>
      <w:r>
        <w:t>to</w:t>
      </w:r>
      <w:r>
        <w:rPr>
          <w:spacing w:val="40"/>
        </w:rPr>
        <w:t xml:space="preserve"> </w:t>
      </w:r>
      <w:r>
        <w:t>make</w:t>
      </w:r>
      <w:r>
        <w:rPr>
          <w:spacing w:val="40"/>
        </w:rPr>
        <w:t xml:space="preserve"> </w:t>
      </w:r>
      <w:r>
        <w:t>the</w:t>
      </w:r>
      <w:r>
        <w:rPr>
          <w:spacing w:val="40"/>
        </w:rPr>
        <w:t xml:space="preserve"> </w:t>
      </w:r>
      <w:r>
        <w:t>manuscript accessible to a broad audience. Also, consider making it shorter by relegating parts to a supplementary text.</w:t>
      </w:r>
    </w:p>
    <w:p w14:paraId="1426CB79" w14:textId="77777777" w:rsidR="00564ED3" w:rsidRDefault="00564ED3" w:rsidP="00564ED3">
      <w:pPr>
        <w:pStyle w:val="BodyText"/>
        <w:spacing w:before="31"/>
        <w:ind w:left="0"/>
      </w:pPr>
    </w:p>
    <w:p w14:paraId="2F5894F5" w14:textId="77777777" w:rsidR="00564ED3" w:rsidRDefault="00564ED3" w:rsidP="00564ED3">
      <w:pPr>
        <w:pStyle w:val="BodyText"/>
        <w:spacing w:line="268" w:lineRule="auto"/>
        <w:ind w:right="110"/>
      </w:pPr>
      <w:r>
        <w:rPr>
          <w:color w:val="4472C4"/>
        </w:rPr>
        <w:t xml:space="preserve">As suggested, we have substantially shortened the part of the Results that deals with gene clustering approaches by relegating the clustering data to Fig. S7. To further streamline the manuscript, we moved the last section of the Results, </w:t>
      </w:r>
      <w:r>
        <w:rPr>
          <w:i/>
          <w:color w:val="4472C4"/>
        </w:rPr>
        <w:t xml:space="preserve">NS-CEs may contribute to gene </w:t>
      </w:r>
      <w:r>
        <w:rPr>
          <w:i/>
          <w:color w:val="4472C4"/>
        </w:rPr>
        <w:lastRenderedPageBreak/>
        <w:t>downregulation in other developmental contexts</w:t>
      </w:r>
      <w:r>
        <w:rPr>
          <w:color w:val="4472C4"/>
        </w:rPr>
        <w:t>, to the Supplement and simplified several sentences throughout the text. Although it has not been possible to completely eliminate</w:t>
      </w:r>
      <w:r>
        <w:rPr>
          <w:color w:val="4472C4"/>
          <w:spacing w:val="40"/>
        </w:rPr>
        <w:t xml:space="preserve"> </w:t>
      </w:r>
      <w:r>
        <w:rPr>
          <w:color w:val="4472C4"/>
        </w:rPr>
        <w:t>technical terminology, we hope that these changes enhance readability and make the</w:t>
      </w:r>
      <w:r>
        <w:rPr>
          <w:color w:val="4472C4"/>
          <w:spacing w:val="80"/>
        </w:rPr>
        <w:t xml:space="preserve"> </w:t>
      </w:r>
      <w:r>
        <w:rPr>
          <w:color w:val="4472C4"/>
        </w:rPr>
        <w:t>manuscript more accessible.</w:t>
      </w:r>
    </w:p>
    <w:p w14:paraId="7869AE8E" w14:textId="71189976" w:rsidR="0033120F" w:rsidRDefault="00564ED3" w:rsidP="0033120F">
      <w:r>
        <w:t xml:space="preserve"> </w:t>
      </w:r>
    </w:p>
    <w:p w14:paraId="095A7194" w14:textId="77777777" w:rsidR="0033120F" w:rsidRPr="00340706" w:rsidRDefault="0033120F" w:rsidP="0033120F">
      <w:pPr>
        <w:rPr>
          <w:b/>
          <w:sz w:val="24"/>
          <w:szCs w:val="24"/>
        </w:rPr>
      </w:pPr>
      <w:r>
        <w:rPr>
          <w:b/>
          <w:sz w:val="24"/>
          <w:szCs w:val="24"/>
        </w:rPr>
        <w:t>Third</w:t>
      </w:r>
      <w:r w:rsidRPr="00340706">
        <w:rPr>
          <w:b/>
          <w:sz w:val="24"/>
          <w:szCs w:val="24"/>
        </w:rPr>
        <w:t xml:space="preserve"> round of review</w:t>
      </w:r>
    </w:p>
    <w:p w14:paraId="431E6FA5" w14:textId="77777777" w:rsidR="0033120F" w:rsidRPr="00340706" w:rsidRDefault="0033120F" w:rsidP="0033120F">
      <w:pPr>
        <w:rPr>
          <w:b/>
        </w:rPr>
      </w:pPr>
      <w:r w:rsidRPr="00340706">
        <w:rPr>
          <w:b/>
        </w:rPr>
        <w:t>Reviewer 2</w:t>
      </w:r>
    </w:p>
    <w:p w14:paraId="66C41041" w14:textId="77777777" w:rsidR="006B0424" w:rsidRDefault="006B0424" w:rsidP="0033120F">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have satisfactorily addressed my concerns, improving the reporting of QC steps in the analyses, and the presentation of the study by focussing the text. I can recommend publication of this interesting study of NMD in development of neural cells.</w:t>
      </w:r>
    </w:p>
    <w:p w14:paraId="0C74803F" w14:textId="77777777" w:rsidR="0033120F" w:rsidRPr="00340706" w:rsidRDefault="0033120F" w:rsidP="0033120F"/>
    <w:p w14:paraId="6C68A18D" w14:textId="77777777" w:rsidR="0033120F" w:rsidRDefault="0033120F" w:rsidP="0033120F"/>
    <w:p w14:paraId="36BCB775" w14:textId="77777777" w:rsidR="002C67AC" w:rsidRDefault="002C67AC"/>
    <w:sectPr w:rsidR="002C67AC" w:rsidSect="003312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D72F7"/>
    <w:multiLevelType w:val="hybridMultilevel"/>
    <w:tmpl w:val="85521956"/>
    <w:lvl w:ilvl="0" w:tplc="7DD49788">
      <w:start w:val="1"/>
      <w:numFmt w:val="decimal"/>
      <w:lvlText w:val="%1."/>
      <w:lvlJc w:val="left"/>
      <w:pPr>
        <w:ind w:left="120" w:hanging="25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401950">
      <w:numFmt w:val="bullet"/>
      <w:lvlText w:val="•"/>
      <w:lvlJc w:val="left"/>
      <w:pPr>
        <w:ind w:left="962" w:hanging="256"/>
      </w:pPr>
      <w:rPr>
        <w:rFonts w:hint="default"/>
        <w:lang w:val="en-US" w:eastAsia="en-US" w:bidi="ar-SA"/>
      </w:rPr>
    </w:lvl>
    <w:lvl w:ilvl="2" w:tplc="652CBA1C">
      <w:numFmt w:val="bullet"/>
      <w:lvlText w:val="•"/>
      <w:lvlJc w:val="left"/>
      <w:pPr>
        <w:ind w:left="1804" w:hanging="256"/>
      </w:pPr>
      <w:rPr>
        <w:rFonts w:hint="default"/>
        <w:lang w:val="en-US" w:eastAsia="en-US" w:bidi="ar-SA"/>
      </w:rPr>
    </w:lvl>
    <w:lvl w:ilvl="3" w:tplc="36D61452">
      <w:numFmt w:val="bullet"/>
      <w:lvlText w:val="•"/>
      <w:lvlJc w:val="left"/>
      <w:pPr>
        <w:ind w:left="2646" w:hanging="256"/>
      </w:pPr>
      <w:rPr>
        <w:rFonts w:hint="default"/>
        <w:lang w:val="en-US" w:eastAsia="en-US" w:bidi="ar-SA"/>
      </w:rPr>
    </w:lvl>
    <w:lvl w:ilvl="4" w:tplc="EC484320">
      <w:numFmt w:val="bullet"/>
      <w:lvlText w:val="•"/>
      <w:lvlJc w:val="left"/>
      <w:pPr>
        <w:ind w:left="3488" w:hanging="256"/>
      </w:pPr>
      <w:rPr>
        <w:rFonts w:hint="default"/>
        <w:lang w:val="en-US" w:eastAsia="en-US" w:bidi="ar-SA"/>
      </w:rPr>
    </w:lvl>
    <w:lvl w:ilvl="5" w:tplc="96B89C34">
      <w:numFmt w:val="bullet"/>
      <w:lvlText w:val="•"/>
      <w:lvlJc w:val="left"/>
      <w:pPr>
        <w:ind w:left="4330" w:hanging="256"/>
      </w:pPr>
      <w:rPr>
        <w:rFonts w:hint="default"/>
        <w:lang w:val="en-US" w:eastAsia="en-US" w:bidi="ar-SA"/>
      </w:rPr>
    </w:lvl>
    <w:lvl w:ilvl="6" w:tplc="06E85C6A">
      <w:numFmt w:val="bullet"/>
      <w:lvlText w:val="•"/>
      <w:lvlJc w:val="left"/>
      <w:pPr>
        <w:ind w:left="5172" w:hanging="256"/>
      </w:pPr>
      <w:rPr>
        <w:rFonts w:hint="default"/>
        <w:lang w:val="en-US" w:eastAsia="en-US" w:bidi="ar-SA"/>
      </w:rPr>
    </w:lvl>
    <w:lvl w:ilvl="7" w:tplc="CE6CAA74">
      <w:numFmt w:val="bullet"/>
      <w:lvlText w:val="•"/>
      <w:lvlJc w:val="left"/>
      <w:pPr>
        <w:ind w:left="6014" w:hanging="256"/>
      </w:pPr>
      <w:rPr>
        <w:rFonts w:hint="default"/>
        <w:lang w:val="en-US" w:eastAsia="en-US" w:bidi="ar-SA"/>
      </w:rPr>
    </w:lvl>
    <w:lvl w:ilvl="8" w:tplc="D98A1C6A">
      <w:numFmt w:val="bullet"/>
      <w:lvlText w:val="•"/>
      <w:lvlJc w:val="left"/>
      <w:pPr>
        <w:ind w:left="6856" w:hanging="256"/>
      </w:pPr>
      <w:rPr>
        <w:rFonts w:hint="default"/>
        <w:lang w:val="en-US" w:eastAsia="en-US" w:bidi="ar-SA"/>
      </w:rPr>
    </w:lvl>
  </w:abstractNum>
  <w:abstractNum w:abstractNumId="1" w15:restartNumberingAfterBreak="0">
    <w:nsid w:val="28B60477"/>
    <w:multiLevelType w:val="hybridMultilevel"/>
    <w:tmpl w:val="E566034E"/>
    <w:lvl w:ilvl="0" w:tplc="2AFA377A">
      <w:start w:val="1"/>
      <w:numFmt w:val="decimal"/>
      <w:lvlText w:val="%1."/>
      <w:lvlJc w:val="left"/>
      <w:pPr>
        <w:ind w:left="120" w:hanging="2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1F2B1A6">
      <w:numFmt w:val="bullet"/>
      <w:lvlText w:val="•"/>
      <w:lvlJc w:val="left"/>
      <w:pPr>
        <w:ind w:left="962" w:hanging="263"/>
      </w:pPr>
      <w:rPr>
        <w:rFonts w:hint="default"/>
        <w:lang w:val="en-US" w:eastAsia="en-US" w:bidi="ar-SA"/>
      </w:rPr>
    </w:lvl>
    <w:lvl w:ilvl="2" w:tplc="9C701120">
      <w:numFmt w:val="bullet"/>
      <w:lvlText w:val="•"/>
      <w:lvlJc w:val="left"/>
      <w:pPr>
        <w:ind w:left="1804" w:hanging="263"/>
      </w:pPr>
      <w:rPr>
        <w:rFonts w:hint="default"/>
        <w:lang w:val="en-US" w:eastAsia="en-US" w:bidi="ar-SA"/>
      </w:rPr>
    </w:lvl>
    <w:lvl w:ilvl="3" w:tplc="4EF0D5CC">
      <w:numFmt w:val="bullet"/>
      <w:lvlText w:val="•"/>
      <w:lvlJc w:val="left"/>
      <w:pPr>
        <w:ind w:left="2646" w:hanging="263"/>
      </w:pPr>
      <w:rPr>
        <w:rFonts w:hint="default"/>
        <w:lang w:val="en-US" w:eastAsia="en-US" w:bidi="ar-SA"/>
      </w:rPr>
    </w:lvl>
    <w:lvl w:ilvl="4" w:tplc="7DD4C1EA">
      <w:numFmt w:val="bullet"/>
      <w:lvlText w:val="•"/>
      <w:lvlJc w:val="left"/>
      <w:pPr>
        <w:ind w:left="3488" w:hanging="263"/>
      </w:pPr>
      <w:rPr>
        <w:rFonts w:hint="default"/>
        <w:lang w:val="en-US" w:eastAsia="en-US" w:bidi="ar-SA"/>
      </w:rPr>
    </w:lvl>
    <w:lvl w:ilvl="5" w:tplc="E0941196">
      <w:numFmt w:val="bullet"/>
      <w:lvlText w:val="•"/>
      <w:lvlJc w:val="left"/>
      <w:pPr>
        <w:ind w:left="4330" w:hanging="263"/>
      </w:pPr>
      <w:rPr>
        <w:rFonts w:hint="default"/>
        <w:lang w:val="en-US" w:eastAsia="en-US" w:bidi="ar-SA"/>
      </w:rPr>
    </w:lvl>
    <w:lvl w:ilvl="6" w:tplc="FEBC3B66">
      <w:numFmt w:val="bullet"/>
      <w:lvlText w:val="•"/>
      <w:lvlJc w:val="left"/>
      <w:pPr>
        <w:ind w:left="5172" w:hanging="263"/>
      </w:pPr>
      <w:rPr>
        <w:rFonts w:hint="default"/>
        <w:lang w:val="en-US" w:eastAsia="en-US" w:bidi="ar-SA"/>
      </w:rPr>
    </w:lvl>
    <w:lvl w:ilvl="7" w:tplc="0B9A9592">
      <w:numFmt w:val="bullet"/>
      <w:lvlText w:val="•"/>
      <w:lvlJc w:val="left"/>
      <w:pPr>
        <w:ind w:left="6014" w:hanging="263"/>
      </w:pPr>
      <w:rPr>
        <w:rFonts w:hint="default"/>
        <w:lang w:val="en-US" w:eastAsia="en-US" w:bidi="ar-SA"/>
      </w:rPr>
    </w:lvl>
    <w:lvl w:ilvl="8" w:tplc="8DAEB734">
      <w:numFmt w:val="bullet"/>
      <w:lvlText w:val="•"/>
      <w:lvlJc w:val="left"/>
      <w:pPr>
        <w:ind w:left="6856" w:hanging="263"/>
      </w:pPr>
      <w:rPr>
        <w:rFonts w:hint="default"/>
        <w:lang w:val="en-US" w:eastAsia="en-US" w:bidi="ar-SA"/>
      </w:rPr>
    </w:lvl>
  </w:abstractNum>
  <w:abstractNum w:abstractNumId="2" w15:restartNumberingAfterBreak="0">
    <w:nsid w:val="327908BA"/>
    <w:multiLevelType w:val="hybridMultilevel"/>
    <w:tmpl w:val="016E5944"/>
    <w:lvl w:ilvl="0" w:tplc="08922FA8">
      <w:start w:val="1"/>
      <w:numFmt w:val="decimal"/>
      <w:lvlText w:val="%1)"/>
      <w:lvlJc w:val="left"/>
      <w:pPr>
        <w:ind w:left="37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46050EC">
      <w:numFmt w:val="bullet"/>
      <w:lvlText w:val="•"/>
      <w:lvlJc w:val="left"/>
      <w:pPr>
        <w:ind w:left="1196" w:hanging="260"/>
      </w:pPr>
      <w:rPr>
        <w:rFonts w:hint="default"/>
        <w:lang w:val="en-US" w:eastAsia="en-US" w:bidi="ar-SA"/>
      </w:rPr>
    </w:lvl>
    <w:lvl w:ilvl="2" w:tplc="C3123E76">
      <w:numFmt w:val="bullet"/>
      <w:lvlText w:val="•"/>
      <w:lvlJc w:val="left"/>
      <w:pPr>
        <w:ind w:left="2012" w:hanging="260"/>
      </w:pPr>
      <w:rPr>
        <w:rFonts w:hint="default"/>
        <w:lang w:val="en-US" w:eastAsia="en-US" w:bidi="ar-SA"/>
      </w:rPr>
    </w:lvl>
    <w:lvl w:ilvl="3" w:tplc="996E92AC">
      <w:numFmt w:val="bullet"/>
      <w:lvlText w:val="•"/>
      <w:lvlJc w:val="left"/>
      <w:pPr>
        <w:ind w:left="2828" w:hanging="260"/>
      </w:pPr>
      <w:rPr>
        <w:rFonts w:hint="default"/>
        <w:lang w:val="en-US" w:eastAsia="en-US" w:bidi="ar-SA"/>
      </w:rPr>
    </w:lvl>
    <w:lvl w:ilvl="4" w:tplc="7CF0875E">
      <w:numFmt w:val="bullet"/>
      <w:lvlText w:val="•"/>
      <w:lvlJc w:val="left"/>
      <w:pPr>
        <w:ind w:left="3644" w:hanging="260"/>
      </w:pPr>
      <w:rPr>
        <w:rFonts w:hint="default"/>
        <w:lang w:val="en-US" w:eastAsia="en-US" w:bidi="ar-SA"/>
      </w:rPr>
    </w:lvl>
    <w:lvl w:ilvl="5" w:tplc="8774EAAE">
      <w:numFmt w:val="bullet"/>
      <w:lvlText w:val="•"/>
      <w:lvlJc w:val="left"/>
      <w:pPr>
        <w:ind w:left="4460" w:hanging="260"/>
      </w:pPr>
      <w:rPr>
        <w:rFonts w:hint="default"/>
        <w:lang w:val="en-US" w:eastAsia="en-US" w:bidi="ar-SA"/>
      </w:rPr>
    </w:lvl>
    <w:lvl w:ilvl="6" w:tplc="AA6A1206">
      <w:numFmt w:val="bullet"/>
      <w:lvlText w:val="•"/>
      <w:lvlJc w:val="left"/>
      <w:pPr>
        <w:ind w:left="5276" w:hanging="260"/>
      </w:pPr>
      <w:rPr>
        <w:rFonts w:hint="default"/>
        <w:lang w:val="en-US" w:eastAsia="en-US" w:bidi="ar-SA"/>
      </w:rPr>
    </w:lvl>
    <w:lvl w:ilvl="7" w:tplc="B5A4ED10">
      <w:numFmt w:val="bullet"/>
      <w:lvlText w:val="•"/>
      <w:lvlJc w:val="left"/>
      <w:pPr>
        <w:ind w:left="6092" w:hanging="260"/>
      </w:pPr>
      <w:rPr>
        <w:rFonts w:hint="default"/>
        <w:lang w:val="en-US" w:eastAsia="en-US" w:bidi="ar-SA"/>
      </w:rPr>
    </w:lvl>
    <w:lvl w:ilvl="8" w:tplc="1258073E">
      <w:numFmt w:val="bullet"/>
      <w:lvlText w:val="•"/>
      <w:lvlJc w:val="left"/>
      <w:pPr>
        <w:ind w:left="6908" w:hanging="260"/>
      </w:pPr>
      <w:rPr>
        <w:rFonts w:hint="default"/>
        <w:lang w:val="en-US" w:eastAsia="en-US" w:bidi="ar-SA"/>
      </w:rPr>
    </w:lvl>
  </w:abstractNum>
  <w:num w:numId="1" w16cid:durableId="1225601099">
    <w:abstractNumId w:val="2"/>
  </w:num>
  <w:num w:numId="2" w16cid:durableId="399258312">
    <w:abstractNumId w:val="0"/>
  </w:num>
  <w:num w:numId="3" w16cid:durableId="5951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C7"/>
    <w:rsid w:val="002C67AC"/>
    <w:rsid w:val="0031542E"/>
    <w:rsid w:val="0033120F"/>
    <w:rsid w:val="00564ED3"/>
    <w:rsid w:val="006B0424"/>
    <w:rsid w:val="00AD4DEF"/>
    <w:rsid w:val="00B0285D"/>
    <w:rsid w:val="00D64DC7"/>
    <w:rsid w:val="00DD111E"/>
    <w:rsid w:val="00EB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6A9C2"/>
  <w15:chartTrackingRefBased/>
  <w15:docId w15:val="{530D32F1-3F83-4CEC-95DC-370DC799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20F"/>
    <w:rPr>
      <w:kern w:val="0"/>
      <w14:ligatures w14:val="none"/>
    </w:rPr>
  </w:style>
  <w:style w:type="paragraph" w:styleId="Heading1">
    <w:name w:val="heading 1"/>
    <w:basedOn w:val="Normal"/>
    <w:next w:val="Normal"/>
    <w:link w:val="Heading1Char"/>
    <w:uiPriority w:val="9"/>
    <w:qFormat/>
    <w:rsid w:val="00D64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D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D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D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D64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DC7"/>
    <w:rPr>
      <w:rFonts w:eastAsiaTheme="majorEastAsia" w:cstheme="majorBidi"/>
      <w:color w:val="272727" w:themeColor="text1" w:themeTint="D8"/>
    </w:rPr>
  </w:style>
  <w:style w:type="paragraph" w:styleId="Title">
    <w:name w:val="Title"/>
    <w:basedOn w:val="Normal"/>
    <w:next w:val="Normal"/>
    <w:link w:val="TitleChar"/>
    <w:uiPriority w:val="10"/>
    <w:qFormat/>
    <w:rsid w:val="00D64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DC7"/>
    <w:pPr>
      <w:spacing w:before="160"/>
      <w:jc w:val="center"/>
    </w:pPr>
    <w:rPr>
      <w:i/>
      <w:iCs/>
      <w:color w:val="404040" w:themeColor="text1" w:themeTint="BF"/>
    </w:rPr>
  </w:style>
  <w:style w:type="character" w:customStyle="1" w:styleId="QuoteChar">
    <w:name w:val="Quote Char"/>
    <w:basedOn w:val="DefaultParagraphFont"/>
    <w:link w:val="Quote"/>
    <w:uiPriority w:val="29"/>
    <w:rsid w:val="00D64DC7"/>
    <w:rPr>
      <w:i/>
      <w:iCs/>
      <w:color w:val="404040" w:themeColor="text1" w:themeTint="BF"/>
    </w:rPr>
  </w:style>
  <w:style w:type="paragraph" w:styleId="ListParagraph">
    <w:name w:val="List Paragraph"/>
    <w:basedOn w:val="Normal"/>
    <w:uiPriority w:val="1"/>
    <w:qFormat/>
    <w:rsid w:val="00D64DC7"/>
    <w:pPr>
      <w:ind w:left="720"/>
      <w:contextualSpacing/>
    </w:pPr>
  </w:style>
  <w:style w:type="character" w:styleId="IntenseEmphasis">
    <w:name w:val="Intense Emphasis"/>
    <w:basedOn w:val="DefaultParagraphFont"/>
    <w:uiPriority w:val="21"/>
    <w:qFormat/>
    <w:rsid w:val="00D64DC7"/>
    <w:rPr>
      <w:i/>
      <w:iCs/>
      <w:color w:val="0F4761" w:themeColor="accent1" w:themeShade="BF"/>
    </w:rPr>
  </w:style>
  <w:style w:type="paragraph" w:styleId="IntenseQuote">
    <w:name w:val="Intense Quote"/>
    <w:basedOn w:val="Normal"/>
    <w:next w:val="Normal"/>
    <w:link w:val="IntenseQuoteChar"/>
    <w:uiPriority w:val="30"/>
    <w:qFormat/>
    <w:rsid w:val="00D64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DC7"/>
    <w:rPr>
      <w:i/>
      <w:iCs/>
      <w:color w:val="0F4761" w:themeColor="accent1" w:themeShade="BF"/>
    </w:rPr>
  </w:style>
  <w:style w:type="character" w:styleId="IntenseReference">
    <w:name w:val="Intense Reference"/>
    <w:basedOn w:val="DefaultParagraphFont"/>
    <w:uiPriority w:val="32"/>
    <w:qFormat/>
    <w:rsid w:val="00D64DC7"/>
    <w:rPr>
      <w:b/>
      <w:bCs/>
      <w:smallCaps/>
      <w:color w:val="0F4761" w:themeColor="accent1" w:themeShade="BF"/>
      <w:spacing w:val="5"/>
    </w:rPr>
  </w:style>
  <w:style w:type="paragraph" w:styleId="BodyText">
    <w:name w:val="Body Text"/>
    <w:basedOn w:val="Normal"/>
    <w:link w:val="BodyTextChar"/>
    <w:uiPriority w:val="1"/>
    <w:qFormat/>
    <w:rsid w:val="00564ED3"/>
    <w:pPr>
      <w:widowControl w:val="0"/>
      <w:autoSpaceDE w:val="0"/>
      <w:autoSpaceDN w:val="0"/>
      <w:spacing w:after="0" w:line="240" w:lineRule="auto"/>
      <w:ind w:left="120"/>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64ED3"/>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03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6874</Words>
  <Characters>39182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5</cp:revision>
  <dcterms:created xsi:type="dcterms:W3CDTF">2024-06-07T16:20:00Z</dcterms:created>
  <dcterms:modified xsi:type="dcterms:W3CDTF">2024-06-07T16:38:00Z</dcterms:modified>
</cp:coreProperties>
</file>