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301AD" w14:textId="77777777" w:rsidR="00BE68E0" w:rsidRDefault="00000000">
      <w:pPr>
        <w:spacing w:afterLines="50" w:after="156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and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hpRNA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binding validation. </w:t>
      </w:r>
      <w:r>
        <w:rPr>
          <w:rFonts w:ascii="Times New Roman" w:hAnsi="Times New Roman" w:cs="Times New Roman" w:hint="eastAsia"/>
          <w:sz w:val="24"/>
          <w:szCs w:val="28"/>
        </w:rPr>
        <w:t xml:space="preserve">(A). The graph provided by AlphaFold Server shows the RNA probe and target sections in brown and the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TaqTth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protein sections in blue, Mg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2+</w:t>
      </w:r>
      <w:r>
        <w:rPr>
          <w:rFonts w:ascii="Times New Roman" w:hAnsi="Times New Roman" w:cs="Times New Roman" w:hint="eastAsia"/>
          <w:sz w:val="24"/>
          <w:szCs w:val="28"/>
        </w:rPr>
        <w:t xml:space="preserve"> in green. (B). </w:t>
      </w:r>
      <w:r>
        <w:rPr>
          <w:rFonts w:ascii="Times New Roman" w:hAnsi="Times New Roman" w:cs="Times New Roman"/>
          <w:sz w:val="24"/>
          <w:szCs w:val="28"/>
        </w:rPr>
        <w:t xml:space="preserve">The electrophoretic mobility shift assay (EMSA) of </w:t>
      </w:r>
      <w:proofErr w:type="spellStart"/>
      <w:r>
        <w:rPr>
          <w:rFonts w:ascii="Times New Roman" w:hAnsi="Times New Roman" w:cs="Times New Roman"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8"/>
        </w:rPr>
        <w:t>dTaqTth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D</w:t>
      </w:r>
      <w:r>
        <w:rPr>
          <w:rFonts w:ascii="Times New Roman" w:hAnsi="Times New Roman" w:cs="Times New Roman"/>
          <w:sz w:val="24"/>
          <w:szCs w:val="28"/>
        </w:rPr>
        <w:t xml:space="preserve">ifferent migration velocities of Cy5-modified </w:t>
      </w:r>
      <w:proofErr w:type="spellStart"/>
      <w:r>
        <w:rPr>
          <w:rFonts w:ascii="Times New Roman" w:hAnsi="Times New Roman" w:cs="Times New Roman"/>
          <w:sz w:val="24"/>
          <w:szCs w:val="28"/>
        </w:rPr>
        <w:t>hp</w:t>
      </w:r>
      <w:r>
        <w:rPr>
          <w:rFonts w:ascii="Times New Roman" w:hAnsi="Times New Roman" w:cs="Times New Roman" w:hint="eastAsia"/>
          <w:sz w:val="24"/>
          <w:szCs w:val="28"/>
        </w:rPr>
        <w:t>R</w:t>
      </w:r>
      <w:r>
        <w:rPr>
          <w:rFonts w:ascii="Times New Roman" w:hAnsi="Times New Roman" w:cs="Times New Roman"/>
          <w:sz w:val="24"/>
          <w:szCs w:val="28"/>
        </w:rPr>
        <w:t>NAs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with purified </w:t>
      </w:r>
      <w:proofErr w:type="spellStart"/>
      <w:r>
        <w:rPr>
          <w:rFonts w:ascii="Times New Roman" w:hAnsi="Times New Roman" w:cs="Times New Roman"/>
          <w:sz w:val="24"/>
          <w:szCs w:val="28"/>
        </w:rPr>
        <w:t>TaqTth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dTaqTth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protein.</w:t>
      </w:r>
    </w:p>
    <w:p w14:paraId="17443899" w14:textId="77777777" w:rsidR="00BE68E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114300" distR="114300" wp14:anchorId="195B8256" wp14:editId="66A3DA88">
            <wp:extent cx="3889375" cy="460819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FB88" w14:textId="77777777" w:rsidR="00BE68E0" w:rsidRDefault="00BE68E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B2D61DB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70FD30C" w14:textId="77777777" w:rsidR="00BE68E0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bookmarkStart w:id="0" w:name="_Hlk164236527"/>
      <w:r>
        <w:rPr>
          <w:rFonts w:ascii="Times New Roman" w:hAnsi="Times New Roman" w:cs="Times New Roman"/>
          <w:b/>
          <w:bCs/>
          <w:sz w:val="24"/>
          <w:szCs w:val="28"/>
        </w:rPr>
        <w:t xml:space="preserve">The sequence of the U6-promoting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hpRNA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probe in the pU6-target plasmid. </w:t>
      </w:r>
      <w:bookmarkEnd w:id="0"/>
      <w:r>
        <w:rPr>
          <w:rFonts w:ascii="Times New Roman" w:hAnsi="Times New Roman" w:cs="Times New Roman"/>
          <w:sz w:val="24"/>
          <w:szCs w:val="28"/>
        </w:rPr>
        <w:t xml:space="preserve">The part of U6 promoter was marked in lower cases. The restriction sites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Bbs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I and </w:t>
      </w:r>
      <w:r>
        <w:rPr>
          <w:rFonts w:ascii="Times New Roman" w:hAnsi="Times New Roman" w:cs="Times New Roman"/>
          <w:i/>
          <w:iCs/>
          <w:sz w:val="24"/>
          <w:szCs w:val="28"/>
        </w:rPr>
        <w:t>Sac</w:t>
      </w:r>
      <w:r>
        <w:rPr>
          <w:rFonts w:ascii="Times New Roman" w:hAnsi="Times New Roman" w:cs="Times New Roman"/>
          <w:sz w:val="24"/>
          <w:szCs w:val="28"/>
        </w:rPr>
        <w:t xml:space="preserve"> I used were labeled in italics. The part of guide-sequence was underlined. </w:t>
      </w:r>
      <w:bookmarkStart w:id="1" w:name="_Hlk164849587"/>
      <w:r>
        <w:rPr>
          <w:rFonts w:ascii="Times New Roman" w:hAnsi="Times New Roman" w:cs="Times New Roman"/>
          <w:sz w:val="24"/>
          <w:szCs w:val="28"/>
        </w:rPr>
        <w:t>The part of the stem-loop was marked in red.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Two T bases (lowercase </w:t>
      </w:r>
      <w:r>
        <w:rPr>
          <w:rFonts w:ascii="Times New Roman" w:hAnsi="Times New Roman" w:cs="Times New Roman" w:hint="eastAsia"/>
          <w:sz w:val="24"/>
          <w:szCs w:val="28"/>
        </w:rPr>
        <w:t>with</w:t>
      </w:r>
      <w:r>
        <w:rPr>
          <w:rFonts w:ascii="Times New Roman" w:hAnsi="Times New Roman" w:cs="Times New Roman"/>
          <w:sz w:val="24"/>
          <w:szCs w:val="28"/>
        </w:rPr>
        <w:t xml:space="preserve"> underlined) were added to assist in transcription termination.</w:t>
      </w:r>
    </w:p>
    <w:bookmarkEnd w:id="1"/>
    <w:p w14:paraId="05202797" w14:textId="77777777" w:rsidR="00BE68E0" w:rsidRDefault="00BE68E0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D9B701F" w14:textId="77777777" w:rsidR="00BE68E0" w:rsidRDefault="00000000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gagggcctatttcccatgattccttcatatttgcatatacgatacaaggctgttagagagataattggaattaatttgactgtaaacacaaagatattagtacaaaatacgtgacgtagaaagtaataatttcttgggtagtttgcagttttaaaattatgttttaaaatggactatcatatgcttaccgtaacttgaaagtatttcgatttcttggctttatatatcttgtggaaaggac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GAAACACCG</w:t>
      </w:r>
      <w:r>
        <w:rPr>
          <w:rFonts w:ascii="Times New Roman" w:hAnsi="Times New Roman" w:cs="Times New Roman" w:hint="eastAsia"/>
          <w:b/>
          <w:bCs/>
          <w:sz w:val="24"/>
          <w:szCs w:val="28"/>
          <w:u w:val="single"/>
        </w:rPr>
        <w:t>NNNNNNNNNNNNNNNNNNNN</w:t>
      </w:r>
      <w:r>
        <w:rPr>
          <w:rFonts w:ascii="Times New Roman" w:hAnsi="Times New Roman" w:cs="Times New Roman"/>
          <w:b/>
          <w:bCs/>
          <w:color w:val="FF0000"/>
          <w:sz w:val="24"/>
          <w:szCs w:val="28"/>
        </w:rPr>
        <w:t>AAAGTCGGCCGAAAGGCCGACTTTT</w:t>
      </w:r>
      <w:r>
        <w:rPr>
          <w:rFonts w:ascii="Times New Roman" w:hAnsi="Times New Roman" w:cs="Times New Roman" w:hint="eastAsia"/>
          <w:b/>
          <w:bCs/>
          <w:color w:val="FF0000"/>
          <w:sz w:val="24"/>
          <w:szCs w:val="28"/>
          <w:u w:val="single"/>
        </w:rPr>
        <w:t>tt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AGCT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8"/>
        </w:rPr>
        <w:t>C</w:t>
      </w:r>
    </w:p>
    <w:p w14:paraId="0F292BCF" w14:textId="77777777" w:rsidR="00BE68E0" w:rsidRDefault="00BE68E0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9824FCF" w14:textId="77777777" w:rsidR="00BE68E0" w:rsidRDefault="00BE68E0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73C8719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817AE30" w14:textId="77777777" w:rsidR="00BE68E0" w:rsidRDefault="00000000">
      <w:pPr>
        <w:spacing w:afterLines="50" w:after="156" w:line="360" w:lineRule="auto"/>
        <w:rPr>
          <w:rFonts w:ascii="Times New Roman" w:hAnsi="Times New Roman" w:cs="Times New Roman"/>
          <w:sz w:val="24"/>
          <w:szCs w:val="28"/>
        </w:rPr>
      </w:pPr>
      <w:bookmarkStart w:id="2" w:name="_Hlk164236576"/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The sequence of the recombinant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protein coding sequence. </w:t>
      </w:r>
      <w:bookmarkEnd w:id="2"/>
      <w:r>
        <w:rPr>
          <w:rFonts w:ascii="Times New Roman" w:hAnsi="Times New Roman" w:cs="Times New Roman"/>
          <w:sz w:val="24"/>
          <w:szCs w:val="28"/>
        </w:rPr>
        <w:t xml:space="preserve">The recombinant </w:t>
      </w:r>
      <w:proofErr w:type="spellStart"/>
      <w:r>
        <w:rPr>
          <w:rFonts w:ascii="Times New Roman" w:hAnsi="Times New Roman" w:cs="Times New Roman"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protein (83</w:t>
      </w:r>
      <w:r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amino acids) is fused by two domains from </w:t>
      </w:r>
      <w:r>
        <w:rPr>
          <w:rFonts w:ascii="Times New Roman" w:hAnsi="Times New Roman" w:cs="Times New Roman"/>
          <w:i/>
          <w:iCs/>
          <w:sz w:val="24"/>
          <w:szCs w:val="28"/>
        </w:rPr>
        <w:t>Thermus aquaticus</w:t>
      </w:r>
      <w:r>
        <w:rPr>
          <w:rFonts w:ascii="Times New Roman" w:hAnsi="Times New Roman" w:cs="Times New Roman"/>
          <w:sz w:val="24"/>
          <w:szCs w:val="28"/>
        </w:rPr>
        <w:t xml:space="preserve"> polymerase and one domain from </w:t>
      </w:r>
      <w:r>
        <w:rPr>
          <w:rFonts w:ascii="Times New Roman" w:hAnsi="Times New Roman" w:cs="Times New Roman"/>
          <w:i/>
          <w:iCs/>
          <w:sz w:val="24"/>
          <w:szCs w:val="28"/>
        </w:rPr>
        <w:t>Thermus thermophilus</w:t>
      </w:r>
      <w:r>
        <w:rPr>
          <w:rFonts w:ascii="Times New Roman" w:hAnsi="Times New Roman" w:cs="Times New Roman"/>
          <w:sz w:val="24"/>
          <w:szCs w:val="28"/>
        </w:rPr>
        <w:t xml:space="preserve"> polymerase. The domain from </w:t>
      </w:r>
      <w:r>
        <w:rPr>
          <w:rFonts w:ascii="Times New Roman" w:hAnsi="Times New Roman" w:cs="Times New Roman"/>
          <w:i/>
          <w:iCs/>
          <w:sz w:val="24"/>
          <w:szCs w:val="28"/>
        </w:rPr>
        <w:t>Thermus thermophilus</w:t>
      </w:r>
      <w:r>
        <w:rPr>
          <w:rFonts w:ascii="Times New Roman" w:hAnsi="Times New Roman" w:cs="Times New Roman"/>
          <w:sz w:val="24"/>
          <w:szCs w:val="28"/>
        </w:rPr>
        <w:t xml:space="preserve"> polymerase was underlined.</w:t>
      </w:r>
    </w:p>
    <w:p w14:paraId="4F8234B0" w14:textId="77777777" w:rsidR="00BE68E0" w:rsidRDefault="00000000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nucleic acid sequence:</w:t>
      </w:r>
    </w:p>
    <w:p w14:paraId="512C2831" w14:textId="77777777" w:rsidR="00BE68E0" w:rsidRDefault="00000000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GAGGGGGATGCTGCCCCTCTTTGAGCCCAAGGGCCGGGTCCTCCTGGTGGACGGCCACCACCTGGCCTACCGCACCTTCCACGCCCTGAAGGGCCTCACCACCAGCCGGGGGGAGCCGGTGCAGGCGGTCTACGGCTTCGCCAAGAGCCTCCTCAAGGCCCTCAAGGAGGACGGGGACGCGGTGATCGTGGTCTTTGACGCCAAGGCCCCCTCCTTCCGCCACGAGGCCTACGGGGGGTACAAGGCGGGCCGGGCCCCCACGCCGGAGGACTTTCCCCGGCAACTCGCCCTCATCAAGGAGCTGGTGGACCTCCTGGGGCTGGCGCGCCTCGAGGTCCCGGGCTACGAGGCGGACGACGTCCTGGCCAGCCTGGCCAAGAAGGCGGAAAAGGAGGGCTACGAGGTCCGCATCCTCACCGCCGACAAAGACCTTTACCAGCTCCTTTCCGACCGCATCCACGCCCTCCACCCCGAGGGCTACCTCATCACCCCGGCCTGGCTTTGGGAAAAGTACGGCCTGAGGCCCGACCAGTGGGCCGACTACCGGGCCCTGACCGGGGACGAGTCCGACAACCTTCCCGGGGTCAAGGGCATCGGGGAGAAGACGGCGAGGAAGCTTCTGGAGGAGTGGGGGAGCCTGGAAGCCCTCCTCAAGAACCTGGACCGGCTGAAGCCCGCCATCCGGGAGAAGATCCTGGCCCACATGGACGATCTGAAGCTCTCCTGGGACCTGGCCAAGGTGCGCACCGACCTGCCCCTGGAGGTGGACTTCGCCAAAAGGCGGGAGCCCGACCGGGAGAGGCTTAGGGCCTTTCTGGAGAGGCTTGAGTTTGGCAGCCTCCTCCACGAGTTCGGCCTTCTGGAAAGCCCCAAGGCCCTGGAGGAGGCCCCCTGGCCCCCGCCGGAAGGGGCCTTCGTGGGCTTTGTGCTTTCCCGCAAGGAGCCCATGTGGGCCGATCTTCTGGCCCTGGCCGCCGCCAGG</w:t>
      </w:r>
      <w:r>
        <w:rPr>
          <w:rFonts w:ascii="Courier New" w:hAnsi="Courier New" w:cs="Courier New"/>
          <w:u w:val="single"/>
        </w:rPr>
        <w:t>G</w:t>
      </w:r>
      <w:r>
        <w:rPr>
          <w:rFonts w:ascii="Courier New" w:hAnsi="Courier New" w:cs="Courier New" w:hint="eastAsia"/>
          <w:u w:val="single"/>
        </w:rPr>
        <w:t>A</w:t>
      </w:r>
      <w:r>
        <w:rPr>
          <w:rFonts w:ascii="Courier New" w:hAnsi="Courier New" w:cs="Courier New"/>
          <w:u w:val="single"/>
        </w:rPr>
        <w:t>CGGCCGGGTGCACCGGGCAGCAGACCCCTTGGCGGGGCTAAAGGACCTCAAGGAGGTCCGGGGCCTCCTCGCCAAGGACCTCGCCGTCTTGGCCTCGAGGGAGGGGCTAGACCTCGTGCCCGGGGACGACCCCATGCTCCTCGCCTACCTCCTGGACCCCTCCAACACCACCCCCGAGGGGGTGGCGCGGCGCTACGGGGGGGAGTGGACGGAGGACGCCGCCCACCGGGCCCTCCTCTCGGAGAGGCTCCATCGGAACCTCCTTAAGCGCCTCGAGGGGGAGGAGAAGCTCCTTTGGCTCTACCACGAGGTGGAAAAGCCCCTCTCCCGGGTCCTGGCCCACATGGAGGCCACCGGGGTACGGCGGGACGTGGCCTACCTTCAGGCCCTTTCCCTGGAGCTTGCGGAGGAGATCCGCCGCCTCGAGGAGGAGGTCTTCCGCTTGGCGGGCCACCCCTTCAACCTCAACTCCCGGGACCAGCTGGAAAGGGTGCTCTTTGACGAGCTTAGGCTTCCCGCCTTGGGGAAGACGCAAAAGACAGGCAAGCGCTCCACCAGCGCCGCGGTGCTGGAGGCCCTACGGGAGGCCCACCCCATCGTGGAGAAGATCCTCCAGCACCGGGAGCTCACCAAGCTCAAGAACACCTACGTGGACCCCCTCCCAAGCCTCGTCCACCCGAGGACGGGCCGCCTCCACACCCGCTTCAACCAGACGGCCACGGCCACGGGGAGGCTTAGTAGCTCCGACCCCAACCTGCAGAACATCCCCGTCCGCACCCCCTTGGGCCAGAG</w:t>
      </w:r>
      <w:r>
        <w:rPr>
          <w:rFonts w:ascii="Courier New" w:hAnsi="Courier New" w:cs="Courier New" w:hint="eastAsia"/>
          <w:u w:val="single"/>
        </w:rPr>
        <w:t>A</w:t>
      </w:r>
      <w:r>
        <w:rPr>
          <w:rFonts w:ascii="Courier New" w:hAnsi="Courier New" w:cs="Courier New"/>
          <w:u w:val="single"/>
        </w:rPr>
        <w:t>ATC</w:t>
      </w:r>
      <w:r>
        <w:rPr>
          <w:rFonts w:ascii="Courier New" w:hAnsi="Courier New" w:cs="Courier New"/>
        </w:rPr>
        <w:t>CGCCGGGCCTTCATCGCCGAGGAGGGGTGGCTATTGGTGGCCCTGGACTATAGCCAGATAGAGCTCAGGGTGCTGGCCCACCTCTCCGGCGACGAGAACCTGATCCGGGTCTTCCAGGAGGGGCGGGACATCCACACGGAGACCGCCAGCTGGATGTTCGGCGTCCCCCGGGAGGCCGTGGACCCCCTGATGCGCCGGGCGGCCAAGACCATCAACTTCGGGGTCCTCTACGGCATGTCGGCCCACCGCCTCTCCCAGGAGCTAGCCATCCCTTACGAGGAGGCCCAGGCCTTCATTGAGCGCTACTTTCAGAGCTTCCCCAAGGTGCGGGCCTGGATTGAGAAGACCCTGGAGGAGGGCAGGAGGCGGGGGTACGTGGAGACCCTCTTCGGCCGCCGCCGCTACGTGCCAGACCTAGAGGCCCGGGTGAAGAGCGTGCGGGAGGCGGCCGAGCGCATGGCCTTCAACATGCCCGTCCAGGGCACCGCCGCCGACCTCATGAAGCTGGCTATGGTGAAGCTCTTCCCCAGGCTGGAGGAAATGGGGGCCAGGATGCTCCTTCAGGTCCACGACGAGCTGGTCCTCGAGGCCCCAAAAGAGAGGGCGGAGGCCGTGGCCCGGCT</w:t>
      </w:r>
      <w:r>
        <w:rPr>
          <w:rFonts w:ascii="Courier New" w:hAnsi="Courier New" w:cs="Courier New"/>
        </w:rPr>
        <w:lastRenderedPageBreak/>
        <w:t>GGCCAAGGAGGTCATGGAGGGGGTGTATCCCCTGGCCGTGCCCCTGGAGGTGGAGGTGGGGATAGGGGAGGACTGGCTCTCCGCCAAGGAGTGA</w:t>
      </w:r>
    </w:p>
    <w:p w14:paraId="260EBAFE" w14:textId="77777777" w:rsidR="00BE68E0" w:rsidRDefault="00BE68E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E2857ED" w14:textId="77777777" w:rsidR="00BE68E0" w:rsidRDefault="00000000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amino acid sequence:</w:t>
      </w:r>
    </w:p>
    <w:p w14:paraId="0CC1D4AD" w14:textId="77777777" w:rsidR="00BE68E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MRGMLPLFEPKGRVLLVDGHHLAYRTFHALKGLTTSRGEPVQAVYGFAKSLLKALKEDGDAVIVVFDAKAPSFRHEAYGGYKAGRAPTPEDFPRQLALIKELVDLLGLARLEVPGYEADDVLASLAKKAEKEGYEVRILTADKDLYQLLSDRIHALHPEGYLITPAWLWEKYGLRPDQWADYRALTGDESDNLPGVKGIGEKTARKLLEEWGSLEALLKNLDRLKPAIREKILAHMDDLKLSWDLAKVRTDLPLEVDFAKRREPDRERLRAFLERLEFGSLLHEFGLLESPKALEEAPWPPPEGAFVGFVLSRKEPMWADLLALAAAR</w:t>
      </w:r>
      <w:r>
        <w:rPr>
          <w:rFonts w:ascii="Courier New" w:hAnsi="Courier New" w:cs="Courier New"/>
          <w:u w:val="single"/>
        </w:rPr>
        <w:t>DGRVHRAADPLAGLKDLKEVRGLLAKDLAVLASREGLDLVPGDDPMLLAYLLDPSNTTPEGVARRYGGEWTEDAAHRALLSERLHRNLLKRLEGEEKLLWLYHEVEKPLSRVLAHMEATGVRRDVAYLQALSLELAEEIRRLEEEVFRLAGHPFNLNSRDQLERVLFDELRLPALGKTQKTGKRSTSAAVLEALREAHPIVEKILQHRELTKLKNTYVDPLPSLVHPRTGRLHTRFNQTATATGRLSSSDPNLQNIPVRTPLGQRI</w:t>
      </w:r>
      <w:r>
        <w:rPr>
          <w:rFonts w:ascii="Courier New" w:hAnsi="Courier New" w:cs="Courier New"/>
        </w:rPr>
        <w:t>RRAFIAEEGWLLVALDYSQIELRVLAHLSGDENLIRVFQEGRDIHTETASWMFGVPREAVDPLMRRAAKTINFGVLYGMSAHRLSQELAIPYEEAQAFIERYFQSFPKVRAWIEKTLEEGRRRGYVETLFGRRRYVPDLEARVKSVREAAERMAFNMPVQGTAADLMKLAMVKLFPRLEEMGARMLLQVHDELVLEAPKERAEAVARLAKEVMEGVYPLAVPLEVEVGIGEDWLSAKE-</w:t>
      </w:r>
    </w:p>
    <w:p w14:paraId="03089F75" w14:textId="77777777" w:rsidR="00BE68E0" w:rsidRDefault="00BE68E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CD9FE3A" w14:textId="77777777" w:rsidR="00BE68E0" w:rsidRDefault="00000000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51FAF626" w14:textId="77777777" w:rsidR="00BE68E0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bookmarkStart w:id="3" w:name="_Hlk164236700"/>
      <w:r>
        <w:rPr>
          <w:rFonts w:ascii="Times New Roman" w:hAnsi="Times New Roman" w:cs="Times New Roman"/>
          <w:b/>
          <w:bCs/>
          <w:sz w:val="24"/>
          <w:szCs w:val="28"/>
        </w:rPr>
        <w:t xml:space="preserve">The expression of recombinant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HA-</w:t>
      </w:r>
      <w:r>
        <w:rPr>
          <w:rFonts w:ascii="Times New Roman" w:hAnsi="Times New Roman" w:cs="Times New Roman"/>
          <w:b/>
          <w:bCs/>
          <w:sz w:val="24"/>
          <w:szCs w:val="28"/>
        </w:rPr>
        <w:t>NES-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or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HA-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-NES </w:t>
      </w:r>
      <w:r>
        <w:rPr>
          <w:rFonts w:ascii="Times New Roman" w:hAnsi="Times New Roman"/>
          <w:b/>
          <w:bCs/>
          <w:sz w:val="24"/>
          <w:szCs w:val="24"/>
        </w:rPr>
        <w:t>in mammalian cells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. </w:t>
      </w:r>
      <w:bookmarkEnd w:id="3"/>
      <w:r>
        <w:rPr>
          <w:rFonts w:ascii="Times New Roman" w:hAnsi="Times New Roman" w:cs="Times New Roman"/>
          <w:i/>
          <w:iCs/>
          <w:sz w:val="24"/>
          <w:szCs w:val="28"/>
        </w:rPr>
        <w:t xml:space="preserve">Negative control </w:t>
      </w:r>
      <w:r>
        <w:rPr>
          <w:rFonts w:ascii="Times New Roman" w:hAnsi="Times New Roman" w:cs="Times New Roman"/>
          <w:sz w:val="24"/>
          <w:szCs w:val="28"/>
        </w:rPr>
        <w:t xml:space="preserve">means the group transfected with only empty vector. </w:t>
      </w:r>
    </w:p>
    <w:p w14:paraId="23C2031F" w14:textId="77777777" w:rsidR="00BE68E0" w:rsidRDefault="00BE68E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4FE84A4" w14:textId="77777777" w:rsidR="00BE68E0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7038393" wp14:editId="1CDB7506">
            <wp:extent cx="3291205" cy="1572260"/>
            <wp:effectExtent l="0" t="0" r="0" b="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0249" cy="157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7341" w14:textId="77777777" w:rsidR="00BE68E0" w:rsidRDefault="00BE68E0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7D938C4" w14:textId="77777777" w:rsidR="00BE68E0" w:rsidRDefault="00000000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3637ADE" w14:textId="081498F0" w:rsidR="00BE68E0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The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EGFP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fluorescence knockdown in cells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heterologously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expressing the NES-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TaqTth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TaqTth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-NES.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The schematic diagram process of the EGFP assay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r w:rsidR="004916EE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the relative EGFP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fluorescence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4916EE">
        <w:rPr>
          <w:rFonts w:ascii="Times New Roman" w:hAnsi="Times New Roman" w:cs="Times New Roman" w:hint="eastAsia"/>
          <w:kern w:val="0"/>
          <w:sz w:val="24"/>
          <w:szCs w:val="24"/>
        </w:rPr>
        <w:t>B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and the percentages of EGFP-positive cells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4916EE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kern w:val="0"/>
          <w:sz w:val="24"/>
          <w:szCs w:val="24"/>
        </w:rPr>
        <w:t>in groups treated by the NES-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TaqTth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TaqTth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-NES. </w:t>
      </w:r>
      <w:r>
        <w:rPr>
          <w:rFonts w:ascii="Calibri" w:hAnsi="Calibri" w:cs="Calibri"/>
          <w:sz w:val="24"/>
          <w:szCs w:val="28"/>
        </w:rPr>
        <w:t>*</w:t>
      </w:r>
      <w:r>
        <w:rPr>
          <w:rFonts w:ascii="Calibri" w:hAnsi="Calibri" w:cs="Calibri" w:hint="eastAsia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 p &lt; 0.0</w:t>
      </w:r>
      <w:r>
        <w:rPr>
          <w:rFonts w:ascii="Times New Roman" w:hAnsi="Times New Roman" w:cs="Times New Roman" w:hint="eastAsia"/>
          <w:sz w:val="24"/>
          <w:szCs w:val="28"/>
        </w:rPr>
        <w:t xml:space="preserve">1.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ns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means no significant difference.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means the non-targeting.</w:t>
      </w:r>
    </w:p>
    <w:p w14:paraId="3A6D4AF3" w14:textId="77777777" w:rsidR="00BE68E0" w:rsidRDefault="00BE68E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DE11DE1" w14:textId="77777777" w:rsidR="00BE68E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114300" distR="114300" wp14:anchorId="2A2519C2" wp14:editId="6C59F241">
            <wp:extent cx="4943475" cy="4535805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3ECCD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18E02075" w14:textId="77777777" w:rsidR="00BE68E0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The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EGFP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fluorescence knockdown in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EGFP-stable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cells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transfected with a single plasmid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encoding the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TaqTth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hpRNA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with a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mcherry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tag.</w:t>
      </w:r>
      <w:r>
        <w:rPr>
          <w:rFonts w:ascii="Times New Roman" w:hAnsi="Times New Roman" w:cs="Times New Roman"/>
          <w:sz w:val="24"/>
          <w:szCs w:val="28"/>
        </w:rPr>
        <w:t xml:space="preserve"> ** p &lt; 0.0</w:t>
      </w:r>
      <w:r>
        <w:rPr>
          <w:rFonts w:ascii="Times New Roman" w:hAnsi="Times New Roman" w:cs="Times New Roman" w:hint="eastAsia"/>
          <w:sz w:val="24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8"/>
        </w:rPr>
        <w:t>*** p &lt; 0.0</w:t>
      </w:r>
      <w:r>
        <w:rPr>
          <w:rFonts w:ascii="Times New Roman" w:hAnsi="Times New Roman" w:cs="Times New Roman" w:hint="eastAsia"/>
          <w:sz w:val="24"/>
          <w:szCs w:val="28"/>
        </w:rPr>
        <w:t xml:space="preserve">01. </w:t>
      </w:r>
      <w:r>
        <w:rPr>
          <w:rFonts w:ascii="Times New Roman" w:hAnsi="Times New Roman" w:cs="Times New Roman"/>
          <w:i/>
          <w:iCs/>
          <w:sz w:val="24"/>
          <w:szCs w:val="28"/>
        </w:rPr>
        <w:t>NT</w:t>
      </w:r>
      <w:r>
        <w:rPr>
          <w:rFonts w:ascii="Times New Roman" w:hAnsi="Times New Roman" w:cs="Times New Roman"/>
          <w:sz w:val="24"/>
          <w:szCs w:val="28"/>
        </w:rPr>
        <w:t xml:space="preserve"> means the non-targeting.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</w:p>
    <w:p w14:paraId="6949F3E1" w14:textId="77777777" w:rsidR="00BE68E0" w:rsidRDefault="00BE68E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51DF499" w14:textId="77777777" w:rsidR="00BE68E0" w:rsidRDefault="00000000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51AF8C17" wp14:editId="569E3E86">
            <wp:extent cx="5092700" cy="181356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r="3443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1813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D8711" w14:textId="77777777" w:rsidR="00BE68E0" w:rsidRDefault="00000000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873902F" w14:textId="77777777" w:rsidR="00BE68E0" w:rsidRDefault="00000000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7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The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dTaqTth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and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>-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mediated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knockdown of KRAS.</w:t>
      </w:r>
      <w:r>
        <w:rPr>
          <w:rFonts w:ascii="Times New Roman" w:hAnsi="Times New Roman" w:cs="Times New Roman"/>
          <w:sz w:val="24"/>
          <w:szCs w:val="28"/>
        </w:rPr>
        <w:t xml:space="preserve"> mean ± </w:t>
      </w:r>
      <w:proofErr w:type="spellStart"/>
      <w:r>
        <w:rPr>
          <w:rFonts w:ascii="Times New Roman" w:hAnsi="Times New Roman" w:cs="Times New Roman"/>
          <w:sz w:val="24"/>
          <w:szCs w:val="28"/>
        </w:rPr>
        <w:t>s.e.m.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n=3. * p &lt; 0.05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4" w:name="OLE_LINK1"/>
      <w:r>
        <w:rPr>
          <w:rFonts w:ascii="Times New Roman" w:hAnsi="Times New Roman" w:cs="Times New Roman"/>
          <w:i/>
          <w:kern w:val="0"/>
          <w:sz w:val="24"/>
          <w:szCs w:val="24"/>
        </w:rPr>
        <w:t>ns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means no significant difference. </w:t>
      </w:r>
      <w:r>
        <w:rPr>
          <w:rFonts w:ascii="Times New Roman" w:hAnsi="Times New Roman" w:cs="Times New Roman"/>
          <w:i/>
          <w:iCs/>
          <w:sz w:val="24"/>
          <w:szCs w:val="28"/>
        </w:rPr>
        <w:t>NT</w:t>
      </w:r>
      <w:r>
        <w:rPr>
          <w:rFonts w:ascii="Times New Roman" w:hAnsi="Times New Roman" w:cs="Times New Roman"/>
          <w:sz w:val="24"/>
          <w:szCs w:val="28"/>
        </w:rPr>
        <w:t xml:space="preserve"> means the non-targeting.</w:t>
      </w:r>
      <w:bookmarkEnd w:id="4"/>
    </w:p>
    <w:p w14:paraId="146F4267" w14:textId="77777777" w:rsidR="00BE68E0" w:rsidRDefault="00BE68E0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B532F68" w14:textId="77777777" w:rsidR="00BE68E0" w:rsidRDefault="00000000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0FD1714D" wp14:editId="70F4498C">
            <wp:extent cx="2687955" cy="382016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8336" cy="382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E4EEC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43678AC" w14:textId="77777777" w:rsidR="00BE68E0" w:rsidRDefault="0000000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8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The analysis of the total RNA treated by the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TaqTth-hpRNA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8"/>
        </w:rPr>
        <w:t>, Cas13a</w:t>
      </w:r>
      <w:r>
        <w:rPr>
          <w:rFonts w:ascii="Times New Roman" w:hAnsi="Times New Roman" w:cs="Times New Roman"/>
          <w:b/>
          <w:bCs/>
          <w:sz w:val="24"/>
          <w:szCs w:val="28"/>
        </w:rPr>
        <w:t>,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and siRNA strategies by agarose electrophoresis.</w:t>
      </w:r>
    </w:p>
    <w:p w14:paraId="38C01628" w14:textId="77777777" w:rsidR="00BE68E0" w:rsidRDefault="00BE68E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3C1ED4CC" w14:textId="77777777" w:rsidR="00BE68E0" w:rsidRDefault="00000000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66B67100" wp14:editId="0019F1A2">
            <wp:extent cx="2168525" cy="2503805"/>
            <wp:effectExtent l="0" t="0" r="3175" b="0"/>
            <wp:docPr id="1859185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8564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7524" cy="251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66EE7" w14:textId="77777777" w:rsidR="00BE68E0" w:rsidRDefault="00BE68E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E6950C3" w14:textId="77777777" w:rsidR="00BE68E0" w:rsidRDefault="00BE68E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94C0F32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75EFE081" w14:textId="77777777" w:rsidR="00BE68E0" w:rsidRDefault="00000000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5" w:name="_Hlk165037839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8"/>
        </w:rPr>
        <w:t>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9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bookmarkEnd w:id="5"/>
      <w:r>
        <w:rPr>
          <w:rFonts w:ascii="Times New Roman" w:hAnsi="Times New Roman" w:cs="Times New Roman"/>
          <w:b/>
          <w:bCs/>
          <w:sz w:val="24"/>
          <w:szCs w:val="28"/>
        </w:rPr>
        <w:t>Single mismatch assay for specificity analysis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 panel of </w:t>
      </w:r>
      <w:proofErr w:type="spellStart"/>
      <w:r>
        <w:rPr>
          <w:rFonts w:ascii="Times New Roman" w:hAnsi="Times New Roman" w:cs="Times New Roman"/>
          <w:sz w:val="24"/>
          <w:szCs w:val="28"/>
        </w:rPr>
        <w:t>hpRNAs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(Hp-EGFP) with a single-nucleotide mutation is shown below. Editing efficiencies are quantified as the geometric mean of EGFP fluorescence intensity. mean ± </w:t>
      </w:r>
      <w:proofErr w:type="spellStart"/>
      <w:r>
        <w:rPr>
          <w:rFonts w:ascii="Times New Roman" w:hAnsi="Times New Roman" w:cs="Times New Roman"/>
          <w:sz w:val="24"/>
          <w:szCs w:val="28"/>
        </w:rPr>
        <w:t>s.e.m.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n=3. Mismatches are shown in red.</w:t>
      </w:r>
      <w:r>
        <w:rPr>
          <w:rFonts w:ascii="Calibri" w:hAnsi="Calibri" w:cs="Calibri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 w:hint="eastAsia"/>
          <w:sz w:val="24"/>
          <w:szCs w:val="28"/>
        </w:rPr>
        <w:t>***</w:t>
      </w:r>
      <w:r>
        <w:rPr>
          <w:rFonts w:ascii="Times New Roman" w:hAnsi="Times New Roman" w:cs="Times New Roman"/>
          <w:sz w:val="24"/>
          <w:szCs w:val="28"/>
        </w:rPr>
        <w:t>p &lt; 0.0</w:t>
      </w:r>
      <w:r>
        <w:rPr>
          <w:rFonts w:ascii="Times New Roman" w:hAnsi="Times New Roman" w:cs="Times New Roman" w:hint="eastAsia"/>
          <w:sz w:val="24"/>
          <w:szCs w:val="28"/>
        </w:rPr>
        <w:t>001.</w:t>
      </w:r>
    </w:p>
    <w:p w14:paraId="0E84B212" w14:textId="77777777" w:rsidR="00BE68E0" w:rsidRDefault="00BE68E0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3B02419" w14:textId="77777777" w:rsidR="00BE68E0" w:rsidRDefault="00000000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7E578527" wp14:editId="7E9C16F0">
            <wp:extent cx="5274310" cy="2452370"/>
            <wp:effectExtent l="0" t="0" r="0" b="0"/>
            <wp:docPr id="2142220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2011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9877" w14:textId="77777777" w:rsidR="00BE68E0" w:rsidRDefault="00BE68E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3F96EEB6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1C50A206" w14:textId="6A5F8AA9" w:rsidR="00BE68E0" w:rsidRDefault="00000000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6" w:name="_Hlk165037886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8"/>
        </w:rPr>
        <w:t>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10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bookmarkStart w:id="7" w:name="_Hlk134432776"/>
      <w:r>
        <w:rPr>
          <w:rFonts w:ascii="Times New Roman" w:hAnsi="Times New Roman" w:cs="Times New Roman"/>
          <w:b/>
          <w:bCs/>
          <w:sz w:val="24"/>
          <w:szCs w:val="28"/>
        </w:rPr>
        <w:t>A single AAV9 vector shuttle plasmid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and validation.</w:t>
      </w:r>
      <w:bookmarkEnd w:id="6"/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schematic</w:t>
      </w:r>
      <w:bookmarkStart w:id="8" w:name="_Hlk134432716"/>
      <w:bookmarkEnd w:id="7"/>
      <w:r>
        <w:rPr>
          <w:rFonts w:ascii="Times New Roman" w:hAnsi="Times New Roman" w:cs="Times New Roman"/>
          <w:sz w:val="24"/>
          <w:szCs w:val="28"/>
        </w:rPr>
        <w:t xml:space="preserve"> (</w:t>
      </w:r>
      <w:r w:rsidR="008A713B"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). The EGFP-</w:t>
      </w:r>
      <w:proofErr w:type="spellStart"/>
      <w:r>
        <w:rPr>
          <w:rFonts w:ascii="Times New Roman" w:hAnsi="Times New Roman" w:cs="Times New Roman"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expression in HEK293T cells (</w:t>
      </w:r>
      <w:r w:rsidR="008A713B"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). The knockdown efficiencies of shuttle plasmids in the HEK293T cells over-expressing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APP</w:t>
      </w:r>
      <w:r>
        <w:rPr>
          <w:rFonts w:ascii="Times New Roman" w:hAnsi="Times New Roman" w:cs="Times New Roman"/>
          <w:i/>
          <w:iCs/>
          <w:sz w:val="24"/>
          <w:szCs w:val="28"/>
          <w:vertAlign w:val="superscript"/>
        </w:rPr>
        <w:t>wt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or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APP</w:t>
      </w:r>
      <w:r>
        <w:rPr>
          <w:rFonts w:ascii="Times New Roman" w:hAnsi="Times New Roman" w:cs="Times New Roman"/>
          <w:i/>
          <w:iCs/>
          <w:sz w:val="24"/>
          <w:szCs w:val="28"/>
          <w:vertAlign w:val="superscript"/>
        </w:rPr>
        <w:t>swe</w:t>
      </w:r>
      <w:proofErr w:type="spellEnd"/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in mRNA level. (</w:t>
      </w:r>
      <w:r w:rsidR="008A713B">
        <w:rPr>
          <w:rFonts w:ascii="Times New Roman" w:hAnsi="Times New Roman" w:cs="Times New Roman" w:hint="eastAsia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) and protein level (</w:t>
      </w:r>
      <w:r w:rsidR="008A713B">
        <w:rPr>
          <w:rFonts w:ascii="Times New Roman" w:hAnsi="Times New Roman" w:cs="Times New Roman" w:hint="eastAsia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>). mean ± </w:t>
      </w:r>
      <w:proofErr w:type="spellStart"/>
      <w:r>
        <w:rPr>
          <w:rFonts w:ascii="Times New Roman" w:hAnsi="Times New Roman" w:cs="Times New Roman"/>
          <w:sz w:val="24"/>
          <w:szCs w:val="28"/>
        </w:rPr>
        <w:t>s.e.m.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n=3.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0.01. </w:t>
      </w:r>
      <w:r>
        <w:rPr>
          <w:rFonts w:ascii="Times New Roman" w:hAnsi="Times New Roman" w:cs="Times New Roman"/>
          <w:i/>
          <w:iCs/>
          <w:sz w:val="24"/>
          <w:szCs w:val="28"/>
        </w:rPr>
        <w:t>ns</w:t>
      </w:r>
      <w:r>
        <w:rPr>
          <w:rFonts w:ascii="Times New Roman" w:hAnsi="Times New Roman" w:cs="Times New Roman"/>
          <w:sz w:val="24"/>
          <w:szCs w:val="28"/>
        </w:rPr>
        <w:t xml:space="preserve"> means no significant difference. </w:t>
      </w:r>
      <w:bookmarkEnd w:id="8"/>
      <w:r>
        <w:rPr>
          <w:rFonts w:ascii="Times New Roman" w:hAnsi="Times New Roman" w:cs="Times New Roman"/>
          <w:i/>
          <w:iCs/>
          <w:sz w:val="24"/>
          <w:szCs w:val="28"/>
        </w:rPr>
        <w:t>NT</w:t>
      </w:r>
      <w:r>
        <w:rPr>
          <w:rFonts w:ascii="Times New Roman" w:hAnsi="Times New Roman" w:cs="Times New Roman"/>
          <w:sz w:val="24"/>
          <w:szCs w:val="28"/>
        </w:rPr>
        <w:t xml:space="preserve"> means the non-targeting.</w:t>
      </w:r>
    </w:p>
    <w:p w14:paraId="5C6474DA" w14:textId="77777777" w:rsidR="00BE68E0" w:rsidRDefault="00BE68E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4E3C3A3" w14:textId="77777777" w:rsidR="00BE68E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114300" distR="114300" wp14:anchorId="4528E0B6" wp14:editId="4C4172C5">
            <wp:extent cx="5044440" cy="5076190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r="4999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0209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6BBC121" w14:textId="51EEE5C4" w:rsidR="00BE68E0" w:rsidRDefault="00000000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9" w:name="_Hlk165037943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8"/>
        </w:rPr>
        <w:t>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11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The body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(</w:t>
      </w:r>
      <w:r w:rsidR="00A22945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b/>
          <w:bCs/>
          <w:sz w:val="24"/>
          <w:szCs w:val="28"/>
        </w:rPr>
        <w:t>) and brain (</w:t>
      </w:r>
      <w:r w:rsidR="00A22945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b/>
          <w:bCs/>
          <w:sz w:val="24"/>
          <w:szCs w:val="28"/>
        </w:rPr>
        <w:t>) weight of AAV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-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Taq</w:t>
      </w:r>
      <w:r>
        <w:rPr>
          <w:rFonts w:ascii="Times New Roman" w:hAnsi="Times New Roman" w:cs="Times New Roman"/>
          <w:b/>
          <w:bCs/>
          <w:sz w:val="24"/>
          <w:szCs w:val="28"/>
        </w:rPr>
        <w:t>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>-T-injected, AAV-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-NT-injected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uninjected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5</w:t>
      </w:r>
      <w:r>
        <w:rPr>
          <w:rFonts w:ascii="Times New Roman" w:hAnsi="Times New Roman"/>
          <w:b/>
          <w:bCs/>
          <w:sz w:val="24"/>
          <w:szCs w:val="24"/>
        </w:rPr>
        <w:t>×FAD mice.</w:t>
      </w:r>
      <w:bookmarkEnd w:id="9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0" w:name="_Hlk165057484"/>
      <w:r>
        <w:rPr>
          <w:rFonts w:ascii="Times New Roman" w:hAnsi="Times New Roman"/>
          <w:i/>
          <w:iCs/>
          <w:sz w:val="24"/>
          <w:szCs w:val="24"/>
        </w:rPr>
        <w:t>ns</w:t>
      </w:r>
      <w:r>
        <w:rPr>
          <w:rFonts w:ascii="Times New Roman" w:hAnsi="Times New Roman"/>
          <w:sz w:val="24"/>
          <w:szCs w:val="24"/>
        </w:rPr>
        <w:t xml:space="preserve"> means no significant difference. </w:t>
      </w:r>
      <w:r>
        <w:rPr>
          <w:rFonts w:ascii="Times New Roman" w:hAnsi="Times New Roman" w:cs="Times New Roman"/>
          <w:i/>
          <w:iCs/>
          <w:sz w:val="24"/>
          <w:szCs w:val="28"/>
        </w:rPr>
        <w:t>NT</w:t>
      </w:r>
      <w:r>
        <w:rPr>
          <w:rFonts w:ascii="Times New Roman" w:hAnsi="Times New Roman" w:cs="Times New Roman"/>
          <w:sz w:val="24"/>
          <w:szCs w:val="28"/>
        </w:rPr>
        <w:t xml:space="preserve"> means the non-targeting.</w:t>
      </w:r>
    </w:p>
    <w:p w14:paraId="6BECC8C2" w14:textId="77777777" w:rsidR="00BE68E0" w:rsidRDefault="00BE68E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bookmarkEnd w:id="10"/>
    <w:p w14:paraId="75DEA18A" w14:textId="77777777" w:rsidR="00BE68E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114300" distR="114300" wp14:anchorId="05DCC271" wp14:editId="011C187C">
            <wp:extent cx="5213985" cy="3124200"/>
            <wp:effectExtent l="0" t="0" r="635" b="635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124E" w14:textId="77777777" w:rsidR="00BE68E0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7A133F2E" w14:textId="77777777" w:rsidR="00BE68E0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11" w:name="_Hlk165038098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8"/>
        </w:rPr>
        <w:t>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12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APOE2 overexpression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combin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ition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with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8"/>
        </w:rPr>
        <w:t>TaqTth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eliminate Aβ pathologies in 5×FAD mice.</w:t>
      </w:r>
      <w:bookmarkEnd w:id="11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Representative images of the IHC for Aβ (red) and nuclei (blue) in hippocampus from different groups of mice with indicated virus injection (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). Quantification of Aβ plaques number with different sizes (B) (diameter&lt;20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20-40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and &gt;40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) per mm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. n = 20 sections from 3 mice. Scar bar = 100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. Immunoblotting shows the protein levels of Aβ, PSD-95 and Synaptophysin in hippocampus from AAV-APOE2-injected and AAV-TaqTth-T-APOE2-injected groups (C). n = 3 mice per group. GAPDH as a loading control. Representative images of the IHC for Iba1 (red) (</w:t>
      </w:r>
      <w:r>
        <w:rPr>
          <w:rFonts w:ascii="Times New Roman" w:hAnsi="Times New Roman" w:cs="Times New Roman" w:hint="eastAsia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) in hippocampus of 5×FAD mice with indicated virus injection. Nuclei (blue) were labeled by DAPI. Scar bar = 100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. Quantification of the average number per mm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with Iba1-positive microglia (E) as well as the percentage of Iba1-positive (F) area. APOE2: AAV-APOE2, T+APOE2: AAV-TaqTth-T-APOE2. n = 20 sections from 3 mice. Representative images of the IHC for GFAP (red) (</w:t>
      </w: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 xml:space="preserve">) in hippocampus of 5×FAD mice with indicated virus injection. Nuclei (blue) were labeled by DAPI. Scar bar = 100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. Quantification of the average number per mm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with GFAP-positive astrocytes (H) as well as the percentage of GFAP-positive (</w:t>
      </w: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) area. APOE2: AAV-APOE2, T+APOE2: AAV-TaqTth-T-APOE2. n = 20 sections from 3 mice. Scar bar = 100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Data represent mean ± </w:t>
      </w:r>
      <w:proofErr w:type="spellStart"/>
      <w:r>
        <w:rPr>
          <w:rFonts w:ascii="Times New Roman" w:hAnsi="Times New Roman" w:cs="Times New Roman"/>
          <w:sz w:val="24"/>
          <w:szCs w:val="28"/>
        </w:rPr>
        <w:t>s.e.m.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Calibri" w:hAnsi="Calibri" w:cs="Calibri"/>
          <w:sz w:val="24"/>
          <w:szCs w:val="28"/>
        </w:rPr>
        <w:t>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0.001. The data in the AAV-APOE2 and AAV-TaqTth-T-APOE2 groups were shown by dark red triangle and yellow circle, respectively.</w:t>
      </w:r>
    </w:p>
    <w:p w14:paraId="4F6BC9DC" w14:textId="77777777" w:rsidR="00BE68E0" w:rsidRDefault="00BE68E0">
      <w:pPr>
        <w:spacing w:line="360" w:lineRule="auto"/>
        <w:rPr>
          <w:rFonts w:ascii="Times New Roman" w:hAnsi="Times New Roman" w:cs="Times New Roman"/>
          <w:b/>
          <w:bCs/>
          <w:color w:val="0070C0"/>
          <w:sz w:val="24"/>
          <w:szCs w:val="28"/>
        </w:rPr>
      </w:pPr>
    </w:p>
    <w:p w14:paraId="752BEA64" w14:textId="77777777" w:rsidR="00BE68E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DE3FFB3" wp14:editId="1ED547C7">
            <wp:extent cx="5274310" cy="6627495"/>
            <wp:effectExtent l="0" t="0" r="2540" b="1905"/>
            <wp:docPr id="929949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4904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BE6A1" w14:textId="77777777" w:rsidR="00BE68E0" w:rsidRDefault="00BE68E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BE68E0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43DF0" w14:textId="77777777" w:rsidR="00282474" w:rsidRDefault="00282474">
      <w:r>
        <w:separator/>
      </w:r>
    </w:p>
  </w:endnote>
  <w:endnote w:type="continuationSeparator" w:id="0">
    <w:p w14:paraId="5F069B5A" w14:textId="77777777" w:rsidR="00282474" w:rsidRDefault="0028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mbria"/>
    <w:charset w:val="00"/>
    <w:family w:val="roman"/>
    <w:pitch w:val="default"/>
  </w:font>
  <w:font w:name="Whitney-BookItalic">
    <w:altName w:val="Cambria"/>
    <w:charset w:val="00"/>
    <w:family w:val="roman"/>
    <w:pitch w:val="default"/>
  </w:font>
  <w:font w:name="STIXGeneral-Regular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8926191"/>
    </w:sdtPr>
    <w:sdtContent>
      <w:sdt>
        <w:sdtPr>
          <w:id w:val="1728636285"/>
        </w:sdtPr>
        <w:sdtContent>
          <w:p w14:paraId="7D0E98BD" w14:textId="77777777" w:rsidR="00BE68E0" w:rsidRDefault="0000000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068E3C" w14:textId="77777777" w:rsidR="00BE68E0" w:rsidRDefault="00BE68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1451C" w14:textId="77777777" w:rsidR="00282474" w:rsidRDefault="00282474">
      <w:r>
        <w:separator/>
      </w:r>
    </w:p>
  </w:footnote>
  <w:footnote w:type="continuationSeparator" w:id="0">
    <w:p w14:paraId="7CC827F0" w14:textId="77777777" w:rsidR="00282474" w:rsidRDefault="00282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bordersDoNotSurroundHeader/>
  <w:bordersDoNotSurroundFooter/>
  <w:hideSpellingErrors/>
  <w:hideGrammaticalErrors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F548B9"/>
    <w:rsid w:val="00003B18"/>
    <w:rsid w:val="000065D5"/>
    <w:rsid w:val="000078A1"/>
    <w:rsid w:val="00022C94"/>
    <w:rsid w:val="00024A69"/>
    <w:rsid w:val="0003169C"/>
    <w:rsid w:val="00031DD1"/>
    <w:rsid w:val="00043D3A"/>
    <w:rsid w:val="000448A9"/>
    <w:rsid w:val="0004593D"/>
    <w:rsid w:val="00050638"/>
    <w:rsid w:val="0005089F"/>
    <w:rsid w:val="00053DCE"/>
    <w:rsid w:val="00074B27"/>
    <w:rsid w:val="000759FA"/>
    <w:rsid w:val="00077772"/>
    <w:rsid w:val="00091002"/>
    <w:rsid w:val="00095437"/>
    <w:rsid w:val="000A2B08"/>
    <w:rsid w:val="000B2357"/>
    <w:rsid w:val="000B4B66"/>
    <w:rsid w:val="000C0301"/>
    <w:rsid w:val="000C4884"/>
    <w:rsid w:val="000E2B7D"/>
    <w:rsid w:val="000E3D10"/>
    <w:rsid w:val="000E532D"/>
    <w:rsid w:val="000F1556"/>
    <w:rsid w:val="00101AB9"/>
    <w:rsid w:val="001063C5"/>
    <w:rsid w:val="001075F6"/>
    <w:rsid w:val="0011039B"/>
    <w:rsid w:val="00113CCD"/>
    <w:rsid w:val="0012149B"/>
    <w:rsid w:val="001215ED"/>
    <w:rsid w:val="001236C2"/>
    <w:rsid w:val="001268C0"/>
    <w:rsid w:val="00126E21"/>
    <w:rsid w:val="0013272A"/>
    <w:rsid w:val="0013296D"/>
    <w:rsid w:val="00144E16"/>
    <w:rsid w:val="001451DE"/>
    <w:rsid w:val="0014775F"/>
    <w:rsid w:val="00151792"/>
    <w:rsid w:val="0015317E"/>
    <w:rsid w:val="00153B85"/>
    <w:rsid w:val="00163ADC"/>
    <w:rsid w:val="0016436B"/>
    <w:rsid w:val="00166806"/>
    <w:rsid w:val="00166822"/>
    <w:rsid w:val="00170971"/>
    <w:rsid w:val="001732A3"/>
    <w:rsid w:val="00176568"/>
    <w:rsid w:val="00181F05"/>
    <w:rsid w:val="00190BEC"/>
    <w:rsid w:val="001920BE"/>
    <w:rsid w:val="001A22EE"/>
    <w:rsid w:val="001A5A7F"/>
    <w:rsid w:val="001B0889"/>
    <w:rsid w:val="001B31A5"/>
    <w:rsid w:val="001B6E5B"/>
    <w:rsid w:val="001C0AA0"/>
    <w:rsid w:val="001C210A"/>
    <w:rsid w:val="001C2CA9"/>
    <w:rsid w:val="001C2E97"/>
    <w:rsid w:val="001D0E21"/>
    <w:rsid w:val="001D4735"/>
    <w:rsid w:val="001D5495"/>
    <w:rsid w:val="001E1B7A"/>
    <w:rsid w:val="001E31DC"/>
    <w:rsid w:val="001E37C1"/>
    <w:rsid w:val="0020425C"/>
    <w:rsid w:val="00205926"/>
    <w:rsid w:val="00235DF7"/>
    <w:rsid w:val="00236C8F"/>
    <w:rsid w:val="002422F8"/>
    <w:rsid w:val="00253665"/>
    <w:rsid w:val="00261AA7"/>
    <w:rsid w:val="0026620A"/>
    <w:rsid w:val="002766E0"/>
    <w:rsid w:val="002767FD"/>
    <w:rsid w:val="002774DF"/>
    <w:rsid w:val="00282474"/>
    <w:rsid w:val="002831D4"/>
    <w:rsid w:val="00287C63"/>
    <w:rsid w:val="002922F1"/>
    <w:rsid w:val="00292C14"/>
    <w:rsid w:val="0029403E"/>
    <w:rsid w:val="002953F1"/>
    <w:rsid w:val="002A3B19"/>
    <w:rsid w:val="002B4C0F"/>
    <w:rsid w:val="002E3732"/>
    <w:rsid w:val="002F561E"/>
    <w:rsid w:val="002F5CCC"/>
    <w:rsid w:val="002F6393"/>
    <w:rsid w:val="00302CC6"/>
    <w:rsid w:val="00313A26"/>
    <w:rsid w:val="00315CCF"/>
    <w:rsid w:val="00316961"/>
    <w:rsid w:val="00316C27"/>
    <w:rsid w:val="0032054A"/>
    <w:rsid w:val="0032111F"/>
    <w:rsid w:val="00323A67"/>
    <w:rsid w:val="00327DF8"/>
    <w:rsid w:val="00335628"/>
    <w:rsid w:val="00344490"/>
    <w:rsid w:val="0034545A"/>
    <w:rsid w:val="003547B4"/>
    <w:rsid w:val="0035651E"/>
    <w:rsid w:val="0036616E"/>
    <w:rsid w:val="00367753"/>
    <w:rsid w:val="00380893"/>
    <w:rsid w:val="00385E7D"/>
    <w:rsid w:val="003906B5"/>
    <w:rsid w:val="00392847"/>
    <w:rsid w:val="00394359"/>
    <w:rsid w:val="003A3857"/>
    <w:rsid w:val="003B0458"/>
    <w:rsid w:val="003B29C2"/>
    <w:rsid w:val="003B3DDA"/>
    <w:rsid w:val="003B46FC"/>
    <w:rsid w:val="003B65EC"/>
    <w:rsid w:val="003B68C1"/>
    <w:rsid w:val="003D0343"/>
    <w:rsid w:val="003D4A3F"/>
    <w:rsid w:val="003E2178"/>
    <w:rsid w:val="003F16F0"/>
    <w:rsid w:val="00400B54"/>
    <w:rsid w:val="00401EA0"/>
    <w:rsid w:val="0040592A"/>
    <w:rsid w:val="004133B9"/>
    <w:rsid w:val="00414133"/>
    <w:rsid w:val="0041466E"/>
    <w:rsid w:val="00417AFB"/>
    <w:rsid w:val="0042040D"/>
    <w:rsid w:val="004324AD"/>
    <w:rsid w:val="00437EE2"/>
    <w:rsid w:val="00440F7B"/>
    <w:rsid w:val="004411F4"/>
    <w:rsid w:val="00443597"/>
    <w:rsid w:val="00445A05"/>
    <w:rsid w:val="00446337"/>
    <w:rsid w:val="00456098"/>
    <w:rsid w:val="00457F87"/>
    <w:rsid w:val="00463466"/>
    <w:rsid w:val="00470008"/>
    <w:rsid w:val="00473040"/>
    <w:rsid w:val="004811B4"/>
    <w:rsid w:val="00482240"/>
    <w:rsid w:val="00482517"/>
    <w:rsid w:val="0049000D"/>
    <w:rsid w:val="004916EE"/>
    <w:rsid w:val="00495DC6"/>
    <w:rsid w:val="004A65BD"/>
    <w:rsid w:val="004A7F1C"/>
    <w:rsid w:val="004B0E5A"/>
    <w:rsid w:val="004B44B3"/>
    <w:rsid w:val="004C3ABA"/>
    <w:rsid w:val="004D18F4"/>
    <w:rsid w:val="004E13E9"/>
    <w:rsid w:val="004E1F74"/>
    <w:rsid w:val="004E613B"/>
    <w:rsid w:val="004F0181"/>
    <w:rsid w:val="004F1C31"/>
    <w:rsid w:val="004F2A90"/>
    <w:rsid w:val="00501FA0"/>
    <w:rsid w:val="00503634"/>
    <w:rsid w:val="00504F19"/>
    <w:rsid w:val="005119EC"/>
    <w:rsid w:val="00512763"/>
    <w:rsid w:val="00520FCF"/>
    <w:rsid w:val="00524461"/>
    <w:rsid w:val="005276C2"/>
    <w:rsid w:val="005310A3"/>
    <w:rsid w:val="005422F9"/>
    <w:rsid w:val="0054453E"/>
    <w:rsid w:val="0054709D"/>
    <w:rsid w:val="0055113B"/>
    <w:rsid w:val="00560369"/>
    <w:rsid w:val="00563AA6"/>
    <w:rsid w:val="00564715"/>
    <w:rsid w:val="0057099A"/>
    <w:rsid w:val="00581C23"/>
    <w:rsid w:val="005823A2"/>
    <w:rsid w:val="00583338"/>
    <w:rsid w:val="005927BF"/>
    <w:rsid w:val="00593009"/>
    <w:rsid w:val="00594022"/>
    <w:rsid w:val="00596796"/>
    <w:rsid w:val="005A4B06"/>
    <w:rsid w:val="005A673F"/>
    <w:rsid w:val="005B3A90"/>
    <w:rsid w:val="005C34AA"/>
    <w:rsid w:val="005C7CA4"/>
    <w:rsid w:val="005D0EDD"/>
    <w:rsid w:val="005D413C"/>
    <w:rsid w:val="005D45EA"/>
    <w:rsid w:val="005D5539"/>
    <w:rsid w:val="005E5F23"/>
    <w:rsid w:val="00600DC4"/>
    <w:rsid w:val="0060120D"/>
    <w:rsid w:val="00602D69"/>
    <w:rsid w:val="006043F0"/>
    <w:rsid w:val="00606F8D"/>
    <w:rsid w:val="00612B3B"/>
    <w:rsid w:val="006134A2"/>
    <w:rsid w:val="00616FA6"/>
    <w:rsid w:val="00623660"/>
    <w:rsid w:val="00630718"/>
    <w:rsid w:val="006366CA"/>
    <w:rsid w:val="00640338"/>
    <w:rsid w:val="00641427"/>
    <w:rsid w:val="00643CD6"/>
    <w:rsid w:val="006476C3"/>
    <w:rsid w:val="00650B39"/>
    <w:rsid w:val="0065119C"/>
    <w:rsid w:val="00660B89"/>
    <w:rsid w:val="0066161E"/>
    <w:rsid w:val="0066720E"/>
    <w:rsid w:val="006672FC"/>
    <w:rsid w:val="00674D92"/>
    <w:rsid w:val="00687D2D"/>
    <w:rsid w:val="006A15E9"/>
    <w:rsid w:val="006A4842"/>
    <w:rsid w:val="006B09CC"/>
    <w:rsid w:val="006B1ACF"/>
    <w:rsid w:val="006B3AA2"/>
    <w:rsid w:val="006C052E"/>
    <w:rsid w:val="006E065F"/>
    <w:rsid w:val="006E2213"/>
    <w:rsid w:val="0070279B"/>
    <w:rsid w:val="00714E08"/>
    <w:rsid w:val="00732909"/>
    <w:rsid w:val="0074160A"/>
    <w:rsid w:val="00744D65"/>
    <w:rsid w:val="0074582C"/>
    <w:rsid w:val="007458C6"/>
    <w:rsid w:val="00746E15"/>
    <w:rsid w:val="007475C3"/>
    <w:rsid w:val="00751C7B"/>
    <w:rsid w:val="0075244A"/>
    <w:rsid w:val="007539A3"/>
    <w:rsid w:val="00756F7A"/>
    <w:rsid w:val="00763F96"/>
    <w:rsid w:val="00764DEF"/>
    <w:rsid w:val="00765B12"/>
    <w:rsid w:val="00773AB3"/>
    <w:rsid w:val="00780249"/>
    <w:rsid w:val="007814E1"/>
    <w:rsid w:val="00792566"/>
    <w:rsid w:val="007A2CC6"/>
    <w:rsid w:val="007A5A70"/>
    <w:rsid w:val="007A5BF8"/>
    <w:rsid w:val="007B5E93"/>
    <w:rsid w:val="007C23EE"/>
    <w:rsid w:val="007C2FF3"/>
    <w:rsid w:val="007D1D28"/>
    <w:rsid w:val="007D2B58"/>
    <w:rsid w:val="007D6737"/>
    <w:rsid w:val="007E378D"/>
    <w:rsid w:val="007E5E2E"/>
    <w:rsid w:val="007E7E58"/>
    <w:rsid w:val="007F1BDA"/>
    <w:rsid w:val="007F2C44"/>
    <w:rsid w:val="007F38DE"/>
    <w:rsid w:val="00802667"/>
    <w:rsid w:val="008159E5"/>
    <w:rsid w:val="00816101"/>
    <w:rsid w:val="00820CD2"/>
    <w:rsid w:val="00825B38"/>
    <w:rsid w:val="008269FE"/>
    <w:rsid w:val="008276DC"/>
    <w:rsid w:val="00830C20"/>
    <w:rsid w:val="00833C50"/>
    <w:rsid w:val="00840B9B"/>
    <w:rsid w:val="00842496"/>
    <w:rsid w:val="0084391B"/>
    <w:rsid w:val="008467F6"/>
    <w:rsid w:val="008506FB"/>
    <w:rsid w:val="00851A5C"/>
    <w:rsid w:val="008528D2"/>
    <w:rsid w:val="00862487"/>
    <w:rsid w:val="008745DD"/>
    <w:rsid w:val="00883CA8"/>
    <w:rsid w:val="00884929"/>
    <w:rsid w:val="00885A62"/>
    <w:rsid w:val="00890FF4"/>
    <w:rsid w:val="008A13AE"/>
    <w:rsid w:val="008A2167"/>
    <w:rsid w:val="008A574E"/>
    <w:rsid w:val="008A6084"/>
    <w:rsid w:val="008A713B"/>
    <w:rsid w:val="008B32E9"/>
    <w:rsid w:val="008C0300"/>
    <w:rsid w:val="008C1099"/>
    <w:rsid w:val="008C1666"/>
    <w:rsid w:val="008C2128"/>
    <w:rsid w:val="008C60A8"/>
    <w:rsid w:val="008E36E3"/>
    <w:rsid w:val="008E3C24"/>
    <w:rsid w:val="008E4FCF"/>
    <w:rsid w:val="00903C8A"/>
    <w:rsid w:val="00904BF1"/>
    <w:rsid w:val="00905584"/>
    <w:rsid w:val="0091521A"/>
    <w:rsid w:val="0091619B"/>
    <w:rsid w:val="00926525"/>
    <w:rsid w:val="00927C21"/>
    <w:rsid w:val="0093172C"/>
    <w:rsid w:val="009345B0"/>
    <w:rsid w:val="009346E1"/>
    <w:rsid w:val="00953EFC"/>
    <w:rsid w:val="00954424"/>
    <w:rsid w:val="009657BD"/>
    <w:rsid w:val="0097056B"/>
    <w:rsid w:val="00972F44"/>
    <w:rsid w:val="009809FF"/>
    <w:rsid w:val="009826B3"/>
    <w:rsid w:val="009859A7"/>
    <w:rsid w:val="00991159"/>
    <w:rsid w:val="009932D0"/>
    <w:rsid w:val="009946D3"/>
    <w:rsid w:val="009A0D05"/>
    <w:rsid w:val="009B45DD"/>
    <w:rsid w:val="009C1B1A"/>
    <w:rsid w:val="009C4C55"/>
    <w:rsid w:val="009D70D8"/>
    <w:rsid w:val="009E1C85"/>
    <w:rsid w:val="009F0CBD"/>
    <w:rsid w:val="009F0DA3"/>
    <w:rsid w:val="009F61E8"/>
    <w:rsid w:val="00A05E77"/>
    <w:rsid w:val="00A22945"/>
    <w:rsid w:val="00A24588"/>
    <w:rsid w:val="00A33A9D"/>
    <w:rsid w:val="00A51C21"/>
    <w:rsid w:val="00A57C13"/>
    <w:rsid w:val="00A603A7"/>
    <w:rsid w:val="00A60980"/>
    <w:rsid w:val="00A611F9"/>
    <w:rsid w:val="00A62AB9"/>
    <w:rsid w:val="00A63E4B"/>
    <w:rsid w:val="00A70A47"/>
    <w:rsid w:val="00A7688D"/>
    <w:rsid w:val="00A76AF4"/>
    <w:rsid w:val="00A77A20"/>
    <w:rsid w:val="00A80EDB"/>
    <w:rsid w:val="00A85539"/>
    <w:rsid w:val="00A971B2"/>
    <w:rsid w:val="00AA01EC"/>
    <w:rsid w:val="00AA1976"/>
    <w:rsid w:val="00AA3494"/>
    <w:rsid w:val="00AB21D9"/>
    <w:rsid w:val="00AB3A76"/>
    <w:rsid w:val="00AC178D"/>
    <w:rsid w:val="00AC5759"/>
    <w:rsid w:val="00AC6137"/>
    <w:rsid w:val="00AD0269"/>
    <w:rsid w:val="00AD3DA7"/>
    <w:rsid w:val="00AD4467"/>
    <w:rsid w:val="00AE01A9"/>
    <w:rsid w:val="00AE3616"/>
    <w:rsid w:val="00AE45D8"/>
    <w:rsid w:val="00AF4474"/>
    <w:rsid w:val="00B04296"/>
    <w:rsid w:val="00B069C6"/>
    <w:rsid w:val="00B106B4"/>
    <w:rsid w:val="00B26E96"/>
    <w:rsid w:val="00B31DC4"/>
    <w:rsid w:val="00B354AA"/>
    <w:rsid w:val="00B40CF3"/>
    <w:rsid w:val="00B45626"/>
    <w:rsid w:val="00B47463"/>
    <w:rsid w:val="00B53C86"/>
    <w:rsid w:val="00B57BD7"/>
    <w:rsid w:val="00B71CD4"/>
    <w:rsid w:val="00B76E3A"/>
    <w:rsid w:val="00B8171C"/>
    <w:rsid w:val="00B8791C"/>
    <w:rsid w:val="00BB38B7"/>
    <w:rsid w:val="00BB77C2"/>
    <w:rsid w:val="00BB7B8F"/>
    <w:rsid w:val="00BC6295"/>
    <w:rsid w:val="00BC6DA9"/>
    <w:rsid w:val="00BD01CF"/>
    <w:rsid w:val="00BD37F6"/>
    <w:rsid w:val="00BD57F5"/>
    <w:rsid w:val="00BD5868"/>
    <w:rsid w:val="00BD794A"/>
    <w:rsid w:val="00BE2533"/>
    <w:rsid w:val="00BE3717"/>
    <w:rsid w:val="00BE3A3D"/>
    <w:rsid w:val="00BE50FC"/>
    <w:rsid w:val="00BE68E0"/>
    <w:rsid w:val="00BF2068"/>
    <w:rsid w:val="00C0169E"/>
    <w:rsid w:val="00C016B0"/>
    <w:rsid w:val="00C053F5"/>
    <w:rsid w:val="00C05923"/>
    <w:rsid w:val="00C07560"/>
    <w:rsid w:val="00C146D7"/>
    <w:rsid w:val="00C16D9C"/>
    <w:rsid w:val="00C17B26"/>
    <w:rsid w:val="00C2108F"/>
    <w:rsid w:val="00C23D2D"/>
    <w:rsid w:val="00C27BFE"/>
    <w:rsid w:val="00C41CD9"/>
    <w:rsid w:val="00C42D46"/>
    <w:rsid w:val="00C43B7D"/>
    <w:rsid w:val="00C520D1"/>
    <w:rsid w:val="00C67646"/>
    <w:rsid w:val="00C7221E"/>
    <w:rsid w:val="00C74F59"/>
    <w:rsid w:val="00C7612B"/>
    <w:rsid w:val="00C772FF"/>
    <w:rsid w:val="00C82F27"/>
    <w:rsid w:val="00C842B8"/>
    <w:rsid w:val="00C872C2"/>
    <w:rsid w:val="00C91C83"/>
    <w:rsid w:val="00C965DC"/>
    <w:rsid w:val="00C97411"/>
    <w:rsid w:val="00CA122D"/>
    <w:rsid w:val="00CA5D37"/>
    <w:rsid w:val="00CA7F02"/>
    <w:rsid w:val="00CB4B24"/>
    <w:rsid w:val="00CC2640"/>
    <w:rsid w:val="00CC37C6"/>
    <w:rsid w:val="00CC4449"/>
    <w:rsid w:val="00CC6153"/>
    <w:rsid w:val="00CD118F"/>
    <w:rsid w:val="00CD21C4"/>
    <w:rsid w:val="00CE2351"/>
    <w:rsid w:val="00CF3DFC"/>
    <w:rsid w:val="00D11580"/>
    <w:rsid w:val="00D27392"/>
    <w:rsid w:val="00D31B7E"/>
    <w:rsid w:val="00D32A13"/>
    <w:rsid w:val="00D35AA9"/>
    <w:rsid w:val="00D43D32"/>
    <w:rsid w:val="00D44DC2"/>
    <w:rsid w:val="00D5634E"/>
    <w:rsid w:val="00D60017"/>
    <w:rsid w:val="00D606F3"/>
    <w:rsid w:val="00D620C3"/>
    <w:rsid w:val="00D63BF3"/>
    <w:rsid w:val="00D70F95"/>
    <w:rsid w:val="00D773C0"/>
    <w:rsid w:val="00D818DB"/>
    <w:rsid w:val="00D82A65"/>
    <w:rsid w:val="00D93950"/>
    <w:rsid w:val="00D951E3"/>
    <w:rsid w:val="00D97E1E"/>
    <w:rsid w:val="00DA0BAF"/>
    <w:rsid w:val="00DA4382"/>
    <w:rsid w:val="00DB1076"/>
    <w:rsid w:val="00DB1C95"/>
    <w:rsid w:val="00DB5D8E"/>
    <w:rsid w:val="00DB6AE1"/>
    <w:rsid w:val="00DC0FC6"/>
    <w:rsid w:val="00DC4ECC"/>
    <w:rsid w:val="00DD29BF"/>
    <w:rsid w:val="00DE706C"/>
    <w:rsid w:val="00DF068C"/>
    <w:rsid w:val="00DF15C7"/>
    <w:rsid w:val="00E04B26"/>
    <w:rsid w:val="00E14E67"/>
    <w:rsid w:val="00E21209"/>
    <w:rsid w:val="00E2120C"/>
    <w:rsid w:val="00E24A71"/>
    <w:rsid w:val="00E26913"/>
    <w:rsid w:val="00E2691A"/>
    <w:rsid w:val="00E269AB"/>
    <w:rsid w:val="00E26C99"/>
    <w:rsid w:val="00E31F62"/>
    <w:rsid w:val="00E40C75"/>
    <w:rsid w:val="00E47EC7"/>
    <w:rsid w:val="00E53AF2"/>
    <w:rsid w:val="00E71459"/>
    <w:rsid w:val="00E76DF5"/>
    <w:rsid w:val="00E7702E"/>
    <w:rsid w:val="00E77769"/>
    <w:rsid w:val="00E8132F"/>
    <w:rsid w:val="00E86CB1"/>
    <w:rsid w:val="00E935FF"/>
    <w:rsid w:val="00E971A2"/>
    <w:rsid w:val="00EB6A48"/>
    <w:rsid w:val="00EB7FDC"/>
    <w:rsid w:val="00EC61F5"/>
    <w:rsid w:val="00ED1DDA"/>
    <w:rsid w:val="00ED397B"/>
    <w:rsid w:val="00ED4A45"/>
    <w:rsid w:val="00ED695F"/>
    <w:rsid w:val="00EE0DF6"/>
    <w:rsid w:val="00EE1D3D"/>
    <w:rsid w:val="00EE55E8"/>
    <w:rsid w:val="00EF35D3"/>
    <w:rsid w:val="00EF67C1"/>
    <w:rsid w:val="00EF745E"/>
    <w:rsid w:val="00EF7B89"/>
    <w:rsid w:val="00F00740"/>
    <w:rsid w:val="00F13190"/>
    <w:rsid w:val="00F15ECC"/>
    <w:rsid w:val="00F21096"/>
    <w:rsid w:val="00F22886"/>
    <w:rsid w:val="00F3648F"/>
    <w:rsid w:val="00F37E87"/>
    <w:rsid w:val="00F438A1"/>
    <w:rsid w:val="00F45C1A"/>
    <w:rsid w:val="00F54878"/>
    <w:rsid w:val="00F548B9"/>
    <w:rsid w:val="00F60A2A"/>
    <w:rsid w:val="00F63352"/>
    <w:rsid w:val="00F81460"/>
    <w:rsid w:val="00F93BD7"/>
    <w:rsid w:val="00FA0C2D"/>
    <w:rsid w:val="00FA2D5E"/>
    <w:rsid w:val="00FA3B4F"/>
    <w:rsid w:val="00FA5E2B"/>
    <w:rsid w:val="00FC00AE"/>
    <w:rsid w:val="00FC2810"/>
    <w:rsid w:val="00FC2E5B"/>
    <w:rsid w:val="00FD4572"/>
    <w:rsid w:val="00FD7926"/>
    <w:rsid w:val="00FE5BB3"/>
    <w:rsid w:val="00FE779A"/>
    <w:rsid w:val="00FF1E66"/>
    <w:rsid w:val="00FF6DDE"/>
    <w:rsid w:val="2B4B644C"/>
    <w:rsid w:val="3DA728E0"/>
    <w:rsid w:val="58532C63"/>
    <w:rsid w:val="626667BF"/>
    <w:rsid w:val="68872B8C"/>
    <w:rsid w:val="7780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F63378"/>
  <w15:docId w15:val="{9FFB8CD8-560F-4B16-A3D4-75961294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  <w:rPr>
      <w:szCs w:val="24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d">
    <w:name w:val="Title"/>
    <w:basedOn w:val="a"/>
    <w:next w:val="a"/>
    <w:link w:val="ae"/>
    <w:uiPriority w:val="10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f">
    <w:name w:val="annotation subject"/>
    <w:basedOn w:val="a3"/>
    <w:next w:val="a3"/>
    <w:link w:val="af0"/>
    <w:autoRedefine/>
    <w:uiPriority w:val="99"/>
    <w:semiHidden/>
    <w:unhideWhenUsed/>
    <w:qFormat/>
    <w:rPr>
      <w:b/>
      <w:bCs/>
      <w:szCs w:val="2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qFormat/>
    <w:rPr>
      <w:szCs w:val="24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szCs w:val="24"/>
    </w:rPr>
  </w:style>
  <w:style w:type="character" w:customStyle="1" w:styleId="ac">
    <w:name w:val="副标题 字符"/>
    <w:basedOn w:val="a0"/>
    <w:link w:val="ab"/>
    <w:uiPriority w:val="11"/>
    <w:qFormat/>
    <w:rPr>
      <w:b/>
      <w:bCs/>
      <w:kern w:val="28"/>
      <w:sz w:val="32"/>
      <w:szCs w:val="32"/>
    </w:rPr>
  </w:style>
  <w:style w:type="character" w:customStyle="1" w:styleId="orf">
    <w:name w:val="orf"/>
    <w:basedOn w:val="a0"/>
    <w:qFormat/>
  </w:style>
  <w:style w:type="character" w:customStyle="1" w:styleId="ae">
    <w:name w:val="标题 字符"/>
    <w:basedOn w:val="a0"/>
    <w:link w:val="ad"/>
    <w:autoRedefine/>
    <w:uiPriority w:val="10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character" w:customStyle="1" w:styleId="ffline">
    <w:name w:val="ff_line"/>
    <w:basedOn w:val="a0"/>
    <w:qFormat/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character" w:customStyle="1" w:styleId="Char">
    <w:name w:val="标题 Char"/>
    <w:autoRedefine/>
    <w:uiPriority w:val="10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f4">
    <w:name w:val="List Paragraph"/>
    <w:basedOn w:val="a"/>
    <w:autoRedefine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Paragraph">
    <w:name w:val="Paragraph"/>
    <w:basedOn w:val="a"/>
    <w:autoRedefine/>
    <w:qFormat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Head">
    <w:name w:val="Head"/>
    <w:basedOn w:val="a"/>
    <w:autoRedefine/>
    <w:qFormat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character" w:customStyle="1" w:styleId="fontstyle01">
    <w:name w:val="fontstyle01"/>
    <w:basedOn w:val="a0"/>
    <w:autoRedefine/>
    <w:qFormat/>
    <w:rPr>
      <w:rFonts w:ascii="Whitney-Book" w:hAnsi="Whitney-Book" w:hint="default"/>
      <w:color w:val="000000"/>
      <w:sz w:val="16"/>
      <w:szCs w:val="16"/>
    </w:rPr>
  </w:style>
  <w:style w:type="character" w:customStyle="1" w:styleId="fontstyle21">
    <w:name w:val="fontstyle21"/>
    <w:basedOn w:val="a0"/>
    <w:autoRedefine/>
    <w:qFormat/>
    <w:rPr>
      <w:rFonts w:ascii="Whitney-BookItalic" w:hAnsi="Whitney-BookItalic" w:hint="default"/>
      <w:i/>
      <w:iCs/>
      <w:color w:val="000000"/>
      <w:sz w:val="16"/>
      <w:szCs w:val="16"/>
    </w:rPr>
  </w:style>
  <w:style w:type="character" w:customStyle="1" w:styleId="fontstyle31">
    <w:name w:val="fontstyle31"/>
    <w:basedOn w:val="a0"/>
    <w:autoRedefine/>
    <w:qFormat/>
    <w:rPr>
      <w:rFonts w:ascii="STIXGeneral-Regular" w:hAnsi="STIXGeneral-Regular" w:hint="default"/>
      <w:color w:val="000000"/>
      <w:sz w:val="16"/>
      <w:szCs w:val="16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705</Words>
  <Characters>7481</Characters>
  <Application>Microsoft Office Word</Application>
  <DocSecurity>0</DocSecurity>
  <Lines>162</Lines>
  <Paragraphs>18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rain_duly@163.com</dc:creator>
  <cp:lastModifiedBy>澍 徐</cp:lastModifiedBy>
  <cp:revision>4</cp:revision>
  <cp:lastPrinted>2023-04-03T02:30:00Z</cp:lastPrinted>
  <dcterms:created xsi:type="dcterms:W3CDTF">2024-06-21T09:12:00Z</dcterms:created>
  <dcterms:modified xsi:type="dcterms:W3CDTF">2024-06-21T09:41:00Z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10b4044e477c00ac719e80d65eb32a51f8a9e9e4632ba8359ce60ca09cd73be8</vt:lpwstr>
  </property>
  <property fmtid="{D5CDD505-2E9C-101B-9397-08002B2CF9AE}" pid="3" name="KSOProductBuildVer">
    <vt:lpwstr>2052-12.1.0.16929</vt:lpwstr>
  </property>
  <property fmtid="{D5CDD505-2E9C-101B-9397-08002B2CF9AE}" pid="4" name="ICV">
    <vt:lpwstr>83B5F2EE7B6847CC926A407FE8D2DFFE_13</vt:lpwstr>
  </property>
</Properties>
</file>