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Review History</w:t>
      </w:r>
    </w:p>
    <w:p w14:paraId="00000002"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First round of review</w:t>
      </w:r>
    </w:p>
    <w:p w14:paraId="00000003"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Reviewer 1</w:t>
      </w:r>
    </w:p>
    <w:p w14:paraId="00000004" w14:textId="77777777" w:rsidR="00993E07" w:rsidRDefault="00993E07">
      <w:pPr>
        <w:spacing w:after="0" w:line="240" w:lineRule="auto"/>
        <w:rPr>
          <w:rFonts w:ascii="Times New Roman" w:eastAsia="Times New Roman" w:hAnsi="Times New Roman" w:cs="Times New Roman"/>
          <w:sz w:val="24"/>
          <w:szCs w:val="24"/>
        </w:rPr>
      </w:pPr>
    </w:p>
    <w:p w14:paraId="00000005" w14:textId="77777777" w:rsidR="00993E07" w:rsidRDefault="00245289">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33"/>
          <w:highlight w:val="white"/>
        </w:rPr>
        <w:t xml:space="preserve">No. </w:t>
      </w:r>
    </w:p>
    <w:p w14:paraId="00000007" w14:textId="77777777" w:rsidR="00993E07" w:rsidRDefault="00993E07">
      <w:pPr>
        <w:spacing w:after="0" w:line="240" w:lineRule="auto"/>
        <w:rPr>
          <w:rFonts w:ascii="Times New Roman" w:eastAsia="Times New Roman" w:hAnsi="Times New Roman" w:cs="Times New Roman"/>
          <w:sz w:val="24"/>
          <w:szCs w:val="24"/>
        </w:rPr>
      </w:pPr>
    </w:p>
    <w:p w14:paraId="00000008" w14:textId="77777777" w:rsidR="00993E07" w:rsidRDefault="00245289">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 xml:space="preserve">Were you able to directly test the methods? </w:t>
      </w:r>
    </w:p>
    <w:p w14:paraId="00000009"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33"/>
        </w:rPr>
        <w:t xml:space="preserve">No. </w:t>
      </w:r>
    </w:p>
    <w:p w14:paraId="0000000A" w14:textId="77777777" w:rsidR="00993E07" w:rsidRDefault="00993E07">
      <w:pPr>
        <w:spacing w:after="0" w:line="240" w:lineRule="auto"/>
        <w:rPr>
          <w:rFonts w:ascii="Times New Roman" w:eastAsia="Times New Roman" w:hAnsi="Times New Roman" w:cs="Times New Roman"/>
          <w:sz w:val="24"/>
          <w:szCs w:val="24"/>
        </w:rPr>
      </w:pPr>
    </w:p>
    <w:p w14:paraId="0000000B"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Comments to author:</w:t>
      </w:r>
    </w:p>
    <w:p w14:paraId="0000000C"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manuscript, the authors developed and tested a novel RNA</w:t>
      </w:r>
      <w:r>
        <w:rPr>
          <w:rFonts w:ascii="Times New Roman" w:eastAsia="Times New Roman" w:hAnsi="Times New Roman" w:cs="Times New Roman"/>
          <w:sz w:val="24"/>
          <w:szCs w:val="24"/>
        </w:rPr>
        <w:t>-interfering tool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to knockdown targeted mRNA, which was used to cleave mutant </w:t>
      </w:r>
      <w:proofErr w:type="spellStart"/>
      <w:r>
        <w:rPr>
          <w:rFonts w:ascii="Times New Roman" w:eastAsia="Times New Roman" w:hAnsi="Times New Roman" w:cs="Times New Roman"/>
          <w:sz w:val="24"/>
          <w:szCs w:val="24"/>
        </w:rPr>
        <w:t>APPswe</w:t>
      </w:r>
      <w:proofErr w:type="spellEnd"/>
      <w:r>
        <w:rPr>
          <w:rFonts w:ascii="Times New Roman" w:eastAsia="Times New Roman" w:hAnsi="Times New Roman" w:cs="Times New Roman"/>
          <w:sz w:val="24"/>
          <w:szCs w:val="24"/>
        </w:rPr>
        <w:t xml:space="preserve"> mRNA without altering the wild-type APP mRNA in Alzheimer's disease. The developed RNA knockdown tool is very interesting. However, the characterization of </w:t>
      </w:r>
      <w:r>
        <w:rPr>
          <w:rFonts w:ascii="Times New Roman" w:eastAsia="Times New Roman" w:hAnsi="Times New Roman" w:cs="Times New Roman"/>
          <w:sz w:val="24"/>
          <w:szCs w:val="24"/>
        </w:rPr>
        <w:t xml:space="preserve">this tool is insufficient, comparison between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and the CRISPR/Cas13 system is not described, some experiments are preliminary, and some critical controls are missing, all of which damages the conclusions.</w:t>
      </w:r>
    </w:p>
    <w:p w14:paraId="0000000D"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concerns:</w:t>
      </w:r>
    </w:p>
    <w:p w14:paraId="0000000E"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Figure 1 showed </w:t>
      </w:r>
      <w:r>
        <w:rPr>
          <w:rFonts w:ascii="Times New Roman" w:eastAsia="Times New Roman" w:hAnsi="Times New Roman" w:cs="Times New Roman"/>
          <w:sz w:val="24"/>
          <w:szCs w:val="24"/>
        </w:rPr>
        <w:t xml:space="preserve">the idea of the design of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Based on reference 5 (DOI: 10.1074/jbc.M002268200), the authors created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However, no in vitro characterization experiments were performed. Did the tool perform as expected?</w:t>
      </w:r>
    </w:p>
    <w:p w14:paraId="0000000F"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What was the</w:t>
      </w:r>
      <w:r>
        <w:rPr>
          <w:rFonts w:ascii="Times New Roman" w:eastAsia="Times New Roman" w:hAnsi="Times New Roman" w:cs="Times New Roman"/>
          <w:sz w:val="24"/>
          <w:szCs w:val="24"/>
        </w:rPr>
        <w:t xml:space="preserve"> cutting site? What were the critical amino acid residues for the cutting? Mutation at these critical residues could create "dead" mutant, which was an essential control for core experiments, in addition to the NT control.</w:t>
      </w:r>
    </w:p>
    <w:p w14:paraId="00000010"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What was the design principle </w:t>
      </w:r>
      <w:r>
        <w:rPr>
          <w:rFonts w:ascii="Times New Roman" w:eastAsia="Times New Roman" w:hAnsi="Times New Roman" w:cs="Times New Roman"/>
          <w:sz w:val="24"/>
          <w:szCs w:val="24"/>
        </w:rPr>
        <w:t xml:space="preserve">for the Stem-Loop on the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(the content or the length of the stem or the loop)? What is the basis for selecting the Stem-Loop version used in the manuscript? Did the length of the guide sequence affect RNA cleavage? What was the optimal length?</w:t>
      </w:r>
    </w:p>
    <w:p w14:paraId="00000011"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The </w:t>
      </w:r>
      <w:r>
        <w:rPr>
          <w:rFonts w:ascii="Times New Roman" w:eastAsia="Times New Roman" w:hAnsi="Times New Roman" w:cs="Times New Roman"/>
          <w:sz w:val="24"/>
          <w:szCs w:val="24"/>
        </w:rPr>
        <w:t xml:space="preserve">authors did similar experiments in their previous articles that reported the development of other new editing tools (Nucleic Acids Res 2020, Genome Biol 2016), why such experiments were missing in the current work, even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tool were claimed b</w:t>
      </w:r>
      <w:r>
        <w:rPr>
          <w:rFonts w:ascii="Times New Roman" w:eastAsia="Times New Roman" w:hAnsi="Times New Roman" w:cs="Times New Roman"/>
          <w:sz w:val="24"/>
          <w:szCs w:val="24"/>
        </w:rPr>
        <w:t>etter than the precious ones by the authors themselves?</w:t>
      </w:r>
    </w:p>
    <w:p w14:paraId="00000012"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Figure 2 showed "the feasibility of cleaving mRNA guided by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in mammalian cells". However, without any in vitro or in vivo "cleavage" assays, it was hard to claim RNA "cleavage" (cleava</w:t>
      </w:r>
      <w:r>
        <w:rPr>
          <w:rFonts w:ascii="Times New Roman" w:eastAsia="Times New Roman" w:hAnsi="Times New Roman" w:cs="Times New Roman"/>
          <w:sz w:val="24"/>
          <w:szCs w:val="24"/>
        </w:rPr>
        <w:t>ge dead mutant was a critical control to draw such a conclusion).</w:t>
      </w:r>
    </w:p>
    <w:p w14:paraId="00000013"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 EGFP reporter was transiently co-transfected with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and it is well known that many factors would affect the performance of transiently transfected reporter, an </w:t>
      </w:r>
      <w:r>
        <w:rPr>
          <w:rFonts w:ascii="Times New Roman" w:eastAsia="Times New Roman" w:hAnsi="Times New Roman" w:cs="Times New Roman"/>
          <w:sz w:val="24"/>
          <w:szCs w:val="24"/>
        </w:rPr>
        <w:t xml:space="preserve">EGFP stable cell line or knock-in cell line would lead to more reliable data. And even on the </w:t>
      </w:r>
      <w:r>
        <w:rPr>
          <w:rFonts w:ascii="Times New Roman" w:eastAsia="Times New Roman" w:hAnsi="Times New Roman" w:cs="Times New Roman"/>
          <w:sz w:val="24"/>
          <w:szCs w:val="24"/>
        </w:rPr>
        <w:lastRenderedPageBreak/>
        <w:t xml:space="preserve">stable reporter cell line, the plasmids encoding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should be traced by different colors of fluorescent proteins. FACS analyses should gated accordi</w:t>
      </w:r>
      <w:r>
        <w:rPr>
          <w:rFonts w:ascii="Times New Roman" w:eastAsia="Times New Roman" w:hAnsi="Times New Roman" w:cs="Times New Roman"/>
          <w:sz w:val="24"/>
          <w:szCs w:val="24"/>
        </w:rPr>
        <w:t>ng to these colors. In addition, as for the FACS data in Figure 2B and 2C, the EGFP-negative and the EGFP-positive populations were not clearly displayed.</w:t>
      </w:r>
    </w:p>
    <w:p w14:paraId="00000014"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The target site for </w:t>
      </w:r>
      <w:proofErr w:type="spellStart"/>
      <w:r>
        <w:rPr>
          <w:rFonts w:ascii="Times New Roman" w:eastAsia="Times New Roman" w:hAnsi="Times New Roman" w:cs="Times New Roman"/>
          <w:sz w:val="24"/>
          <w:szCs w:val="24"/>
        </w:rPr>
        <w:t>kras</w:t>
      </w:r>
      <w:proofErr w:type="spellEnd"/>
      <w:r>
        <w:rPr>
          <w:rFonts w:ascii="Times New Roman" w:eastAsia="Times New Roman" w:hAnsi="Times New Roman" w:cs="Times New Roman"/>
          <w:sz w:val="24"/>
          <w:szCs w:val="24"/>
        </w:rPr>
        <w:t xml:space="preserve"> mRNA T6 was "5'-AAAAAUGCAUUAUAAUGUAA-3'", therefore, the DNA encoding </w:t>
      </w:r>
      <w:proofErr w:type="spellStart"/>
      <w:r>
        <w:rPr>
          <w:rFonts w:ascii="Times New Roman" w:eastAsia="Times New Roman" w:hAnsi="Times New Roman" w:cs="Times New Roman"/>
          <w:sz w:val="24"/>
          <w:szCs w:val="24"/>
        </w:rPr>
        <w:t>hpR</w:t>
      </w:r>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should be the complementary and reverse sequence "5'-TTACATTATAATGCATTTTT-3'". As we know, 5-6 Ts is the stop signal for U6 promoter-driven transcription, thus the Stem-Loop in the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could not be </w:t>
      </w:r>
      <w:proofErr w:type="spellStart"/>
      <w:r>
        <w:rPr>
          <w:rFonts w:ascii="Times New Roman" w:eastAsia="Times New Roman" w:hAnsi="Times New Roman" w:cs="Times New Roman"/>
          <w:sz w:val="24"/>
          <w:szCs w:val="24"/>
        </w:rPr>
        <w:t>transcripted</w:t>
      </w:r>
      <w:proofErr w:type="spellEnd"/>
      <w:r>
        <w:rPr>
          <w:rFonts w:ascii="Times New Roman" w:eastAsia="Times New Roman" w:hAnsi="Times New Roman" w:cs="Times New Roman"/>
          <w:sz w:val="24"/>
          <w:szCs w:val="24"/>
        </w:rPr>
        <w:t>. However, KRAS T6 showed 56% knockdown e</w:t>
      </w:r>
      <w:r>
        <w:rPr>
          <w:rFonts w:ascii="Times New Roman" w:eastAsia="Times New Roman" w:hAnsi="Times New Roman" w:cs="Times New Roman"/>
          <w:sz w:val="24"/>
          <w:szCs w:val="24"/>
        </w:rPr>
        <w:t xml:space="preserve">fficiency. If this hold true, how did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work? This observation again required more detailed in vitro characterization of this system.</w:t>
      </w:r>
    </w:p>
    <w:p w14:paraId="00000015"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Similar to CRISPR system, the authors also tried to determine whether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required a PAM sequence as shown in Figure 2G. However, the number of target sequence was too small to draw a conclusion. Generally, a library contains suffici</w:t>
      </w:r>
      <w:r>
        <w:rPr>
          <w:rFonts w:ascii="Times New Roman" w:eastAsia="Times New Roman" w:hAnsi="Times New Roman" w:cs="Times New Roman"/>
          <w:sz w:val="24"/>
          <w:szCs w:val="24"/>
        </w:rPr>
        <w:t xml:space="preserve">ent sequence should be edited by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in vitro or in </w:t>
      </w:r>
      <w:proofErr w:type="gramStart"/>
      <w:r>
        <w:rPr>
          <w:rFonts w:ascii="Times New Roman" w:eastAsia="Times New Roman" w:hAnsi="Times New Roman" w:cs="Times New Roman"/>
          <w:sz w:val="24"/>
          <w:szCs w:val="24"/>
        </w:rPr>
        <w:t>E.coli</w:t>
      </w:r>
      <w:proofErr w:type="gramEnd"/>
      <w:r>
        <w:rPr>
          <w:rFonts w:ascii="Times New Roman" w:eastAsia="Times New Roman" w:hAnsi="Times New Roman" w:cs="Times New Roman"/>
          <w:sz w:val="24"/>
          <w:szCs w:val="24"/>
        </w:rPr>
        <w:t>, and deep-seq was performed before and after editing, the depleted sequences were the edited ones and PAM could be discovered in these sequences. Please refer to the articles fr</w:t>
      </w:r>
      <w:r>
        <w:rPr>
          <w:rFonts w:ascii="Times New Roman" w:eastAsia="Times New Roman" w:hAnsi="Times New Roman" w:cs="Times New Roman"/>
          <w:sz w:val="24"/>
          <w:szCs w:val="24"/>
        </w:rPr>
        <w:t xml:space="preserve">om Dr. Jennifer </w:t>
      </w:r>
      <w:proofErr w:type="spellStart"/>
      <w:r>
        <w:rPr>
          <w:rFonts w:ascii="Times New Roman" w:eastAsia="Times New Roman" w:hAnsi="Times New Roman" w:cs="Times New Roman"/>
          <w:sz w:val="24"/>
          <w:szCs w:val="24"/>
        </w:rPr>
        <w:t>Doudna</w:t>
      </w:r>
      <w:proofErr w:type="spellEnd"/>
      <w:r>
        <w:rPr>
          <w:rFonts w:ascii="Times New Roman" w:eastAsia="Times New Roman" w:hAnsi="Times New Roman" w:cs="Times New Roman"/>
          <w:sz w:val="24"/>
          <w:szCs w:val="24"/>
        </w:rPr>
        <w:t xml:space="preserve"> or Dr. Feng Zhang or other scientists.</w:t>
      </w:r>
    </w:p>
    <w:p w14:paraId="00000016"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Figure 3: since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was more similar to CRISPR/Cas13 than siRNA, the comparison between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and Cas13 should be shown. In Figure 3D and 3F, the inhibition of PP1B was</w:t>
      </w:r>
      <w:r>
        <w:rPr>
          <w:rFonts w:ascii="Times New Roman" w:eastAsia="Times New Roman" w:hAnsi="Times New Roman" w:cs="Times New Roman"/>
          <w:sz w:val="24"/>
          <w:szCs w:val="24"/>
        </w:rPr>
        <w:t xml:space="preserve"> less than 20%, which mean that there was only very weak inhibition even on the target gene. Therefore, it is reasonable that no off-target effect was observed. A more effective target site or FACS enrichment should be used in such assay.</w:t>
      </w:r>
    </w:p>
    <w:p w14:paraId="00000017"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Figure 4: It w</w:t>
      </w:r>
      <w:r>
        <w:rPr>
          <w:rFonts w:ascii="Times New Roman" w:eastAsia="Times New Roman" w:hAnsi="Times New Roman" w:cs="Times New Roman"/>
          <w:sz w:val="24"/>
          <w:szCs w:val="24"/>
        </w:rPr>
        <w:t xml:space="preserve">as clear that the target site of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contained the mutation. Is it the same for siRNA? Was the siRNA designed to target the mutation? No siRNA sequence information was found in the manuscript. If the mutation was not the target site of </w:t>
      </w:r>
      <w:r>
        <w:rPr>
          <w:rFonts w:ascii="Times New Roman" w:eastAsia="Times New Roman" w:hAnsi="Times New Roman" w:cs="Times New Roman"/>
          <w:sz w:val="24"/>
          <w:szCs w:val="24"/>
        </w:rPr>
        <w:t>siRNA, the siRNA control was useless in this experiment.</w:t>
      </w:r>
    </w:p>
    <w:p w14:paraId="00000018"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Figure 5: The AAV-</w:t>
      </w:r>
      <w:proofErr w:type="spellStart"/>
      <w:r>
        <w:rPr>
          <w:rFonts w:ascii="Times New Roman" w:eastAsia="Times New Roman" w:hAnsi="Times New Roman" w:cs="Times New Roman"/>
          <w:sz w:val="24"/>
          <w:szCs w:val="24"/>
        </w:rPr>
        <w:t>TagTtH</w:t>
      </w:r>
      <w:proofErr w:type="spellEnd"/>
      <w:r>
        <w:rPr>
          <w:rFonts w:ascii="Times New Roman" w:eastAsia="Times New Roman" w:hAnsi="Times New Roman" w:cs="Times New Roman"/>
          <w:sz w:val="24"/>
          <w:szCs w:val="24"/>
        </w:rPr>
        <w:t>-NT control should be included to exclude the effect of injection procedure, AAV virus particle and other factors. This was an essential control.</w:t>
      </w:r>
    </w:p>
    <w:p w14:paraId="00000019"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Figure 6: Combination t</w:t>
      </w:r>
      <w:r>
        <w:rPr>
          <w:rFonts w:ascii="Times New Roman" w:eastAsia="Times New Roman" w:hAnsi="Times New Roman" w:cs="Times New Roman"/>
          <w:sz w:val="24"/>
          <w:szCs w:val="24"/>
        </w:rPr>
        <w:t xml:space="preserve">herapy is a good choice for many diseases, but not for all. The data showed that AAV-TagTtH-T-APOE2 performed better than </w:t>
      </w:r>
      <w:proofErr w:type="spellStart"/>
      <w:r>
        <w:rPr>
          <w:rFonts w:ascii="Times New Roman" w:eastAsia="Times New Roman" w:hAnsi="Times New Roman" w:cs="Times New Roman"/>
          <w:sz w:val="24"/>
          <w:szCs w:val="24"/>
        </w:rPr>
        <w:t>TagTtH</w:t>
      </w:r>
      <w:proofErr w:type="spellEnd"/>
      <w:r>
        <w:rPr>
          <w:rFonts w:ascii="Times New Roman" w:eastAsia="Times New Roman" w:hAnsi="Times New Roman" w:cs="Times New Roman"/>
          <w:sz w:val="24"/>
          <w:szCs w:val="24"/>
        </w:rPr>
        <w:t>-T. How about APOE2 alone? Was AAV-TagTtH-T-APOE2 better than APOE2 alone? Or were they equally effective? If AAV-TagTtH-T-APOE2</w:t>
      </w:r>
      <w:r>
        <w:rPr>
          <w:rFonts w:ascii="Times New Roman" w:eastAsia="Times New Roman" w:hAnsi="Times New Roman" w:cs="Times New Roman"/>
          <w:sz w:val="24"/>
          <w:szCs w:val="24"/>
        </w:rPr>
        <w:t xml:space="preserve"> was not better than APOE2 alone, there was no need for combination therapy. The control AAV-APOE2 alone was missing.</w:t>
      </w:r>
    </w:p>
    <w:p w14:paraId="0000001A"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Minor points:</w:t>
      </w:r>
    </w:p>
    <w:p w14:paraId="0000001B"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What was the function of "GAAACACCG" sequence in the U6-driven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plasmid? "gagggcctatttcccatgattccttcatatttgcatatacga</w:t>
      </w:r>
      <w:r>
        <w:rPr>
          <w:rFonts w:ascii="Times New Roman" w:eastAsia="Times New Roman" w:hAnsi="Times New Roman" w:cs="Times New Roman"/>
          <w:sz w:val="24"/>
          <w:szCs w:val="24"/>
        </w:rPr>
        <w:t>tacaaggctgttagagagataattggaattaatttgactgtaaacacaaagatattagtacaaaatacgtgacgtagaaagtaataatttcttgggtagtttgcagttttaaaattatgttttaaaatggactatcatatgcttaccgtaacttgaaagtatttcgatttcttggctttatatatcttgtggaaaggacGAAACACCGNNNNNNNNNNNNNNNNNNNNAAAGTCGGCCGAAAGGCCGACTTTTTTA</w:t>
      </w:r>
      <w:r>
        <w:rPr>
          <w:rFonts w:ascii="Times New Roman" w:eastAsia="Times New Roman" w:hAnsi="Times New Roman" w:cs="Times New Roman"/>
          <w:sz w:val="24"/>
          <w:szCs w:val="24"/>
        </w:rPr>
        <w:t>GCT"</w:t>
      </w:r>
    </w:p>
    <w:p w14:paraId="0000001C"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In Figure1A, what is the functional role of each domain? Please label the functions of each domain.</w:t>
      </w:r>
    </w:p>
    <w:p w14:paraId="0000001D"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In Fig.4E</w:t>
      </w:r>
      <w:r>
        <w:rPr>
          <w:rFonts w:ascii="MS Mincho" w:eastAsia="MS Mincho" w:hAnsi="MS Mincho" w:cs="MS Mincho"/>
          <w:sz w:val="24"/>
          <w:szCs w:val="24"/>
        </w:rPr>
        <w:t>，</w:t>
      </w:r>
      <w:r>
        <w:rPr>
          <w:rFonts w:ascii="Times New Roman" w:eastAsia="Times New Roman" w:hAnsi="Times New Roman" w:cs="Times New Roman"/>
          <w:sz w:val="24"/>
          <w:szCs w:val="24"/>
        </w:rPr>
        <w:t xml:space="preserve">why were the protein levels of </w:t>
      </w:r>
      <w:proofErr w:type="spellStart"/>
      <w:r>
        <w:rPr>
          <w:rFonts w:ascii="Times New Roman" w:eastAsia="Times New Roman" w:hAnsi="Times New Roman" w:cs="Times New Roman"/>
          <w:sz w:val="24"/>
          <w:szCs w:val="24"/>
        </w:rPr>
        <w:t>APPwt</w:t>
      </w:r>
      <w:proofErr w:type="spellEnd"/>
      <w:r>
        <w:rPr>
          <w:rFonts w:ascii="Times New Roman" w:eastAsia="Times New Roman" w:hAnsi="Times New Roman" w:cs="Times New Roman"/>
          <w:sz w:val="24"/>
          <w:szCs w:val="24"/>
        </w:rPr>
        <w:t xml:space="preserve"> not equal between the NT targeting groups.</w:t>
      </w:r>
    </w:p>
    <w:p w14:paraId="0000001E" w14:textId="77777777" w:rsidR="00993E07" w:rsidRDefault="00245289">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In Figure 6 G-K, please label the X-axis groups.</w:t>
      </w:r>
    </w:p>
    <w:p w14:paraId="0000001F" w14:textId="77777777" w:rsidR="00993E07" w:rsidRDefault="00993E07">
      <w:pPr>
        <w:spacing w:after="0" w:line="240" w:lineRule="auto"/>
        <w:rPr>
          <w:rFonts w:ascii="Times New Roman" w:eastAsia="Times New Roman" w:hAnsi="Times New Roman" w:cs="Times New Roman"/>
          <w:b/>
          <w:color w:val="000000"/>
        </w:rPr>
      </w:pPr>
    </w:p>
    <w:p w14:paraId="00000020" w14:textId="77777777" w:rsidR="00993E07" w:rsidRDefault="00245289">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21" w14:textId="77777777" w:rsidR="00993E07" w:rsidRDefault="00993E07">
      <w:pPr>
        <w:spacing w:after="0" w:line="240" w:lineRule="auto"/>
        <w:rPr>
          <w:rFonts w:ascii="Times New Roman" w:eastAsia="Times New Roman" w:hAnsi="Times New Roman" w:cs="Times New Roman"/>
          <w:b/>
        </w:rPr>
      </w:pPr>
    </w:p>
    <w:p w14:paraId="00000022" w14:textId="77777777" w:rsidR="00993E07" w:rsidRDefault="00245289">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w:t>
      </w:r>
      <w:r>
        <w:rPr>
          <w:rFonts w:ascii="Times New Roman" w:eastAsia="Times New Roman" w:hAnsi="Times New Roman" w:cs="Times New Roman"/>
          <w:b/>
          <w:color w:val="000033"/>
          <w:highlight w:val="white"/>
        </w:rPr>
        <w:t xml:space="preserve">ed? </w:t>
      </w:r>
    </w:p>
    <w:p w14:paraId="00000023"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33"/>
          <w:highlight w:val="white"/>
        </w:rPr>
        <w:t xml:space="preserve">Yes. </w:t>
      </w:r>
    </w:p>
    <w:p w14:paraId="00000024" w14:textId="77777777" w:rsidR="00993E07" w:rsidRDefault="00993E07">
      <w:pPr>
        <w:spacing w:after="0" w:line="240" w:lineRule="auto"/>
        <w:rPr>
          <w:rFonts w:ascii="Times New Roman" w:eastAsia="Times New Roman" w:hAnsi="Times New Roman" w:cs="Times New Roman"/>
          <w:sz w:val="24"/>
          <w:szCs w:val="24"/>
        </w:rPr>
      </w:pPr>
    </w:p>
    <w:p w14:paraId="00000025" w14:textId="77777777" w:rsidR="00993E07" w:rsidRDefault="00245289">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 xml:space="preserve">Were you able to directly test the methods? </w:t>
      </w:r>
    </w:p>
    <w:p w14:paraId="00000026"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33"/>
        </w:rPr>
        <w:t xml:space="preserve">Yes. </w:t>
      </w:r>
    </w:p>
    <w:p w14:paraId="00000027" w14:textId="77777777" w:rsidR="00993E07" w:rsidRDefault="00993E07">
      <w:pPr>
        <w:spacing w:after="0" w:line="240" w:lineRule="auto"/>
        <w:rPr>
          <w:rFonts w:ascii="Times New Roman" w:eastAsia="Times New Roman" w:hAnsi="Times New Roman" w:cs="Times New Roman"/>
          <w:sz w:val="24"/>
          <w:szCs w:val="24"/>
        </w:rPr>
      </w:pPr>
    </w:p>
    <w:p w14:paraId="00000028"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Comments to author:</w:t>
      </w:r>
    </w:p>
    <w:p w14:paraId="00000029"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introduces a potentially impactful approach in pathogenic allele silencing, proposing a novel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 aimed at targeting specific mRNA for knockdown, with particular attention to addressing the </w:t>
      </w:r>
      <w:proofErr w:type="spellStart"/>
      <w:r>
        <w:rPr>
          <w:rFonts w:ascii="Times New Roman" w:eastAsia="Times New Roman" w:hAnsi="Times New Roman" w:cs="Times New Roman"/>
          <w:sz w:val="24"/>
          <w:szCs w:val="24"/>
        </w:rPr>
        <w:t>APPswe</w:t>
      </w:r>
      <w:proofErr w:type="spellEnd"/>
      <w:r>
        <w:rPr>
          <w:rFonts w:ascii="Times New Roman" w:eastAsia="Times New Roman" w:hAnsi="Times New Roman" w:cs="Times New Roman"/>
          <w:sz w:val="24"/>
          <w:szCs w:val="24"/>
        </w:rPr>
        <w:t xml:space="preserve"> mutation implicated in Familial </w:t>
      </w:r>
      <w:r>
        <w:rPr>
          <w:rFonts w:ascii="Times New Roman" w:eastAsia="Times New Roman" w:hAnsi="Times New Roman" w:cs="Times New Roman"/>
          <w:sz w:val="24"/>
          <w:szCs w:val="24"/>
        </w:rPr>
        <w:t>Alzheimer's Disease (FAD). This approach seeks to navigate the challenging terrain of providing specificity in RNA knockdown, to mitigate off-target effects that could exacerbate disease pathology.</w:t>
      </w:r>
    </w:p>
    <w:p w14:paraId="0000002A" w14:textId="77777777" w:rsidR="00993E07" w:rsidRDefault="00993E07">
      <w:pPr>
        <w:spacing w:after="0" w:line="240" w:lineRule="auto"/>
        <w:rPr>
          <w:rFonts w:ascii="Times New Roman" w:eastAsia="Times New Roman" w:hAnsi="Times New Roman" w:cs="Times New Roman"/>
          <w:sz w:val="24"/>
          <w:szCs w:val="24"/>
        </w:rPr>
      </w:pPr>
    </w:p>
    <w:p w14:paraId="0000002B"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Comments:</w:t>
      </w:r>
    </w:p>
    <w:p w14:paraId="0000002C" w14:textId="77777777" w:rsidR="00993E07" w:rsidRDefault="00993E07">
      <w:pPr>
        <w:spacing w:after="0" w:line="240" w:lineRule="auto"/>
        <w:rPr>
          <w:rFonts w:ascii="Times New Roman" w:eastAsia="Times New Roman" w:hAnsi="Times New Roman" w:cs="Times New Roman"/>
          <w:sz w:val="24"/>
          <w:szCs w:val="24"/>
        </w:rPr>
      </w:pPr>
    </w:p>
    <w:p w14:paraId="0000002D"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1.More detailed insight into how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 works would enhance the abstract. A brief explanation of how it achieves the high specificity and avoids off-target effects, even in a succinct manner, would be insightful.</w:t>
      </w:r>
    </w:p>
    <w:p w14:paraId="0000002E" w14:textId="77777777" w:rsidR="00993E07" w:rsidRDefault="00993E07">
      <w:pPr>
        <w:spacing w:after="0" w:line="240" w:lineRule="auto"/>
        <w:rPr>
          <w:rFonts w:ascii="Times New Roman" w:eastAsia="Times New Roman" w:hAnsi="Times New Roman" w:cs="Times New Roman"/>
          <w:sz w:val="24"/>
          <w:szCs w:val="24"/>
        </w:rPr>
      </w:pPr>
    </w:p>
    <w:p w14:paraId="0000002F"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The description about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design demands further explanat</w:t>
      </w:r>
      <w:r>
        <w:rPr>
          <w:rFonts w:ascii="Times New Roman" w:eastAsia="Times New Roman" w:hAnsi="Times New Roman" w:cs="Times New Roman"/>
          <w:sz w:val="24"/>
          <w:szCs w:val="24"/>
        </w:rPr>
        <w:t>ion and discussion regarding its feasibility. More elaboration is needed on why this particular design is considered viable and whether potential off-target effects have been contemplated. Additional theoretical or prior research is needed to support the a</w:t>
      </w:r>
      <w:r>
        <w:rPr>
          <w:rFonts w:ascii="Times New Roman" w:eastAsia="Times New Roman" w:hAnsi="Times New Roman" w:cs="Times New Roman"/>
          <w:sz w:val="24"/>
          <w:szCs w:val="24"/>
        </w:rPr>
        <w:t xml:space="preserve">ssumptions about the interaction between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and its RNA helicase activity. Additional exploration into the mechanism of action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tool is warranted. In-depth insight into how the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interact at a molecular level</w:t>
      </w:r>
      <w:r>
        <w:rPr>
          <w:rFonts w:ascii="Times New Roman" w:eastAsia="Times New Roman" w:hAnsi="Times New Roman" w:cs="Times New Roman"/>
          <w:sz w:val="24"/>
          <w:szCs w:val="24"/>
        </w:rPr>
        <w:t xml:space="preserve"> to cleave target mRNA could provide valuable data and strengthen the findings.</w:t>
      </w:r>
    </w:p>
    <w:p w14:paraId="00000030" w14:textId="77777777" w:rsidR="00993E07" w:rsidRDefault="00993E07">
      <w:pPr>
        <w:spacing w:after="0" w:line="240" w:lineRule="auto"/>
        <w:rPr>
          <w:rFonts w:ascii="Times New Roman" w:eastAsia="Times New Roman" w:hAnsi="Times New Roman" w:cs="Times New Roman"/>
          <w:sz w:val="24"/>
          <w:szCs w:val="24"/>
        </w:rPr>
      </w:pPr>
    </w:p>
    <w:p w14:paraId="00000031"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The manuscript could discuss potential applications and limitations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 in a broader biological or therapeutic context. Specific scenarios where this</w:t>
      </w:r>
      <w:r>
        <w:rPr>
          <w:rFonts w:ascii="Times New Roman" w:eastAsia="Times New Roman" w:hAnsi="Times New Roman" w:cs="Times New Roman"/>
          <w:sz w:val="24"/>
          <w:szCs w:val="24"/>
        </w:rPr>
        <w:t xml:space="preserve"> tool may be particularly useful or faced with challenges should be examined.</w:t>
      </w:r>
    </w:p>
    <w:p w14:paraId="00000032" w14:textId="77777777" w:rsidR="00993E07" w:rsidRDefault="00993E07">
      <w:pPr>
        <w:spacing w:after="0" w:line="240" w:lineRule="auto"/>
        <w:rPr>
          <w:rFonts w:ascii="Times New Roman" w:eastAsia="Times New Roman" w:hAnsi="Times New Roman" w:cs="Times New Roman"/>
          <w:sz w:val="24"/>
          <w:szCs w:val="24"/>
        </w:rPr>
      </w:pPr>
    </w:p>
    <w:p w14:paraId="00000033"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More insight into the possible off-target effects and an analysis of cell viability post-transfection should be incorporated to gauge the safety and utility of the tool in bo</w:t>
      </w:r>
      <w:r>
        <w:rPr>
          <w:rFonts w:ascii="Times New Roman" w:eastAsia="Times New Roman" w:hAnsi="Times New Roman" w:cs="Times New Roman"/>
          <w:sz w:val="24"/>
          <w:szCs w:val="24"/>
        </w:rPr>
        <w:t xml:space="preserve">th research and potential therapeutic applications. While the lack of sequence preference might be an advantage, further investigations into whether this leads to any unintended off-target effects or variations in efficiency depending on the mRNA sequence </w:t>
      </w:r>
      <w:r>
        <w:rPr>
          <w:rFonts w:ascii="Times New Roman" w:eastAsia="Times New Roman" w:hAnsi="Times New Roman" w:cs="Times New Roman"/>
          <w:sz w:val="24"/>
          <w:szCs w:val="24"/>
        </w:rPr>
        <w:t>would add a layer of depth to the findings.</w:t>
      </w:r>
    </w:p>
    <w:p w14:paraId="00000034" w14:textId="77777777" w:rsidR="00993E07" w:rsidRDefault="00993E07">
      <w:pPr>
        <w:spacing w:after="0" w:line="240" w:lineRule="auto"/>
        <w:rPr>
          <w:rFonts w:ascii="Times New Roman" w:eastAsia="Times New Roman" w:hAnsi="Times New Roman" w:cs="Times New Roman"/>
          <w:sz w:val="24"/>
          <w:szCs w:val="24"/>
        </w:rPr>
      </w:pPr>
    </w:p>
    <w:p w14:paraId="00000035"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Consider discussing the reproducibility of the results across different experiments and, if possible, integrating experiments across various cell types to display the robustness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w:t>
      </w:r>
    </w:p>
    <w:p w14:paraId="00000036" w14:textId="77777777" w:rsidR="00993E07" w:rsidRDefault="00993E07">
      <w:pPr>
        <w:spacing w:after="0" w:line="240" w:lineRule="auto"/>
        <w:rPr>
          <w:rFonts w:ascii="Times New Roman" w:eastAsia="Times New Roman" w:hAnsi="Times New Roman" w:cs="Times New Roman"/>
          <w:sz w:val="24"/>
          <w:szCs w:val="24"/>
        </w:rPr>
      </w:pPr>
    </w:p>
    <w:p w14:paraId="00000037"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Summarize findings, limitations, and future directions, framing the results in a wider context and highlighting potential steps for future research and application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w:t>
      </w:r>
    </w:p>
    <w:p w14:paraId="00000039" w14:textId="77777777" w:rsidR="00993E07" w:rsidRDefault="00993E07">
      <w:pPr>
        <w:spacing w:after="200" w:line="240" w:lineRule="auto"/>
        <w:rPr>
          <w:rFonts w:ascii="Times New Roman" w:eastAsia="Times New Roman" w:hAnsi="Times New Roman" w:cs="Times New Roman"/>
          <w:b/>
          <w:color w:val="000000"/>
        </w:rPr>
      </w:pPr>
    </w:p>
    <w:p w14:paraId="0000003A"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Authors Response</w:t>
      </w:r>
    </w:p>
    <w:p w14:paraId="0000003B"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Point-by-point responses to the reviewers’</w:t>
      </w:r>
      <w:r>
        <w:rPr>
          <w:rFonts w:ascii="Times New Roman" w:eastAsia="Times New Roman" w:hAnsi="Times New Roman" w:cs="Times New Roman"/>
          <w:b/>
          <w:color w:val="000000"/>
        </w:rPr>
        <w:t xml:space="preserve"> comments: </w:t>
      </w:r>
    </w:p>
    <w:p w14:paraId="0000003C" w14:textId="77777777" w:rsidR="00993E07" w:rsidRDefault="00245289">
      <w:pPr>
        <w:spacing w:after="120" w:line="240" w:lineRule="auto"/>
        <w:jc w:val="both"/>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Response to Comments of Referee #1</w:t>
      </w:r>
    </w:p>
    <w:p w14:paraId="0000003D"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Q1: Figure 1 showed the idea of the design of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Based on reference 5 (DOI: 10.1074/jbc.M002268200), the authors created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However, no </w:t>
      </w:r>
      <w:r>
        <w:rPr>
          <w:rFonts w:ascii="Times New Roman" w:eastAsia="Times New Roman" w:hAnsi="Times New Roman" w:cs="Times New Roman"/>
          <w:i/>
          <w:sz w:val="24"/>
          <w:szCs w:val="24"/>
        </w:rPr>
        <w:t>in vitro</w:t>
      </w:r>
      <w:r>
        <w:rPr>
          <w:rFonts w:ascii="Times New Roman" w:eastAsia="Times New Roman" w:hAnsi="Times New Roman" w:cs="Times New Roman"/>
          <w:sz w:val="24"/>
          <w:szCs w:val="24"/>
        </w:rPr>
        <w:t xml:space="preserve"> characterization expe</w:t>
      </w:r>
      <w:r>
        <w:rPr>
          <w:rFonts w:ascii="Times New Roman" w:eastAsia="Times New Roman" w:hAnsi="Times New Roman" w:cs="Times New Roman"/>
          <w:sz w:val="24"/>
          <w:szCs w:val="24"/>
        </w:rPr>
        <w:t xml:space="preserve">riments were performed. Did the tool perform as expected? </w:t>
      </w:r>
    </w:p>
    <w:p w14:paraId="0000003E" w14:textId="77777777" w:rsidR="00993E07" w:rsidRDefault="00245289">
      <w:pPr>
        <w:spacing w:after="12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70C0"/>
          <w:sz w:val="24"/>
          <w:szCs w:val="24"/>
        </w:rPr>
        <w:t xml:space="preserve">We thank the reviewer for the instructive suggestion on our manuscript. As you suggested, we are aware of this problem and have added the in vitro characterization in the revision. As results in revised Fig. 1 showed, the purified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protein guided by </w:t>
      </w:r>
      <w:r>
        <w:rPr>
          <w:rFonts w:ascii="Times New Roman" w:eastAsia="Times New Roman" w:hAnsi="Times New Roman" w:cs="Times New Roman"/>
          <w:i/>
          <w:color w:val="0070C0"/>
          <w:sz w:val="24"/>
          <w:szCs w:val="24"/>
        </w:rPr>
        <w:t xml:space="preserve">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successfully catalyzes the cleavage of RNA targets.</w:t>
      </w:r>
    </w:p>
    <w:p w14:paraId="0000003F"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What was the cutting site? What were the critical amino acid residues for the cutting? Mutation at these critical residues could create "dead" mutant, which was an essential control for core </w:t>
      </w:r>
      <w:r>
        <w:rPr>
          <w:rFonts w:ascii="Times New Roman" w:eastAsia="Times New Roman" w:hAnsi="Times New Roman" w:cs="Times New Roman"/>
          <w:sz w:val="24"/>
          <w:szCs w:val="24"/>
        </w:rPr>
        <w:t xml:space="preserve">experiments, in addition to the NT control. </w:t>
      </w:r>
    </w:p>
    <w:p w14:paraId="00000040" w14:textId="77777777" w:rsidR="00993E07" w:rsidRDefault="00245289">
      <w:pPr>
        <w:spacing w:after="12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70C0"/>
          <w:sz w:val="24"/>
          <w:szCs w:val="24"/>
        </w:rPr>
        <w:t xml:space="preserve">(1) To identify the cutting sites, we labeled the 5'-end and 3'-end of targeted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with FAM, respectively, and designed three </w:t>
      </w:r>
      <w:proofErr w:type="spellStart"/>
      <w:r>
        <w:rPr>
          <w:rFonts w:ascii="Times New Roman" w:eastAsia="Times New Roman" w:hAnsi="Times New Roman" w:cs="Times New Roman"/>
          <w:i/>
          <w:color w:val="0070C0"/>
          <w:sz w:val="24"/>
          <w:szCs w:val="24"/>
        </w:rPr>
        <w:t>hpRNAs</w:t>
      </w:r>
      <w:proofErr w:type="spellEnd"/>
      <w:r>
        <w:rPr>
          <w:rFonts w:ascii="Times New Roman" w:eastAsia="Times New Roman" w:hAnsi="Times New Roman" w:cs="Times New Roman"/>
          <w:i/>
          <w:color w:val="0070C0"/>
          <w:sz w:val="24"/>
          <w:szCs w:val="24"/>
        </w:rPr>
        <w:t xml:space="preserve"> locating different positions shifted from 3' to 5' in sequence (p</w:t>
      </w:r>
      <w:r>
        <w:rPr>
          <w:rFonts w:ascii="Times New Roman" w:eastAsia="Times New Roman" w:hAnsi="Times New Roman" w:cs="Times New Roman"/>
          <w:i/>
          <w:color w:val="0070C0"/>
          <w:sz w:val="24"/>
          <w:szCs w:val="24"/>
        </w:rPr>
        <w:t xml:space="preserve">lease see in revised Fig. 1F). It was observed that the cleavage products of the 5'-end labeled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decreased from large to small (about 20-nt, 14-nt, 11-nt in sequence), while the cleavage products of the 3'-end labeled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increased from small to lar</w:t>
      </w:r>
      <w:r>
        <w:rPr>
          <w:rFonts w:ascii="Times New Roman" w:eastAsia="Times New Roman" w:hAnsi="Times New Roman" w:cs="Times New Roman"/>
          <w:i/>
          <w:color w:val="0070C0"/>
          <w:sz w:val="24"/>
          <w:szCs w:val="24"/>
        </w:rPr>
        <w:t xml:space="preserve">ge (about 19-nt, 25-nt, 28-nt in sequence). As a result, we inferred that the cutting site falls near the 5' end of the probe-target duplexes region (please see in revised Fig. 1F). (2) According to the literature (Ma et al., 2000, PMID: 10827184; Shen et </w:t>
      </w:r>
      <w:r>
        <w:rPr>
          <w:rFonts w:ascii="Times New Roman" w:eastAsia="Times New Roman" w:hAnsi="Times New Roman" w:cs="Times New Roman"/>
          <w:i/>
          <w:color w:val="0070C0"/>
          <w:sz w:val="24"/>
          <w:szCs w:val="24"/>
        </w:rPr>
        <w:t xml:space="preserve">al., 1997, PMID: 9241249; Xu et al., 2018, PMID: 30295841), the activity of the chimeric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is influenced by the D144, K418, and Q507 sites. The 'dead' mutated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protein was obtained by replacing these three sites with Alanine. In vitro tests pro</w:t>
      </w:r>
      <w:r>
        <w:rPr>
          <w:rFonts w:ascii="Times New Roman" w:eastAsia="Times New Roman" w:hAnsi="Times New Roman" w:cs="Times New Roman"/>
          <w:i/>
          <w:color w:val="0070C0"/>
          <w:sz w:val="24"/>
          <w:szCs w:val="24"/>
        </w:rPr>
        <w:t xml:space="preserve">ved that the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was incapable of cleavage against RNA substrates, while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worked well (please see in revised Fig. 1E). It will be utilized as a control in the next cellar tests as the reviewer suggested, for example in revised Fig. 2B and S7.</w:t>
      </w:r>
      <w:r>
        <w:rPr>
          <w:rFonts w:ascii="Times New Roman" w:eastAsia="Times New Roman" w:hAnsi="Times New Roman" w:cs="Times New Roman"/>
          <w:i/>
          <w:color w:val="0070C0"/>
          <w:sz w:val="24"/>
          <w:szCs w:val="24"/>
        </w:rPr>
        <w:t xml:space="preserve"> Thanks to the reviewer for the valuable advice to make our article more convincing.</w:t>
      </w:r>
      <w:r>
        <w:rPr>
          <w:rFonts w:ascii="Calibri" w:eastAsia="Calibri" w:hAnsi="Calibri" w:cs="Calibri"/>
          <w:sz w:val="21"/>
          <w:szCs w:val="21"/>
        </w:rPr>
        <w:t xml:space="preserve"> </w:t>
      </w:r>
    </w:p>
    <w:p w14:paraId="00000041"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What was the design principle for the Stem-Loop on the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(the content or the length of the stem or the loop)? What is the basis for selecting the Stem-Loop version</w:t>
      </w:r>
      <w:r>
        <w:rPr>
          <w:rFonts w:ascii="Times New Roman" w:eastAsia="Times New Roman" w:hAnsi="Times New Roman" w:cs="Times New Roman"/>
          <w:sz w:val="24"/>
          <w:szCs w:val="24"/>
        </w:rPr>
        <w:t xml:space="preserve"> used in the manuscript? Did the length of the guide sequence affect RNA cleavage? What was the optimal length? </w:t>
      </w:r>
    </w:p>
    <w:p w14:paraId="00000042" w14:textId="77777777" w:rsidR="00993E07" w:rsidRDefault="00245289">
      <w:pPr>
        <w:spacing w:after="12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Thank you for the referee’s helpful suggestion. (1) Since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has a similar domain as aFEN1, we designed the basis structure o</w:t>
      </w:r>
      <w:r>
        <w:rPr>
          <w:rFonts w:ascii="Times New Roman" w:eastAsia="Times New Roman" w:hAnsi="Times New Roman" w:cs="Times New Roman"/>
          <w:i/>
          <w:color w:val="0070C0"/>
          <w:sz w:val="24"/>
          <w:szCs w:val="24"/>
        </w:rPr>
        <w:t xml:space="preserve">f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by imitating the </w:t>
      </w:r>
      <w:proofErr w:type="spellStart"/>
      <w:r>
        <w:rPr>
          <w:rFonts w:ascii="Times New Roman" w:eastAsia="Times New Roman" w:hAnsi="Times New Roman" w:cs="Times New Roman"/>
          <w:i/>
          <w:color w:val="0070C0"/>
          <w:sz w:val="24"/>
          <w:szCs w:val="24"/>
        </w:rPr>
        <w:t>hpDNA</w:t>
      </w:r>
      <w:proofErr w:type="spellEnd"/>
      <w:r>
        <w:rPr>
          <w:rFonts w:ascii="Times New Roman" w:eastAsia="Times New Roman" w:hAnsi="Times New Roman" w:cs="Times New Roman"/>
          <w:i/>
          <w:color w:val="0070C0"/>
          <w:sz w:val="24"/>
          <w:szCs w:val="24"/>
        </w:rPr>
        <w:t xml:space="preserve"> from the </w:t>
      </w:r>
      <w:r>
        <w:rPr>
          <w:rFonts w:ascii="Times New Roman" w:eastAsia="Times New Roman" w:hAnsi="Times New Roman" w:cs="Times New Roman"/>
          <w:i/>
          <w:color w:val="0070C0"/>
          <w:sz w:val="24"/>
          <w:szCs w:val="24"/>
        </w:rPr>
        <w:lastRenderedPageBreak/>
        <w:t xml:space="preserve">previously reported </w:t>
      </w:r>
      <w:proofErr w:type="spellStart"/>
      <w:r>
        <w:rPr>
          <w:rFonts w:ascii="Times New Roman" w:eastAsia="Times New Roman" w:hAnsi="Times New Roman" w:cs="Times New Roman"/>
          <w:i/>
          <w:color w:val="0070C0"/>
          <w:sz w:val="24"/>
          <w:szCs w:val="24"/>
        </w:rPr>
        <w:t>HpSGN</w:t>
      </w:r>
      <w:proofErr w:type="spellEnd"/>
      <w:r>
        <w:rPr>
          <w:rFonts w:ascii="Times New Roman" w:eastAsia="Times New Roman" w:hAnsi="Times New Roman" w:cs="Times New Roman"/>
          <w:i/>
          <w:color w:val="0070C0"/>
          <w:sz w:val="24"/>
          <w:szCs w:val="24"/>
        </w:rPr>
        <w:t xml:space="preserve"> (Tian et al., 2020, PMID: 33051689). As shown in revised Fig. 1D, the hp-st1 was the original version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Considering that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is mediated by the U6 promoter in cells, we optimiz</w:t>
      </w:r>
      <w:r>
        <w:rPr>
          <w:rFonts w:ascii="Times New Roman" w:eastAsia="Times New Roman" w:hAnsi="Times New Roman" w:cs="Times New Roman"/>
          <w:i/>
          <w:color w:val="0070C0"/>
          <w:sz w:val="24"/>
          <w:szCs w:val="24"/>
        </w:rPr>
        <w:t>ed the sequence (hp-st2 version) to make the transcription able to stop at the end of the stem-loop but not terminate in the middle. We did the gel-experiment to make sure this stem-loop works well (please see in revised Fig. 1D). (2) The guide sequences o</w:t>
      </w:r>
      <w:r>
        <w:rPr>
          <w:rFonts w:ascii="Times New Roman" w:eastAsia="Times New Roman" w:hAnsi="Times New Roman" w:cs="Times New Roman"/>
          <w:i/>
          <w:color w:val="0070C0"/>
          <w:sz w:val="24"/>
          <w:szCs w:val="24"/>
        </w:rPr>
        <w:t xml:space="preserve">f 10, 15, 20 and 25-nt length in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were tried, respectively. Despite the fact that the 10-nt guide sequence did not work, the 15-nt, 20-nt, and 25-nt guide sequences performed well (please see it in revised Fig. 1D). We assume that the guide sequen</w:t>
      </w:r>
      <w:r>
        <w:rPr>
          <w:rFonts w:ascii="Times New Roman" w:eastAsia="Times New Roman" w:hAnsi="Times New Roman" w:cs="Times New Roman"/>
          <w:i/>
          <w:color w:val="0070C0"/>
          <w:sz w:val="24"/>
          <w:szCs w:val="24"/>
        </w:rPr>
        <w:t xml:space="preserve">ce should be long enough to bind firmly on the substrate. Hence a more than 20-nt guide sequence and the hp-st2 version of stem-loop were employed in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t>
      </w:r>
    </w:p>
    <w:p w14:paraId="00000043"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The authors did similar experiments in their previous articles that reported the developmen</w:t>
      </w:r>
      <w:r>
        <w:rPr>
          <w:rFonts w:ascii="Times New Roman" w:eastAsia="Times New Roman" w:hAnsi="Times New Roman" w:cs="Times New Roman"/>
          <w:sz w:val="24"/>
          <w:szCs w:val="24"/>
        </w:rPr>
        <w:t xml:space="preserve">t of other new editing tools (Nucleic Acids Res 2020, Genome Biol 2016), why such experiments were missing in the current work, even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tool were claimed better than the precious ones by the authors themselves?</w:t>
      </w:r>
    </w:p>
    <w:p w14:paraId="00000044"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The reasons we didn't</w:t>
      </w:r>
      <w:r>
        <w:rPr>
          <w:rFonts w:ascii="Times New Roman" w:eastAsia="Times New Roman" w:hAnsi="Times New Roman" w:cs="Times New Roman"/>
          <w:i/>
          <w:color w:val="0070C0"/>
          <w:sz w:val="24"/>
          <w:szCs w:val="24"/>
        </w:rPr>
        <w:t xml:space="preserve"> perform the in vitro gel-experiments in the original article were: (1) This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is an RNA-mediated RNA substrate cleavage tool. In the SDS-PAGE experiment, the RNA probe and substrates are much easier to degrade than the DNA probe in our previous</w:t>
      </w:r>
      <w:r>
        <w:rPr>
          <w:rFonts w:ascii="Times New Roman" w:eastAsia="Times New Roman" w:hAnsi="Times New Roman" w:cs="Times New Roman"/>
          <w:i/>
          <w:color w:val="0070C0"/>
          <w:sz w:val="24"/>
          <w:szCs w:val="24"/>
        </w:rPr>
        <w:t xml:space="preserve">ly reported </w:t>
      </w:r>
      <w:proofErr w:type="spellStart"/>
      <w:r>
        <w:rPr>
          <w:rFonts w:ascii="Times New Roman" w:eastAsia="Times New Roman" w:hAnsi="Times New Roman" w:cs="Times New Roman"/>
          <w:i/>
          <w:color w:val="0070C0"/>
          <w:sz w:val="24"/>
          <w:szCs w:val="24"/>
        </w:rPr>
        <w:t>HpSGN</w:t>
      </w:r>
      <w:proofErr w:type="spellEnd"/>
      <w:r>
        <w:rPr>
          <w:rFonts w:ascii="Times New Roman" w:eastAsia="Times New Roman" w:hAnsi="Times New Roman" w:cs="Times New Roman"/>
          <w:i/>
          <w:color w:val="0070C0"/>
          <w:sz w:val="24"/>
          <w:szCs w:val="24"/>
        </w:rPr>
        <w:t xml:space="preserve"> (a DNA probe-mediated gene editing tool). The experimental operation is much more difficult. (2) Given that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would eventually work in cells and animals, we ignored the in vitro characterization part. However, as you sugges</w:t>
      </w:r>
      <w:r>
        <w:rPr>
          <w:rFonts w:ascii="Times New Roman" w:eastAsia="Times New Roman" w:hAnsi="Times New Roman" w:cs="Times New Roman"/>
          <w:i/>
          <w:color w:val="0070C0"/>
          <w:sz w:val="24"/>
          <w:szCs w:val="24"/>
        </w:rPr>
        <w:t>ted, we are aware of this problem and have added an in vitro characterization into the revision. Thanks to the reviewer for the valuable advice to make our articles of higher quality. We hope the referee is satisfied with the editions we made.</w:t>
      </w:r>
    </w:p>
    <w:p w14:paraId="00000045"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46"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47"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Q2. </w:t>
      </w:r>
      <w:r>
        <w:rPr>
          <w:rFonts w:ascii="Times New Roman" w:eastAsia="Times New Roman" w:hAnsi="Times New Roman" w:cs="Times New Roman"/>
          <w:sz w:val="24"/>
          <w:szCs w:val="24"/>
        </w:rPr>
        <w:t xml:space="preserve">Figure 2 showed "the feasibility of cleaving mRNA guided by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in mammalian cells". However, without any in vitro or in vivo "cleavage" assays, it was hard to claim RNA "cleavage" (cleavage dead mutant was a critical control to draw such a conclu</w:t>
      </w:r>
      <w:r>
        <w:rPr>
          <w:rFonts w:ascii="Times New Roman" w:eastAsia="Times New Roman" w:hAnsi="Times New Roman" w:cs="Times New Roman"/>
          <w:sz w:val="24"/>
          <w:szCs w:val="24"/>
        </w:rPr>
        <w:t>sion).</w:t>
      </w:r>
    </w:p>
    <w:p w14:paraId="00000048" w14:textId="77777777" w:rsidR="00993E07" w:rsidRDefault="00245289">
      <w:pPr>
        <w:spacing w:after="120" w:line="240" w:lineRule="auto"/>
        <w:jc w:val="both"/>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 xml:space="preserve">a) The EGFP reporter was transiently co-transfected with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and it is well known that many factors would affect the performance of transiently transfected reporter, an EGFP stable cell line or knock-in cell line would lead to m</w:t>
      </w:r>
      <w:r>
        <w:rPr>
          <w:rFonts w:ascii="Times New Roman" w:eastAsia="Times New Roman" w:hAnsi="Times New Roman" w:cs="Times New Roman"/>
          <w:sz w:val="24"/>
          <w:szCs w:val="24"/>
        </w:rPr>
        <w:t xml:space="preserve">ore reliable data. And even on the stable reporter cell line, the plasmids encoding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should be traced by different colors of fluorescent proteins. FACS analyses should gated according to these colors. In addition, as for the FACS data in Fi</w:t>
      </w:r>
      <w:r>
        <w:rPr>
          <w:rFonts w:ascii="Times New Roman" w:eastAsia="Times New Roman" w:hAnsi="Times New Roman" w:cs="Times New Roman"/>
          <w:sz w:val="24"/>
          <w:szCs w:val="24"/>
        </w:rPr>
        <w:t>gure 2B and 2C, the EGFP-negative and the EGFP-positive populations were not clearly displayed.</w:t>
      </w:r>
    </w:p>
    <w:p w14:paraId="00000049" w14:textId="77777777" w:rsidR="00993E07" w:rsidRDefault="00245289">
      <w:pPr>
        <w:spacing w:after="120" w:line="240" w:lineRule="auto"/>
        <w:jc w:val="both"/>
        <w:rPr>
          <w:rFonts w:ascii="Times New Roman" w:eastAsia="Times New Roman" w:hAnsi="Times New Roman" w:cs="Times New Roman"/>
          <w:i/>
          <w:color w:val="0070C0"/>
          <w:sz w:val="24"/>
          <w:szCs w:val="24"/>
        </w:rPr>
      </w:pPr>
      <w:bookmarkStart w:id="2" w:name="_heading=h.1fob9te" w:colFirst="0" w:colLast="0"/>
      <w:bookmarkEnd w:id="2"/>
      <w:r>
        <w:rPr>
          <w:rFonts w:ascii="Times New Roman" w:eastAsia="Times New Roman" w:hAnsi="Times New Roman" w:cs="Times New Roman"/>
          <w:i/>
          <w:color w:val="0070C0"/>
          <w:sz w:val="24"/>
          <w:szCs w:val="24"/>
        </w:rPr>
        <w:t>Response:</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70C0"/>
          <w:sz w:val="24"/>
          <w:szCs w:val="24"/>
        </w:rPr>
        <w:t>Thank you for the referee’s valuable comments. As you suggested, we replaced the EGFP assays with an EGFP-stable HEK293T cell line (please see in revi</w:t>
      </w:r>
      <w:r>
        <w:rPr>
          <w:rFonts w:ascii="Times New Roman" w:eastAsia="Times New Roman" w:hAnsi="Times New Roman" w:cs="Times New Roman"/>
          <w:i/>
          <w:color w:val="0070C0"/>
          <w:sz w:val="24"/>
          <w:szCs w:val="24"/>
        </w:rPr>
        <w:t xml:space="preserve">sed Fig. 2B, 3G, S6 and S9), and found that the knock-down efficiencies of EGFP expression levels in the groups transfected with </w:t>
      </w:r>
      <w:proofErr w:type="spellStart"/>
      <w:r>
        <w:rPr>
          <w:rFonts w:ascii="Times New Roman" w:eastAsia="Times New Roman" w:hAnsi="Times New Roman" w:cs="Times New Roman"/>
          <w:i/>
          <w:color w:val="0070C0"/>
          <w:sz w:val="24"/>
          <w:szCs w:val="24"/>
        </w:rPr>
        <w:t>hpRNAs</w:t>
      </w:r>
      <w:proofErr w:type="spellEnd"/>
      <w:r>
        <w:rPr>
          <w:rFonts w:ascii="Times New Roman" w:eastAsia="Times New Roman" w:hAnsi="Times New Roman" w:cs="Times New Roman"/>
          <w:i/>
          <w:color w:val="0070C0"/>
          <w:sz w:val="24"/>
          <w:szCs w:val="24"/>
        </w:rPr>
        <w:t xml:space="preserve"> for T1, T2, T3, T4 and T5 loci were 13%, 11%, 0%, 4% and 26%, respectively. Additionally, the graphs of results with the</w:t>
      </w:r>
      <w:r>
        <w:rPr>
          <w:rFonts w:ascii="Times New Roman" w:eastAsia="Times New Roman" w:hAnsi="Times New Roman" w:cs="Times New Roman"/>
          <w:i/>
          <w:color w:val="0070C0"/>
          <w:sz w:val="24"/>
          <w:szCs w:val="24"/>
        </w:rPr>
        <w:t xml:space="preserve"> EGFP-negative and the EGFP-positive populations were added. Since our flow cytometry can only detect two kinds of fluorescent signals, we </w:t>
      </w:r>
      <w:proofErr w:type="spellStart"/>
      <w:r>
        <w:rPr>
          <w:rFonts w:ascii="Times New Roman" w:eastAsia="Times New Roman" w:hAnsi="Times New Roman" w:cs="Times New Roman"/>
          <w:i/>
          <w:color w:val="0070C0"/>
          <w:sz w:val="24"/>
          <w:szCs w:val="24"/>
        </w:rPr>
        <w:t>can not</w:t>
      </w:r>
      <w:proofErr w:type="spellEnd"/>
      <w:r>
        <w:rPr>
          <w:rFonts w:ascii="Times New Roman" w:eastAsia="Times New Roman" w:hAnsi="Times New Roman" w:cs="Times New Roman"/>
          <w:i/>
          <w:color w:val="0070C0"/>
          <w:sz w:val="24"/>
          <w:szCs w:val="24"/>
        </w:rPr>
        <w:t xml:space="preserve"> trace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and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by different colors of fluorescent proteins in this EGFP assay. Instead, we encode</w:t>
      </w:r>
      <w:r>
        <w:rPr>
          <w:rFonts w:ascii="Times New Roman" w:eastAsia="Times New Roman" w:hAnsi="Times New Roman" w:cs="Times New Roman"/>
          <w:i/>
          <w:color w:val="0070C0"/>
          <w:sz w:val="24"/>
          <w:szCs w:val="24"/>
        </w:rPr>
        <w:t xml:space="preserv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and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into a single plasmid with a </w:t>
      </w:r>
      <w:proofErr w:type="spellStart"/>
      <w:r>
        <w:rPr>
          <w:rFonts w:ascii="Times New Roman" w:eastAsia="Times New Roman" w:hAnsi="Times New Roman" w:cs="Times New Roman"/>
          <w:i/>
          <w:color w:val="0070C0"/>
          <w:sz w:val="24"/>
          <w:szCs w:val="24"/>
        </w:rPr>
        <w:t>mcherry</w:t>
      </w:r>
      <w:proofErr w:type="spellEnd"/>
      <w:r>
        <w:rPr>
          <w:rFonts w:ascii="Times New Roman" w:eastAsia="Times New Roman" w:hAnsi="Times New Roman" w:cs="Times New Roman"/>
          <w:i/>
          <w:color w:val="0070C0"/>
          <w:sz w:val="24"/>
          <w:szCs w:val="24"/>
        </w:rPr>
        <w:t xml:space="preserve"> tag to trace. As shown in Fig. S6, by gating according to the PE gate, the knock-down efficiencies were 20%, 16%, 12%, 19% and 30%, respectively. It</w:t>
      </w:r>
      <w:r>
        <w:rPr>
          <w:rFonts w:ascii="Calibri" w:eastAsia="Calibri" w:hAnsi="Calibri" w:cs="Calibri"/>
          <w:sz w:val="21"/>
          <w:szCs w:val="21"/>
        </w:rPr>
        <w:t xml:space="preserve"> </w:t>
      </w:r>
      <w:r>
        <w:rPr>
          <w:rFonts w:ascii="Times New Roman" w:eastAsia="Times New Roman" w:hAnsi="Times New Roman" w:cs="Times New Roman"/>
          <w:i/>
          <w:color w:val="0070C0"/>
          <w:sz w:val="24"/>
          <w:szCs w:val="24"/>
        </w:rPr>
        <w:t>proved that the reviewer is correct that many fa</w:t>
      </w:r>
      <w:r>
        <w:rPr>
          <w:rFonts w:ascii="Times New Roman" w:eastAsia="Times New Roman" w:hAnsi="Times New Roman" w:cs="Times New Roman"/>
          <w:i/>
          <w:color w:val="0070C0"/>
          <w:sz w:val="24"/>
          <w:szCs w:val="24"/>
        </w:rPr>
        <w:t xml:space="preserve">ctors </w:t>
      </w:r>
      <w:r>
        <w:rPr>
          <w:rFonts w:ascii="Times New Roman" w:eastAsia="Times New Roman" w:hAnsi="Times New Roman" w:cs="Times New Roman"/>
          <w:i/>
          <w:color w:val="0070C0"/>
          <w:sz w:val="24"/>
          <w:szCs w:val="24"/>
        </w:rPr>
        <w:lastRenderedPageBreak/>
        <w:t>affect the performance of transiently transfected reporter. Thanks to the reviewer for the valuable advice to make our articles of higher quality.</w:t>
      </w:r>
    </w:p>
    <w:p w14:paraId="0000004A"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The target site for </w:t>
      </w:r>
      <w:proofErr w:type="spellStart"/>
      <w:r>
        <w:rPr>
          <w:rFonts w:ascii="Times New Roman" w:eastAsia="Times New Roman" w:hAnsi="Times New Roman" w:cs="Times New Roman"/>
          <w:sz w:val="24"/>
          <w:szCs w:val="24"/>
        </w:rPr>
        <w:t>kras</w:t>
      </w:r>
      <w:proofErr w:type="spellEnd"/>
      <w:r>
        <w:rPr>
          <w:rFonts w:ascii="Times New Roman" w:eastAsia="Times New Roman" w:hAnsi="Times New Roman" w:cs="Times New Roman"/>
          <w:sz w:val="24"/>
          <w:szCs w:val="24"/>
        </w:rPr>
        <w:t xml:space="preserve"> mRNA T6 was "5'-AAAAAUGCAUUAUAAUGUAA-3'", therefore, the DNA encoding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should be the complementary and reverse sequence "5'-TTACATTATAATGCATTTTT-3'". As we know, 5-6 Ts is the stop signal for U6 promoter-driven transcription, thus the Stem-Loop in the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could not be </w:t>
      </w:r>
      <w:proofErr w:type="spellStart"/>
      <w:r>
        <w:rPr>
          <w:rFonts w:ascii="Times New Roman" w:eastAsia="Times New Roman" w:hAnsi="Times New Roman" w:cs="Times New Roman"/>
          <w:sz w:val="24"/>
          <w:szCs w:val="24"/>
        </w:rPr>
        <w:t>transcripted</w:t>
      </w:r>
      <w:proofErr w:type="spellEnd"/>
      <w:r>
        <w:rPr>
          <w:rFonts w:ascii="Times New Roman" w:eastAsia="Times New Roman" w:hAnsi="Times New Roman" w:cs="Times New Roman"/>
          <w:sz w:val="24"/>
          <w:szCs w:val="24"/>
        </w:rPr>
        <w:t>. However, KRAS T6 showed 56% knockdown eff</w:t>
      </w:r>
      <w:r>
        <w:rPr>
          <w:rFonts w:ascii="Times New Roman" w:eastAsia="Times New Roman" w:hAnsi="Times New Roman" w:cs="Times New Roman"/>
          <w:sz w:val="24"/>
          <w:szCs w:val="24"/>
        </w:rPr>
        <w:t xml:space="preserve">iciency. If this hold true, how did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work? This observation again required more detailed in vitro characterization of this system.</w:t>
      </w:r>
    </w:p>
    <w:p w14:paraId="0000004B" w14:textId="77777777" w:rsidR="00993E07" w:rsidRDefault="00245289">
      <w:pPr>
        <w:spacing w:after="12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70C0"/>
          <w:sz w:val="24"/>
          <w:szCs w:val="24"/>
        </w:rPr>
        <w:t xml:space="preserve">We repeat the KRAS experiment (with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control) on this controversial T6 locus. As shown in Fi</w:t>
      </w:r>
      <w:r>
        <w:rPr>
          <w:rFonts w:ascii="Times New Roman" w:eastAsia="Times New Roman" w:hAnsi="Times New Roman" w:cs="Times New Roman"/>
          <w:i/>
          <w:color w:val="0070C0"/>
          <w:sz w:val="24"/>
          <w:szCs w:val="24"/>
        </w:rPr>
        <w:t xml:space="preserve">g. S7, the knockdown efficiency of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at this locus was 54% (the data was 56% in the original manuscript), whereas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did not produce a knockdown effect. Then we consulted literature (</w:t>
      </w:r>
      <w:proofErr w:type="spellStart"/>
      <w:r>
        <w:rPr>
          <w:rFonts w:ascii="Times New Roman" w:eastAsia="Times New Roman" w:hAnsi="Times New Roman" w:cs="Times New Roman"/>
          <w:i/>
          <w:color w:val="0070C0"/>
          <w:sz w:val="24"/>
          <w:szCs w:val="24"/>
        </w:rPr>
        <w:t>Arimbasseri</w:t>
      </w:r>
      <w:proofErr w:type="spellEnd"/>
      <w:r>
        <w:rPr>
          <w:rFonts w:ascii="Times New Roman" w:eastAsia="Times New Roman" w:hAnsi="Times New Roman" w:cs="Times New Roman"/>
          <w:i/>
          <w:color w:val="0070C0"/>
          <w:sz w:val="24"/>
          <w:szCs w:val="24"/>
        </w:rPr>
        <w:t xml:space="preserve"> et al., 2013, PMID: 23099421), which claims that th</w:t>
      </w:r>
      <w:r>
        <w:rPr>
          <w:rFonts w:ascii="Times New Roman" w:eastAsia="Times New Roman" w:hAnsi="Times New Roman" w:cs="Times New Roman"/>
          <w:i/>
          <w:color w:val="0070C0"/>
          <w:sz w:val="24"/>
          <w:szCs w:val="24"/>
        </w:rPr>
        <w:t xml:space="preserve">e T cluster flanked by A is inefficient as a terminator compared to the T cluster surrounded by GC-rich sequences. We speculate that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is still functional at this locus because both ends of the T cluster here are surrounded by A (on the guid</w:t>
      </w:r>
      <w:r>
        <w:rPr>
          <w:rFonts w:ascii="Times New Roman" w:eastAsia="Times New Roman" w:hAnsi="Times New Roman" w:cs="Times New Roman"/>
          <w:i/>
          <w:color w:val="0070C0"/>
          <w:sz w:val="24"/>
          <w:szCs w:val="24"/>
        </w:rPr>
        <w:t xml:space="preserve">e sequence) and AAA (on the stem-loop sequence), respectively, which reduced its termination efficiency and made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partly successfully transcribed. However, as the reviewer suggested, it would be better to avoid choosing loci containing A cluster. </w:t>
      </w:r>
      <w:r>
        <w:rPr>
          <w:rFonts w:ascii="Times New Roman" w:eastAsia="Times New Roman" w:hAnsi="Times New Roman" w:cs="Times New Roman"/>
          <w:i/>
          <w:color w:val="0070C0"/>
          <w:sz w:val="24"/>
          <w:szCs w:val="24"/>
        </w:rPr>
        <w:t>Thank you for the referee’s helpful suggestion to make our study</w:t>
      </w:r>
      <w:r>
        <w:rPr>
          <w:rFonts w:ascii="Calibri" w:eastAsia="Calibri" w:hAnsi="Calibri" w:cs="Calibri"/>
          <w:sz w:val="24"/>
          <w:szCs w:val="24"/>
        </w:rPr>
        <w:t xml:space="preserve"> </w:t>
      </w:r>
      <w:r>
        <w:rPr>
          <w:rFonts w:ascii="Times New Roman" w:eastAsia="Times New Roman" w:hAnsi="Times New Roman" w:cs="Times New Roman"/>
          <w:i/>
          <w:color w:val="0070C0"/>
          <w:sz w:val="24"/>
          <w:szCs w:val="24"/>
        </w:rPr>
        <w:t>more rigorous.</w:t>
      </w:r>
    </w:p>
    <w:p w14:paraId="0000004C"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Similar to CRISPR system, the authors also tried to determine whether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required a PAM sequence as shown in Figure 2G. However, the number of target se</w:t>
      </w:r>
      <w:r>
        <w:rPr>
          <w:rFonts w:ascii="Times New Roman" w:eastAsia="Times New Roman" w:hAnsi="Times New Roman" w:cs="Times New Roman"/>
          <w:sz w:val="24"/>
          <w:szCs w:val="24"/>
        </w:rPr>
        <w:t xml:space="preserve">quence was too small to draw a conclusion. Generally, a library contains sufficient sequence should be edited by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in vitro or in </w:t>
      </w:r>
      <w:proofErr w:type="gramStart"/>
      <w:r>
        <w:rPr>
          <w:rFonts w:ascii="Times New Roman" w:eastAsia="Times New Roman" w:hAnsi="Times New Roman" w:cs="Times New Roman"/>
          <w:sz w:val="24"/>
          <w:szCs w:val="24"/>
        </w:rPr>
        <w:t>E.coli</w:t>
      </w:r>
      <w:proofErr w:type="gramEnd"/>
      <w:r>
        <w:rPr>
          <w:rFonts w:ascii="Times New Roman" w:eastAsia="Times New Roman" w:hAnsi="Times New Roman" w:cs="Times New Roman"/>
          <w:sz w:val="24"/>
          <w:szCs w:val="24"/>
        </w:rPr>
        <w:t>, and deep-seq was performed before and after editing, the depleted sequences were the edited ones</w:t>
      </w:r>
      <w:r>
        <w:rPr>
          <w:rFonts w:ascii="Times New Roman" w:eastAsia="Times New Roman" w:hAnsi="Times New Roman" w:cs="Times New Roman"/>
          <w:sz w:val="24"/>
          <w:szCs w:val="24"/>
        </w:rPr>
        <w:t xml:space="preserve"> and PAM could be discovered in these sequences. Please refer to the articles from Dr. Jennifer </w:t>
      </w:r>
      <w:proofErr w:type="spellStart"/>
      <w:r>
        <w:rPr>
          <w:rFonts w:ascii="Times New Roman" w:eastAsia="Times New Roman" w:hAnsi="Times New Roman" w:cs="Times New Roman"/>
          <w:sz w:val="24"/>
          <w:szCs w:val="24"/>
        </w:rPr>
        <w:t>Doudna</w:t>
      </w:r>
      <w:proofErr w:type="spellEnd"/>
      <w:r>
        <w:rPr>
          <w:rFonts w:ascii="Times New Roman" w:eastAsia="Times New Roman" w:hAnsi="Times New Roman" w:cs="Times New Roman"/>
          <w:sz w:val="24"/>
          <w:szCs w:val="24"/>
        </w:rPr>
        <w:t xml:space="preserve"> or Dr. Feng Zhang or other scientists.</w:t>
      </w:r>
    </w:p>
    <w:p w14:paraId="0000004D" w14:textId="77777777" w:rsidR="00993E07" w:rsidRDefault="00245289">
      <w:pPr>
        <w:spacing w:after="0" w:line="240" w:lineRule="auto"/>
        <w:jc w:val="both"/>
        <w:rPr>
          <w:rFonts w:ascii="Times New Roman" w:eastAsia="Times New Roman" w:hAnsi="Times New Roman" w:cs="Times New Roman"/>
          <w:i/>
          <w:color w:val="0070C0"/>
          <w:sz w:val="24"/>
          <w:szCs w:val="24"/>
        </w:rPr>
      </w:pPr>
      <w:bookmarkStart w:id="3" w:name="_heading=h.3znysh7" w:colFirst="0" w:colLast="0"/>
      <w:bookmarkEnd w:id="3"/>
      <w:r>
        <w:rPr>
          <w:rFonts w:ascii="Times New Roman" w:eastAsia="Times New Roman" w:hAnsi="Times New Roman" w:cs="Times New Roman"/>
          <w:i/>
          <w:color w:val="0070C0"/>
          <w:sz w:val="24"/>
          <w:szCs w:val="24"/>
        </w:rPr>
        <w:t xml:space="preserve">Response: Thank you for the referee’s valuable comments. To clarify whether the potential preference of sequences </w:t>
      </w:r>
      <w:r>
        <w:rPr>
          <w:rFonts w:ascii="Times New Roman" w:eastAsia="Times New Roman" w:hAnsi="Times New Roman" w:cs="Times New Roman"/>
          <w:i/>
          <w:color w:val="0070C0"/>
          <w:sz w:val="24"/>
          <w:szCs w:val="24"/>
        </w:rPr>
        <w:t xml:space="preserve">is required for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tool, referring to the CRISPR article (Cox et al., 2017, PMID: 29070703), a plasmids-library for preference screens was designed by inserting two 5’ randomized nucleotides and four 3’ randomized nucleotides (corresponding t</w:t>
      </w:r>
      <w:r>
        <w:rPr>
          <w:rFonts w:ascii="Times New Roman" w:eastAsia="Times New Roman" w:hAnsi="Times New Roman" w:cs="Times New Roman"/>
          <w:i/>
          <w:color w:val="0070C0"/>
          <w:sz w:val="24"/>
          <w:szCs w:val="24"/>
        </w:rPr>
        <w:t xml:space="preserve">o the position of PFS in CRISPR/Cas13) separated by a target site immediately downstream of the start codon of the ampicillin resistance gene </w:t>
      </w:r>
      <w:proofErr w:type="spellStart"/>
      <w:r>
        <w:rPr>
          <w:rFonts w:ascii="Times New Roman" w:eastAsia="Times New Roman" w:hAnsi="Times New Roman" w:cs="Times New Roman"/>
          <w:i/>
          <w:color w:val="0070C0"/>
          <w:sz w:val="24"/>
          <w:szCs w:val="24"/>
        </w:rPr>
        <w:t>bla</w:t>
      </w:r>
      <w:proofErr w:type="spellEnd"/>
      <w:r>
        <w:rPr>
          <w:rFonts w:ascii="Times New Roman" w:eastAsia="Times New Roman" w:hAnsi="Times New Roman" w:cs="Times New Roman"/>
          <w:i/>
          <w:color w:val="0070C0"/>
          <w:sz w:val="24"/>
          <w:szCs w:val="24"/>
        </w:rPr>
        <w:t xml:space="preserve">. To assess preferences, the positions containing randomized nucleotides in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treated group were</w:t>
      </w:r>
      <w:r>
        <w:rPr>
          <w:rFonts w:ascii="Times New Roman" w:eastAsia="Times New Roman" w:hAnsi="Times New Roman" w:cs="Times New Roman"/>
          <w:i/>
          <w:color w:val="0070C0"/>
          <w:sz w:val="24"/>
          <w:szCs w:val="24"/>
        </w:rPr>
        <w:t xml:space="preserve"> extracted and sequenced relative to the control group. No sequence preference was found in these 6 loci by sequencing analysis (please see in revised Fig. 2D). Thanks to the reviewer for the valuable advice to make our articles of higher quality.</w:t>
      </w:r>
    </w:p>
    <w:p w14:paraId="0000004E"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4F"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0"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Q3: Figure 3: since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was more similar to CRISPR/Cas13 than siRNA, the comparison between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and Cas13 should be shown. In Figure 3D and 3F, the inhibition of PP1B was less than 20%, which mean that there was only very wea</w:t>
      </w:r>
      <w:r>
        <w:rPr>
          <w:rFonts w:ascii="Times New Roman" w:eastAsia="Times New Roman" w:hAnsi="Times New Roman" w:cs="Times New Roman"/>
          <w:sz w:val="24"/>
          <w:szCs w:val="24"/>
        </w:rPr>
        <w:t>k inhibition even on the target gene. Therefore, it is reasonable that no off-target effect was observed. A more effective target site or FACS enrichment should be used in such assay.</w:t>
      </w:r>
    </w:p>
    <w:p w14:paraId="00000051"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lastRenderedPageBreak/>
        <w:t>Response: Thanks to the reviewer for the valuable advice. We chose the c</w:t>
      </w:r>
      <w:r>
        <w:rPr>
          <w:rFonts w:ascii="Times New Roman" w:eastAsia="Times New Roman" w:hAnsi="Times New Roman" w:cs="Times New Roman"/>
          <w:i/>
          <w:color w:val="0070C0"/>
          <w:sz w:val="24"/>
          <w:szCs w:val="24"/>
        </w:rPr>
        <w:t xml:space="preserve">lassical siRNA as the comparison because it has no PFS sequence requirement and can be used for any locus as our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did. But the reviewer's suggestion is right. As a newly reported RNA knockdown tool, the comparison with CRISPR-Cas13 can't be ign</w:t>
      </w:r>
      <w:r>
        <w:rPr>
          <w:rFonts w:ascii="Times New Roman" w:eastAsia="Times New Roman" w:hAnsi="Times New Roman" w:cs="Times New Roman"/>
          <w:i/>
          <w:color w:val="0070C0"/>
          <w:sz w:val="24"/>
          <w:szCs w:val="24"/>
        </w:rPr>
        <w:t>ored. Therefore, in the revised manuscript the data compared with Cas13a was added. As you can see in revised Fig. 2B and 3</w:t>
      </w:r>
      <w:proofErr w:type="gramStart"/>
      <w:r>
        <w:rPr>
          <w:rFonts w:ascii="Times New Roman" w:eastAsia="Times New Roman" w:hAnsi="Times New Roman" w:cs="Times New Roman"/>
          <w:i/>
          <w:color w:val="0070C0"/>
          <w:sz w:val="24"/>
          <w:szCs w:val="24"/>
        </w:rPr>
        <w:t>B,C</w:t>
      </w:r>
      <w:proofErr w:type="gramEnd"/>
      <w:r>
        <w:rPr>
          <w:rFonts w:ascii="Times New Roman" w:eastAsia="Times New Roman" w:hAnsi="Times New Roman" w:cs="Times New Roman"/>
          <w:i/>
          <w:color w:val="0070C0"/>
          <w:sz w:val="24"/>
          <w:szCs w:val="24"/>
        </w:rPr>
        <w:t xml:space="preserve">,E, we compared the knockdown efficiency of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with CRISPR-Cas13a. Generally, they have the similar inhibition efficienc</w:t>
      </w:r>
      <w:r>
        <w:rPr>
          <w:rFonts w:ascii="Times New Roman" w:eastAsia="Times New Roman" w:hAnsi="Times New Roman" w:cs="Times New Roman"/>
          <w:i/>
          <w:color w:val="0070C0"/>
          <w:sz w:val="24"/>
          <w:szCs w:val="24"/>
        </w:rPr>
        <w:t xml:space="preserve">y of EGFP and KRAS. We also add transcriptome sequencing data of HEK293T cells treated with Cas13a targeting KRAS site and looked into the cell toxicity and cell state. These added results made our study of higher quality and more convincing. </w:t>
      </w:r>
    </w:p>
    <w:p w14:paraId="00000052"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3"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4"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Q4: </w:t>
      </w:r>
      <w:r>
        <w:rPr>
          <w:rFonts w:ascii="Times New Roman" w:eastAsia="Times New Roman" w:hAnsi="Times New Roman" w:cs="Times New Roman"/>
          <w:sz w:val="24"/>
          <w:szCs w:val="24"/>
        </w:rPr>
        <w:t xml:space="preserve">Figure 4: It was clear that the target site of the </w:t>
      </w:r>
      <w:proofErr w:type="spellStart"/>
      <w:r>
        <w:rPr>
          <w:rFonts w:ascii="Times New Roman" w:eastAsia="Times New Roman" w:hAnsi="Times New Roman" w:cs="Times New Roman"/>
          <w:sz w:val="24"/>
          <w:szCs w:val="24"/>
        </w:rPr>
        <w:t>TagTth-hpRNA</w:t>
      </w:r>
      <w:proofErr w:type="spellEnd"/>
      <w:r>
        <w:rPr>
          <w:rFonts w:ascii="Times New Roman" w:eastAsia="Times New Roman" w:hAnsi="Times New Roman" w:cs="Times New Roman"/>
          <w:sz w:val="24"/>
          <w:szCs w:val="24"/>
        </w:rPr>
        <w:t xml:space="preserve"> system contained the mutation. Is it the same for siRNA? Was the siRNA designed to target the mutation? No siRNA sequence information was found in the manuscript. If the mutation was not the t</w:t>
      </w:r>
      <w:r>
        <w:rPr>
          <w:rFonts w:ascii="Times New Roman" w:eastAsia="Times New Roman" w:hAnsi="Times New Roman" w:cs="Times New Roman"/>
          <w:sz w:val="24"/>
          <w:szCs w:val="24"/>
        </w:rPr>
        <w:t>arget site of siRNA, the siRNA control was useless in this experiment.</w:t>
      </w:r>
    </w:p>
    <w:p w14:paraId="00000055"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 you for pointing this out, and we sincerely apologize for our negligence in missing the siRNA sequence in the supplementary information. We have added the siRNA sequence</w:t>
      </w:r>
      <w:r>
        <w:rPr>
          <w:rFonts w:ascii="Times New Roman" w:eastAsia="Times New Roman" w:hAnsi="Times New Roman" w:cs="Times New Roman"/>
          <w:i/>
          <w:color w:val="0070C0"/>
          <w:sz w:val="24"/>
          <w:szCs w:val="24"/>
        </w:rPr>
        <w:t xml:space="preserve"> in the revised Table S4. The siRNA used in this study had with same target sites as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w:t>
      </w:r>
    </w:p>
    <w:p w14:paraId="00000056"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7"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8"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Major Q5: The AAV-</w:t>
      </w:r>
      <w:proofErr w:type="spellStart"/>
      <w:r>
        <w:rPr>
          <w:rFonts w:ascii="Times New Roman" w:eastAsia="Times New Roman" w:hAnsi="Times New Roman" w:cs="Times New Roman"/>
          <w:sz w:val="24"/>
          <w:szCs w:val="24"/>
        </w:rPr>
        <w:t>TagTtH</w:t>
      </w:r>
      <w:proofErr w:type="spellEnd"/>
      <w:r>
        <w:rPr>
          <w:rFonts w:ascii="Times New Roman" w:eastAsia="Times New Roman" w:hAnsi="Times New Roman" w:cs="Times New Roman"/>
          <w:sz w:val="24"/>
          <w:szCs w:val="24"/>
        </w:rPr>
        <w:t>-NT control should be included to exclude the effect of injection procedure, AAV virus particle and other factors. This was an essential c</w:t>
      </w:r>
      <w:r>
        <w:rPr>
          <w:rFonts w:ascii="Times New Roman" w:eastAsia="Times New Roman" w:hAnsi="Times New Roman" w:cs="Times New Roman"/>
          <w:sz w:val="24"/>
          <w:szCs w:val="24"/>
        </w:rPr>
        <w:t>ontrol.</w:t>
      </w:r>
    </w:p>
    <w:p w14:paraId="00000059"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 you for your comments. In original experiments, the AAV-</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-NT control has been included</w:t>
      </w:r>
      <w:r>
        <w:rPr>
          <w:rFonts w:ascii="Calibri" w:eastAsia="Calibri" w:hAnsi="Calibri" w:cs="Calibri"/>
          <w:sz w:val="24"/>
          <w:szCs w:val="24"/>
        </w:rPr>
        <w:t xml:space="preserve"> </w:t>
      </w:r>
      <w:r>
        <w:rPr>
          <w:rFonts w:ascii="Times New Roman" w:eastAsia="Times New Roman" w:hAnsi="Times New Roman" w:cs="Times New Roman"/>
          <w:i/>
          <w:color w:val="0070C0"/>
          <w:sz w:val="24"/>
          <w:szCs w:val="24"/>
        </w:rPr>
        <w:t>in parallel with the non-injection control and the AAV-</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-T injection group, and no significant differences were observed in behavioral </w:t>
      </w:r>
      <w:r>
        <w:rPr>
          <w:rFonts w:ascii="Times New Roman" w:eastAsia="Times New Roman" w:hAnsi="Times New Roman" w:cs="Times New Roman"/>
          <w:i/>
          <w:color w:val="0070C0"/>
          <w:sz w:val="24"/>
          <w:szCs w:val="24"/>
        </w:rPr>
        <w:t>and pathological aspects between the AAV-</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-NT control and the non-injection group. Initially, we adopted a comparison method (Duan et al., 2022, PMID: 34312508), believing that demonstrating the comparison between the disease model mice and the treatm</w:t>
      </w:r>
      <w:r>
        <w:rPr>
          <w:rFonts w:ascii="Times New Roman" w:eastAsia="Times New Roman" w:hAnsi="Times New Roman" w:cs="Times New Roman"/>
          <w:i/>
          <w:color w:val="0070C0"/>
          <w:sz w:val="24"/>
          <w:szCs w:val="24"/>
        </w:rPr>
        <w:t>ent group alone was sufficient to illustrate the therapeutic improvement. In this revised version, following your suggestion, we have included the data for the AAV-</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-NT control group and conducted statistical analysis along with the other groups (plea</w:t>
      </w:r>
      <w:r>
        <w:rPr>
          <w:rFonts w:ascii="Times New Roman" w:eastAsia="Times New Roman" w:hAnsi="Times New Roman" w:cs="Times New Roman"/>
          <w:i/>
          <w:color w:val="0070C0"/>
          <w:sz w:val="24"/>
          <w:szCs w:val="24"/>
        </w:rPr>
        <w:t>se see in revised Fig. 5).</w:t>
      </w:r>
    </w:p>
    <w:p w14:paraId="0000005A"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B"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C"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Q6: Figure 6: Combination therapy is a good choice for many diseases, but not for all. The data showed that AAV-TagTtH-T-APOE2 performed better than </w:t>
      </w:r>
      <w:proofErr w:type="spellStart"/>
      <w:r>
        <w:rPr>
          <w:rFonts w:ascii="Times New Roman" w:eastAsia="Times New Roman" w:hAnsi="Times New Roman" w:cs="Times New Roman"/>
          <w:sz w:val="24"/>
          <w:szCs w:val="24"/>
        </w:rPr>
        <w:t>TagTtH</w:t>
      </w:r>
      <w:proofErr w:type="spellEnd"/>
      <w:r>
        <w:rPr>
          <w:rFonts w:ascii="Times New Roman" w:eastAsia="Times New Roman" w:hAnsi="Times New Roman" w:cs="Times New Roman"/>
          <w:sz w:val="24"/>
          <w:szCs w:val="24"/>
        </w:rPr>
        <w:t>-T. How about APOE2 alone? Was AAV-TagTtH-T-APOE2 better than APOE</w:t>
      </w:r>
      <w:r>
        <w:rPr>
          <w:rFonts w:ascii="Times New Roman" w:eastAsia="Times New Roman" w:hAnsi="Times New Roman" w:cs="Times New Roman"/>
          <w:sz w:val="24"/>
          <w:szCs w:val="24"/>
        </w:rPr>
        <w:t>2 alone? Or were they equally effective? If AAV-TagTtH-T-APOE2 was not better than APOE2 alone, there was no need for combination therapy. The control AAV-APOE2 alone was missing.</w:t>
      </w:r>
    </w:p>
    <w:p w14:paraId="0000005D"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Thanks to the reviewer for kindly pointing out that the control AAV-APOE2 alone was missing. We agree that it is essential to demonstrate the efficacy of AAV-TaqTth-T-APOE2 combination therapy. In the revised manuscript we have added it. An AAV v</w:t>
      </w:r>
      <w:r>
        <w:rPr>
          <w:rFonts w:ascii="Times New Roman" w:eastAsia="Times New Roman" w:hAnsi="Times New Roman" w:cs="Times New Roman"/>
          <w:i/>
          <w:color w:val="0070C0"/>
          <w:sz w:val="24"/>
          <w:szCs w:val="24"/>
        </w:rPr>
        <w:t>ector expressing solely APOE2 was designated AAV-APOE2, and we conducted a comparative analysis of pathological indicators following the administration of AAV-APOE2 and AAV-TaqTth-T-APOE2 in 5×FAD mice (please see in Fig. S12). We hope the referee is satis</w:t>
      </w:r>
      <w:r>
        <w:rPr>
          <w:rFonts w:ascii="Times New Roman" w:eastAsia="Times New Roman" w:hAnsi="Times New Roman" w:cs="Times New Roman"/>
          <w:i/>
          <w:color w:val="0070C0"/>
          <w:sz w:val="24"/>
          <w:szCs w:val="24"/>
        </w:rPr>
        <w:t>fied with the editions we made in the current version of the manuscript.</w:t>
      </w:r>
    </w:p>
    <w:p w14:paraId="0000005E"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5F"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0" w14:textId="77777777" w:rsidR="00993E07" w:rsidRDefault="0024528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Minor Q1: What was the function of "GAAACACCG" sequence in the U6-driven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plasmid? </w:t>
      </w:r>
    </w:p>
    <w:p w14:paraId="00000061" w14:textId="77777777" w:rsidR="00993E07" w:rsidRDefault="00245289">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"gagggcctatttcccatgattccttcatatttgcatatacgatacaaggctgttagagagataattggaattaatttgactgtaaacacaa</w:t>
      </w:r>
      <w:r>
        <w:rPr>
          <w:rFonts w:ascii="Times New Roman" w:eastAsia="Times New Roman" w:hAnsi="Times New Roman" w:cs="Times New Roman"/>
          <w:sz w:val="24"/>
          <w:szCs w:val="24"/>
        </w:rPr>
        <w:t>agatattagtacaaaatacgtgacgtagaaagtaataatttcttgggtagtttgcagttttaaaattatgttttaaaatggactatcatatgcttaccgtaacttgaaagtatttcgatttcttggctttatatatcttgtggaaaggacGAAACACCGNNNNNNNNNNNNNNNNNNNNAAAGTCGGCCGAAAGGCCGACTTTTTTAGCT"</w:t>
      </w:r>
    </w:p>
    <w:p w14:paraId="00000062"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Thanks to the reviewer for the car</w:t>
      </w:r>
      <w:r>
        <w:rPr>
          <w:rFonts w:ascii="Times New Roman" w:eastAsia="Times New Roman" w:hAnsi="Times New Roman" w:cs="Times New Roman"/>
          <w:i/>
          <w:color w:val="0070C0"/>
          <w:sz w:val="24"/>
          <w:szCs w:val="24"/>
        </w:rPr>
        <w:t xml:space="preserve">eful review. The "GAAACACCG" sequence is the cleavage site of </w:t>
      </w:r>
      <w:proofErr w:type="spellStart"/>
      <w:r>
        <w:rPr>
          <w:rFonts w:ascii="Times New Roman" w:eastAsia="Times New Roman" w:hAnsi="Times New Roman" w:cs="Times New Roman"/>
          <w:i/>
          <w:color w:val="0070C0"/>
          <w:sz w:val="24"/>
          <w:szCs w:val="24"/>
        </w:rPr>
        <w:t>BbsI</w:t>
      </w:r>
      <w:proofErr w:type="spellEnd"/>
      <w:r>
        <w:rPr>
          <w:rFonts w:ascii="Times New Roman" w:eastAsia="Times New Roman" w:hAnsi="Times New Roman" w:cs="Times New Roman"/>
          <w:i/>
          <w:color w:val="0070C0"/>
          <w:sz w:val="24"/>
          <w:szCs w:val="24"/>
        </w:rPr>
        <w:t xml:space="preserve"> restriction endonuclease (GAAA/CACCCG). We use it and another restriction endonuclease </w:t>
      </w:r>
      <w:proofErr w:type="spellStart"/>
      <w:r>
        <w:rPr>
          <w:rFonts w:ascii="Times New Roman" w:eastAsia="Times New Roman" w:hAnsi="Times New Roman" w:cs="Times New Roman"/>
          <w:i/>
          <w:color w:val="0070C0"/>
          <w:sz w:val="24"/>
          <w:szCs w:val="24"/>
        </w:rPr>
        <w:t>SacI</w:t>
      </w:r>
      <w:proofErr w:type="spellEnd"/>
      <w:r>
        <w:rPr>
          <w:rFonts w:ascii="Times New Roman" w:eastAsia="Times New Roman" w:hAnsi="Times New Roman" w:cs="Times New Roman"/>
          <w:i/>
          <w:color w:val="0070C0"/>
          <w:sz w:val="24"/>
          <w:szCs w:val="24"/>
        </w:rPr>
        <w:t xml:space="preserve"> (AGCT/C) to replace the guide sequence for different targeted loci. As you suggested, we have exp</w:t>
      </w:r>
      <w:r>
        <w:rPr>
          <w:rFonts w:ascii="Times New Roman" w:eastAsia="Times New Roman" w:hAnsi="Times New Roman" w:cs="Times New Roman"/>
          <w:i/>
          <w:color w:val="0070C0"/>
          <w:sz w:val="24"/>
          <w:szCs w:val="24"/>
        </w:rPr>
        <w:t>ressed this part more clearly in the revised manuscript (please see in Fig. S2).</w:t>
      </w:r>
    </w:p>
    <w:p w14:paraId="00000063"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4"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5"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Minor Q2: In Figure1A, what is the functional role of each domain? Please label the functions of each domain.</w:t>
      </w:r>
    </w:p>
    <w:p w14:paraId="00000066"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As the referee suggested, we added functional roles f</w:t>
      </w:r>
      <w:r>
        <w:rPr>
          <w:rFonts w:ascii="Times New Roman" w:eastAsia="Times New Roman" w:hAnsi="Times New Roman" w:cs="Times New Roman"/>
          <w:i/>
          <w:color w:val="0070C0"/>
          <w:sz w:val="24"/>
          <w:szCs w:val="24"/>
        </w:rPr>
        <w:t>or each domain in revised Fig. 1A. By consulting the literature (Ma et al., 2000, PMID: 10827184), the C-terminal two-thirds of the proteins (297-832aa) comprises the polymerase domain, whereas the N-terminal one-third (1-297 aa) contains the 5’ nuclease d</w:t>
      </w:r>
      <w:r>
        <w:rPr>
          <w:rFonts w:ascii="Times New Roman" w:eastAsia="Times New Roman" w:hAnsi="Times New Roman" w:cs="Times New Roman"/>
          <w:i/>
          <w:color w:val="0070C0"/>
          <w:sz w:val="24"/>
          <w:szCs w:val="24"/>
        </w:rPr>
        <w:t>omain.</w:t>
      </w:r>
    </w:p>
    <w:p w14:paraId="00000067"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8"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9"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Minor Q3. In Fig.4E, why were the protein levels of </w:t>
      </w:r>
      <w:proofErr w:type="spellStart"/>
      <w:r>
        <w:rPr>
          <w:rFonts w:ascii="Times New Roman" w:eastAsia="Times New Roman" w:hAnsi="Times New Roman" w:cs="Times New Roman"/>
          <w:sz w:val="24"/>
          <w:szCs w:val="24"/>
        </w:rPr>
        <w:t>APPwt</w:t>
      </w:r>
      <w:proofErr w:type="spellEnd"/>
      <w:r>
        <w:rPr>
          <w:rFonts w:ascii="Times New Roman" w:eastAsia="Times New Roman" w:hAnsi="Times New Roman" w:cs="Times New Roman"/>
          <w:sz w:val="24"/>
          <w:szCs w:val="24"/>
        </w:rPr>
        <w:t xml:space="preserve"> not equal between the NT targeting groups.</w:t>
      </w:r>
    </w:p>
    <w:p w14:paraId="0000006A"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Thanks to the reviewer for the helpful suggestion. The exposure intensity may affect the electrophoretic band's intensity. And the experiments in Fig.4E were conducted in two HEK293T cell lines stably expressing </w:t>
      </w:r>
      <w:proofErr w:type="spellStart"/>
      <w:r>
        <w:rPr>
          <w:rFonts w:ascii="Times New Roman" w:eastAsia="Times New Roman" w:hAnsi="Times New Roman" w:cs="Times New Roman"/>
          <w:i/>
          <w:color w:val="0070C0"/>
          <w:sz w:val="24"/>
          <w:szCs w:val="24"/>
        </w:rPr>
        <w:t>APP</w:t>
      </w:r>
      <w:r>
        <w:rPr>
          <w:rFonts w:ascii="Times New Roman" w:eastAsia="Times New Roman" w:hAnsi="Times New Roman" w:cs="Times New Roman"/>
          <w:i/>
          <w:color w:val="0070C0"/>
          <w:sz w:val="24"/>
          <w:szCs w:val="24"/>
          <w:vertAlign w:val="superscript"/>
        </w:rPr>
        <w:t>swe</w:t>
      </w:r>
      <w:proofErr w:type="spellEnd"/>
      <w:r>
        <w:rPr>
          <w:rFonts w:ascii="Times New Roman" w:eastAsia="Times New Roman" w:hAnsi="Times New Roman" w:cs="Times New Roman"/>
          <w:i/>
          <w:color w:val="0070C0"/>
          <w:sz w:val="24"/>
          <w:szCs w:val="24"/>
        </w:rPr>
        <w:t xml:space="preserve"> or </w:t>
      </w:r>
      <w:proofErr w:type="spellStart"/>
      <w:r>
        <w:rPr>
          <w:rFonts w:ascii="Times New Roman" w:eastAsia="Times New Roman" w:hAnsi="Times New Roman" w:cs="Times New Roman"/>
          <w:i/>
          <w:color w:val="0070C0"/>
          <w:sz w:val="24"/>
          <w:szCs w:val="24"/>
        </w:rPr>
        <w:t>APP</w:t>
      </w:r>
      <w:r>
        <w:rPr>
          <w:rFonts w:ascii="Times New Roman" w:eastAsia="Times New Roman" w:hAnsi="Times New Roman" w:cs="Times New Roman"/>
          <w:i/>
          <w:color w:val="0070C0"/>
          <w:sz w:val="24"/>
          <w:szCs w:val="24"/>
          <w:vertAlign w:val="superscript"/>
        </w:rPr>
        <w:t>wt</w:t>
      </w:r>
      <w:proofErr w:type="spellEnd"/>
      <w:r>
        <w:rPr>
          <w:rFonts w:ascii="Times New Roman" w:eastAsia="Times New Roman" w:hAnsi="Times New Roman" w:cs="Times New Roman"/>
          <w:i/>
          <w:color w:val="0070C0"/>
          <w:sz w:val="24"/>
          <w:szCs w:val="24"/>
        </w:rPr>
        <w:t xml:space="preserve"> (HEK293T-APP</w:t>
      </w:r>
      <w:r>
        <w:rPr>
          <w:rFonts w:ascii="Times New Roman" w:eastAsia="Times New Roman" w:hAnsi="Times New Roman" w:cs="Times New Roman"/>
          <w:i/>
          <w:color w:val="0070C0"/>
          <w:sz w:val="24"/>
          <w:szCs w:val="24"/>
          <w:vertAlign w:val="superscript"/>
        </w:rPr>
        <w:t>swe</w:t>
      </w:r>
      <w:r>
        <w:rPr>
          <w:rFonts w:ascii="Times New Roman" w:eastAsia="Times New Roman" w:hAnsi="Times New Roman" w:cs="Times New Roman"/>
          <w:i/>
          <w:color w:val="0070C0"/>
          <w:sz w:val="24"/>
          <w:szCs w:val="24"/>
        </w:rPr>
        <w:t xml:space="preserve"> / </w:t>
      </w:r>
      <w:r>
        <w:rPr>
          <w:rFonts w:ascii="Times New Roman" w:eastAsia="Times New Roman" w:hAnsi="Times New Roman" w:cs="Times New Roman"/>
          <w:i/>
          <w:color w:val="0070C0"/>
          <w:sz w:val="24"/>
          <w:szCs w:val="24"/>
        </w:rPr>
        <w:t>HEK293T-APP</w:t>
      </w:r>
      <w:r>
        <w:rPr>
          <w:rFonts w:ascii="Times New Roman" w:eastAsia="Times New Roman" w:hAnsi="Times New Roman" w:cs="Times New Roman"/>
          <w:i/>
          <w:color w:val="0070C0"/>
          <w:sz w:val="24"/>
          <w:szCs w:val="24"/>
          <w:vertAlign w:val="superscript"/>
        </w:rPr>
        <w:t>wt</w:t>
      </w:r>
      <w:r>
        <w:rPr>
          <w:rFonts w:ascii="Times New Roman" w:eastAsia="Times New Roman" w:hAnsi="Times New Roman" w:cs="Times New Roman"/>
          <w:i/>
          <w:color w:val="0070C0"/>
          <w:sz w:val="24"/>
          <w:szCs w:val="24"/>
        </w:rPr>
        <w:t xml:space="preserve"> cells), respectively, </w:t>
      </w:r>
      <w:proofErr w:type="gramStart"/>
      <w:r>
        <w:rPr>
          <w:rFonts w:ascii="Times New Roman" w:eastAsia="Times New Roman" w:hAnsi="Times New Roman" w:cs="Times New Roman"/>
          <w:i/>
          <w:color w:val="0070C0"/>
          <w:sz w:val="24"/>
          <w:szCs w:val="24"/>
        </w:rPr>
        <w:t>We</w:t>
      </w:r>
      <w:proofErr w:type="gramEnd"/>
      <w:r>
        <w:rPr>
          <w:rFonts w:ascii="Times New Roman" w:eastAsia="Times New Roman" w:hAnsi="Times New Roman" w:cs="Times New Roman"/>
          <w:i/>
          <w:color w:val="0070C0"/>
          <w:sz w:val="24"/>
          <w:szCs w:val="24"/>
        </w:rPr>
        <w:t xml:space="preserve"> have repeated the experiment (please see revised Fig. 4E) and hope to meet the expectations. </w:t>
      </w:r>
    </w:p>
    <w:p w14:paraId="0000006B"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C"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6D"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Minor Q4: In Figure 6 G-K, please label the X-axis groups.</w:t>
      </w:r>
    </w:p>
    <w:p w14:paraId="0000006E"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Thanks to the reviewer for the careful review. We ha</w:t>
      </w:r>
      <w:r>
        <w:rPr>
          <w:rFonts w:ascii="Times New Roman" w:eastAsia="Times New Roman" w:hAnsi="Times New Roman" w:cs="Times New Roman"/>
          <w:i/>
          <w:color w:val="0070C0"/>
          <w:sz w:val="24"/>
          <w:szCs w:val="24"/>
        </w:rPr>
        <w:t xml:space="preserve">ve labeled the X-axis groups according to your advice (please see revised Fig. 6G-K). </w:t>
      </w:r>
    </w:p>
    <w:p w14:paraId="00000070" w14:textId="77777777" w:rsidR="00993E07" w:rsidRDefault="00993E07">
      <w:pPr>
        <w:spacing w:after="120" w:line="240" w:lineRule="auto"/>
        <w:jc w:val="both"/>
        <w:rPr>
          <w:rFonts w:ascii="Times New Roman" w:eastAsia="Times New Roman" w:hAnsi="Times New Roman" w:cs="Times New Roman"/>
          <w:b/>
          <w:sz w:val="24"/>
          <w:szCs w:val="24"/>
        </w:rPr>
      </w:pPr>
    </w:p>
    <w:p w14:paraId="00000071" w14:textId="77777777" w:rsidR="00993E07" w:rsidRDefault="00245289">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 to Comments of Referee #2</w:t>
      </w:r>
    </w:p>
    <w:p w14:paraId="00000072"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Q1. More detailed insight into how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 works would enhance the abstract. A brief explanation of how it achieves </w:t>
      </w:r>
      <w:r>
        <w:rPr>
          <w:rFonts w:ascii="Times New Roman" w:eastAsia="Times New Roman" w:hAnsi="Times New Roman" w:cs="Times New Roman"/>
          <w:sz w:val="24"/>
          <w:szCs w:val="24"/>
        </w:rPr>
        <w:t>the high specificity and avoids off-target effects, even in a succinct manner, would be insightful.</w:t>
      </w:r>
    </w:p>
    <w:p w14:paraId="00000073"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Response: Thanks to the reviewer for the kind suggestion. Due to the limitation of 100 words, we present a brief statement of how it achieves high specifici</w:t>
      </w:r>
      <w:r>
        <w:rPr>
          <w:rFonts w:ascii="Times New Roman" w:eastAsia="Times New Roman" w:hAnsi="Times New Roman" w:cs="Times New Roman"/>
          <w:i/>
          <w:color w:val="0070C0"/>
          <w:sz w:val="24"/>
          <w:szCs w:val="24"/>
        </w:rPr>
        <w:t xml:space="preserve">ty and efficiency in the revised abstract. It was reported (Ma et al., 2000, PMID: 10827184) that the amino acids between 331 and 596 </w:t>
      </w:r>
      <w:r>
        <w:rPr>
          <w:rFonts w:ascii="Times New Roman" w:eastAsia="Times New Roman" w:hAnsi="Times New Roman" w:cs="Times New Roman"/>
          <w:i/>
          <w:color w:val="0070C0"/>
          <w:sz w:val="24"/>
          <w:szCs w:val="24"/>
        </w:rPr>
        <w:lastRenderedPageBreak/>
        <w:t xml:space="preserve">from </w:t>
      </w:r>
      <w:proofErr w:type="spellStart"/>
      <w:r>
        <w:rPr>
          <w:rFonts w:ascii="Times New Roman" w:eastAsia="Times New Roman" w:hAnsi="Times New Roman" w:cs="Times New Roman"/>
          <w:i/>
          <w:color w:val="0070C0"/>
          <w:sz w:val="24"/>
          <w:szCs w:val="24"/>
        </w:rPr>
        <w:t>TthPol</w:t>
      </w:r>
      <w:proofErr w:type="spellEnd"/>
      <w:r>
        <w:rPr>
          <w:rFonts w:ascii="Times New Roman" w:eastAsia="Times New Roman" w:hAnsi="Times New Roman" w:cs="Times New Roman"/>
          <w:i/>
          <w:color w:val="0070C0"/>
          <w:sz w:val="24"/>
          <w:szCs w:val="24"/>
        </w:rPr>
        <w:t xml:space="preserve"> are responsible for the high ribonuclease activity. The specificity may inherent characteristic of the 1-328 a</w:t>
      </w:r>
      <w:r>
        <w:rPr>
          <w:rFonts w:ascii="Times New Roman" w:eastAsia="Times New Roman" w:hAnsi="Times New Roman" w:cs="Times New Roman"/>
          <w:i/>
          <w:color w:val="0070C0"/>
          <w:sz w:val="24"/>
          <w:szCs w:val="24"/>
        </w:rPr>
        <w:t xml:space="preserve">a of </w:t>
      </w:r>
      <w:proofErr w:type="spellStart"/>
      <w:r>
        <w:rPr>
          <w:rFonts w:ascii="Times New Roman" w:eastAsia="Times New Roman" w:hAnsi="Times New Roman" w:cs="Times New Roman"/>
          <w:i/>
          <w:color w:val="0070C0"/>
          <w:sz w:val="24"/>
          <w:szCs w:val="24"/>
        </w:rPr>
        <w:t>TaqPol</w:t>
      </w:r>
      <w:proofErr w:type="spellEnd"/>
      <w:r>
        <w:rPr>
          <w:rFonts w:ascii="Times New Roman" w:eastAsia="Times New Roman" w:hAnsi="Times New Roman" w:cs="Times New Roman"/>
          <w:i/>
          <w:color w:val="0070C0"/>
          <w:sz w:val="24"/>
          <w:szCs w:val="24"/>
        </w:rPr>
        <w:t>, which contains very similar functional domains as FEN1 (Shen et al., 1996, 1997, PMID: 8621570, 9241249) inferring that polymerase may also be sensitive to mismatches on targeted substrates just as FEN1</w:t>
      </w:r>
      <w:r>
        <w:rPr>
          <w:rFonts w:ascii="Calibri" w:eastAsia="Calibri" w:hAnsi="Calibri" w:cs="Calibri"/>
          <w:sz w:val="21"/>
          <w:szCs w:val="21"/>
        </w:rPr>
        <w:t xml:space="preserve"> </w:t>
      </w:r>
      <w:r>
        <w:rPr>
          <w:rFonts w:ascii="Times New Roman" w:eastAsia="Times New Roman" w:hAnsi="Times New Roman" w:cs="Times New Roman"/>
          <w:i/>
          <w:color w:val="0070C0"/>
          <w:sz w:val="24"/>
          <w:szCs w:val="24"/>
        </w:rPr>
        <w:t>(</w:t>
      </w:r>
      <w:proofErr w:type="spellStart"/>
      <w:r>
        <w:rPr>
          <w:rFonts w:ascii="Times New Roman" w:eastAsia="Times New Roman" w:hAnsi="Times New Roman" w:cs="Times New Roman"/>
          <w:i/>
          <w:color w:val="0070C0"/>
          <w:sz w:val="24"/>
          <w:szCs w:val="24"/>
        </w:rPr>
        <w:t>Algasaier</w:t>
      </w:r>
      <w:proofErr w:type="spellEnd"/>
      <w:r>
        <w:rPr>
          <w:rFonts w:ascii="Times New Roman" w:eastAsia="Times New Roman" w:hAnsi="Times New Roman" w:cs="Times New Roman"/>
          <w:i/>
          <w:color w:val="0070C0"/>
          <w:sz w:val="24"/>
          <w:szCs w:val="24"/>
        </w:rPr>
        <w:t xml:space="preserve"> et al., 2016, PMID: 26884332)</w:t>
      </w:r>
      <w:r>
        <w:rPr>
          <w:rFonts w:ascii="Times New Roman" w:eastAsia="Times New Roman" w:hAnsi="Times New Roman" w:cs="Times New Roman"/>
          <w:i/>
          <w:color w:val="0070C0"/>
          <w:sz w:val="24"/>
          <w:szCs w:val="24"/>
        </w:rPr>
        <w:t xml:space="preserve">. The rearrangement of these crucial structural domains enables the chimeric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to possess high efficiency and specificity. We hope the referee is satisfied with the editions we made in the current version of the abstract.</w:t>
      </w:r>
    </w:p>
    <w:p w14:paraId="00000074"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75"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76"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Q2. The description about </w:t>
      </w:r>
      <w:proofErr w:type="spellStart"/>
      <w:r>
        <w:rPr>
          <w:rFonts w:ascii="Times New Roman" w:eastAsia="Times New Roman" w:hAnsi="Times New Roman" w:cs="Times New Roman"/>
          <w:sz w:val="24"/>
          <w:szCs w:val="24"/>
        </w:rPr>
        <w:t>h</w:t>
      </w:r>
      <w:r>
        <w:rPr>
          <w:rFonts w:ascii="Times New Roman" w:eastAsia="Times New Roman" w:hAnsi="Times New Roman" w:cs="Times New Roman"/>
          <w:sz w:val="24"/>
          <w:szCs w:val="24"/>
        </w:rPr>
        <w:t>pRNA</w:t>
      </w:r>
      <w:proofErr w:type="spellEnd"/>
      <w:r>
        <w:rPr>
          <w:rFonts w:ascii="Times New Roman" w:eastAsia="Times New Roman" w:hAnsi="Times New Roman" w:cs="Times New Roman"/>
          <w:sz w:val="24"/>
          <w:szCs w:val="24"/>
        </w:rPr>
        <w:t xml:space="preserve"> design demands further explanation and discussion regarding its feasibility. More elaboration is needed on why this particular design is considered viable and whether potential off-target effects have been contemplated. Additional theoretical or prior</w:t>
      </w:r>
      <w:r>
        <w:rPr>
          <w:rFonts w:ascii="Times New Roman" w:eastAsia="Times New Roman" w:hAnsi="Times New Roman" w:cs="Times New Roman"/>
          <w:sz w:val="24"/>
          <w:szCs w:val="24"/>
        </w:rPr>
        <w:t xml:space="preserve"> research is needed to support the assumptions about the interaction between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and its RNA helicase activity. Additional exploration into the mechanism of action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tool is warranted. In-depth insight into how the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interact at a molecular level to cleave target mRNA could provide valuable data and strengthen the findings.</w:t>
      </w:r>
    </w:p>
    <w:p w14:paraId="00000077"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Thanks to the reviewer for the helpful comments. We are sorry not to illustrate the design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clearly in detail. As the refe</w:t>
      </w:r>
      <w:r>
        <w:rPr>
          <w:rFonts w:ascii="Times New Roman" w:eastAsia="Times New Roman" w:hAnsi="Times New Roman" w:cs="Times New Roman"/>
          <w:i/>
          <w:color w:val="0070C0"/>
          <w:sz w:val="24"/>
          <w:szCs w:val="24"/>
        </w:rPr>
        <w:t xml:space="preserve">ree suggested, we added more descriptions and in vitro experiments in the revised manuscript. </w:t>
      </w:r>
    </w:p>
    <w:p w14:paraId="00000078"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Firstly, about the design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(1) Since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has a similar domain as aFEN1, we designed the basis structure of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by imitating the </w:t>
      </w:r>
      <w:proofErr w:type="spellStart"/>
      <w:r>
        <w:rPr>
          <w:rFonts w:ascii="Times New Roman" w:eastAsia="Times New Roman" w:hAnsi="Times New Roman" w:cs="Times New Roman"/>
          <w:i/>
          <w:color w:val="0070C0"/>
          <w:sz w:val="24"/>
          <w:szCs w:val="24"/>
        </w:rPr>
        <w:t>hpDNA</w:t>
      </w:r>
      <w:proofErr w:type="spellEnd"/>
      <w:r>
        <w:rPr>
          <w:rFonts w:ascii="Times New Roman" w:eastAsia="Times New Roman" w:hAnsi="Times New Roman" w:cs="Times New Roman"/>
          <w:i/>
          <w:color w:val="0070C0"/>
          <w:sz w:val="24"/>
          <w:szCs w:val="24"/>
        </w:rPr>
        <w:t xml:space="preserve"> from the previously reported </w:t>
      </w:r>
      <w:proofErr w:type="spellStart"/>
      <w:r>
        <w:rPr>
          <w:rFonts w:ascii="Times New Roman" w:eastAsia="Times New Roman" w:hAnsi="Times New Roman" w:cs="Times New Roman"/>
          <w:i/>
          <w:color w:val="0070C0"/>
          <w:sz w:val="24"/>
          <w:szCs w:val="24"/>
        </w:rPr>
        <w:t>HpSGN</w:t>
      </w:r>
      <w:proofErr w:type="spellEnd"/>
      <w:r>
        <w:rPr>
          <w:rFonts w:ascii="Times New Roman" w:eastAsia="Times New Roman" w:hAnsi="Times New Roman" w:cs="Times New Roman"/>
          <w:i/>
          <w:color w:val="0070C0"/>
          <w:sz w:val="24"/>
          <w:szCs w:val="24"/>
        </w:rPr>
        <w:t xml:space="preserve"> (Tian et al., 2020, PMID: 33051689). As shown in revised Fig. 1D,</w:t>
      </w:r>
      <w:r>
        <w:rPr>
          <w:rFonts w:ascii="Times New Roman" w:eastAsia="Times New Roman" w:hAnsi="Times New Roman" w:cs="Times New Roman"/>
          <w:i/>
          <w:color w:val="0070C0"/>
          <w:sz w:val="24"/>
          <w:szCs w:val="24"/>
        </w:rPr>
        <w:t xml:space="preserve"> the hp-st1 was the original version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Considering that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is mediated by the U6 promoter in cells, we optimized the sequence to make the transcription able to stop at the end of the stem-loop but not terminate in the middle (hp-st2 version). We</w:t>
      </w:r>
      <w:r>
        <w:rPr>
          <w:rFonts w:ascii="Times New Roman" w:eastAsia="Times New Roman" w:hAnsi="Times New Roman" w:cs="Times New Roman"/>
          <w:i/>
          <w:color w:val="0070C0"/>
          <w:sz w:val="24"/>
          <w:szCs w:val="24"/>
        </w:rPr>
        <w:t xml:space="preserve"> did the gel-experiment to make sure this stem-loop works well (please see in revised Fig. 1D). (2) The guide sequences of 10, 15, 20 and 25-nt length in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were tried, respectively. Despite the fact that the 10-nt guide sequence did not work, the 1</w:t>
      </w:r>
      <w:r>
        <w:rPr>
          <w:rFonts w:ascii="Times New Roman" w:eastAsia="Times New Roman" w:hAnsi="Times New Roman" w:cs="Times New Roman"/>
          <w:i/>
          <w:color w:val="0070C0"/>
          <w:sz w:val="24"/>
          <w:szCs w:val="24"/>
        </w:rPr>
        <w:t>5-nt, 20-nt, and 25-nt guide sequences performed well (please see it in revised Fig. 1D). We assume that the guide sequence should be long enough to bind firmly on the substrate. Hence a more than 20-nt guide sequence and the hp-st2 version of stem-loop we</w:t>
      </w:r>
      <w:r>
        <w:rPr>
          <w:rFonts w:ascii="Times New Roman" w:eastAsia="Times New Roman" w:hAnsi="Times New Roman" w:cs="Times New Roman"/>
          <w:i/>
          <w:color w:val="0070C0"/>
          <w:sz w:val="24"/>
          <w:szCs w:val="24"/>
        </w:rPr>
        <w:t xml:space="preserve">re employed in the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t>
      </w:r>
    </w:p>
    <w:p w14:paraId="00000079"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Next, about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and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interaction: (1) According to the literature (Ma et al., 2000, PMID: 10827184; Shen et al., 1997, PMID: 9241249; Xu et al., 2018, PMID: 30295841), the activity of the chimeric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is influenced</w:t>
      </w:r>
      <w:r>
        <w:rPr>
          <w:rFonts w:ascii="Times New Roman" w:eastAsia="Times New Roman" w:hAnsi="Times New Roman" w:cs="Times New Roman"/>
          <w:i/>
          <w:color w:val="0070C0"/>
          <w:sz w:val="24"/>
          <w:szCs w:val="24"/>
        </w:rPr>
        <w:t xml:space="preserve"> by the D144, K418, and Q507 sites. The 'dead' mutated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protein was obtained by replacing these three sites with Alanine. In vitro tests proved that the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was incapable of cleavage against RNA substrates, while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worked well (please s</w:t>
      </w:r>
      <w:r>
        <w:rPr>
          <w:rFonts w:ascii="Times New Roman" w:eastAsia="Times New Roman" w:hAnsi="Times New Roman" w:cs="Times New Roman"/>
          <w:i/>
          <w:color w:val="0070C0"/>
          <w:sz w:val="24"/>
          <w:szCs w:val="24"/>
        </w:rPr>
        <w:t xml:space="preserve">ee in revised Fig. 1E). It will be utilized as a control in the next cellar tests. (2) As the referee suggested, we proved the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and </w:t>
      </w:r>
      <w:proofErr w:type="spellStart"/>
      <w:r>
        <w:rPr>
          <w:rFonts w:ascii="Times New Roman" w:eastAsia="Times New Roman" w:hAnsi="Times New Roman" w:cs="Times New Roman"/>
          <w:i/>
          <w:color w:val="0070C0"/>
          <w:sz w:val="24"/>
          <w:szCs w:val="24"/>
        </w:rPr>
        <w:t>dTaqTth</w:t>
      </w:r>
      <w:proofErr w:type="spellEnd"/>
      <w:r>
        <w:rPr>
          <w:rFonts w:ascii="Times New Roman" w:eastAsia="Times New Roman" w:hAnsi="Times New Roman" w:cs="Times New Roman"/>
          <w:i/>
          <w:color w:val="0070C0"/>
          <w:sz w:val="24"/>
          <w:szCs w:val="24"/>
        </w:rPr>
        <w:t xml:space="preserve"> could combine with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at the molecular level by EMSA (see in revised Fig. S1). But we did not explore the R</w:t>
      </w:r>
      <w:r>
        <w:rPr>
          <w:rFonts w:ascii="Times New Roman" w:eastAsia="Times New Roman" w:hAnsi="Times New Roman" w:cs="Times New Roman"/>
          <w:i/>
          <w:color w:val="0070C0"/>
          <w:sz w:val="24"/>
          <w:szCs w:val="24"/>
        </w:rPr>
        <w:t xml:space="preserve">NA helicase activity since target mRNA generally exists in single-stranded form. (3) To further identify the cutting sites, we labeled the 5'-end and 3'-end of targeted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with FAM, respectively, and designed three </w:t>
      </w:r>
      <w:proofErr w:type="spellStart"/>
      <w:r>
        <w:rPr>
          <w:rFonts w:ascii="Times New Roman" w:eastAsia="Times New Roman" w:hAnsi="Times New Roman" w:cs="Times New Roman"/>
          <w:i/>
          <w:color w:val="0070C0"/>
          <w:sz w:val="24"/>
          <w:szCs w:val="24"/>
        </w:rPr>
        <w:t>hpRNAs</w:t>
      </w:r>
      <w:proofErr w:type="spellEnd"/>
      <w:r>
        <w:rPr>
          <w:rFonts w:ascii="Times New Roman" w:eastAsia="Times New Roman" w:hAnsi="Times New Roman" w:cs="Times New Roman"/>
          <w:i/>
          <w:color w:val="0070C0"/>
          <w:sz w:val="24"/>
          <w:szCs w:val="24"/>
        </w:rPr>
        <w:t xml:space="preserve"> locating different positions sh</w:t>
      </w:r>
      <w:r>
        <w:rPr>
          <w:rFonts w:ascii="Times New Roman" w:eastAsia="Times New Roman" w:hAnsi="Times New Roman" w:cs="Times New Roman"/>
          <w:i/>
          <w:color w:val="0070C0"/>
          <w:sz w:val="24"/>
          <w:szCs w:val="24"/>
        </w:rPr>
        <w:t xml:space="preserve">ifted from 3' to 5' in sequence. It was observed that the cleavage products of the 5'-end labeled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decreased from large to small (about 20-nt, 14-nt, 11-nt in sequence), while the cleavage products of the 3'-end labeled </w:t>
      </w:r>
      <w:proofErr w:type="spellStart"/>
      <w:r>
        <w:rPr>
          <w:rFonts w:ascii="Times New Roman" w:eastAsia="Times New Roman" w:hAnsi="Times New Roman" w:cs="Times New Roman"/>
          <w:i/>
          <w:color w:val="0070C0"/>
          <w:sz w:val="24"/>
          <w:szCs w:val="24"/>
        </w:rPr>
        <w:t>ssRNA</w:t>
      </w:r>
      <w:proofErr w:type="spellEnd"/>
      <w:r>
        <w:rPr>
          <w:rFonts w:ascii="Times New Roman" w:eastAsia="Times New Roman" w:hAnsi="Times New Roman" w:cs="Times New Roman"/>
          <w:i/>
          <w:color w:val="0070C0"/>
          <w:sz w:val="24"/>
          <w:szCs w:val="24"/>
        </w:rPr>
        <w:t xml:space="preserve"> increased from small to l</w:t>
      </w:r>
      <w:r>
        <w:rPr>
          <w:rFonts w:ascii="Times New Roman" w:eastAsia="Times New Roman" w:hAnsi="Times New Roman" w:cs="Times New Roman"/>
          <w:i/>
          <w:color w:val="0070C0"/>
          <w:sz w:val="24"/>
          <w:szCs w:val="24"/>
        </w:rPr>
        <w:t xml:space="preserve">arge (about 19-nt, 25-nt, 28-nt in sequence). As a result, we inferred that the cutting site falls near the 5' end of the probe-target duplex region (please see in revised Fig. 1F). </w:t>
      </w:r>
    </w:p>
    <w:p w14:paraId="0000007A"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lastRenderedPageBreak/>
        <w:t xml:space="preserve">Thanks to the reviewer for the valuable advice to us, making our article </w:t>
      </w:r>
      <w:r>
        <w:rPr>
          <w:rFonts w:ascii="Times New Roman" w:eastAsia="Times New Roman" w:hAnsi="Times New Roman" w:cs="Times New Roman"/>
          <w:i/>
          <w:color w:val="0070C0"/>
          <w:sz w:val="24"/>
          <w:szCs w:val="24"/>
        </w:rPr>
        <w:t>of higher quality and more convincing, and hope to meet the expectations.</w:t>
      </w:r>
    </w:p>
    <w:p w14:paraId="0000007B"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7C"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7D"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Q3. The manuscript could discuss potential applications and limitations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 in a broader biological or therapeutic context. Specific scenarios where this too</w:t>
      </w:r>
      <w:r>
        <w:rPr>
          <w:rFonts w:ascii="Times New Roman" w:eastAsia="Times New Roman" w:hAnsi="Times New Roman" w:cs="Times New Roman"/>
          <w:sz w:val="24"/>
          <w:szCs w:val="24"/>
        </w:rPr>
        <w:t>l may be particularly useful or faced with challenges should be examined.</w:t>
      </w:r>
    </w:p>
    <w:p w14:paraId="0000007E"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Thanks to the reviewer for the valuable advice. Compared with the robust CRISPR-associated systems,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is just a potential choice at present. More work is sti</w:t>
      </w:r>
      <w:r>
        <w:rPr>
          <w:rFonts w:ascii="Times New Roman" w:eastAsia="Times New Roman" w:hAnsi="Times New Roman" w:cs="Times New Roman"/>
          <w:i/>
          <w:color w:val="0070C0"/>
          <w:sz w:val="24"/>
          <w:szCs w:val="24"/>
        </w:rPr>
        <w:t xml:space="preserve">ll needed to further optimize the efficiency by testing more protein variants and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variants. Then as an RNA cleaving tool,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cannot achieve RNA base replacement. In addition, there is still concern about the AAV delivery’s potential safety </w:t>
      </w:r>
      <w:r>
        <w:rPr>
          <w:rFonts w:ascii="Times New Roman" w:eastAsia="Times New Roman" w:hAnsi="Times New Roman" w:cs="Times New Roman"/>
          <w:i/>
          <w:color w:val="0070C0"/>
          <w:sz w:val="24"/>
          <w:szCs w:val="24"/>
        </w:rPr>
        <w:t xml:space="preserve">risks. Based on the animal-level </w:t>
      </w:r>
      <w:proofErr w:type="spellStart"/>
      <w:r>
        <w:rPr>
          <w:rFonts w:ascii="Times New Roman" w:eastAsia="Times New Roman" w:hAnsi="Times New Roman" w:cs="Times New Roman"/>
          <w:i/>
          <w:color w:val="0070C0"/>
          <w:sz w:val="24"/>
          <w:szCs w:val="24"/>
        </w:rPr>
        <w:t>APP</w:t>
      </w:r>
      <w:r>
        <w:rPr>
          <w:rFonts w:ascii="Times New Roman" w:eastAsia="Times New Roman" w:hAnsi="Times New Roman" w:cs="Times New Roman"/>
          <w:i/>
          <w:color w:val="0070C0"/>
          <w:sz w:val="24"/>
          <w:szCs w:val="24"/>
          <w:vertAlign w:val="superscript"/>
        </w:rPr>
        <w:t>swe</w:t>
      </w:r>
      <w:proofErr w:type="spellEnd"/>
      <w:r>
        <w:rPr>
          <w:rFonts w:ascii="Times New Roman" w:eastAsia="Times New Roman" w:hAnsi="Times New Roman" w:cs="Times New Roman"/>
          <w:i/>
          <w:color w:val="0070C0"/>
          <w:sz w:val="24"/>
          <w:szCs w:val="24"/>
        </w:rPr>
        <w:t xml:space="preserve"> tests by a single AAV combined with APOE2,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could be used to inhibit pathogenic mRNA for gene therapy. The successful and efficient cleavage described in this study also encouraged us to investigate w</w:t>
      </w:r>
      <w:r>
        <w:rPr>
          <w:rFonts w:ascii="Times New Roman" w:eastAsia="Times New Roman" w:hAnsi="Times New Roman" w:cs="Times New Roman"/>
          <w:i/>
          <w:color w:val="0070C0"/>
          <w:sz w:val="24"/>
          <w:szCs w:val="24"/>
        </w:rPr>
        <w:t xml:space="preserve">hether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can also effectively cleave bacterial RNA. Furthermore, whether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could be used for DNA editing is worth exploring. The compact dead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protein also provides an alternative to being modified with effectors with broad geno</w:t>
      </w:r>
      <w:r>
        <w:rPr>
          <w:rFonts w:ascii="Times New Roman" w:eastAsia="Times New Roman" w:hAnsi="Times New Roman" w:cs="Times New Roman"/>
          <w:i/>
          <w:color w:val="0070C0"/>
          <w:sz w:val="24"/>
          <w:szCs w:val="24"/>
        </w:rPr>
        <w:t xml:space="preserve">me engineering applications, including RNA regulation and RNA imaging in future studies. </w:t>
      </w:r>
    </w:p>
    <w:p w14:paraId="0000007F"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As the referee suggested, we added a concise context and Fig. 7 to summarize the potential application and limitations in the discussion section of the revised manusc</w:t>
      </w:r>
      <w:r>
        <w:rPr>
          <w:rFonts w:ascii="Times New Roman" w:eastAsia="Times New Roman" w:hAnsi="Times New Roman" w:cs="Times New Roman"/>
          <w:i/>
          <w:color w:val="0070C0"/>
          <w:sz w:val="24"/>
          <w:szCs w:val="24"/>
        </w:rPr>
        <w:t>ript. We hope the referee is satisfied with the editions we made.</w:t>
      </w:r>
    </w:p>
    <w:p w14:paraId="00000080"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1"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2"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Q4. More insight into the possible off-target effects and an analysis of cell viability post-transfection should be incorporated to gauge the safety and utility of the tool in both researc</w:t>
      </w:r>
      <w:r>
        <w:rPr>
          <w:rFonts w:ascii="Times New Roman" w:eastAsia="Times New Roman" w:hAnsi="Times New Roman" w:cs="Times New Roman"/>
          <w:sz w:val="24"/>
          <w:szCs w:val="24"/>
        </w:rPr>
        <w:t xml:space="preserve">h and potential therapeutic applications. While the lack of sequence preference might be an advantage, further investigations into whether this leads to any unintended off-target effects or variations in efficiency depending on the mRNA sequence would add </w:t>
      </w:r>
      <w:r>
        <w:rPr>
          <w:rFonts w:ascii="Times New Roman" w:eastAsia="Times New Roman" w:hAnsi="Times New Roman" w:cs="Times New Roman"/>
          <w:sz w:val="24"/>
          <w:szCs w:val="24"/>
        </w:rPr>
        <w:t>a layer of depth to the findings.</w:t>
      </w:r>
    </w:p>
    <w:p w14:paraId="00000083"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Thanks to the reviewers for the valuable comments. We are sorry not to illustrate the part of off-target effects in detail. As the referee suggested, we added more experiments and descriptions in the revised manuscript. </w:t>
      </w:r>
    </w:p>
    <w:p w14:paraId="00000084"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Firstly, we added the tra</w:t>
      </w:r>
      <w:r>
        <w:rPr>
          <w:rFonts w:ascii="Times New Roman" w:eastAsia="Times New Roman" w:hAnsi="Times New Roman" w:cs="Times New Roman"/>
          <w:i/>
          <w:color w:val="0070C0"/>
          <w:sz w:val="24"/>
          <w:szCs w:val="24"/>
        </w:rPr>
        <w:t xml:space="preserve">nscriptome sequencing analysis of siRNA, CRISPR/Cas13, and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system to compare their off-target effects (please see in revised Fig. 3D, E and F). We also conducted comparative visual inspections of cell states before and after transfection and a</w:t>
      </w:r>
      <w:r>
        <w:rPr>
          <w:rFonts w:ascii="Times New Roman" w:eastAsia="Times New Roman" w:hAnsi="Times New Roman" w:cs="Times New Roman"/>
          <w:i/>
          <w:color w:val="0070C0"/>
          <w:sz w:val="24"/>
          <w:szCs w:val="24"/>
        </w:rPr>
        <w:t xml:space="preserve">nalyzed cellular viability (please see in revised Fig. 3B and C). In general,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and Cas13 showed better specificity and lower cytotoxicity than siRNA.</w:t>
      </w:r>
    </w:p>
    <w:p w14:paraId="00000085"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bookmarkStart w:id="4" w:name="_heading=h.2et92p0" w:colFirst="0" w:colLast="0"/>
      <w:bookmarkEnd w:id="4"/>
      <w:r>
        <w:rPr>
          <w:rFonts w:ascii="Times New Roman" w:eastAsia="Times New Roman" w:hAnsi="Times New Roman" w:cs="Times New Roman"/>
          <w:i/>
          <w:color w:val="0070C0"/>
          <w:sz w:val="24"/>
          <w:szCs w:val="24"/>
        </w:rPr>
        <w:t>Next, we analyzed the reason why the non-sequence-specific preference does not result in any unexpec</w:t>
      </w:r>
      <w:r>
        <w:rPr>
          <w:rFonts w:ascii="Times New Roman" w:eastAsia="Times New Roman" w:hAnsi="Times New Roman" w:cs="Times New Roman"/>
          <w:i/>
          <w:color w:val="0070C0"/>
          <w:sz w:val="24"/>
          <w:szCs w:val="24"/>
        </w:rPr>
        <w:t xml:space="preserve">ted off-target effects and exhibits varying editing efficiencies for different mRNA substrates. As we talked about above, the specificity may inherent characteristic of the N-terminal of </w:t>
      </w:r>
      <w:proofErr w:type="spellStart"/>
      <w:r>
        <w:rPr>
          <w:rFonts w:ascii="Times New Roman" w:eastAsia="Times New Roman" w:hAnsi="Times New Roman" w:cs="Times New Roman"/>
          <w:i/>
          <w:color w:val="0070C0"/>
          <w:sz w:val="24"/>
          <w:szCs w:val="24"/>
        </w:rPr>
        <w:t>TaqPol</w:t>
      </w:r>
      <w:proofErr w:type="spellEnd"/>
      <w:r>
        <w:rPr>
          <w:rFonts w:ascii="Times New Roman" w:eastAsia="Times New Roman" w:hAnsi="Times New Roman" w:cs="Times New Roman"/>
          <w:i/>
          <w:color w:val="0070C0"/>
          <w:sz w:val="24"/>
          <w:szCs w:val="24"/>
        </w:rPr>
        <w:t xml:space="preserve">, which contains very similar functional domains as FEN1 (Shen </w:t>
      </w:r>
      <w:r>
        <w:rPr>
          <w:rFonts w:ascii="Times New Roman" w:eastAsia="Times New Roman" w:hAnsi="Times New Roman" w:cs="Times New Roman"/>
          <w:i/>
          <w:color w:val="0070C0"/>
          <w:sz w:val="24"/>
          <w:szCs w:val="24"/>
        </w:rPr>
        <w:t>et al., 1996, 1997, PMID: 8621570, 9241249) inferring that polymerase may also be sensitive to mismatches on targeted substrates just as FEN</w:t>
      </w:r>
      <w:proofErr w:type="gramStart"/>
      <w:r>
        <w:rPr>
          <w:rFonts w:ascii="Times New Roman" w:eastAsia="Times New Roman" w:hAnsi="Times New Roman" w:cs="Times New Roman"/>
          <w:i/>
          <w:color w:val="0070C0"/>
          <w:sz w:val="24"/>
          <w:szCs w:val="24"/>
        </w:rPr>
        <w:t>1  (</w:t>
      </w:r>
      <w:proofErr w:type="spellStart"/>
      <w:proofErr w:type="gramEnd"/>
      <w:r>
        <w:rPr>
          <w:rFonts w:ascii="Times New Roman" w:eastAsia="Times New Roman" w:hAnsi="Times New Roman" w:cs="Times New Roman"/>
          <w:i/>
          <w:color w:val="0070C0"/>
          <w:sz w:val="24"/>
          <w:szCs w:val="24"/>
        </w:rPr>
        <w:t>Algasaier</w:t>
      </w:r>
      <w:proofErr w:type="spellEnd"/>
      <w:r>
        <w:rPr>
          <w:rFonts w:ascii="Times New Roman" w:eastAsia="Times New Roman" w:hAnsi="Times New Roman" w:cs="Times New Roman"/>
          <w:i/>
          <w:color w:val="0070C0"/>
          <w:sz w:val="24"/>
          <w:szCs w:val="24"/>
        </w:rPr>
        <w:t xml:space="preserve"> et al., 2016, PMID: 26884332). The rearrangement of these crucial structural domains enables the chime</w:t>
      </w:r>
      <w:r>
        <w:rPr>
          <w:rFonts w:ascii="Times New Roman" w:eastAsia="Times New Roman" w:hAnsi="Times New Roman" w:cs="Times New Roman"/>
          <w:i/>
          <w:color w:val="0070C0"/>
          <w:sz w:val="24"/>
          <w:szCs w:val="24"/>
        </w:rPr>
        <w:t xml:space="preserve">ric </w:t>
      </w:r>
      <w:proofErr w:type="spellStart"/>
      <w:r>
        <w:rPr>
          <w:rFonts w:ascii="Times New Roman" w:eastAsia="Times New Roman" w:hAnsi="Times New Roman" w:cs="Times New Roman"/>
          <w:i/>
          <w:color w:val="0070C0"/>
          <w:sz w:val="24"/>
          <w:szCs w:val="24"/>
        </w:rPr>
        <w:t>TaqTth</w:t>
      </w:r>
      <w:proofErr w:type="spellEnd"/>
      <w:r>
        <w:rPr>
          <w:rFonts w:ascii="Times New Roman" w:eastAsia="Times New Roman" w:hAnsi="Times New Roman" w:cs="Times New Roman"/>
          <w:i/>
          <w:color w:val="0070C0"/>
          <w:sz w:val="24"/>
          <w:szCs w:val="24"/>
        </w:rPr>
        <w:t xml:space="preserve"> to possess high specificity. It is somewhat analogous to the varying cleavage efficiencies of siRNA on different targets. The binding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with the targeted RNA is influenced by the secondary structure of the targeted </w:t>
      </w:r>
      <w:r>
        <w:rPr>
          <w:rFonts w:ascii="Times New Roman" w:eastAsia="Times New Roman" w:hAnsi="Times New Roman" w:cs="Times New Roman"/>
          <w:i/>
          <w:color w:val="0070C0"/>
          <w:sz w:val="24"/>
          <w:szCs w:val="24"/>
        </w:rPr>
        <w:lastRenderedPageBreak/>
        <w:t xml:space="preserve">RNA itself. And a high </w:t>
      </w:r>
      <w:r>
        <w:rPr>
          <w:rFonts w:ascii="Times New Roman" w:eastAsia="Times New Roman" w:hAnsi="Times New Roman" w:cs="Times New Roman"/>
          <w:i/>
          <w:color w:val="0070C0"/>
          <w:sz w:val="24"/>
          <w:szCs w:val="24"/>
        </w:rPr>
        <w:t xml:space="preserve">GC content may result in high melting temperature (Tm) values, leading to a more stable and higher-affinity binding of </w:t>
      </w:r>
      <w:proofErr w:type="spellStart"/>
      <w:r>
        <w:rPr>
          <w:rFonts w:ascii="Times New Roman" w:eastAsia="Times New Roman" w:hAnsi="Times New Roman" w:cs="Times New Roman"/>
          <w:i/>
          <w:color w:val="0070C0"/>
          <w:sz w:val="24"/>
          <w:szCs w:val="24"/>
        </w:rPr>
        <w:t>hpRNA</w:t>
      </w:r>
      <w:proofErr w:type="spellEnd"/>
      <w:r>
        <w:rPr>
          <w:rFonts w:ascii="Times New Roman" w:eastAsia="Times New Roman" w:hAnsi="Times New Roman" w:cs="Times New Roman"/>
          <w:i/>
          <w:color w:val="0070C0"/>
          <w:sz w:val="24"/>
          <w:szCs w:val="24"/>
        </w:rPr>
        <w:t xml:space="preserve"> with the targeted RNA.</w:t>
      </w:r>
    </w:p>
    <w:p w14:paraId="00000086" w14:textId="77777777" w:rsidR="00993E07" w:rsidRDefault="00245289">
      <w:pPr>
        <w:spacing w:after="0" w:line="240" w:lineRule="auto"/>
        <w:ind w:firstLine="480"/>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As the referee suggested, we added the analysis and discussion in the revised manuscript. Thanks to the revi</w:t>
      </w:r>
      <w:r>
        <w:rPr>
          <w:rFonts w:ascii="Times New Roman" w:eastAsia="Times New Roman" w:hAnsi="Times New Roman" w:cs="Times New Roman"/>
          <w:i/>
          <w:color w:val="0070C0"/>
          <w:sz w:val="24"/>
          <w:szCs w:val="24"/>
        </w:rPr>
        <w:t>ewer for the valuable advice to make our article more convincing.</w:t>
      </w:r>
      <w:r>
        <w:rPr>
          <w:rFonts w:ascii="Calibri" w:eastAsia="Calibri" w:hAnsi="Calibri" w:cs="Calibri"/>
          <w:sz w:val="21"/>
          <w:szCs w:val="21"/>
        </w:rPr>
        <w:t xml:space="preserve"> </w:t>
      </w:r>
      <w:r>
        <w:rPr>
          <w:rFonts w:ascii="Times New Roman" w:eastAsia="Times New Roman" w:hAnsi="Times New Roman" w:cs="Times New Roman"/>
          <w:i/>
          <w:color w:val="0070C0"/>
          <w:sz w:val="24"/>
          <w:szCs w:val="24"/>
        </w:rPr>
        <w:t>We hope the referee is satisfied with the editions we made.</w:t>
      </w:r>
    </w:p>
    <w:p w14:paraId="00000087"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8"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9" w14:textId="77777777" w:rsidR="00993E07" w:rsidRDefault="00245289">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Q5. Consider discussing the reproducibility of the results across different experiments and, if possible, integrating experiment</w:t>
      </w:r>
      <w:r>
        <w:rPr>
          <w:rFonts w:ascii="Times New Roman" w:eastAsia="Times New Roman" w:hAnsi="Times New Roman" w:cs="Times New Roman"/>
          <w:sz w:val="24"/>
          <w:szCs w:val="24"/>
        </w:rPr>
        <w:t xml:space="preserve">s across various cell types to display the robustness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w:t>
      </w:r>
    </w:p>
    <w:p w14:paraId="0000008A" w14:textId="77777777" w:rsidR="00993E07" w:rsidRDefault="00245289">
      <w:pPr>
        <w:spacing w:after="0" w:line="240" w:lineRule="auto"/>
        <w:jc w:val="both"/>
        <w:rPr>
          <w:rFonts w:ascii="Times New Roman" w:eastAsia="Times New Roman" w:hAnsi="Times New Roman" w:cs="Times New Roman"/>
          <w:i/>
          <w:color w:val="0070C0"/>
          <w:sz w:val="24"/>
          <w:szCs w:val="24"/>
        </w:rPr>
      </w:pPr>
      <w:bookmarkStart w:id="5" w:name="_heading=h.tyjcwt" w:colFirst="0" w:colLast="0"/>
      <w:bookmarkEnd w:id="5"/>
      <w:r>
        <w:rPr>
          <w:rFonts w:ascii="Times New Roman" w:eastAsia="Times New Roman" w:hAnsi="Times New Roman" w:cs="Times New Roman"/>
          <w:i/>
          <w:color w:val="0070C0"/>
          <w:sz w:val="24"/>
          <w:szCs w:val="24"/>
        </w:rPr>
        <w:t xml:space="preserve">Response: We thank the reviewer for the helpful comments. Following the suggestion, we added validation on the </w:t>
      </w:r>
      <w:proofErr w:type="spellStart"/>
      <w:r>
        <w:rPr>
          <w:rFonts w:ascii="Times New Roman" w:eastAsia="Times New Roman" w:hAnsi="Times New Roman" w:cs="Times New Roman"/>
          <w:i/>
          <w:color w:val="0070C0"/>
          <w:sz w:val="24"/>
          <w:szCs w:val="24"/>
        </w:rPr>
        <w:t>TaqTth-hpRNA</w:t>
      </w:r>
      <w:proofErr w:type="spellEnd"/>
      <w:r>
        <w:rPr>
          <w:rFonts w:ascii="Times New Roman" w:eastAsia="Times New Roman" w:hAnsi="Times New Roman" w:cs="Times New Roman"/>
          <w:i/>
          <w:color w:val="0070C0"/>
          <w:sz w:val="24"/>
          <w:szCs w:val="24"/>
        </w:rPr>
        <w:t xml:space="preserve"> system in different cell lines, and the results ar</w:t>
      </w:r>
      <w:r>
        <w:rPr>
          <w:rFonts w:ascii="Times New Roman" w:eastAsia="Times New Roman" w:hAnsi="Times New Roman" w:cs="Times New Roman"/>
          <w:i/>
          <w:color w:val="0070C0"/>
          <w:sz w:val="24"/>
          <w:szCs w:val="24"/>
        </w:rPr>
        <w:t>e shown in revised Fig. 4</w:t>
      </w:r>
      <w:proofErr w:type="gramStart"/>
      <w:r>
        <w:rPr>
          <w:rFonts w:ascii="Times New Roman" w:eastAsia="Times New Roman" w:hAnsi="Times New Roman" w:cs="Times New Roman"/>
          <w:i/>
          <w:color w:val="0070C0"/>
          <w:sz w:val="24"/>
          <w:szCs w:val="24"/>
        </w:rPr>
        <w:t>F .</w:t>
      </w:r>
      <w:proofErr w:type="gramEnd"/>
      <w:r>
        <w:rPr>
          <w:rFonts w:ascii="Times New Roman" w:eastAsia="Times New Roman" w:hAnsi="Times New Roman" w:cs="Times New Roman"/>
          <w:i/>
          <w:color w:val="0070C0"/>
          <w:sz w:val="24"/>
          <w:szCs w:val="24"/>
        </w:rPr>
        <w:t xml:space="preserve"> We hope the referee is satisfied with the editions we made in the current version of the manuscript.</w:t>
      </w:r>
    </w:p>
    <w:p w14:paraId="0000008B"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C" w14:textId="77777777" w:rsidR="00993E07" w:rsidRDefault="00993E07">
      <w:pPr>
        <w:spacing w:after="0" w:line="240" w:lineRule="auto"/>
        <w:jc w:val="both"/>
        <w:rPr>
          <w:rFonts w:ascii="Times New Roman" w:eastAsia="Times New Roman" w:hAnsi="Times New Roman" w:cs="Times New Roman"/>
          <w:i/>
          <w:color w:val="0070C0"/>
          <w:sz w:val="24"/>
          <w:szCs w:val="24"/>
        </w:rPr>
      </w:pPr>
    </w:p>
    <w:p w14:paraId="0000008D" w14:textId="77777777" w:rsidR="00993E07" w:rsidRDefault="00245289">
      <w:pPr>
        <w:spacing w:after="120" w:line="240" w:lineRule="auto"/>
        <w:jc w:val="both"/>
        <w:rPr>
          <w:rFonts w:ascii="Times New Roman" w:eastAsia="Times New Roman" w:hAnsi="Times New Roman" w:cs="Times New Roman"/>
          <w:sz w:val="24"/>
          <w:szCs w:val="24"/>
        </w:rPr>
      </w:pPr>
      <w:bookmarkStart w:id="6" w:name="_heading=h.3dy6vkm" w:colFirst="0" w:colLast="0"/>
      <w:bookmarkEnd w:id="6"/>
      <w:r>
        <w:rPr>
          <w:rFonts w:ascii="Times New Roman" w:eastAsia="Times New Roman" w:hAnsi="Times New Roman" w:cs="Times New Roman"/>
          <w:sz w:val="24"/>
          <w:szCs w:val="24"/>
        </w:rPr>
        <w:t>Q6. Summarize findings, limitations, and future directions, framing the results in a wider context and highlighting potentia</w:t>
      </w:r>
      <w:r>
        <w:rPr>
          <w:rFonts w:ascii="Times New Roman" w:eastAsia="Times New Roman" w:hAnsi="Times New Roman" w:cs="Times New Roman"/>
          <w:sz w:val="24"/>
          <w:szCs w:val="24"/>
        </w:rPr>
        <w:t xml:space="preserve">l steps for future research and application of the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system.</w:t>
      </w:r>
    </w:p>
    <w:p w14:paraId="0000008E" w14:textId="77777777" w:rsidR="00993E07" w:rsidRDefault="00245289">
      <w:pPr>
        <w:spacing w:after="0" w:line="240" w:lineRule="auto"/>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 xml:space="preserve">Response: As the referee suggested, we added an overview figure (please see in added Fig. 7) and a discussion part to summarize the findings, limitations, and future directions in the </w:t>
      </w:r>
      <w:r>
        <w:rPr>
          <w:rFonts w:ascii="Times New Roman" w:eastAsia="Times New Roman" w:hAnsi="Times New Roman" w:cs="Times New Roman"/>
          <w:i/>
          <w:color w:val="0070C0"/>
          <w:sz w:val="24"/>
          <w:szCs w:val="24"/>
        </w:rPr>
        <w:t xml:space="preserve">revised manuscript. Thanks to the reviewer for the valuable advice to make our articles of higher quality. We hope the referee is satisfied with the editions we made. </w:t>
      </w:r>
    </w:p>
    <w:p w14:paraId="0000008F" w14:textId="77777777" w:rsidR="00993E07" w:rsidRDefault="00993E07">
      <w:pPr>
        <w:spacing w:after="240" w:line="240" w:lineRule="auto"/>
        <w:rPr>
          <w:rFonts w:ascii="Times New Roman" w:eastAsia="Times New Roman" w:hAnsi="Times New Roman" w:cs="Times New Roman"/>
          <w:sz w:val="24"/>
          <w:szCs w:val="24"/>
        </w:rPr>
      </w:pPr>
    </w:p>
    <w:p w14:paraId="00000090"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Second round of review</w:t>
      </w:r>
    </w:p>
    <w:p w14:paraId="00000091"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Reviewer 1</w:t>
      </w:r>
    </w:p>
    <w:p w14:paraId="00000092"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have addressed most of my concerns.</w:t>
      </w:r>
    </w:p>
    <w:p w14:paraId="00000093" w14:textId="77777777" w:rsidR="00993E07" w:rsidRDefault="00993E07">
      <w:pPr>
        <w:spacing w:after="0" w:line="240" w:lineRule="auto"/>
        <w:rPr>
          <w:rFonts w:ascii="Times New Roman" w:eastAsia="Times New Roman" w:hAnsi="Times New Roman" w:cs="Times New Roman"/>
          <w:sz w:val="24"/>
          <w:szCs w:val="24"/>
        </w:rPr>
      </w:pPr>
    </w:p>
    <w:p w14:paraId="00000094" w14:textId="77777777" w:rsidR="00993E07" w:rsidRDefault="00245289">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Revi</w:t>
      </w:r>
      <w:r>
        <w:rPr>
          <w:rFonts w:ascii="Times New Roman" w:eastAsia="Times New Roman" w:hAnsi="Times New Roman" w:cs="Times New Roman"/>
          <w:b/>
          <w:color w:val="000000"/>
        </w:rPr>
        <w:t>ewer 2</w:t>
      </w:r>
    </w:p>
    <w:p w14:paraId="00000095"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manuscript reflects careful consideration of reviewer feedback, with detailed responses and additional experiments to address the concerns raised, enhancing the credibility of the findings.</w:t>
      </w:r>
    </w:p>
    <w:p w14:paraId="00000096" w14:textId="77777777" w:rsidR="00993E07" w:rsidRDefault="00993E07">
      <w:pPr>
        <w:spacing w:after="0" w:line="240" w:lineRule="auto"/>
        <w:rPr>
          <w:rFonts w:ascii="Times New Roman" w:eastAsia="Times New Roman" w:hAnsi="Times New Roman" w:cs="Times New Roman"/>
          <w:sz w:val="24"/>
          <w:szCs w:val="24"/>
        </w:rPr>
      </w:pPr>
    </w:p>
    <w:p w14:paraId="00000097"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manuscript provides some insights into the m</w:t>
      </w:r>
      <w:r>
        <w:rPr>
          <w:rFonts w:ascii="Times New Roman" w:eastAsia="Times New Roman" w:hAnsi="Times New Roman" w:cs="Times New Roman"/>
          <w:sz w:val="24"/>
          <w:szCs w:val="24"/>
        </w:rPr>
        <w:t xml:space="preserve">echanism of action of </w:t>
      </w:r>
      <w:proofErr w:type="spellStart"/>
      <w:r>
        <w:rPr>
          <w:rFonts w:ascii="Times New Roman" w:eastAsia="Times New Roman" w:hAnsi="Times New Roman" w:cs="Times New Roman"/>
          <w:sz w:val="24"/>
          <w:szCs w:val="24"/>
        </w:rPr>
        <w:t>TaqTth-hpRNA</w:t>
      </w:r>
      <w:proofErr w:type="spellEnd"/>
      <w:r>
        <w:rPr>
          <w:rFonts w:ascii="Times New Roman" w:eastAsia="Times New Roman" w:hAnsi="Times New Roman" w:cs="Times New Roman"/>
          <w:sz w:val="24"/>
          <w:szCs w:val="24"/>
        </w:rPr>
        <w:t xml:space="preserve">, further exploration into the molecular interactions between </w:t>
      </w:r>
      <w:proofErr w:type="spellStart"/>
      <w:r>
        <w:rPr>
          <w:rFonts w:ascii="Times New Roman" w:eastAsia="Times New Roman" w:hAnsi="Times New Roman" w:cs="Times New Roman"/>
          <w:sz w:val="24"/>
          <w:szCs w:val="24"/>
        </w:rPr>
        <w:t>TaqTth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hpRNA</w:t>
      </w:r>
      <w:proofErr w:type="spellEnd"/>
      <w:r>
        <w:rPr>
          <w:rFonts w:ascii="Times New Roman" w:eastAsia="Times New Roman" w:hAnsi="Times New Roman" w:cs="Times New Roman"/>
          <w:sz w:val="24"/>
          <w:szCs w:val="24"/>
        </w:rPr>
        <w:t xml:space="preserve"> could strengthen the findings. Detailed structural studies or molecular dynamics simulations could be beneficial.</w:t>
      </w:r>
    </w:p>
    <w:p w14:paraId="00000099" w14:textId="77777777" w:rsidR="00993E07" w:rsidRDefault="00993E07">
      <w:pPr>
        <w:spacing w:after="0" w:line="240" w:lineRule="auto"/>
        <w:rPr>
          <w:rFonts w:ascii="Times New Roman" w:eastAsia="Times New Roman" w:hAnsi="Times New Roman" w:cs="Times New Roman"/>
          <w:sz w:val="24"/>
          <w:szCs w:val="24"/>
        </w:rPr>
      </w:pPr>
    </w:p>
    <w:p w14:paraId="0000009A"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minor typographical errors throughout the manuscript that should be corrected to improve readability.</w:t>
      </w:r>
    </w:p>
    <w:p w14:paraId="0000009B" w14:textId="77777777" w:rsidR="00993E07" w:rsidRDefault="00993E07">
      <w:pPr>
        <w:spacing w:after="0" w:line="240" w:lineRule="auto"/>
        <w:rPr>
          <w:rFonts w:ascii="Times New Roman" w:eastAsia="Times New Roman" w:hAnsi="Times New Roman" w:cs="Times New Roman"/>
          <w:sz w:val="24"/>
          <w:szCs w:val="24"/>
        </w:rPr>
      </w:pPr>
    </w:p>
    <w:p w14:paraId="0000009C"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Authors Response</w:t>
      </w:r>
    </w:p>
    <w:p w14:paraId="0000009D" w14:textId="77777777" w:rsidR="00993E07" w:rsidRDefault="002452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w:t>
      </w:r>
    </w:p>
    <w:p w14:paraId="0000009E" w14:textId="77777777" w:rsidR="00993E07" w:rsidRDefault="00993E07">
      <w:pPr>
        <w:spacing w:after="0" w:line="240" w:lineRule="auto"/>
        <w:rPr>
          <w:rFonts w:ascii="Times New Roman" w:eastAsia="Times New Roman" w:hAnsi="Times New Roman" w:cs="Times New Roman"/>
          <w:sz w:val="24"/>
          <w:szCs w:val="24"/>
        </w:rPr>
      </w:pPr>
    </w:p>
    <w:p w14:paraId="0000009F" w14:textId="77777777" w:rsidR="00993E07" w:rsidRDefault="0024528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Referee #2</w:t>
      </w:r>
    </w:p>
    <w:p w14:paraId="000000A0" w14:textId="77777777" w:rsidR="00993E07" w:rsidRDefault="00993E07">
      <w:pPr>
        <w:spacing w:after="0" w:line="240" w:lineRule="auto"/>
        <w:jc w:val="both"/>
        <w:rPr>
          <w:rFonts w:ascii="Times New Roman" w:eastAsia="Times New Roman" w:hAnsi="Times New Roman" w:cs="Times New Roman"/>
        </w:rPr>
      </w:pPr>
    </w:p>
    <w:p w14:paraId="000000A1" w14:textId="77777777" w:rsidR="00993E07" w:rsidRDefault="0024528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Q1: The manuscript reflects careful consideration of reviewer feedback, with detailed responses and additional experiments to address the concerns raised, enhancing the credibility of the findings. While the manuscript provides some insights into the mecha</w:t>
      </w:r>
      <w:r>
        <w:rPr>
          <w:rFonts w:ascii="Times New Roman" w:eastAsia="Times New Roman" w:hAnsi="Times New Roman" w:cs="Times New Roman"/>
          <w:color w:val="000033"/>
          <w:highlight w:val="white"/>
        </w:rPr>
        <w:t xml:space="preserve">nism of action of </w:t>
      </w:r>
      <w:proofErr w:type="spellStart"/>
      <w:r>
        <w:rPr>
          <w:rFonts w:ascii="Times New Roman" w:eastAsia="Times New Roman" w:hAnsi="Times New Roman" w:cs="Times New Roman"/>
          <w:color w:val="000033"/>
          <w:highlight w:val="white"/>
        </w:rPr>
        <w:t>TaqTth-hpRNA</w:t>
      </w:r>
      <w:proofErr w:type="spellEnd"/>
      <w:r>
        <w:rPr>
          <w:rFonts w:ascii="Times New Roman" w:eastAsia="Times New Roman" w:hAnsi="Times New Roman" w:cs="Times New Roman"/>
          <w:color w:val="000033"/>
          <w:highlight w:val="white"/>
        </w:rPr>
        <w:t xml:space="preserve">, further exploration into the molecular interactions between </w:t>
      </w:r>
      <w:proofErr w:type="spellStart"/>
      <w:r>
        <w:rPr>
          <w:rFonts w:ascii="Times New Roman" w:eastAsia="Times New Roman" w:hAnsi="Times New Roman" w:cs="Times New Roman"/>
          <w:color w:val="000033"/>
          <w:highlight w:val="white"/>
        </w:rPr>
        <w:t>TaqTth</w:t>
      </w:r>
      <w:proofErr w:type="spellEnd"/>
      <w:r>
        <w:rPr>
          <w:rFonts w:ascii="Times New Roman" w:eastAsia="Times New Roman" w:hAnsi="Times New Roman" w:cs="Times New Roman"/>
          <w:color w:val="000033"/>
          <w:highlight w:val="white"/>
        </w:rPr>
        <w:t xml:space="preserve"> and </w:t>
      </w:r>
      <w:proofErr w:type="spellStart"/>
      <w:r>
        <w:rPr>
          <w:rFonts w:ascii="Times New Roman" w:eastAsia="Times New Roman" w:hAnsi="Times New Roman" w:cs="Times New Roman"/>
          <w:color w:val="000033"/>
          <w:highlight w:val="white"/>
        </w:rPr>
        <w:t>hpRNA</w:t>
      </w:r>
      <w:proofErr w:type="spellEnd"/>
      <w:r>
        <w:rPr>
          <w:rFonts w:ascii="Times New Roman" w:eastAsia="Times New Roman" w:hAnsi="Times New Roman" w:cs="Times New Roman"/>
          <w:color w:val="000033"/>
          <w:highlight w:val="white"/>
        </w:rPr>
        <w:t xml:space="preserve"> could strengthen the findings. Detailed structural studies or molecular dynamics simulations could be beneficial.</w:t>
      </w:r>
    </w:p>
    <w:p w14:paraId="000000A2" w14:textId="77777777" w:rsidR="00993E07" w:rsidRDefault="00993E07">
      <w:pPr>
        <w:spacing w:after="0" w:line="240" w:lineRule="auto"/>
        <w:jc w:val="both"/>
        <w:rPr>
          <w:rFonts w:ascii="Times New Roman" w:eastAsia="Times New Roman" w:hAnsi="Times New Roman" w:cs="Times New Roman"/>
        </w:rPr>
      </w:pPr>
    </w:p>
    <w:p w14:paraId="000000A3" w14:textId="77777777" w:rsidR="00993E07" w:rsidRDefault="00245289">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Thanks to the reviewer</w:t>
      </w:r>
      <w:r>
        <w:rPr>
          <w:rFonts w:ascii="Times New Roman" w:eastAsia="Times New Roman" w:hAnsi="Times New Roman" w:cs="Times New Roman"/>
          <w:i/>
          <w:color w:val="000033"/>
          <w:highlight w:val="white"/>
        </w:rPr>
        <w:t xml:space="preserve"> for the valuable advice. We try to follow your request to explore the molecular structure of </w:t>
      </w:r>
      <w:proofErr w:type="spellStart"/>
      <w:r>
        <w:rPr>
          <w:rFonts w:ascii="Times New Roman" w:eastAsia="Times New Roman" w:hAnsi="Times New Roman" w:cs="Times New Roman"/>
          <w:i/>
          <w:color w:val="000033"/>
          <w:highlight w:val="white"/>
        </w:rPr>
        <w:t>TaqTth</w:t>
      </w:r>
      <w:proofErr w:type="spellEnd"/>
      <w:r>
        <w:rPr>
          <w:rFonts w:ascii="Times New Roman" w:eastAsia="Times New Roman" w:hAnsi="Times New Roman" w:cs="Times New Roman"/>
          <w:i/>
          <w:color w:val="000033"/>
          <w:highlight w:val="white"/>
        </w:rPr>
        <w:t xml:space="preserve"> protein and its dynamics. Although we do not have Cryo-SEM, we used </w:t>
      </w:r>
      <w:proofErr w:type="spellStart"/>
      <w:r>
        <w:rPr>
          <w:rFonts w:ascii="Times New Roman" w:eastAsia="Times New Roman" w:hAnsi="Times New Roman" w:cs="Times New Roman"/>
          <w:i/>
          <w:color w:val="000033"/>
          <w:highlight w:val="white"/>
        </w:rPr>
        <w:t>AlphaFold</w:t>
      </w:r>
      <w:proofErr w:type="spellEnd"/>
      <w:r>
        <w:rPr>
          <w:rFonts w:ascii="Times New Roman" w:eastAsia="Times New Roman" w:hAnsi="Times New Roman" w:cs="Times New Roman"/>
          <w:i/>
          <w:color w:val="000033"/>
          <w:highlight w:val="white"/>
        </w:rPr>
        <w:t xml:space="preserve"> Server to predict the molecular interaction between </w:t>
      </w:r>
      <w:proofErr w:type="spellStart"/>
      <w:r>
        <w:rPr>
          <w:rFonts w:ascii="Times New Roman" w:eastAsia="Times New Roman" w:hAnsi="Times New Roman" w:cs="Times New Roman"/>
          <w:i/>
          <w:color w:val="000033"/>
          <w:highlight w:val="white"/>
        </w:rPr>
        <w:t>TaqTth</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hpRNA</w:t>
      </w:r>
      <w:proofErr w:type="spellEnd"/>
      <w:r>
        <w:rPr>
          <w:rFonts w:ascii="Times New Roman" w:eastAsia="Times New Roman" w:hAnsi="Times New Roman" w:cs="Times New Roman"/>
          <w:i/>
          <w:color w:val="000033"/>
          <w:highlight w:val="white"/>
        </w:rPr>
        <w:t>, shown i</w:t>
      </w:r>
      <w:r>
        <w:rPr>
          <w:rFonts w:ascii="Times New Roman" w:eastAsia="Times New Roman" w:hAnsi="Times New Roman" w:cs="Times New Roman"/>
          <w:i/>
          <w:color w:val="000033"/>
          <w:highlight w:val="white"/>
        </w:rPr>
        <w:t xml:space="preserve">n Additional file 1: Fig. S1A, including </w:t>
      </w:r>
      <w:proofErr w:type="spellStart"/>
      <w:r>
        <w:rPr>
          <w:rFonts w:ascii="Times New Roman" w:eastAsia="Times New Roman" w:hAnsi="Times New Roman" w:cs="Times New Roman"/>
          <w:i/>
          <w:color w:val="000033"/>
          <w:highlight w:val="white"/>
        </w:rPr>
        <w:t>TaqTth</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hpRNA</w:t>
      </w:r>
      <w:proofErr w:type="spellEnd"/>
      <w:r>
        <w:rPr>
          <w:rFonts w:ascii="Times New Roman" w:eastAsia="Times New Roman" w:hAnsi="Times New Roman" w:cs="Times New Roman"/>
          <w:i/>
          <w:color w:val="000033"/>
          <w:highlight w:val="white"/>
        </w:rPr>
        <w:t xml:space="preserve">, targeted RNA, and two Mg2+. The Ramachandran Plots and Sequence coverage images show good confidence. So we think this simulation has a high confidence level. In the future, we will create conditions </w:t>
      </w:r>
      <w:r>
        <w:rPr>
          <w:rFonts w:ascii="Times New Roman" w:eastAsia="Times New Roman" w:hAnsi="Times New Roman" w:cs="Times New Roman"/>
          <w:i/>
          <w:color w:val="000033"/>
          <w:highlight w:val="white"/>
        </w:rPr>
        <w:t xml:space="preserve">to explore the structure of the protein, such as the key amino acids that bind to </w:t>
      </w:r>
      <w:proofErr w:type="spellStart"/>
      <w:r>
        <w:rPr>
          <w:rFonts w:ascii="Times New Roman" w:eastAsia="Times New Roman" w:hAnsi="Times New Roman" w:cs="Times New Roman"/>
          <w:i/>
          <w:color w:val="000033"/>
          <w:highlight w:val="white"/>
        </w:rPr>
        <w:t>hpRNA</w:t>
      </w:r>
      <w:proofErr w:type="spellEnd"/>
      <w:r>
        <w:rPr>
          <w:rFonts w:ascii="Times New Roman" w:eastAsia="Times New Roman" w:hAnsi="Times New Roman" w:cs="Times New Roman"/>
          <w:i/>
          <w:color w:val="000033"/>
          <w:highlight w:val="white"/>
        </w:rPr>
        <w:t xml:space="preserve"> and target, and the actual molecular conformation of the protein. Thank you for your positive comments on the manuscript. We hope the referee is satisfied with the edit</w:t>
      </w:r>
      <w:r>
        <w:rPr>
          <w:rFonts w:ascii="Times New Roman" w:eastAsia="Times New Roman" w:hAnsi="Times New Roman" w:cs="Times New Roman"/>
          <w:i/>
          <w:color w:val="000033"/>
          <w:highlight w:val="white"/>
        </w:rPr>
        <w:t>ions we made.</w:t>
      </w:r>
    </w:p>
    <w:p w14:paraId="000000A4" w14:textId="77777777" w:rsidR="00993E07" w:rsidRDefault="00993E07">
      <w:pPr>
        <w:spacing w:after="0" w:line="240" w:lineRule="auto"/>
        <w:jc w:val="both"/>
        <w:rPr>
          <w:rFonts w:ascii="Times New Roman" w:eastAsia="Times New Roman" w:hAnsi="Times New Roman" w:cs="Times New Roman"/>
        </w:rPr>
      </w:pPr>
    </w:p>
    <w:p w14:paraId="000000A5" w14:textId="77777777" w:rsidR="00993E07" w:rsidRDefault="00245289">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Q2: There are minor typographical errors throughout the manuscript that should be corrected to improve readability.</w:t>
      </w:r>
    </w:p>
    <w:p w14:paraId="000000A6" w14:textId="77777777" w:rsidR="00993E07" w:rsidRDefault="00993E07">
      <w:pPr>
        <w:spacing w:after="0" w:line="240" w:lineRule="auto"/>
        <w:jc w:val="both"/>
        <w:rPr>
          <w:rFonts w:ascii="Times New Roman" w:eastAsia="Times New Roman" w:hAnsi="Times New Roman" w:cs="Times New Roman"/>
        </w:rPr>
      </w:pPr>
    </w:p>
    <w:p w14:paraId="000000A7" w14:textId="77777777" w:rsidR="00993E07" w:rsidRDefault="00245289">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Response: Thank you for kindly pointing the mistakes out. We have carefully checked and revised the manuscript. We hope the </w:t>
      </w:r>
      <w:r>
        <w:rPr>
          <w:rFonts w:ascii="Times New Roman" w:eastAsia="Times New Roman" w:hAnsi="Times New Roman" w:cs="Times New Roman"/>
          <w:i/>
          <w:color w:val="000033"/>
          <w:highlight w:val="white"/>
        </w:rPr>
        <w:t>referee is satisfied with the editions we made.</w:t>
      </w:r>
    </w:p>
    <w:p w14:paraId="000000A8" w14:textId="77777777" w:rsidR="00993E07" w:rsidRDefault="00993E07"/>
    <w:p w14:paraId="000000A9" w14:textId="77777777" w:rsidR="00993E07" w:rsidRDefault="00993E07"/>
    <w:sectPr w:rsidR="00993E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07"/>
    <w:rsid w:val="00245289"/>
    <w:rsid w:val="00993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006A"/>
  <w15:docId w15:val="{C37C2970-0366-497D-B9AD-E6506FD2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AE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K7W9rpomqY79r/yyC4ZF9/VpGA==">CgMxLjAyCGguZ2pkZ3hzMgloLjMwajB6bGwyCWguMWZvYjl0ZTIJaC4zem55c2g3MgloLjJldDkycDAyCGgudHlqY3d0MgloLjNkeTZ2a204AHIhMVRBRWVuM1d4b0tPdWFsYzNjQ3EwREt4S1FXd1V3TnN6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5360</Words>
  <Characters>30557</Characters>
  <Application>Microsoft Office Word</Application>
  <DocSecurity>0</DocSecurity>
  <Lines>254</Lines>
  <Paragraphs>71</Paragraphs>
  <ScaleCrop>false</ScaleCrop>
  <Company>Springer Nature</Company>
  <LinksUpToDate>false</LinksUpToDate>
  <CharactersWithSpaces>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Pang</dc:creator>
  <cp:lastModifiedBy>Wenjing She</cp:lastModifiedBy>
  <cp:revision>2</cp:revision>
  <dcterms:created xsi:type="dcterms:W3CDTF">2024-06-27T14:18:00Z</dcterms:created>
  <dcterms:modified xsi:type="dcterms:W3CDTF">2024-06-27T14:18:00Z</dcterms:modified>
</cp:coreProperties>
</file>