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496B0" w14:textId="77777777" w:rsidR="009F23DA" w:rsidRPr="00340706" w:rsidRDefault="009F23DA" w:rsidP="009F23DA">
      <w:pPr>
        <w:rPr>
          <w:b/>
          <w:sz w:val="28"/>
          <w:szCs w:val="28"/>
        </w:rPr>
      </w:pPr>
      <w:r w:rsidRPr="00340706">
        <w:rPr>
          <w:b/>
          <w:sz w:val="28"/>
          <w:szCs w:val="28"/>
        </w:rPr>
        <w:t>Review history</w:t>
      </w:r>
    </w:p>
    <w:p w14:paraId="4295D4D9" w14:textId="77777777" w:rsidR="009F23DA" w:rsidRPr="00340706" w:rsidRDefault="009F23DA" w:rsidP="009F23DA">
      <w:pPr>
        <w:rPr>
          <w:b/>
          <w:sz w:val="24"/>
          <w:szCs w:val="24"/>
        </w:rPr>
      </w:pPr>
      <w:r w:rsidRPr="00340706">
        <w:rPr>
          <w:b/>
          <w:sz w:val="24"/>
          <w:szCs w:val="24"/>
        </w:rPr>
        <w:t>First round of review</w:t>
      </w:r>
    </w:p>
    <w:p w14:paraId="09136CCA" w14:textId="77777777" w:rsidR="009F23DA" w:rsidRDefault="009F23DA" w:rsidP="009F23DA">
      <w:pPr>
        <w:rPr>
          <w:b/>
        </w:rPr>
      </w:pPr>
      <w:r w:rsidRPr="00340706">
        <w:rPr>
          <w:b/>
        </w:rPr>
        <w:t>Reviewer 1</w:t>
      </w:r>
    </w:p>
    <w:p w14:paraId="494140B2" w14:textId="7997A059" w:rsidR="009F23DA" w:rsidRPr="00340706" w:rsidRDefault="00EC5A93" w:rsidP="009F23DA">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prediction performance should be evaluated in a cross-chromosome manner. For example, training the model on chromosomes 2 and above, and evaluating it on chromosome 1, which represents about 10% of held-out data. This guarantees that there is not test-train leakage on the genomic coordinates level. See the paper: https://www.nature.com/articles/s41576-021-00434-9</w:t>
      </w:r>
      <w:r>
        <w:rPr>
          <w:rFonts w:ascii="Verdana" w:hAnsi="Verdana"/>
          <w:color w:val="000033"/>
          <w:sz w:val="17"/>
          <w:szCs w:val="17"/>
        </w:rPr>
        <w:br/>
      </w:r>
      <w:r>
        <w:rPr>
          <w:rFonts w:ascii="Verdana" w:hAnsi="Verdana"/>
          <w:color w:val="000033"/>
          <w:sz w:val="17"/>
          <w:szCs w:val="17"/>
          <w:shd w:val="clear" w:color="auto" w:fill="FFFFFF"/>
        </w:rPr>
        <w:t>2. The models were compared in two variations - multi-task and single-task. It would be very interesting to add a 'transfer-learning' approach, where a single-task model is first trained on one cell-type with abundant high-quality data and then fine-tuned to a specific cell type for which less data or of lower quality is available (e.g., https://doi.org/10.1093/nar/gkaa349). We recommend adding this model variant to the comparison.</w:t>
      </w:r>
      <w:r>
        <w:rPr>
          <w:rFonts w:ascii="Verdana" w:hAnsi="Verdana"/>
          <w:color w:val="000033"/>
          <w:sz w:val="17"/>
          <w:szCs w:val="17"/>
        </w:rPr>
        <w:br/>
      </w:r>
      <w:r>
        <w:rPr>
          <w:rFonts w:ascii="Verdana" w:hAnsi="Verdana"/>
          <w:color w:val="000033"/>
          <w:sz w:val="17"/>
          <w:szCs w:val="17"/>
          <w:shd w:val="clear" w:color="auto" w:fill="FFFFFF"/>
        </w:rPr>
        <w:t>3. Some of the issues raised in the paper may have been resolved using large DNA language models, such as DNABERT-2 (https://arxiv.org/abs/2306.15006), Grover (https://www.biorxiv.org/content/10.1101/2023.07.19.549677v2.abstract), and GPN (https://www.pnas.org/doi/abs/10.1073/pnas.2311219120). We highly recommend testing their performance, since they may improve performance on cell-type-specific CREs.</w:t>
      </w:r>
      <w:r>
        <w:rPr>
          <w:rFonts w:ascii="Verdana" w:hAnsi="Verdana"/>
          <w:color w:val="000033"/>
          <w:sz w:val="17"/>
          <w:szCs w:val="17"/>
        </w:rPr>
        <w:br/>
      </w:r>
      <w:r>
        <w:rPr>
          <w:rFonts w:ascii="Verdana" w:hAnsi="Verdana"/>
          <w:color w:val="000033"/>
          <w:sz w:val="17"/>
          <w:szCs w:val="17"/>
          <w:shd w:val="clear" w:color="auto" w:fill="FFFFFF"/>
        </w:rPr>
        <w:t>4. Some data is unavailable. Reference [22] appears as 'submitted' and there's no link to its data. In addition, the GitHub link does not work. These two issues must be corrected.</w:t>
      </w:r>
      <w:r>
        <w:rPr>
          <w:rFonts w:ascii="Verdana" w:hAnsi="Verdana"/>
          <w:color w:val="000033"/>
          <w:sz w:val="17"/>
          <w:szCs w:val="17"/>
        </w:rPr>
        <w:br/>
      </w:r>
      <w:r>
        <w:rPr>
          <w:rFonts w:ascii="Verdana" w:hAnsi="Verdana"/>
          <w:color w:val="000033"/>
          <w:sz w:val="17"/>
          <w:szCs w:val="17"/>
          <w:shd w:val="clear" w:color="auto" w:fill="FFFFFF"/>
        </w:rPr>
        <w:t>5. It would be interesting to see an evaluation and effect of the model choices and training options on the interpretability and not just predictability, as interpretability is a fundamental task in genomics and bioinformatics (e.g., Figure 4c in Enformer paper).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Figure 1, caption: cell -&gt; Cell.</w:t>
      </w:r>
      <w:r>
        <w:rPr>
          <w:rFonts w:ascii="Verdana" w:hAnsi="Verdana"/>
          <w:color w:val="000033"/>
          <w:sz w:val="17"/>
          <w:szCs w:val="17"/>
        </w:rPr>
        <w:br/>
      </w:r>
      <w:r>
        <w:rPr>
          <w:rFonts w:ascii="Verdana" w:hAnsi="Verdana"/>
          <w:color w:val="000033"/>
          <w:sz w:val="17"/>
          <w:szCs w:val="17"/>
          <w:shd w:val="clear" w:color="auto" w:fill="FFFFFF"/>
        </w:rPr>
        <w:t>7. Figure 2a cannot be referenced after 2b,c. Also, Figure S6, S7 come after S2, and then S4 and S5. Correct all reference order.</w:t>
      </w:r>
      <w:r>
        <w:rPr>
          <w:rFonts w:ascii="Verdana" w:hAnsi="Verdana"/>
          <w:color w:val="000033"/>
          <w:sz w:val="17"/>
          <w:szCs w:val="17"/>
        </w:rPr>
        <w:br/>
      </w:r>
      <w:r>
        <w:rPr>
          <w:rFonts w:ascii="Verdana" w:hAnsi="Verdana"/>
          <w:color w:val="000033"/>
          <w:sz w:val="17"/>
          <w:szCs w:val="17"/>
          <w:shd w:val="clear" w:color="auto" w:fill="FFFFFF"/>
        </w:rPr>
        <w:t>8. Results, 1st subsection: Does Sei model outputs a binary value or a probability? (binary value would not allow for ranking, which is required for AUROC, AUPR calculation)</w:t>
      </w:r>
      <w:r>
        <w:rPr>
          <w:rFonts w:ascii="Verdana" w:hAnsi="Verdana"/>
          <w:color w:val="000033"/>
          <w:sz w:val="17"/>
          <w:szCs w:val="17"/>
        </w:rPr>
        <w:br/>
      </w:r>
      <w:r>
        <w:rPr>
          <w:rFonts w:ascii="Verdana" w:hAnsi="Verdana"/>
          <w:color w:val="000033"/>
          <w:sz w:val="17"/>
          <w:szCs w:val="17"/>
          <w:shd w:val="clear" w:color="auto" w:fill="FFFFFF"/>
        </w:rPr>
        <w:t>9. Multiple figures: What is the "log-log" Pearson R? we assume it's the Pearson R on the log values of predicted and log values of measured. Thus, it is Pearson R and not "log-log Pearson R".</w:t>
      </w:r>
      <w:r>
        <w:rPr>
          <w:rFonts w:ascii="Verdana" w:hAnsi="Verdana"/>
          <w:color w:val="000033"/>
          <w:sz w:val="17"/>
          <w:szCs w:val="17"/>
        </w:rPr>
        <w:br/>
      </w:r>
      <w:r>
        <w:rPr>
          <w:rFonts w:ascii="Verdana" w:hAnsi="Verdana"/>
          <w:color w:val="000033"/>
          <w:sz w:val="17"/>
          <w:szCs w:val="17"/>
          <w:shd w:val="clear" w:color="auto" w:fill="FFFFFF"/>
        </w:rPr>
        <w:t>10. Figure 3e caption - missing ")".</w:t>
      </w:r>
      <w:r>
        <w:rPr>
          <w:rFonts w:ascii="Verdana" w:hAnsi="Verdana"/>
          <w:color w:val="000033"/>
          <w:sz w:val="17"/>
          <w:szCs w:val="17"/>
        </w:rPr>
        <w:br/>
      </w:r>
      <w:r>
        <w:rPr>
          <w:rFonts w:ascii="Verdana" w:hAnsi="Verdana"/>
          <w:color w:val="000033"/>
          <w:sz w:val="17"/>
          <w:szCs w:val="17"/>
          <w:shd w:val="clear" w:color="auto" w:fill="FFFFFF"/>
        </w:rPr>
        <w:t>11. Figure S6 legend - there is redundancy which can be resolved by using different ticks.</w:t>
      </w:r>
      <w:r>
        <w:rPr>
          <w:rFonts w:ascii="Verdana" w:hAnsi="Verdana"/>
          <w:color w:val="000033"/>
          <w:sz w:val="17"/>
          <w:szCs w:val="17"/>
        </w:rPr>
        <w:br/>
      </w:r>
      <w:r>
        <w:rPr>
          <w:rFonts w:ascii="Verdana" w:hAnsi="Verdana"/>
          <w:color w:val="000033"/>
          <w:sz w:val="17"/>
          <w:szCs w:val="17"/>
          <w:shd w:val="clear" w:color="auto" w:fill="FFFFFF"/>
        </w:rPr>
        <w:t>12. Multiple figures: If bar-plot figures represent 'median' Pearson R, the y-axis title should be "Median Pearson R".</w:t>
      </w:r>
      <w:r>
        <w:rPr>
          <w:rFonts w:ascii="Verdana" w:hAnsi="Verdana"/>
          <w:color w:val="000033"/>
          <w:sz w:val="17"/>
          <w:szCs w:val="17"/>
        </w:rPr>
        <w:br/>
      </w:r>
      <w:r>
        <w:rPr>
          <w:rFonts w:ascii="Verdana" w:hAnsi="Verdana"/>
          <w:color w:val="000033"/>
          <w:sz w:val="17"/>
          <w:szCs w:val="17"/>
          <w:shd w:val="clear" w:color="auto" w:fill="FFFFFF"/>
        </w:rPr>
        <w:t>13. Figures 3e 3f - missing y-axis title.</w:t>
      </w:r>
      <w:r>
        <w:rPr>
          <w:rFonts w:ascii="Verdana" w:hAnsi="Verdana"/>
          <w:color w:val="000033"/>
          <w:sz w:val="17"/>
          <w:szCs w:val="17"/>
        </w:rPr>
        <w:br/>
      </w:r>
      <w:r>
        <w:rPr>
          <w:rFonts w:ascii="Verdana" w:hAnsi="Verdana"/>
          <w:color w:val="000033"/>
          <w:sz w:val="17"/>
          <w:szCs w:val="17"/>
          <w:shd w:val="clear" w:color="auto" w:fill="FFFFFF"/>
        </w:rPr>
        <w:t>14. Throughout paper: We recommend changing the terms "more" and "less" to "high" and "low", respectively.</w:t>
      </w:r>
      <w:r>
        <w:rPr>
          <w:rFonts w:ascii="Verdana" w:hAnsi="Verdana"/>
          <w:color w:val="000033"/>
          <w:sz w:val="17"/>
          <w:szCs w:val="17"/>
        </w:rPr>
        <w:br/>
      </w:r>
      <w:r>
        <w:rPr>
          <w:rFonts w:ascii="Verdana" w:hAnsi="Verdana"/>
          <w:color w:val="000033"/>
          <w:sz w:val="17"/>
          <w:szCs w:val="17"/>
          <w:shd w:val="clear" w:color="auto" w:fill="FFFFFF"/>
        </w:rPr>
        <w:t>15. Discussion: We kindly disagree with the limitation of single-task models. Since we are interested in best prediction, spending a long runtime but only once for training is acceptable to have a model with improved prediction performance.</w:t>
      </w:r>
      <w:r>
        <w:t xml:space="preserve"> </w:t>
      </w:r>
    </w:p>
    <w:p w14:paraId="675BD928" w14:textId="77777777" w:rsidR="009F23DA" w:rsidRDefault="009F23DA" w:rsidP="009F23DA">
      <w:pPr>
        <w:rPr>
          <w:b/>
        </w:rPr>
      </w:pPr>
      <w:r w:rsidRPr="00340706">
        <w:rPr>
          <w:b/>
        </w:rPr>
        <w:t>Reviewer 2</w:t>
      </w:r>
    </w:p>
    <w:p w14:paraId="49A6D455" w14:textId="5486DED9" w:rsidR="009F23DA" w:rsidRDefault="00EC5A93" w:rsidP="009F23DA">
      <w:r>
        <w:rPr>
          <w:rFonts w:ascii="Verdana" w:hAnsi="Verdana"/>
          <w:color w:val="000033"/>
          <w:sz w:val="17"/>
          <w:szCs w:val="17"/>
          <w:shd w:val="clear" w:color="auto" w:fill="FFFFFF"/>
        </w:rPr>
        <w:t>Summary: The authors show that the performance of existing models predicting epigenetic features from DNA (Enformer and Sei) within cell type specific CREs is lower compared to ubiquitous CREs for both the "reference accuracy" and for eQTL variant effect prediction. They have also trained multi-task Basset-like models on two much smaller datasets of DNA accessibility for more closely related cell types and have shown that the "reference accuracy" is also lower for these in cell type specific CREs compared to ubiquitously accessible CREs. For these smaller dataset of more closely related cell types, the authors have also trained single task models which showed higher "reference accuracy" in cell type specific CREs, although the performance was still significantly lower compared to ubiquitous CREs and they haven't really shown consistent improvement in variant effect prediction accuracy compared to multi-task models.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I find the manuscript interesting and novel. I expect it to provide helpful insights to the research community of model developers aiming to better understand the cis regulatory code using deep learning models. However, I don't think the manuscript in its current form is ready for publication. I have outlined my major and minor points that I think need to be addressed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The authors use CRE and DNA accessibility peaks interchangeably. Not all DNA accessibility peaks are cis regulatory elements. Therefore, the authors should be much more explicit about this. This might require replacing most/all mentions of </w:t>
      </w:r>
      <w:r>
        <w:rPr>
          <w:rFonts w:ascii="Verdana" w:hAnsi="Verdana"/>
          <w:color w:val="000033"/>
          <w:sz w:val="17"/>
          <w:szCs w:val="17"/>
          <w:shd w:val="clear" w:color="auto" w:fill="FFFFFF"/>
        </w:rPr>
        <w:lastRenderedPageBreak/>
        <w:t>CRE with DHS peaks or use candidate CREs defined by the ENCODE consortium for their analysis.</w:t>
      </w:r>
      <w:r>
        <w:rPr>
          <w:rFonts w:ascii="Verdana" w:hAnsi="Verdana"/>
          <w:color w:val="000033"/>
          <w:sz w:val="17"/>
          <w:szCs w:val="17"/>
        </w:rPr>
        <w:br/>
      </w:r>
      <w:r>
        <w:rPr>
          <w:rFonts w:ascii="Verdana" w:hAnsi="Verdana"/>
          <w:color w:val="000033"/>
          <w:sz w:val="17"/>
          <w:szCs w:val="17"/>
          <w:shd w:val="clear" w:color="auto" w:fill="FFFFFF"/>
        </w:rPr>
        <w:t>2. This manuscript doesn't provide direct insights into how to improve variant effect prediction accuracy which is the main application of models predicting chromatin features from DNA sequence. The authors have not demonstrated that single-task training leads to better variant effect prediction. Only in one cell type (Stroma in Fig. S6) out of 7 shown in Fig. S6 and S7 is single task training performing convincingly better in variant effect prediction compared to multi-task learning. Variant effect prediction is the most important task for these models and the authors acknowledge that by saying the performance shouldn't be just measured by 'reference accuracy' since it is unclear how this will translate to variant effect prediction accuracy in the main text. In the abstract, however, the authors say that they "identify single-task learning as a potential method to improve performance in cell type specific CREs.". Combining both makes the implicit argument that single task learning will lead to better variant effect prediction, which is not supported. The authors should make that limitation explicit in the abstract and at numerous points in the manuscript including at L331-L348.</w:t>
      </w:r>
      <w:r>
        <w:rPr>
          <w:rFonts w:ascii="Verdana" w:hAnsi="Verdana"/>
          <w:color w:val="000033"/>
          <w:sz w:val="17"/>
          <w:szCs w:val="17"/>
        </w:rPr>
        <w:br/>
      </w:r>
      <w:r>
        <w:rPr>
          <w:rFonts w:ascii="Verdana" w:hAnsi="Verdana"/>
          <w:color w:val="000033"/>
          <w:sz w:val="17"/>
          <w:szCs w:val="17"/>
          <w:shd w:val="clear" w:color="auto" w:fill="FFFFFF"/>
        </w:rPr>
        <w:t>3. Abstract: "we find that the accuracy of two state-of-the-art general purpose models… varies dramatically across the genome" -&gt; The authors find this also for single task models, not just for general purpose models. This sentence implies as if only the general purpose models have this limitation which is misleading. The single task models only close a small performance gap between cell type specific vs ubiquitous CREs and therefore suffer from the same issues.</w:t>
      </w:r>
      <w:r>
        <w:rPr>
          <w:rFonts w:ascii="Verdana" w:hAnsi="Verdana"/>
          <w:color w:val="000033"/>
          <w:sz w:val="17"/>
          <w:szCs w:val="17"/>
        </w:rPr>
        <w:br/>
      </w:r>
      <w:r>
        <w:rPr>
          <w:rFonts w:ascii="Verdana" w:hAnsi="Verdana"/>
          <w:color w:val="000033"/>
          <w:sz w:val="17"/>
          <w:szCs w:val="17"/>
          <w:shd w:val="clear" w:color="auto" w:fill="FFFFFF"/>
        </w:rPr>
        <w:t>4. The authors don't evaluate single task models on GWAS or eQTL benchmarks nor do they directly compare them to existing models. Therefore, the authors should also re-train the single-task and multi-task models on either Sei or Enformer data sets similarly to what they have done for Loeb/Calderon data and evaluate the performance on eQTL causality and directionality benchmarks.</w:t>
      </w:r>
      <w:r>
        <w:rPr>
          <w:rFonts w:ascii="Verdana" w:hAnsi="Verdana"/>
          <w:color w:val="000033"/>
          <w:sz w:val="17"/>
          <w:szCs w:val="17"/>
        </w:rPr>
        <w:br/>
      </w:r>
      <w:r>
        <w:rPr>
          <w:rFonts w:ascii="Verdana" w:hAnsi="Verdana"/>
          <w:color w:val="000033"/>
          <w:sz w:val="17"/>
          <w:szCs w:val="17"/>
          <w:shd w:val="clear" w:color="auto" w:fill="FFFFFF"/>
        </w:rPr>
        <w:t>5. Multi-task vs single-task model comparison: The authors should make sure that the model capacity (say number of layers or channels) is appropriately larger for the multi-task model. Currently, the same hyper-parameters are used for both models which may lead to sub-optimal performance of either the multi-task or the single-task models.</w:t>
      </w:r>
      <w:r>
        <w:rPr>
          <w:rFonts w:ascii="Verdana" w:hAnsi="Verdana"/>
          <w:color w:val="000033"/>
          <w:sz w:val="17"/>
          <w:szCs w:val="17"/>
        </w:rPr>
        <w:br/>
      </w:r>
      <w:r>
        <w:rPr>
          <w:rFonts w:ascii="Verdana" w:hAnsi="Verdana"/>
          <w:color w:val="000033"/>
          <w:sz w:val="17"/>
          <w:szCs w:val="17"/>
          <w:shd w:val="clear" w:color="auto" w:fill="FFFFFF"/>
        </w:rPr>
        <w:t>6. The manuscript would also benefit from more in depth analysis of contribution scores (computed using say in silico mutagenesis or input*gradient) comparing single task models vs multi-task models when looking at cell-type specific CREs and/or variant effect prediction.</w:t>
      </w:r>
      <w:r>
        <w:rPr>
          <w:rFonts w:ascii="Verdana" w:hAnsi="Verdana"/>
          <w:color w:val="000033"/>
          <w:sz w:val="17"/>
          <w:szCs w:val="17"/>
        </w:rPr>
        <w:br/>
      </w:r>
      <w:r>
        <w:rPr>
          <w:rFonts w:ascii="Verdana" w:hAnsi="Verdana"/>
          <w:color w:val="000033"/>
          <w:sz w:val="17"/>
          <w:szCs w:val="17"/>
          <w:shd w:val="clear" w:color="auto" w:fill="FFFFFF"/>
        </w:rPr>
        <w:t>7. The flow of the manuscript could be improved. There are a number of occasions where the order of figures is inconsistent with when they are mentioned in the text and also some important details are not mentioned such as that a multi-task model was shown in Fig. 3. I've tried to flag a few of these instances in minor points below.</w:t>
      </w:r>
      <w:r>
        <w:rPr>
          <w:rFonts w:ascii="Verdana" w:hAnsi="Verdana"/>
          <w:color w:val="000033"/>
          <w:sz w:val="17"/>
          <w:szCs w:val="17"/>
        </w:rPr>
        <w:br/>
      </w:r>
      <w:r>
        <w:rPr>
          <w:rFonts w:ascii="Verdana" w:hAnsi="Verdana"/>
          <w:color w:val="000033"/>
          <w:sz w:val="17"/>
          <w:szCs w:val="17"/>
          <w:shd w:val="clear" w:color="auto" w:fill="FFFFFF"/>
        </w:rPr>
        <w:t>8. L353: "similar task groupings may be a promising approach to combine performance improvements" - what kind of task groupings have the authors in mind here? Grouping similar cell types (as shown in Fig. 3 which also performs sub-optimally) or grouping different assays measuring the same cell type?</w:t>
      </w:r>
      <w:r>
        <w:rPr>
          <w:rFonts w:ascii="Verdana" w:hAnsi="Verdana"/>
          <w:color w:val="000033"/>
          <w:sz w:val="17"/>
          <w:szCs w:val="17"/>
        </w:rPr>
        <w:br/>
      </w:r>
      <w:r>
        <w:rPr>
          <w:rFonts w:ascii="Verdana" w:hAnsi="Verdana"/>
          <w:color w:val="000033"/>
          <w:sz w:val="17"/>
          <w:szCs w:val="17"/>
          <w:shd w:val="clear" w:color="auto" w:fill="FFFFFF"/>
        </w:rPr>
        <w:t>9. https://github.com/nilab/CellTypeSpecificAccessibilityPrediction code is not accessible. Could the authors please share the code as well? I would expect this repository to allow researchers to easily re-evaluate new models on the benchmarks posed by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w:t>
      </w:r>
      <w:r>
        <w:rPr>
          <w:rFonts w:ascii="Verdana" w:hAnsi="Verdana"/>
          <w:color w:val="000033"/>
          <w:sz w:val="17"/>
          <w:szCs w:val="17"/>
        </w:rPr>
        <w:br/>
      </w:r>
      <w:r>
        <w:rPr>
          <w:rFonts w:ascii="Verdana" w:hAnsi="Verdana"/>
          <w:color w:val="000033"/>
          <w:sz w:val="17"/>
          <w:szCs w:val="17"/>
          <w:shd w:val="clear" w:color="auto" w:fill="FFFFFF"/>
        </w:rPr>
        <w:t>1. L71 "accessibility characterizes active CREs,". Accessible CREs are not necessarily transcriptionally active. Would therefore suggest saying 'potentially active CRE'</w:t>
      </w:r>
      <w:r>
        <w:rPr>
          <w:rFonts w:ascii="Verdana" w:hAnsi="Verdana"/>
          <w:color w:val="000033"/>
          <w:sz w:val="17"/>
          <w:szCs w:val="17"/>
        </w:rPr>
        <w:br/>
      </w:r>
      <w:r>
        <w:rPr>
          <w:rFonts w:ascii="Verdana" w:hAnsi="Verdana"/>
          <w:color w:val="000033"/>
          <w:sz w:val="17"/>
          <w:szCs w:val="17"/>
          <w:shd w:val="clear" w:color="auto" w:fill="FFFFFF"/>
        </w:rPr>
        <w:t>2. L99: "...provide a comprehensive view of the performance of current state-of-the-art genomic deep learning models in CREs" - The evaluation doesn't consider comparison to say MPRA data which means that it's not comprehensive. The authors should therefore remove the "comprehensive" claim.</w:t>
      </w:r>
      <w:r>
        <w:rPr>
          <w:rFonts w:ascii="Verdana" w:hAnsi="Verdana"/>
          <w:color w:val="000033"/>
          <w:sz w:val="17"/>
          <w:szCs w:val="17"/>
        </w:rPr>
        <w:br/>
      </w:r>
      <w:r>
        <w:rPr>
          <w:rFonts w:ascii="Verdana" w:hAnsi="Verdana"/>
          <w:color w:val="000033"/>
          <w:sz w:val="17"/>
          <w:szCs w:val="17"/>
          <w:shd w:val="clear" w:color="auto" w:fill="FFFFFF"/>
        </w:rPr>
        <w:t>3. Fig. 2A: The authors should also attempt to add the performance of experimental replicates. Some of the peaks accessible only in a single cell type might be technical artifacts. If experimental replicates are not available, then the authors should use the most similar track as a substitute for the experimental replicate.</w:t>
      </w:r>
      <w:r>
        <w:rPr>
          <w:rFonts w:ascii="Verdana" w:hAnsi="Verdana"/>
          <w:color w:val="000033"/>
          <w:sz w:val="17"/>
          <w:szCs w:val="17"/>
        </w:rPr>
        <w:br/>
      </w:r>
      <w:r>
        <w:rPr>
          <w:rFonts w:ascii="Verdana" w:hAnsi="Verdana"/>
          <w:color w:val="000033"/>
          <w:sz w:val="17"/>
          <w:szCs w:val="17"/>
          <w:shd w:val="clear" w:color="auto" w:fill="FFFFFF"/>
        </w:rPr>
        <w:t>4. Fig. 2A: When quantifying the cell type specificity of predictions, the authors should also look at alternative metrics such as precision per CRE for the top N predictions, where N is the number of accessible cell types for that cell type. Note that one should z-score normalize the predictions for each predicted experiment first before doing this comparison. Another relevant evaluation metric would be to look at how well the models can predict differentially accessible regions given a specific pair of cell types.</w:t>
      </w:r>
      <w:r>
        <w:rPr>
          <w:rFonts w:ascii="Verdana" w:hAnsi="Verdana"/>
          <w:color w:val="000033"/>
          <w:sz w:val="17"/>
          <w:szCs w:val="17"/>
        </w:rPr>
        <w:br/>
      </w:r>
      <w:r>
        <w:rPr>
          <w:rFonts w:ascii="Verdana" w:hAnsi="Verdana"/>
          <w:color w:val="000033"/>
          <w:sz w:val="17"/>
          <w:szCs w:val="17"/>
          <w:shd w:val="clear" w:color="auto" w:fill="FFFFFF"/>
        </w:rPr>
        <w:t>5. Fig. 2B: How much of that figure can be explained by distance from TSS or element types (promoter vs enhancer)?</w:t>
      </w:r>
      <w:r>
        <w:rPr>
          <w:rFonts w:ascii="Verdana" w:hAnsi="Verdana"/>
          <w:color w:val="000033"/>
          <w:sz w:val="17"/>
          <w:szCs w:val="17"/>
        </w:rPr>
        <w:br/>
      </w:r>
      <w:r>
        <w:rPr>
          <w:rFonts w:ascii="Verdana" w:hAnsi="Verdana"/>
          <w:color w:val="000033"/>
          <w:sz w:val="17"/>
          <w:szCs w:val="17"/>
          <w:shd w:val="clear" w:color="auto" w:fill="FFFFFF"/>
        </w:rPr>
        <w:t>6. Fig. 2C is introduced before Fig. 2a (L123 vs L129)</w:t>
      </w:r>
      <w:r>
        <w:rPr>
          <w:rFonts w:ascii="Verdana" w:hAnsi="Verdana"/>
          <w:color w:val="000033"/>
          <w:sz w:val="17"/>
          <w:szCs w:val="17"/>
        </w:rPr>
        <w:br/>
      </w:r>
      <w:r>
        <w:rPr>
          <w:rFonts w:ascii="Verdana" w:hAnsi="Verdana"/>
          <w:color w:val="000033"/>
          <w:sz w:val="17"/>
          <w:szCs w:val="17"/>
          <w:shd w:val="clear" w:color="auto" w:fill="FFFFFF"/>
        </w:rPr>
        <w:t>7. Fig. 2D should also contain the bar showing the enrichment from 2C for easier comparison to all/non-stratified variants using Enformer. Figure legend should also mention 'Low/high Enformer SAD scores'. The authors should also mention that using variants in more cell type specific peaks with high Enformer SAD score are even more highly enriched for trait heritability than variants in cell type specific peaks generally.</w:t>
      </w:r>
      <w:r>
        <w:rPr>
          <w:rFonts w:ascii="Verdana" w:hAnsi="Verdana"/>
          <w:color w:val="000033"/>
          <w:sz w:val="17"/>
          <w:szCs w:val="17"/>
        </w:rPr>
        <w:br/>
      </w:r>
      <w:r>
        <w:rPr>
          <w:rFonts w:ascii="Verdana" w:hAnsi="Verdana"/>
          <w:color w:val="000033"/>
          <w:sz w:val="17"/>
          <w:szCs w:val="17"/>
          <w:shd w:val="clear" w:color="auto" w:fill="FFFFFF"/>
        </w:rPr>
        <w:t>8. L179: "Taken together, …these results indicate… that models have decreased … accuracy." -&gt; I don't think Fig. 2D is showing lower performance in cell type specific CREs. Therefore, I would suggest moving the Fig. 2C and D to a separate section with its own conclusion sentence.</w:t>
      </w:r>
      <w:r>
        <w:rPr>
          <w:rFonts w:ascii="Verdana" w:hAnsi="Verdana"/>
          <w:color w:val="000033"/>
          <w:sz w:val="17"/>
          <w:szCs w:val="17"/>
        </w:rPr>
        <w:br/>
      </w:r>
      <w:r>
        <w:rPr>
          <w:rFonts w:ascii="Verdana" w:hAnsi="Verdana"/>
          <w:color w:val="000033"/>
          <w:sz w:val="17"/>
          <w:szCs w:val="17"/>
          <w:shd w:val="clear" w:color="auto" w:fill="FFFFFF"/>
        </w:rPr>
        <w:t>9. Fig. S3A y-axis should be shown in log-scale.</w:t>
      </w:r>
      <w:r>
        <w:rPr>
          <w:rFonts w:ascii="Verdana" w:hAnsi="Verdana"/>
          <w:color w:val="000033"/>
          <w:sz w:val="17"/>
          <w:szCs w:val="17"/>
        </w:rPr>
        <w:br/>
      </w:r>
      <w:r>
        <w:rPr>
          <w:rFonts w:ascii="Verdana" w:hAnsi="Verdana"/>
          <w:color w:val="000033"/>
          <w:sz w:val="17"/>
          <w:szCs w:val="17"/>
          <w:shd w:val="clear" w:color="auto" w:fill="FFFFFF"/>
        </w:rPr>
        <w:t>10. L87: "...we reasoned that negative transfer led to sub-optimal performance": There might be other reasons beyond negative transfer for multi-task models to not be performing as well such as limited capacity. Have the authors carefully re-trained the multi-task vs single-task models while matching for the right model capacity to demonstrate the impact of negative transfer?</w:t>
      </w:r>
      <w:r>
        <w:rPr>
          <w:rFonts w:ascii="Verdana" w:hAnsi="Verdana"/>
          <w:color w:val="000033"/>
          <w:sz w:val="17"/>
          <w:szCs w:val="17"/>
        </w:rPr>
        <w:br/>
      </w:r>
      <w:r>
        <w:rPr>
          <w:rFonts w:ascii="Verdana" w:hAnsi="Verdana"/>
          <w:color w:val="000033"/>
          <w:sz w:val="17"/>
          <w:szCs w:val="17"/>
          <w:shd w:val="clear" w:color="auto" w:fill="FFFFFF"/>
        </w:rPr>
        <w:lastRenderedPageBreak/>
        <w:t>11. Fig. 3A: Why is the y-axis in different units (proportion heritability) vs Fig. 2C,D (enrichment).</w:t>
      </w:r>
      <w:r>
        <w:rPr>
          <w:rFonts w:ascii="Verdana" w:hAnsi="Verdana"/>
          <w:color w:val="000033"/>
          <w:sz w:val="17"/>
          <w:szCs w:val="17"/>
        </w:rPr>
        <w:br/>
      </w:r>
      <w:r>
        <w:rPr>
          <w:rFonts w:ascii="Verdana" w:hAnsi="Verdana"/>
          <w:color w:val="000033"/>
          <w:sz w:val="17"/>
          <w:szCs w:val="17"/>
          <w:shd w:val="clear" w:color="auto" w:fill="FFFFFF"/>
        </w:rPr>
        <w:t>12. L212: "All models achieve a genome-wide reference accuracy comparable to previous work (Fig. S6, Fig. S7)". Which of the curves in Fig. S6, S7 is showing previous work?</w:t>
      </w:r>
      <w:r>
        <w:rPr>
          <w:rFonts w:ascii="Verdana" w:hAnsi="Verdana"/>
          <w:color w:val="000033"/>
          <w:sz w:val="17"/>
          <w:szCs w:val="17"/>
        </w:rPr>
        <w:br/>
      </w:r>
      <w:r>
        <w:rPr>
          <w:rFonts w:ascii="Verdana" w:hAnsi="Verdana"/>
          <w:color w:val="000033"/>
          <w:sz w:val="17"/>
          <w:szCs w:val="17"/>
          <w:shd w:val="clear" w:color="auto" w:fill="FFFFFF"/>
        </w:rPr>
        <w:t>13. Figures S6, S7 are introduced before Fig. S4 in the text. Also, single-task models haven't been mentioned until then.</w:t>
      </w:r>
      <w:r>
        <w:rPr>
          <w:rFonts w:ascii="Verdana" w:hAnsi="Verdana"/>
          <w:color w:val="000033"/>
          <w:sz w:val="17"/>
          <w:szCs w:val="17"/>
        </w:rPr>
        <w:br/>
      </w:r>
      <w:r>
        <w:rPr>
          <w:rFonts w:ascii="Verdana" w:hAnsi="Verdana"/>
          <w:color w:val="000033"/>
          <w:sz w:val="17"/>
          <w:szCs w:val="17"/>
          <w:shd w:val="clear" w:color="auto" w:fill="FFFFFF"/>
        </w:rPr>
        <w:t>14. L208: Do the authors train only single-task models or multi-task models here?</w:t>
      </w:r>
      <w:r>
        <w:rPr>
          <w:rFonts w:ascii="Verdana" w:hAnsi="Verdana"/>
          <w:color w:val="000033"/>
          <w:sz w:val="17"/>
          <w:szCs w:val="17"/>
        </w:rPr>
        <w:br/>
      </w:r>
      <w:r>
        <w:rPr>
          <w:rFonts w:ascii="Verdana" w:hAnsi="Verdana"/>
          <w:color w:val="000033"/>
          <w:sz w:val="17"/>
          <w:szCs w:val="17"/>
          <w:shd w:val="clear" w:color="auto" w:fill="FFFFFF"/>
        </w:rPr>
        <w:t>15. Fig. 3: Is the model compared here multi-task or single-task? I've had trouble figuring this out from the figure legend / text.</w:t>
      </w:r>
      <w:r>
        <w:rPr>
          <w:rFonts w:ascii="Verdana" w:hAnsi="Verdana"/>
          <w:color w:val="000033"/>
          <w:sz w:val="17"/>
          <w:szCs w:val="17"/>
        </w:rPr>
        <w:br/>
      </w:r>
      <w:r>
        <w:rPr>
          <w:rFonts w:ascii="Verdana" w:hAnsi="Verdana"/>
          <w:color w:val="000033"/>
          <w:sz w:val="17"/>
          <w:szCs w:val="17"/>
          <w:shd w:val="clear" w:color="auto" w:fill="FFFFFF"/>
        </w:rPr>
        <w:t>16. Fig. 3C vs 4A -&gt; consistent colors should be used for multi-task prediction models since they are showing the same performance numbers or?</w:t>
      </w:r>
      <w:r>
        <w:rPr>
          <w:rFonts w:ascii="Verdana" w:hAnsi="Verdana"/>
          <w:color w:val="000033"/>
          <w:sz w:val="17"/>
          <w:szCs w:val="17"/>
        </w:rPr>
        <w:br/>
      </w:r>
      <w:r>
        <w:rPr>
          <w:rFonts w:ascii="Verdana" w:hAnsi="Verdana"/>
          <w:color w:val="000033"/>
          <w:sz w:val="17"/>
          <w:szCs w:val="17"/>
          <w:shd w:val="clear" w:color="auto" w:fill="FFFFFF"/>
        </w:rPr>
        <w:t>17. L222: "...model trained on related cell types also have decreased performance…" - what do the authors mean by 'trained on related cell types'? Weren't the models trained in the same cell type as they are being evaluated on? -&gt; After re-reading the text a few times I realized the text was actually talking about a multi-tasking model. The authors should make that more explicit in the text and include 'multi-task' in the title of this section.</w:t>
      </w:r>
      <w:r>
        <w:rPr>
          <w:rFonts w:ascii="Verdana" w:hAnsi="Verdana"/>
          <w:color w:val="000033"/>
          <w:sz w:val="17"/>
          <w:szCs w:val="17"/>
        </w:rPr>
        <w:br/>
      </w:r>
      <w:r>
        <w:rPr>
          <w:rFonts w:ascii="Verdana" w:hAnsi="Verdana"/>
          <w:color w:val="000033"/>
          <w:sz w:val="17"/>
          <w:szCs w:val="17"/>
          <w:shd w:val="clear" w:color="auto" w:fill="FFFFFF"/>
        </w:rPr>
        <w:t>18. Fig. 3E,F -&gt; The authors should also show the same prediction example for the single-task models discussed in Fig. 4.</w:t>
      </w:r>
      <w:r>
        <w:rPr>
          <w:rFonts w:ascii="Verdana" w:hAnsi="Verdana"/>
          <w:color w:val="000033"/>
          <w:sz w:val="17"/>
          <w:szCs w:val="17"/>
        </w:rPr>
        <w:br/>
      </w:r>
      <w:r>
        <w:rPr>
          <w:rFonts w:ascii="Verdana" w:hAnsi="Verdana"/>
          <w:color w:val="000033"/>
          <w:sz w:val="17"/>
          <w:szCs w:val="17"/>
          <w:shd w:val="clear" w:color="auto" w:fill="FFFFFF"/>
        </w:rPr>
        <w:t>19. Fig. S6, S7 are very difficult to read. The authors should consider splitting these out into multiple panels.</w:t>
      </w:r>
      <w:r>
        <w:t xml:space="preserve"> </w:t>
      </w:r>
    </w:p>
    <w:p w14:paraId="42040317" w14:textId="65CD4502" w:rsidR="00EC5A93" w:rsidRDefault="00EC5A93" w:rsidP="00EC5A93">
      <w:pPr>
        <w:rPr>
          <w:b/>
        </w:rPr>
      </w:pPr>
      <w:r w:rsidRPr="00340706">
        <w:rPr>
          <w:b/>
        </w:rPr>
        <w:t xml:space="preserve">Reviewer </w:t>
      </w:r>
      <w:r>
        <w:rPr>
          <w:b/>
        </w:rPr>
        <w:t>3</w:t>
      </w:r>
    </w:p>
    <w:p w14:paraId="02B7033E" w14:textId="732AB518" w:rsidR="00EC5A93" w:rsidRDefault="00E90A3F" w:rsidP="009F23DA">
      <w:pPr>
        <w:rPr>
          <w:rFonts w:ascii="Verdana" w:hAnsi="Verdana"/>
          <w:color w:val="000033"/>
          <w:sz w:val="17"/>
          <w:szCs w:val="17"/>
          <w:shd w:val="clear" w:color="auto" w:fill="FFFFFF"/>
        </w:rPr>
      </w:pPr>
      <w:r>
        <w:rPr>
          <w:rFonts w:ascii="Verdana" w:hAnsi="Verdana"/>
          <w:color w:val="000033"/>
          <w:sz w:val="17"/>
          <w:szCs w:val="17"/>
          <w:shd w:val="clear" w:color="auto" w:fill="FFFFFF"/>
        </w:rPr>
        <w:t>In this manuscript, the authors identified a limitation in current genomic deep learning models: the accuracy of these models decreases in cell type-specific CREs. This includes both prediction accuracy for the reference sequence and for variant effects. The authors then compare single-task models to multi-task models and report an improvement in cell-type-specific CRE predictions. Overall, this is a useful benchmark study that contributes to our understanding of genomic deep learning model performance. However, I have the following concerns: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authors observed an over-correlation between model predictions for different cell types compared to experimental measurements. While it is plausible that this over-correlation is partially due to model bias, another potential source of over-correlation is experimental measurement noise. With noisy experimental measurements, the correlation between cell types is expected to be lower than between predictions, even if the predictions are unbiased. Therefore, over-correlation should not be simply considered as a bias of the models. The effect of experimental noise should ideally be taken into account in the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The comparison between single-task and multi-task models is informative, but the results are not entirely conclusive in my opinion. The improvement of single-task models in cell type-specific CRE predictions is mild and inconsistent across all cell types. Additionally, the effect on variant effect prediction in cell type-specific CREs is mixed, as shown in Figs. S6b and S7b. The performance of single-task models on ubiquitous peaks seems to be similar or slightly worse overall. Although the single-task model demonstrates a partial reduction in over-correlation compared to the multi-task model, it is unclear whether this reduction is an improvement or a result of increased variance across single-task models. Moreover, the influence of the number of parameters on the results warrants investigation. It might be worthwhile to explore scenarios where the sum of all single-task model parameters is equal to that of the multi-task model, and where each individual single-task model has the same number of parameters as the multi-task model.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figure panels are not ordered in the same order as they are mentioned in the text. For example, Figure 2c is referenced before Figure 2a in the text.</w:t>
      </w:r>
      <w:r>
        <w:rPr>
          <w:rFonts w:ascii="Verdana" w:hAnsi="Verdana"/>
          <w:color w:val="000033"/>
          <w:sz w:val="17"/>
          <w:szCs w:val="17"/>
        </w:rPr>
        <w:br/>
      </w:r>
      <w:r>
        <w:rPr>
          <w:rFonts w:ascii="Verdana" w:hAnsi="Verdana"/>
          <w:color w:val="000033"/>
          <w:sz w:val="17"/>
          <w:szCs w:val="17"/>
          <w:shd w:val="clear" w:color="auto" w:fill="FFFFFF"/>
        </w:rPr>
        <w:t>2. One of the two datasets primarily used in the experiments (Loeb et al.) is not yet publicly available.</w:t>
      </w:r>
      <w:r>
        <w:rPr>
          <w:rFonts w:ascii="Verdana" w:hAnsi="Verdana"/>
          <w:color w:val="000033"/>
          <w:sz w:val="17"/>
          <w:szCs w:val="17"/>
        </w:rPr>
        <w:br/>
      </w:r>
      <w:r>
        <w:rPr>
          <w:rFonts w:ascii="Verdana" w:hAnsi="Verdana"/>
          <w:color w:val="000033"/>
          <w:sz w:val="17"/>
          <w:szCs w:val="17"/>
          <w:shd w:val="clear" w:color="auto" w:fill="FFFFFF"/>
        </w:rPr>
        <w:t>3. The models trained on Calderon et al. and Loeb et al. are not available.</w:t>
      </w:r>
    </w:p>
    <w:p w14:paraId="74402BF2" w14:textId="055E1C9A" w:rsidR="00E90A3F" w:rsidRDefault="00E90A3F" w:rsidP="00E90A3F">
      <w:pPr>
        <w:rPr>
          <w:b/>
        </w:rPr>
      </w:pPr>
      <w:r w:rsidRPr="00340706">
        <w:rPr>
          <w:b/>
        </w:rPr>
        <w:t xml:space="preserve">Reviewer </w:t>
      </w:r>
      <w:r>
        <w:rPr>
          <w:b/>
        </w:rPr>
        <w:t>4</w:t>
      </w:r>
    </w:p>
    <w:p w14:paraId="22ECDF53" w14:textId="60BC81DD" w:rsidR="00E90A3F" w:rsidRPr="00340706" w:rsidRDefault="0080625D" w:rsidP="009F23DA">
      <w:r>
        <w:rPr>
          <w:rFonts w:ascii="Verdana" w:hAnsi="Verdana"/>
          <w:color w:val="000033"/>
          <w:sz w:val="17"/>
          <w:szCs w:val="17"/>
          <w:shd w:val="clear" w:color="auto" w:fill="FFFFFF"/>
        </w:rPr>
        <w:t>Review: Current genomic deep learning models display decreased performance in cell type specific cis regulatory elements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manuscript's premise is that DNA sequence-based multi-task deep learning (DL) predictors generally focus on genome-wide accuracy. However since disease heritability is enriched in CREs, it is important to assess whether these models are equally accurate in CREs with varying degrees of cell-type specificity. Here, the authors assess the performance of two multitask models (Sei and Enformer) at predicting cell-type specific accessibility and conclude that both models display decreased performance over cell-type specific CREs when compared to shared / ubiquitous CREs.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This is an interesting perspective and I believe that this an important assessment to perform as we begin utilizing sequence-based DL models to evaluate genetic variation. However, in its current form, the evidence provided in order to reach the stated conclusions is insufficient and a more complete analysis would make this research more useful.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Concerns:</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1. The first major claim in the paper is that cell-type specific accessibility peaks are more enriched for heritability when compared to shared CREs ( Fig. 2C, D). This conclusion is based on stratified LD score regression (S-LDSC) which partitions heritability given a set of annotations. The authors perform S-LDSC by including the baseline LD annotation set. The baseline LD annotations contain several annotations that would overlap extensively with shared CRE features but not cell-type specific CREs - such as FANTOM 5 enhancers, promoters etc. Since the heritability estimates provided by S-LDSC are conditional estimates, it is unclear whether the decreased heritability in shared CREs is an artifact driven by the inclusion of other annotations marking these regions. Performing S-LDSC without conditioning on noncoding baseline annotations would provide an unbiased estimate of heritability enrichment in shared vs. cell-type specific CREs.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In Fig. 2D, loci are divided into "high" vs. "low" magnitude Enformer variant scores and heritability enrichment is computed for each category. How is a threshold chosen to divide predictions into categories? Computing statistical significance &amp; computing heritability enrichment for significant vs. non-significant variant effects would be more convincing than using a single threshold to categorize variant effects.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In Fig. 3A, the author's measure the proportion of heritability within cell-type specific vs. shared CREs for the two ATAC-seq datasets. However, the proportion of heritability will be higher for a category if it contains a greater proportion of SNPs. It would be nice to see heritability enrichment reported here (controlling for number of SNPs in annotation). This would also be consistent with Fig. 2C, which already reports heritability enrichment.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In Fig. 3C, accuracies over cell-type specific CREs are reported for 4 and 3 cell-types from the Loeb at al. and Calderon et al. datasets shown. For a more complete evaluation, it would be nice to see the results for all cell-types, this could be added to supplementary figures.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Figure 3D: While assessing prediction uncertainty, is the coefficient of variation (uncertainty in prediction) significantly different between cell-type specific vs. shared CREs, especially in the Calderon et al. set?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The regulatory grammar at TSSs is distinct from that at distal enhancers - is the model's ability to learn cell-type specificity dependent on whether the CRE is a proximal element such as a TSS or distal enhancer?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For specific peaks which are mis-predicted, are false negatives or false positives the problem? If these peaks are false positives, what motifs are driving the predictions? To assess this, analyzing model attributions would be useful.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8. Why is cell type specific performance worse? The authors seem to favor model bias, but several alternatives are worth considering:</w:t>
      </w:r>
      <w:r>
        <w:rPr>
          <w:rFonts w:ascii="Verdana" w:hAnsi="Verdana"/>
          <w:color w:val="000033"/>
          <w:sz w:val="17"/>
          <w:szCs w:val="17"/>
        </w:rPr>
        <w:br/>
      </w:r>
      <w:r>
        <w:rPr>
          <w:rFonts w:ascii="Verdana" w:hAnsi="Verdana"/>
          <w:color w:val="000033"/>
          <w:sz w:val="17"/>
          <w:szCs w:val="17"/>
          <w:shd w:val="clear" w:color="auto" w:fill="FFFFFF"/>
        </w:rPr>
        <w:t>8a. Ubiquitous peaks have a greater true positive rate because specific peaks are more likely false positive peak calls or attributable to genetic variation outside the reference. Authors could assess using ENCODE replicates whether ubiquitous peaks are more likely to appear in multiple replicates.</w:t>
      </w:r>
      <w:r>
        <w:rPr>
          <w:rFonts w:ascii="Verdana" w:hAnsi="Verdana"/>
          <w:color w:val="000033"/>
          <w:sz w:val="17"/>
          <w:szCs w:val="17"/>
        </w:rPr>
        <w:br/>
      </w:r>
      <w:r>
        <w:rPr>
          <w:rFonts w:ascii="Verdana" w:hAnsi="Verdana"/>
          <w:color w:val="000033"/>
          <w:sz w:val="17"/>
          <w:szCs w:val="17"/>
          <w:shd w:val="clear" w:color="auto" w:fill="FFFFFF"/>
        </w:rPr>
        <w:t>8b. Do ubiquitous peaks have greater information content than specific peaks? I.e. CpG island promoters and CTCF insulators are very easy to predict. Are specific peaks more likely to be driven by complex grammars that are inherently more challenging for ML models to learn?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Additional Minor Concerns:</w:t>
      </w:r>
      <w:r>
        <w:rPr>
          <w:rFonts w:ascii="Verdana" w:hAnsi="Verdana"/>
          <w:color w:val="000033"/>
          <w:sz w:val="17"/>
          <w:szCs w:val="17"/>
        </w:rPr>
        <w:br/>
      </w:r>
      <w:r>
        <w:rPr>
          <w:rFonts w:ascii="Verdana" w:hAnsi="Verdana"/>
          <w:color w:val="000033"/>
          <w:sz w:val="17"/>
          <w:szCs w:val="17"/>
          <w:shd w:val="clear" w:color="auto" w:fill="FFFFFF"/>
        </w:rPr>
        <w:t>Figure 1A &amp; 1B: Number of cell-types reported on the x-axis is incorrect. There are 684 DNase tracks in the Enformer/ but not all of them are distinct cell-types. For example, there might be several K562 tracks from distinct sources. Similarly, the legend is also incorrect in S1A and S1B.</w:t>
      </w:r>
    </w:p>
    <w:p w14:paraId="202CA3F0" w14:textId="77777777" w:rsidR="009F23DA" w:rsidRPr="00340706" w:rsidRDefault="009F23DA" w:rsidP="009F23DA">
      <w:pPr>
        <w:rPr>
          <w:b/>
        </w:rPr>
      </w:pPr>
      <w:r w:rsidRPr="00340706">
        <w:rPr>
          <w:b/>
        </w:rPr>
        <w:t xml:space="preserve">Authors’ response to reviewers </w:t>
      </w:r>
    </w:p>
    <w:p w14:paraId="72A2F082" w14:textId="77777777" w:rsidR="00E211CC" w:rsidRDefault="00E211CC" w:rsidP="00E211CC">
      <w:pPr>
        <w:pStyle w:val="BodyText"/>
        <w:spacing w:before="80" w:line="276" w:lineRule="auto"/>
        <w:ind w:right="899"/>
      </w:pPr>
      <w:r>
        <w:rPr>
          <w:color w:val="4A86E8"/>
        </w:rPr>
        <w:t>We thank the reviewers for their thoughtful comments and suggestions, which have considerably</w:t>
      </w:r>
      <w:r>
        <w:rPr>
          <w:color w:val="4A86E8"/>
          <w:spacing w:val="-4"/>
        </w:rPr>
        <w:t xml:space="preserve"> </w:t>
      </w:r>
      <w:r>
        <w:rPr>
          <w:color w:val="4A86E8"/>
        </w:rPr>
        <w:t>strengthened</w:t>
      </w:r>
      <w:r>
        <w:rPr>
          <w:color w:val="4A86E8"/>
          <w:spacing w:val="-4"/>
        </w:rPr>
        <w:t xml:space="preserve"> </w:t>
      </w:r>
      <w:r>
        <w:rPr>
          <w:color w:val="4A86E8"/>
        </w:rPr>
        <w:t>our</w:t>
      </w:r>
      <w:r>
        <w:rPr>
          <w:color w:val="4A86E8"/>
          <w:spacing w:val="-4"/>
        </w:rPr>
        <w:t xml:space="preserve"> </w:t>
      </w:r>
      <w:r>
        <w:rPr>
          <w:color w:val="4A86E8"/>
        </w:rPr>
        <w:t>manuscript.</w:t>
      </w:r>
      <w:r>
        <w:rPr>
          <w:color w:val="4A86E8"/>
          <w:spacing w:val="-4"/>
        </w:rPr>
        <w:t xml:space="preserve"> </w:t>
      </w:r>
      <w:r>
        <w:rPr>
          <w:color w:val="4A86E8"/>
        </w:rPr>
        <w:t>We</w:t>
      </w:r>
      <w:r>
        <w:rPr>
          <w:color w:val="4A86E8"/>
          <w:spacing w:val="-4"/>
        </w:rPr>
        <w:t xml:space="preserve"> </w:t>
      </w:r>
      <w:r>
        <w:rPr>
          <w:color w:val="4A86E8"/>
        </w:rPr>
        <w:t>have</w:t>
      </w:r>
      <w:r>
        <w:rPr>
          <w:color w:val="4A86E8"/>
          <w:spacing w:val="-4"/>
        </w:rPr>
        <w:t xml:space="preserve"> </w:t>
      </w:r>
      <w:r>
        <w:rPr>
          <w:color w:val="4A86E8"/>
        </w:rPr>
        <w:t>carried</w:t>
      </w:r>
      <w:r>
        <w:rPr>
          <w:color w:val="4A86E8"/>
          <w:spacing w:val="-4"/>
        </w:rPr>
        <w:t xml:space="preserve"> </w:t>
      </w:r>
      <w:r>
        <w:rPr>
          <w:color w:val="4A86E8"/>
        </w:rPr>
        <w:t>out</w:t>
      </w:r>
      <w:r>
        <w:rPr>
          <w:color w:val="4A86E8"/>
          <w:spacing w:val="-4"/>
        </w:rPr>
        <w:t xml:space="preserve"> </w:t>
      </w:r>
      <w:r>
        <w:rPr>
          <w:color w:val="4A86E8"/>
        </w:rPr>
        <w:t>several</w:t>
      </w:r>
      <w:r>
        <w:rPr>
          <w:color w:val="4A86E8"/>
          <w:spacing w:val="-4"/>
        </w:rPr>
        <w:t xml:space="preserve"> </w:t>
      </w:r>
      <w:r>
        <w:rPr>
          <w:color w:val="4A86E8"/>
        </w:rPr>
        <w:t>additional</w:t>
      </w:r>
      <w:r>
        <w:rPr>
          <w:color w:val="4A86E8"/>
          <w:spacing w:val="-4"/>
        </w:rPr>
        <w:t xml:space="preserve"> </w:t>
      </w:r>
      <w:r>
        <w:rPr>
          <w:color w:val="4A86E8"/>
        </w:rPr>
        <w:t>analyses</w:t>
      </w:r>
      <w:r>
        <w:rPr>
          <w:color w:val="4A86E8"/>
          <w:spacing w:val="-4"/>
        </w:rPr>
        <w:t xml:space="preserve"> </w:t>
      </w:r>
      <w:r>
        <w:rPr>
          <w:color w:val="4A86E8"/>
        </w:rPr>
        <w:t>and revised the manuscript to strengthen the conclusions and address their concerns. The new analyses include a new main figure panel (Figure 4c), 13 new supplementary figures (Figures S1, S3, S4, S6, S8, S10, S13-19), and 1 new supplementary table (Supplementary Table 1).</w:t>
      </w:r>
    </w:p>
    <w:p w14:paraId="6FF18EF4" w14:textId="77777777" w:rsidR="00E211CC" w:rsidRDefault="00E211CC" w:rsidP="00E211CC">
      <w:pPr>
        <w:pStyle w:val="BodyText"/>
        <w:spacing w:line="253" w:lineRule="exact"/>
      </w:pPr>
      <w:r>
        <w:rPr>
          <w:color w:val="4A86E8"/>
        </w:rPr>
        <w:t>We</w:t>
      </w:r>
      <w:r>
        <w:rPr>
          <w:color w:val="4A86E8"/>
          <w:spacing w:val="-7"/>
        </w:rPr>
        <w:t xml:space="preserve"> </w:t>
      </w:r>
      <w:r>
        <w:rPr>
          <w:color w:val="4A86E8"/>
        </w:rPr>
        <w:t>highlight</w:t>
      </w:r>
      <w:r>
        <w:rPr>
          <w:color w:val="4A86E8"/>
          <w:spacing w:val="-5"/>
        </w:rPr>
        <w:t xml:space="preserve"> </w:t>
      </w:r>
      <w:r>
        <w:rPr>
          <w:color w:val="4A86E8"/>
        </w:rPr>
        <w:t>two</w:t>
      </w:r>
      <w:r>
        <w:rPr>
          <w:color w:val="4A86E8"/>
          <w:spacing w:val="-4"/>
        </w:rPr>
        <w:t xml:space="preserve"> </w:t>
      </w:r>
      <w:r>
        <w:rPr>
          <w:color w:val="4A86E8"/>
        </w:rPr>
        <w:t>notable</w:t>
      </w:r>
      <w:r>
        <w:rPr>
          <w:color w:val="4A86E8"/>
          <w:spacing w:val="-5"/>
        </w:rPr>
        <w:t xml:space="preserve"> </w:t>
      </w:r>
      <w:r>
        <w:rPr>
          <w:color w:val="4A86E8"/>
        </w:rPr>
        <w:t>ways</w:t>
      </w:r>
      <w:r>
        <w:rPr>
          <w:color w:val="4A86E8"/>
          <w:spacing w:val="-5"/>
        </w:rPr>
        <w:t xml:space="preserve"> </w:t>
      </w:r>
      <w:r>
        <w:rPr>
          <w:color w:val="4A86E8"/>
        </w:rPr>
        <w:t>we</w:t>
      </w:r>
      <w:r>
        <w:rPr>
          <w:color w:val="4A86E8"/>
          <w:spacing w:val="-4"/>
        </w:rPr>
        <w:t xml:space="preserve"> </w:t>
      </w:r>
      <w:r>
        <w:rPr>
          <w:color w:val="4A86E8"/>
        </w:rPr>
        <w:t>have</w:t>
      </w:r>
      <w:r>
        <w:rPr>
          <w:color w:val="4A86E8"/>
          <w:spacing w:val="-5"/>
        </w:rPr>
        <w:t xml:space="preserve"> </w:t>
      </w:r>
      <w:r>
        <w:rPr>
          <w:color w:val="4A86E8"/>
        </w:rPr>
        <w:t>improved</w:t>
      </w:r>
      <w:r>
        <w:rPr>
          <w:color w:val="4A86E8"/>
          <w:spacing w:val="-5"/>
        </w:rPr>
        <w:t xml:space="preserve"> </w:t>
      </w:r>
      <w:r>
        <w:rPr>
          <w:color w:val="4A86E8"/>
        </w:rPr>
        <w:t>the</w:t>
      </w:r>
      <w:r>
        <w:rPr>
          <w:color w:val="4A86E8"/>
          <w:spacing w:val="-4"/>
        </w:rPr>
        <w:t xml:space="preserve"> </w:t>
      </w:r>
      <w:r>
        <w:rPr>
          <w:color w:val="4A86E8"/>
          <w:spacing w:val="-2"/>
        </w:rPr>
        <w:t>manuscript:</w:t>
      </w:r>
    </w:p>
    <w:p w14:paraId="21061DDB" w14:textId="77777777" w:rsidR="00E211CC" w:rsidRDefault="00E211CC" w:rsidP="00E211CC">
      <w:pPr>
        <w:pStyle w:val="BodyText"/>
        <w:spacing w:before="74"/>
        <w:ind w:left="0"/>
      </w:pPr>
    </w:p>
    <w:p w14:paraId="02B40DBD" w14:textId="77777777" w:rsidR="00E211CC" w:rsidRDefault="00E211CC" w:rsidP="00E211CC">
      <w:pPr>
        <w:pStyle w:val="ListParagraph"/>
        <w:widowControl w:val="0"/>
        <w:numPr>
          <w:ilvl w:val="0"/>
          <w:numId w:val="7"/>
        </w:numPr>
        <w:tabs>
          <w:tab w:val="left" w:pos="1538"/>
          <w:tab w:val="left" w:pos="1540"/>
        </w:tabs>
        <w:autoSpaceDE w:val="0"/>
        <w:autoSpaceDN w:val="0"/>
        <w:spacing w:before="1" w:after="0" w:line="276" w:lineRule="auto"/>
        <w:ind w:right="900"/>
        <w:contextualSpacing w:val="0"/>
      </w:pPr>
      <w:r>
        <w:rPr>
          <w:color w:val="4A86E8"/>
        </w:rPr>
        <w:t>We have performed a more thorough comparison of single-task versus multi-task learning</w:t>
      </w:r>
      <w:r>
        <w:rPr>
          <w:color w:val="4A86E8"/>
          <w:spacing w:val="-2"/>
        </w:rPr>
        <w:t xml:space="preserve"> </w:t>
      </w:r>
      <w:r>
        <w:rPr>
          <w:color w:val="4A86E8"/>
        </w:rPr>
        <w:t>to</w:t>
      </w:r>
      <w:r>
        <w:rPr>
          <w:color w:val="4A86E8"/>
          <w:spacing w:val="-2"/>
        </w:rPr>
        <w:t xml:space="preserve"> </w:t>
      </w:r>
      <w:r>
        <w:rPr>
          <w:color w:val="4A86E8"/>
        </w:rPr>
        <w:t>disentangle</w:t>
      </w:r>
      <w:r>
        <w:rPr>
          <w:color w:val="4A86E8"/>
          <w:spacing w:val="-2"/>
        </w:rPr>
        <w:t xml:space="preserve"> </w:t>
      </w:r>
      <w:r>
        <w:rPr>
          <w:color w:val="4A86E8"/>
        </w:rPr>
        <w:t>the</w:t>
      </w:r>
      <w:r>
        <w:rPr>
          <w:color w:val="4A86E8"/>
          <w:spacing w:val="-2"/>
        </w:rPr>
        <w:t xml:space="preserve"> </w:t>
      </w:r>
      <w:r>
        <w:rPr>
          <w:color w:val="4A86E8"/>
        </w:rPr>
        <w:t>respective</w:t>
      </w:r>
      <w:r>
        <w:rPr>
          <w:color w:val="4A86E8"/>
          <w:spacing w:val="-2"/>
        </w:rPr>
        <w:t xml:space="preserve"> </w:t>
      </w:r>
      <w:r>
        <w:rPr>
          <w:color w:val="4A86E8"/>
        </w:rPr>
        <w:t>roles</w:t>
      </w:r>
      <w:r>
        <w:rPr>
          <w:color w:val="4A86E8"/>
          <w:spacing w:val="-2"/>
        </w:rPr>
        <w:t xml:space="preserve"> </w:t>
      </w:r>
      <w:r>
        <w:rPr>
          <w:color w:val="4A86E8"/>
        </w:rPr>
        <w:t>of</w:t>
      </w:r>
      <w:r>
        <w:rPr>
          <w:color w:val="4A86E8"/>
          <w:spacing w:val="-2"/>
        </w:rPr>
        <w:t xml:space="preserve"> </w:t>
      </w:r>
      <w:r>
        <w:rPr>
          <w:color w:val="4A86E8"/>
        </w:rPr>
        <w:t>increased</w:t>
      </w:r>
      <w:r>
        <w:rPr>
          <w:color w:val="4A86E8"/>
          <w:spacing w:val="-2"/>
        </w:rPr>
        <w:t xml:space="preserve"> </w:t>
      </w:r>
      <w:r>
        <w:rPr>
          <w:color w:val="4A86E8"/>
        </w:rPr>
        <w:t>model</w:t>
      </w:r>
      <w:r>
        <w:rPr>
          <w:color w:val="4A86E8"/>
          <w:spacing w:val="-2"/>
        </w:rPr>
        <w:t xml:space="preserve"> </w:t>
      </w:r>
      <w:r>
        <w:rPr>
          <w:color w:val="4A86E8"/>
        </w:rPr>
        <w:t>capacity</w:t>
      </w:r>
      <w:r>
        <w:rPr>
          <w:color w:val="4A86E8"/>
          <w:spacing w:val="-2"/>
        </w:rPr>
        <w:t xml:space="preserve"> </w:t>
      </w:r>
      <w:r>
        <w:rPr>
          <w:color w:val="4A86E8"/>
        </w:rPr>
        <w:t>versus</w:t>
      </w:r>
      <w:r>
        <w:rPr>
          <w:color w:val="4A86E8"/>
          <w:spacing w:val="-2"/>
        </w:rPr>
        <w:t xml:space="preserve"> </w:t>
      </w:r>
      <w:r>
        <w:rPr>
          <w:color w:val="4A86E8"/>
        </w:rPr>
        <w:t>negative transfer in the performance improvements seen for single-task models within cell type specific</w:t>
      </w:r>
      <w:r>
        <w:rPr>
          <w:color w:val="4A86E8"/>
          <w:spacing w:val="-3"/>
        </w:rPr>
        <w:t xml:space="preserve"> </w:t>
      </w:r>
      <w:r>
        <w:rPr>
          <w:color w:val="4A86E8"/>
        </w:rPr>
        <w:t>accessible</w:t>
      </w:r>
      <w:r>
        <w:rPr>
          <w:color w:val="4A86E8"/>
          <w:spacing w:val="-3"/>
        </w:rPr>
        <w:t xml:space="preserve"> </w:t>
      </w:r>
      <w:r>
        <w:rPr>
          <w:color w:val="4A86E8"/>
        </w:rPr>
        <w:t>regions.</w:t>
      </w:r>
      <w:r>
        <w:rPr>
          <w:color w:val="4A86E8"/>
          <w:spacing w:val="-3"/>
        </w:rPr>
        <w:t xml:space="preserve"> </w:t>
      </w:r>
      <w:r>
        <w:rPr>
          <w:color w:val="4A86E8"/>
        </w:rPr>
        <w:t>The</w:t>
      </w:r>
      <w:r>
        <w:rPr>
          <w:color w:val="4A86E8"/>
          <w:spacing w:val="-3"/>
        </w:rPr>
        <w:t xml:space="preserve"> </w:t>
      </w:r>
      <w:r>
        <w:rPr>
          <w:color w:val="4A86E8"/>
        </w:rPr>
        <w:t>full</w:t>
      </w:r>
      <w:r>
        <w:rPr>
          <w:color w:val="4A86E8"/>
          <w:spacing w:val="-3"/>
        </w:rPr>
        <w:t xml:space="preserve"> </w:t>
      </w:r>
      <w:r>
        <w:rPr>
          <w:color w:val="4A86E8"/>
        </w:rPr>
        <w:t>results</w:t>
      </w:r>
      <w:r>
        <w:rPr>
          <w:color w:val="4A86E8"/>
          <w:spacing w:val="-3"/>
        </w:rPr>
        <w:t xml:space="preserve"> </w:t>
      </w:r>
      <w:r>
        <w:rPr>
          <w:color w:val="4A86E8"/>
        </w:rPr>
        <w:t>of</w:t>
      </w:r>
      <w:r>
        <w:rPr>
          <w:color w:val="4A86E8"/>
          <w:spacing w:val="-3"/>
        </w:rPr>
        <w:t xml:space="preserve"> </w:t>
      </w:r>
      <w:r>
        <w:rPr>
          <w:color w:val="4A86E8"/>
        </w:rPr>
        <w:t>this</w:t>
      </w:r>
      <w:r>
        <w:rPr>
          <w:color w:val="4A86E8"/>
          <w:spacing w:val="-3"/>
        </w:rPr>
        <w:t xml:space="preserve"> </w:t>
      </w:r>
      <w:r>
        <w:rPr>
          <w:color w:val="4A86E8"/>
        </w:rPr>
        <w:t>analysis</w:t>
      </w:r>
      <w:r>
        <w:rPr>
          <w:color w:val="4A86E8"/>
          <w:spacing w:val="-3"/>
        </w:rPr>
        <w:t xml:space="preserve"> </w:t>
      </w:r>
      <w:r>
        <w:rPr>
          <w:color w:val="4A86E8"/>
        </w:rPr>
        <w:t>are</w:t>
      </w:r>
      <w:r>
        <w:rPr>
          <w:color w:val="4A86E8"/>
          <w:spacing w:val="-3"/>
        </w:rPr>
        <w:t xml:space="preserve"> </w:t>
      </w:r>
      <w:r>
        <w:rPr>
          <w:color w:val="4A86E8"/>
        </w:rPr>
        <w:t>shown</w:t>
      </w:r>
      <w:r>
        <w:rPr>
          <w:color w:val="4A86E8"/>
          <w:spacing w:val="-3"/>
        </w:rPr>
        <w:t xml:space="preserve"> </w:t>
      </w:r>
      <w:r>
        <w:rPr>
          <w:color w:val="4A86E8"/>
        </w:rPr>
        <w:t>in</w:t>
      </w:r>
      <w:r>
        <w:rPr>
          <w:color w:val="4A86E8"/>
          <w:spacing w:val="-3"/>
        </w:rPr>
        <w:t xml:space="preserve"> </w:t>
      </w:r>
      <w:r>
        <w:rPr>
          <w:color w:val="4A86E8"/>
        </w:rPr>
        <w:t>Figure</w:t>
      </w:r>
      <w:r>
        <w:rPr>
          <w:color w:val="4A86E8"/>
          <w:spacing w:val="-3"/>
        </w:rPr>
        <w:t xml:space="preserve"> </w:t>
      </w:r>
      <w:r>
        <w:rPr>
          <w:color w:val="4A86E8"/>
        </w:rPr>
        <w:t>S15,</w:t>
      </w:r>
      <w:r>
        <w:rPr>
          <w:color w:val="4A86E8"/>
          <w:spacing w:val="-3"/>
        </w:rPr>
        <w:t xml:space="preserve"> </w:t>
      </w:r>
      <w:r>
        <w:rPr>
          <w:color w:val="4A86E8"/>
        </w:rPr>
        <w:t xml:space="preserve">and we have </w:t>
      </w:r>
      <w:r>
        <w:rPr>
          <w:color w:val="4A86E8"/>
        </w:rPr>
        <w:lastRenderedPageBreak/>
        <w:t>also included results from the highest capacity multi-task model in Figures 4 and S9. We find that increased capacity multi-task models tend to improve predictive accuracy in cell type specific peaks, in many cases approaching the performance of single</w:t>
      </w:r>
      <w:r>
        <w:rPr>
          <w:color w:val="4A86E8"/>
          <w:spacing w:val="-1"/>
        </w:rPr>
        <w:t xml:space="preserve"> </w:t>
      </w:r>
      <w:r>
        <w:rPr>
          <w:color w:val="4A86E8"/>
        </w:rPr>
        <w:t>task</w:t>
      </w:r>
      <w:r>
        <w:rPr>
          <w:color w:val="4A86E8"/>
          <w:spacing w:val="-1"/>
        </w:rPr>
        <w:t xml:space="preserve"> </w:t>
      </w:r>
      <w:r>
        <w:rPr>
          <w:color w:val="4A86E8"/>
        </w:rPr>
        <w:t>models</w:t>
      </w:r>
      <w:r>
        <w:rPr>
          <w:color w:val="4A86E8"/>
          <w:spacing w:val="-1"/>
        </w:rPr>
        <w:t xml:space="preserve"> </w:t>
      </w:r>
      <w:r>
        <w:rPr>
          <w:color w:val="4A86E8"/>
        </w:rPr>
        <w:t>(Fig.</w:t>
      </w:r>
      <w:r>
        <w:rPr>
          <w:color w:val="4A86E8"/>
          <w:spacing w:val="-1"/>
        </w:rPr>
        <w:t xml:space="preserve"> </w:t>
      </w:r>
      <w:r>
        <w:rPr>
          <w:color w:val="4A86E8"/>
        </w:rPr>
        <w:t>4a).</w:t>
      </w:r>
      <w:r>
        <w:rPr>
          <w:color w:val="4A86E8"/>
          <w:spacing w:val="-1"/>
        </w:rPr>
        <w:t xml:space="preserve"> </w:t>
      </w:r>
      <w:r>
        <w:rPr>
          <w:color w:val="4A86E8"/>
        </w:rPr>
        <w:t>These</w:t>
      </w:r>
      <w:r>
        <w:rPr>
          <w:color w:val="4A86E8"/>
          <w:spacing w:val="-1"/>
        </w:rPr>
        <w:t xml:space="preserve"> </w:t>
      </w:r>
      <w:r>
        <w:rPr>
          <w:color w:val="4A86E8"/>
        </w:rPr>
        <w:t>results</w:t>
      </w:r>
      <w:r>
        <w:rPr>
          <w:color w:val="4A86E8"/>
          <w:spacing w:val="-1"/>
        </w:rPr>
        <w:t xml:space="preserve"> </w:t>
      </w:r>
      <w:r>
        <w:rPr>
          <w:color w:val="4A86E8"/>
        </w:rPr>
        <w:t>provide</w:t>
      </w:r>
      <w:r>
        <w:rPr>
          <w:color w:val="4A86E8"/>
          <w:spacing w:val="-1"/>
        </w:rPr>
        <w:t xml:space="preserve"> </w:t>
      </w:r>
      <w:r>
        <w:rPr>
          <w:color w:val="4A86E8"/>
        </w:rPr>
        <w:t>evidence</w:t>
      </w:r>
      <w:r>
        <w:rPr>
          <w:color w:val="4A86E8"/>
          <w:spacing w:val="-1"/>
        </w:rPr>
        <w:t xml:space="preserve"> </w:t>
      </w:r>
      <w:r>
        <w:rPr>
          <w:color w:val="4A86E8"/>
        </w:rPr>
        <w:t>that</w:t>
      </w:r>
      <w:r>
        <w:rPr>
          <w:color w:val="4A86E8"/>
          <w:spacing w:val="-1"/>
        </w:rPr>
        <w:t xml:space="preserve"> </w:t>
      </w:r>
      <w:r>
        <w:rPr>
          <w:color w:val="4A86E8"/>
        </w:rPr>
        <w:t>the</w:t>
      </w:r>
      <w:r>
        <w:rPr>
          <w:color w:val="4A86E8"/>
          <w:spacing w:val="-1"/>
        </w:rPr>
        <w:t xml:space="preserve"> </w:t>
      </w:r>
      <w:r>
        <w:rPr>
          <w:color w:val="4A86E8"/>
        </w:rPr>
        <w:t>benefit</w:t>
      </w:r>
      <w:r>
        <w:rPr>
          <w:color w:val="4A86E8"/>
          <w:spacing w:val="-1"/>
        </w:rPr>
        <w:t xml:space="preserve"> </w:t>
      </w:r>
      <w:r>
        <w:rPr>
          <w:color w:val="4A86E8"/>
        </w:rPr>
        <w:t>we</w:t>
      </w:r>
      <w:r>
        <w:rPr>
          <w:color w:val="4A86E8"/>
          <w:spacing w:val="-1"/>
        </w:rPr>
        <w:t xml:space="preserve"> </w:t>
      </w:r>
      <w:r>
        <w:rPr>
          <w:color w:val="4A86E8"/>
        </w:rPr>
        <w:t xml:space="preserve">observe from single-task models may largely be due to increased model capacity, which may give the model more “room” to learn cell type specific regulatory syntax. Depending on the particular use case and computational budget, single-task models or higher capacity multi-task models may both be ways to achieve this. We have modified the conclusions we draw from the single-task versus multi-task comparison to reflect this information, and more generally recommend increasing model capacity to improve cell type specific </w:t>
      </w:r>
      <w:r>
        <w:rPr>
          <w:color w:val="4A86E8"/>
          <w:spacing w:val="-2"/>
        </w:rPr>
        <w:t>performance.</w:t>
      </w:r>
    </w:p>
    <w:p w14:paraId="507FC175" w14:textId="77777777" w:rsidR="00E211CC" w:rsidRDefault="00E211CC" w:rsidP="00E211CC">
      <w:pPr>
        <w:pStyle w:val="BodyText"/>
        <w:spacing w:before="39"/>
        <w:ind w:left="0"/>
      </w:pPr>
    </w:p>
    <w:p w14:paraId="502D8F61" w14:textId="77777777" w:rsidR="00E211CC" w:rsidRDefault="00E211CC" w:rsidP="00E211CC">
      <w:pPr>
        <w:pStyle w:val="ListParagraph"/>
        <w:widowControl w:val="0"/>
        <w:numPr>
          <w:ilvl w:val="0"/>
          <w:numId w:val="7"/>
        </w:numPr>
        <w:tabs>
          <w:tab w:val="left" w:pos="1538"/>
          <w:tab w:val="left" w:pos="1540"/>
        </w:tabs>
        <w:autoSpaceDE w:val="0"/>
        <w:autoSpaceDN w:val="0"/>
        <w:spacing w:after="0" w:line="276" w:lineRule="auto"/>
        <w:ind w:right="928"/>
        <w:contextualSpacing w:val="0"/>
      </w:pPr>
      <w:r>
        <w:rPr>
          <w:color w:val="4A86E8"/>
        </w:rPr>
        <w:t>We have clarified throughout the manuscript whether the evaluated training decisions improve reference accuracy versus variant effect accuracy. In particular, we have more clearly delineated in both our results and discussion that although single-task models improve cell type specific reference accuracy, they do not consistently improve variant effect accuracy. We also believe this is a valuable finding that improvements in reference</w:t>
      </w:r>
      <w:r>
        <w:rPr>
          <w:color w:val="4A86E8"/>
          <w:spacing w:val="-4"/>
        </w:rPr>
        <w:t xml:space="preserve"> </w:t>
      </w:r>
      <w:r>
        <w:rPr>
          <w:color w:val="4A86E8"/>
        </w:rPr>
        <w:t>sequence</w:t>
      </w:r>
      <w:r>
        <w:rPr>
          <w:color w:val="4A86E8"/>
          <w:spacing w:val="-4"/>
        </w:rPr>
        <w:t xml:space="preserve"> </w:t>
      </w:r>
      <w:r>
        <w:rPr>
          <w:color w:val="4A86E8"/>
        </w:rPr>
        <w:t>prediction</w:t>
      </w:r>
      <w:r>
        <w:rPr>
          <w:color w:val="4A86E8"/>
          <w:spacing w:val="-4"/>
        </w:rPr>
        <w:t xml:space="preserve"> </w:t>
      </w:r>
      <w:r>
        <w:rPr>
          <w:color w:val="4A86E8"/>
        </w:rPr>
        <w:t>do</w:t>
      </w:r>
      <w:r>
        <w:rPr>
          <w:color w:val="4A86E8"/>
          <w:spacing w:val="-4"/>
        </w:rPr>
        <w:t xml:space="preserve"> </w:t>
      </w:r>
      <w:r>
        <w:rPr>
          <w:color w:val="4A86E8"/>
        </w:rPr>
        <w:t>not</w:t>
      </w:r>
      <w:r>
        <w:rPr>
          <w:color w:val="4A86E8"/>
          <w:spacing w:val="-4"/>
        </w:rPr>
        <w:t xml:space="preserve"> </w:t>
      </w:r>
      <w:r>
        <w:rPr>
          <w:color w:val="4A86E8"/>
        </w:rPr>
        <w:t>always</w:t>
      </w:r>
      <w:r>
        <w:rPr>
          <w:color w:val="4A86E8"/>
          <w:spacing w:val="-4"/>
        </w:rPr>
        <w:t xml:space="preserve"> </w:t>
      </w:r>
      <w:r>
        <w:rPr>
          <w:color w:val="4A86E8"/>
        </w:rPr>
        <w:t>lead</w:t>
      </w:r>
      <w:r>
        <w:rPr>
          <w:color w:val="4A86E8"/>
          <w:spacing w:val="-4"/>
        </w:rPr>
        <w:t xml:space="preserve"> </w:t>
      </w:r>
      <w:r>
        <w:rPr>
          <w:color w:val="4A86E8"/>
        </w:rPr>
        <w:t>to</w:t>
      </w:r>
      <w:r>
        <w:rPr>
          <w:color w:val="4A86E8"/>
          <w:spacing w:val="-4"/>
        </w:rPr>
        <w:t xml:space="preserve"> </w:t>
      </w:r>
      <w:r>
        <w:rPr>
          <w:color w:val="4A86E8"/>
        </w:rPr>
        <w:t>direct</w:t>
      </w:r>
      <w:r>
        <w:rPr>
          <w:color w:val="4A86E8"/>
          <w:spacing w:val="-4"/>
        </w:rPr>
        <w:t xml:space="preserve"> </w:t>
      </w:r>
      <w:r>
        <w:rPr>
          <w:color w:val="4A86E8"/>
        </w:rPr>
        <w:t>improvement</w:t>
      </w:r>
      <w:r>
        <w:rPr>
          <w:color w:val="4A86E8"/>
          <w:spacing w:val="-4"/>
        </w:rPr>
        <w:t xml:space="preserve"> </w:t>
      </w:r>
      <w:r>
        <w:rPr>
          <w:color w:val="4A86E8"/>
        </w:rPr>
        <w:t>in</w:t>
      </w:r>
      <w:r>
        <w:rPr>
          <w:color w:val="4A86E8"/>
          <w:spacing w:val="-4"/>
        </w:rPr>
        <w:t xml:space="preserve"> </w:t>
      </w:r>
      <w:r>
        <w:rPr>
          <w:color w:val="4A86E8"/>
        </w:rPr>
        <w:t>variant</w:t>
      </w:r>
      <w:r>
        <w:rPr>
          <w:color w:val="4A86E8"/>
          <w:spacing w:val="-4"/>
        </w:rPr>
        <w:t xml:space="preserve"> </w:t>
      </w:r>
      <w:r>
        <w:rPr>
          <w:color w:val="4A86E8"/>
        </w:rPr>
        <w:t>effect prediction, indicating that novel training strategies may be needed to improve variant effect accuracy. We have added text to this effect in our discussion.</w:t>
      </w:r>
    </w:p>
    <w:p w14:paraId="7EE25FF7" w14:textId="77777777" w:rsidR="00E211CC" w:rsidRDefault="00E211CC" w:rsidP="00E211CC">
      <w:pPr>
        <w:pStyle w:val="BodyText"/>
        <w:spacing w:before="40"/>
        <w:ind w:left="0"/>
      </w:pPr>
    </w:p>
    <w:p w14:paraId="4D887DDE" w14:textId="77777777" w:rsidR="00E211CC" w:rsidRDefault="00E211CC" w:rsidP="00E211CC">
      <w:pPr>
        <w:pStyle w:val="BodyText"/>
        <w:spacing w:line="276" w:lineRule="auto"/>
        <w:ind w:right="861"/>
      </w:pPr>
      <w:r>
        <w:rPr>
          <w:color w:val="4A86E8"/>
        </w:rPr>
        <w:t>In addition to the changes described above, we have made several other additions and modifications</w:t>
      </w:r>
      <w:r>
        <w:rPr>
          <w:color w:val="4A86E8"/>
          <w:spacing w:val="-4"/>
        </w:rPr>
        <w:t xml:space="preserve"> </w:t>
      </w:r>
      <w:r>
        <w:rPr>
          <w:color w:val="4A86E8"/>
        </w:rPr>
        <w:t>to</w:t>
      </w:r>
      <w:r>
        <w:rPr>
          <w:color w:val="4A86E8"/>
          <w:spacing w:val="-4"/>
        </w:rPr>
        <w:t xml:space="preserve"> </w:t>
      </w:r>
      <w:r>
        <w:rPr>
          <w:color w:val="4A86E8"/>
        </w:rPr>
        <w:t>the</w:t>
      </w:r>
      <w:r>
        <w:rPr>
          <w:color w:val="4A86E8"/>
          <w:spacing w:val="-4"/>
        </w:rPr>
        <w:t xml:space="preserve"> </w:t>
      </w:r>
      <w:r>
        <w:rPr>
          <w:color w:val="4A86E8"/>
        </w:rPr>
        <w:t>manuscript</w:t>
      </w:r>
      <w:r>
        <w:rPr>
          <w:color w:val="4A86E8"/>
          <w:spacing w:val="-4"/>
        </w:rPr>
        <w:t xml:space="preserve"> </w:t>
      </w:r>
      <w:r>
        <w:rPr>
          <w:color w:val="4A86E8"/>
        </w:rPr>
        <w:t>based</w:t>
      </w:r>
      <w:r>
        <w:rPr>
          <w:color w:val="4A86E8"/>
          <w:spacing w:val="-4"/>
        </w:rPr>
        <w:t xml:space="preserve"> </w:t>
      </w:r>
      <w:r>
        <w:rPr>
          <w:color w:val="4A86E8"/>
        </w:rPr>
        <w:t>on</w:t>
      </w:r>
      <w:r>
        <w:rPr>
          <w:color w:val="4A86E8"/>
          <w:spacing w:val="-4"/>
        </w:rPr>
        <w:t xml:space="preserve"> </w:t>
      </w:r>
      <w:r>
        <w:rPr>
          <w:color w:val="4A86E8"/>
        </w:rPr>
        <w:t>the</w:t>
      </w:r>
      <w:r>
        <w:rPr>
          <w:color w:val="4A86E8"/>
          <w:spacing w:val="-4"/>
        </w:rPr>
        <w:t xml:space="preserve"> </w:t>
      </w:r>
      <w:r>
        <w:rPr>
          <w:color w:val="4A86E8"/>
        </w:rPr>
        <w:t>reviewers’</w:t>
      </w:r>
      <w:r>
        <w:rPr>
          <w:color w:val="4A86E8"/>
          <w:spacing w:val="-4"/>
        </w:rPr>
        <w:t xml:space="preserve"> </w:t>
      </w:r>
      <w:r>
        <w:rPr>
          <w:color w:val="4A86E8"/>
        </w:rPr>
        <w:t>suggestions.</w:t>
      </w:r>
      <w:r>
        <w:rPr>
          <w:color w:val="4A86E8"/>
          <w:spacing w:val="-4"/>
        </w:rPr>
        <w:t xml:space="preserve"> </w:t>
      </w:r>
      <w:r>
        <w:rPr>
          <w:color w:val="4A86E8"/>
        </w:rPr>
        <w:t>Our</w:t>
      </w:r>
      <w:r>
        <w:rPr>
          <w:color w:val="4A86E8"/>
          <w:spacing w:val="-4"/>
        </w:rPr>
        <w:t xml:space="preserve"> </w:t>
      </w:r>
      <w:r>
        <w:rPr>
          <w:color w:val="4A86E8"/>
        </w:rPr>
        <w:t>point-by-point response is below.</w:t>
      </w:r>
    </w:p>
    <w:p w14:paraId="0851804C"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39B3A47F" w14:textId="77777777" w:rsidR="00E211CC" w:rsidRDefault="00E211CC" w:rsidP="00E211CC">
      <w:pPr>
        <w:pStyle w:val="Heading1"/>
      </w:pPr>
      <w:r>
        <w:lastRenderedPageBreak/>
        <w:t>Reviewer</w:t>
      </w:r>
      <w:r>
        <w:rPr>
          <w:spacing w:val="-8"/>
        </w:rPr>
        <w:t xml:space="preserve"> </w:t>
      </w:r>
      <w:r>
        <w:rPr>
          <w:spacing w:val="-5"/>
        </w:rPr>
        <w:t>#1:</w:t>
      </w:r>
    </w:p>
    <w:p w14:paraId="3BBA8184" w14:textId="77777777" w:rsidR="00E211CC" w:rsidRDefault="00E211CC" w:rsidP="00E211CC">
      <w:pPr>
        <w:pStyle w:val="BodyText"/>
        <w:spacing w:before="116"/>
      </w:pPr>
      <w:r>
        <w:rPr>
          <w:color w:val="222222"/>
        </w:rPr>
        <w:t>Major</w:t>
      </w:r>
      <w:r>
        <w:rPr>
          <w:color w:val="222222"/>
          <w:spacing w:val="-5"/>
        </w:rPr>
        <w:t xml:space="preserve"> </w:t>
      </w:r>
      <w:r>
        <w:rPr>
          <w:color w:val="222222"/>
          <w:spacing w:val="-2"/>
        </w:rPr>
        <w:t>comments:</w:t>
      </w:r>
    </w:p>
    <w:p w14:paraId="7D077593" w14:textId="77777777" w:rsidR="00E211CC" w:rsidRDefault="00E211CC" w:rsidP="00E211CC">
      <w:pPr>
        <w:pStyle w:val="ListParagraph"/>
        <w:widowControl w:val="0"/>
        <w:numPr>
          <w:ilvl w:val="0"/>
          <w:numId w:val="6"/>
        </w:numPr>
        <w:tabs>
          <w:tab w:val="left" w:pos="1370"/>
        </w:tabs>
        <w:autoSpaceDE w:val="0"/>
        <w:autoSpaceDN w:val="0"/>
        <w:spacing w:before="40" w:after="0" w:line="276" w:lineRule="auto"/>
        <w:ind w:right="885" w:firstLine="0"/>
        <w:contextualSpacing w:val="0"/>
      </w:pPr>
      <w:r>
        <w:rPr>
          <w:color w:val="222222"/>
        </w:rPr>
        <w:t>The prediction performance should be evaluated in a cross-chromosome manner. For example,</w:t>
      </w:r>
      <w:r>
        <w:rPr>
          <w:color w:val="222222"/>
          <w:spacing w:val="-3"/>
        </w:rPr>
        <w:t xml:space="preserve"> </w:t>
      </w:r>
      <w:r>
        <w:rPr>
          <w:color w:val="222222"/>
        </w:rPr>
        <w:t>training</w:t>
      </w:r>
      <w:r>
        <w:rPr>
          <w:color w:val="222222"/>
          <w:spacing w:val="-3"/>
        </w:rPr>
        <w:t xml:space="preserve"> </w:t>
      </w:r>
      <w:r>
        <w:rPr>
          <w:color w:val="222222"/>
        </w:rPr>
        <w:t>the</w:t>
      </w:r>
      <w:r>
        <w:rPr>
          <w:color w:val="222222"/>
          <w:spacing w:val="-3"/>
        </w:rPr>
        <w:t xml:space="preserve"> </w:t>
      </w:r>
      <w:r>
        <w:rPr>
          <w:color w:val="222222"/>
        </w:rPr>
        <w:t>model</w:t>
      </w:r>
      <w:r>
        <w:rPr>
          <w:color w:val="222222"/>
          <w:spacing w:val="-3"/>
        </w:rPr>
        <w:t xml:space="preserve"> </w:t>
      </w:r>
      <w:r>
        <w:rPr>
          <w:color w:val="222222"/>
        </w:rPr>
        <w:t>on</w:t>
      </w:r>
      <w:r>
        <w:rPr>
          <w:color w:val="222222"/>
          <w:spacing w:val="-3"/>
        </w:rPr>
        <w:t xml:space="preserve"> </w:t>
      </w:r>
      <w:r>
        <w:rPr>
          <w:color w:val="222222"/>
        </w:rPr>
        <w:t>chromosomes</w:t>
      </w:r>
      <w:r>
        <w:rPr>
          <w:color w:val="222222"/>
          <w:spacing w:val="-3"/>
        </w:rPr>
        <w:t xml:space="preserve"> </w:t>
      </w:r>
      <w:r>
        <w:rPr>
          <w:color w:val="222222"/>
        </w:rPr>
        <w:t>2</w:t>
      </w:r>
      <w:r>
        <w:rPr>
          <w:color w:val="222222"/>
          <w:spacing w:val="-3"/>
        </w:rPr>
        <w:t xml:space="preserve"> </w:t>
      </w:r>
      <w:r>
        <w:rPr>
          <w:color w:val="222222"/>
        </w:rPr>
        <w:t>and</w:t>
      </w:r>
      <w:r>
        <w:rPr>
          <w:color w:val="222222"/>
          <w:spacing w:val="-3"/>
        </w:rPr>
        <w:t xml:space="preserve"> </w:t>
      </w:r>
      <w:r>
        <w:rPr>
          <w:color w:val="222222"/>
        </w:rPr>
        <w:t>above,</w:t>
      </w:r>
      <w:r>
        <w:rPr>
          <w:color w:val="222222"/>
          <w:spacing w:val="-3"/>
        </w:rPr>
        <w:t xml:space="preserve"> </w:t>
      </w:r>
      <w:r>
        <w:rPr>
          <w:color w:val="222222"/>
        </w:rPr>
        <w:t>and</w:t>
      </w:r>
      <w:r>
        <w:rPr>
          <w:color w:val="222222"/>
          <w:spacing w:val="-3"/>
        </w:rPr>
        <w:t xml:space="preserve"> </w:t>
      </w:r>
      <w:r>
        <w:rPr>
          <w:color w:val="222222"/>
        </w:rPr>
        <w:t>evaluating</w:t>
      </w:r>
      <w:r>
        <w:rPr>
          <w:color w:val="222222"/>
          <w:spacing w:val="-3"/>
        </w:rPr>
        <w:t xml:space="preserve"> </w:t>
      </w:r>
      <w:r>
        <w:rPr>
          <w:color w:val="222222"/>
        </w:rPr>
        <w:t>it</w:t>
      </w:r>
      <w:r>
        <w:rPr>
          <w:color w:val="222222"/>
          <w:spacing w:val="-3"/>
        </w:rPr>
        <w:t xml:space="preserve"> </w:t>
      </w:r>
      <w:r>
        <w:rPr>
          <w:color w:val="222222"/>
        </w:rPr>
        <w:t>on</w:t>
      </w:r>
      <w:r>
        <w:rPr>
          <w:color w:val="222222"/>
          <w:spacing w:val="-3"/>
        </w:rPr>
        <w:t xml:space="preserve"> </w:t>
      </w:r>
      <w:r>
        <w:rPr>
          <w:color w:val="222222"/>
        </w:rPr>
        <w:t>chromosome</w:t>
      </w:r>
      <w:r>
        <w:rPr>
          <w:color w:val="222222"/>
          <w:spacing w:val="-3"/>
        </w:rPr>
        <w:t xml:space="preserve"> </w:t>
      </w:r>
      <w:r>
        <w:rPr>
          <w:color w:val="222222"/>
        </w:rPr>
        <w:t xml:space="preserve">1, which represents about 10% of held-out data. This guarantees that there is not test-train leakage on the genomic coordinates level. See the paper: </w:t>
      </w:r>
      <w:r>
        <w:rPr>
          <w:color w:val="1155CC"/>
          <w:spacing w:val="-2"/>
          <w:u w:val="single" w:color="1155CC"/>
        </w:rPr>
        <w:t>https://</w:t>
      </w:r>
      <w:hyperlink r:id="rId5">
        <w:r>
          <w:rPr>
            <w:color w:val="1155CC"/>
            <w:spacing w:val="-2"/>
            <w:u w:val="single" w:color="1155CC"/>
          </w:rPr>
          <w:t>www.nature.com/articles/s41576-021-00434-9</w:t>
        </w:r>
      </w:hyperlink>
    </w:p>
    <w:p w14:paraId="22367354" w14:textId="77777777" w:rsidR="00E211CC" w:rsidRDefault="00E211CC" w:rsidP="00E211CC">
      <w:pPr>
        <w:pStyle w:val="BodyText"/>
        <w:spacing w:before="40"/>
        <w:ind w:left="0"/>
      </w:pPr>
    </w:p>
    <w:p w14:paraId="1DF318C9" w14:textId="77777777" w:rsidR="00E211CC" w:rsidRDefault="00E211CC" w:rsidP="00E211CC">
      <w:pPr>
        <w:pStyle w:val="BodyText"/>
        <w:spacing w:line="276" w:lineRule="auto"/>
        <w:ind w:right="877"/>
      </w:pPr>
      <w:r>
        <w:rPr>
          <w:color w:val="4A86E8"/>
        </w:rPr>
        <w:t>We</w:t>
      </w:r>
      <w:r>
        <w:rPr>
          <w:color w:val="4A86E8"/>
          <w:spacing w:val="-1"/>
        </w:rPr>
        <w:t xml:space="preserve"> </w:t>
      </w:r>
      <w:r>
        <w:rPr>
          <w:color w:val="4A86E8"/>
        </w:rPr>
        <w:t>agree</w:t>
      </w:r>
      <w:r>
        <w:rPr>
          <w:color w:val="4A86E8"/>
          <w:spacing w:val="-1"/>
        </w:rPr>
        <w:t xml:space="preserve"> </w:t>
      </w:r>
      <w:r>
        <w:rPr>
          <w:color w:val="4A86E8"/>
        </w:rPr>
        <w:t>that</w:t>
      </w:r>
      <w:r>
        <w:rPr>
          <w:color w:val="4A86E8"/>
          <w:spacing w:val="-1"/>
        </w:rPr>
        <w:t xml:space="preserve"> </w:t>
      </w:r>
      <w:r>
        <w:rPr>
          <w:color w:val="4A86E8"/>
        </w:rPr>
        <w:t>prediction</w:t>
      </w:r>
      <w:r>
        <w:rPr>
          <w:color w:val="4A86E8"/>
          <w:spacing w:val="-1"/>
        </w:rPr>
        <w:t xml:space="preserve"> </w:t>
      </w:r>
      <w:r>
        <w:rPr>
          <w:color w:val="4A86E8"/>
        </w:rPr>
        <w:t>performance</w:t>
      </w:r>
      <w:r>
        <w:rPr>
          <w:color w:val="4A86E8"/>
          <w:spacing w:val="-1"/>
        </w:rPr>
        <w:t xml:space="preserve"> </w:t>
      </w:r>
      <w:r>
        <w:rPr>
          <w:color w:val="4A86E8"/>
        </w:rPr>
        <w:t>should</w:t>
      </w:r>
      <w:r>
        <w:rPr>
          <w:color w:val="4A86E8"/>
          <w:spacing w:val="-1"/>
        </w:rPr>
        <w:t xml:space="preserve"> </w:t>
      </w:r>
      <w:r>
        <w:rPr>
          <w:color w:val="4A86E8"/>
        </w:rPr>
        <w:t>be</w:t>
      </w:r>
      <w:r>
        <w:rPr>
          <w:color w:val="4A86E8"/>
          <w:spacing w:val="-1"/>
        </w:rPr>
        <w:t xml:space="preserve"> </w:t>
      </w:r>
      <w:r>
        <w:rPr>
          <w:color w:val="4A86E8"/>
        </w:rPr>
        <w:t>evaluated</w:t>
      </w:r>
      <w:r>
        <w:rPr>
          <w:color w:val="4A86E8"/>
          <w:spacing w:val="-1"/>
        </w:rPr>
        <w:t xml:space="preserve"> </w:t>
      </w:r>
      <w:r>
        <w:rPr>
          <w:color w:val="4A86E8"/>
        </w:rPr>
        <w:t>in</w:t>
      </w:r>
      <w:r>
        <w:rPr>
          <w:color w:val="4A86E8"/>
          <w:spacing w:val="-1"/>
        </w:rPr>
        <w:t xml:space="preserve"> </w:t>
      </w:r>
      <w:r>
        <w:rPr>
          <w:color w:val="4A86E8"/>
        </w:rPr>
        <w:t>a</w:t>
      </w:r>
      <w:r>
        <w:rPr>
          <w:color w:val="4A86E8"/>
          <w:spacing w:val="-1"/>
        </w:rPr>
        <w:t xml:space="preserve"> </w:t>
      </w:r>
      <w:r>
        <w:rPr>
          <w:color w:val="4A86E8"/>
        </w:rPr>
        <w:t>cross-chromosome</w:t>
      </w:r>
      <w:r>
        <w:rPr>
          <w:color w:val="4A86E8"/>
          <w:spacing w:val="-1"/>
        </w:rPr>
        <w:t xml:space="preserve"> </w:t>
      </w:r>
      <w:r>
        <w:rPr>
          <w:color w:val="4A86E8"/>
        </w:rPr>
        <w:t>manner</w:t>
      </w:r>
      <w:r>
        <w:rPr>
          <w:color w:val="4A86E8"/>
          <w:spacing w:val="-1"/>
        </w:rPr>
        <w:t xml:space="preserve"> </w:t>
      </w:r>
      <w:r>
        <w:rPr>
          <w:color w:val="4A86E8"/>
        </w:rPr>
        <w:t>and had</w:t>
      </w:r>
      <w:r>
        <w:rPr>
          <w:color w:val="4A86E8"/>
          <w:spacing w:val="-3"/>
        </w:rPr>
        <w:t xml:space="preserve"> </w:t>
      </w:r>
      <w:r>
        <w:rPr>
          <w:color w:val="4A86E8"/>
        </w:rPr>
        <w:t>already</w:t>
      </w:r>
      <w:r>
        <w:rPr>
          <w:color w:val="4A86E8"/>
          <w:spacing w:val="-3"/>
        </w:rPr>
        <w:t xml:space="preserve"> </w:t>
      </w:r>
      <w:r>
        <w:rPr>
          <w:color w:val="4A86E8"/>
        </w:rPr>
        <w:t>implemented</w:t>
      </w:r>
      <w:r>
        <w:rPr>
          <w:color w:val="4A86E8"/>
          <w:spacing w:val="-3"/>
        </w:rPr>
        <w:t xml:space="preserve"> </w:t>
      </w:r>
      <w:r>
        <w:rPr>
          <w:color w:val="4A86E8"/>
        </w:rPr>
        <w:t>this</w:t>
      </w:r>
      <w:r>
        <w:rPr>
          <w:color w:val="4A86E8"/>
          <w:spacing w:val="-3"/>
        </w:rPr>
        <w:t xml:space="preserve"> </w:t>
      </w:r>
      <w:r>
        <w:rPr>
          <w:color w:val="4A86E8"/>
        </w:rPr>
        <w:t>strategy</w:t>
      </w:r>
      <w:r>
        <w:rPr>
          <w:color w:val="4A86E8"/>
          <w:spacing w:val="-3"/>
        </w:rPr>
        <w:t xml:space="preserve"> </w:t>
      </w:r>
      <w:r>
        <w:rPr>
          <w:color w:val="4A86E8"/>
        </w:rPr>
        <w:t>for</w:t>
      </w:r>
      <w:r>
        <w:rPr>
          <w:color w:val="4A86E8"/>
          <w:spacing w:val="-3"/>
        </w:rPr>
        <w:t xml:space="preserve"> </w:t>
      </w:r>
      <w:r>
        <w:rPr>
          <w:color w:val="4A86E8"/>
        </w:rPr>
        <w:t>the</w:t>
      </w:r>
      <w:r>
        <w:rPr>
          <w:color w:val="4A86E8"/>
          <w:spacing w:val="-3"/>
        </w:rPr>
        <w:t xml:space="preserve"> </w:t>
      </w:r>
      <w:r>
        <w:rPr>
          <w:color w:val="4A86E8"/>
        </w:rPr>
        <w:t>kidney</w:t>
      </w:r>
      <w:r>
        <w:rPr>
          <w:color w:val="4A86E8"/>
          <w:spacing w:val="-3"/>
        </w:rPr>
        <w:t xml:space="preserve"> </w:t>
      </w:r>
      <w:r>
        <w:rPr>
          <w:color w:val="4A86E8"/>
        </w:rPr>
        <w:t>and</w:t>
      </w:r>
      <w:r>
        <w:rPr>
          <w:color w:val="4A86E8"/>
          <w:spacing w:val="-3"/>
        </w:rPr>
        <w:t xml:space="preserve"> </w:t>
      </w:r>
      <w:r>
        <w:rPr>
          <w:color w:val="4A86E8"/>
        </w:rPr>
        <w:t>immune</w:t>
      </w:r>
      <w:r>
        <w:rPr>
          <w:color w:val="4A86E8"/>
          <w:spacing w:val="-3"/>
        </w:rPr>
        <w:t xml:space="preserve"> </w:t>
      </w:r>
      <w:r>
        <w:rPr>
          <w:color w:val="4A86E8"/>
        </w:rPr>
        <w:t>tissue</w:t>
      </w:r>
      <w:r>
        <w:rPr>
          <w:color w:val="4A86E8"/>
          <w:spacing w:val="-3"/>
        </w:rPr>
        <w:t xml:space="preserve"> </w:t>
      </w:r>
      <w:r>
        <w:rPr>
          <w:color w:val="4A86E8"/>
        </w:rPr>
        <w:t>specific</w:t>
      </w:r>
      <w:r>
        <w:rPr>
          <w:color w:val="4A86E8"/>
          <w:spacing w:val="-3"/>
        </w:rPr>
        <w:t xml:space="preserve"> </w:t>
      </w:r>
      <w:r>
        <w:rPr>
          <w:color w:val="4A86E8"/>
        </w:rPr>
        <w:t>models</w:t>
      </w:r>
      <w:r>
        <w:rPr>
          <w:color w:val="4A86E8"/>
          <w:spacing w:val="-3"/>
        </w:rPr>
        <w:t xml:space="preserve"> </w:t>
      </w:r>
      <w:r>
        <w:rPr>
          <w:color w:val="4A86E8"/>
        </w:rPr>
        <w:t>that</w:t>
      </w:r>
      <w:r>
        <w:rPr>
          <w:color w:val="4A86E8"/>
          <w:spacing w:val="-3"/>
        </w:rPr>
        <w:t xml:space="preserve"> </w:t>
      </w:r>
      <w:r>
        <w:rPr>
          <w:color w:val="4A86E8"/>
        </w:rPr>
        <w:t>we used to evaluate different training paradigms (i.e. single versus multi-task). In particular, we used chromosomes 7, 14, and 15 as a validation set, and held out chromosomes 4 and 5 for evaluation. For these models, the prediction performance reported throughout the paper is on the held out chromosomes. We have added additional text in the relevant results sections to make the evaluation strategy more clear. For example, in the Figure 3 caption, we added the following text: “Plotted points are sequences from the held out test chromosomes.”</w:t>
      </w:r>
    </w:p>
    <w:p w14:paraId="120AA480" w14:textId="77777777" w:rsidR="00E211CC" w:rsidRDefault="00E211CC" w:rsidP="00E211CC">
      <w:pPr>
        <w:pStyle w:val="BodyText"/>
        <w:spacing w:before="35"/>
        <w:ind w:left="0"/>
      </w:pPr>
    </w:p>
    <w:p w14:paraId="3D556EEF" w14:textId="77777777" w:rsidR="00E211CC" w:rsidRDefault="00E211CC" w:rsidP="00E211CC">
      <w:pPr>
        <w:pStyle w:val="BodyText"/>
        <w:spacing w:line="276" w:lineRule="auto"/>
        <w:ind w:right="861"/>
      </w:pPr>
      <w:r>
        <w:rPr>
          <w:color w:val="4A86E8"/>
        </w:rPr>
        <w:t>For the two additional models that we evaluated – Enformer and Sei – we used the pre-trained versions of the models provided by the authors in their publications. In these cases, the prediction</w:t>
      </w:r>
      <w:r>
        <w:rPr>
          <w:color w:val="4A86E8"/>
          <w:spacing w:val="-3"/>
        </w:rPr>
        <w:t xml:space="preserve"> </w:t>
      </w:r>
      <w:r>
        <w:rPr>
          <w:color w:val="4A86E8"/>
        </w:rPr>
        <w:t>performance</w:t>
      </w:r>
      <w:r>
        <w:rPr>
          <w:color w:val="4A86E8"/>
          <w:spacing w:val="-3"/>
        </w:rPr>
        <w:t xml:space="preserve"> </w:t>
      </w:r>
      <w:r>
        <w:rPr>
          <w:color w:val="4A86E8"/>
        </w:rPr>
        <w:t>we</w:t>
      </w:r>
      <w:r>
        <w:rPr>
          <w:color w:val="4A86E8"/>
          <w:spacing w:val="-3"/>
        </w:rPr>
        <w:t xml:space="preserve"> </w:t>
      </w:r>
      <w:r>
        <w:rPr>
          <w:color w:val="4A86E8"/>
        </w:rPr>
        <w:t>report</w:t>
      </w:r>
      <w:r>
        <w:rPr>
          <w:color w:val="4A86E8"/>
          <w:spacing w:val="-3"/>
        </w:rPr>
        <w:t xml:space="preserve"> </w:t>
      </w:r>
      <w:r>
        <w:rPr>
          <w:color w:val="4A86E8"/>
        </w:rPr>
        <w:t>is</w:t>
      </w:r>
      <w:r>
        <w:rPr>
          <w:color w:val="4A86E8"/>
          <w:spacing w:val="-3"/>
        </w:rPr>
        <w:t xml:space="preserve"> </w:t>
      </w:r>
      <w:r>
        <w:rPr>
          <w:color w:val="4A86E8"/>
        </w:rPr>
        <w:t>on</w:t>
      </w:r>
      <w:r>
        <w:rPr>
          <w:color w:val="4A86E8"/>
          <w:spacing w:val="-3"/>
        </w:rPr>
        <w:t xml:space="preserve"> </w:t>
      </w:r>
      <w:r>
        <w:rPr>
          <w:color w:val="4A86E8"/>
        </w:rPr>
        <w:t>the</w:t>
      </w:r>
      <w:r>
        <w:rPr>
          <w:color w:val="4A86E8"/>
          <w:spacing w:val="-3"/>
        </w:rPr>
        <w:t xml:space="preserve"> </w:t>
      </w:r>
      <w:r>
        <w:rPr>
          <w:color w:val="4A86E8"/>
        </w:rPr>
        <w:t>sequences</w:t>
      </w:r>
      <w:r>
        <w:rPr>
          <w:color w:val="4A86E8"/>
          <w:spacing w:val="-3"/>
        </w:rPr>
        <w:t xml:space="preserve"> </w:t>
      </w:r>
      <w:r>
        <w:rPr>
          <w:color w:val="4A86E8"/>
        </w:rPr>
        <w:t>held</w:t>
      </w:r>
      <w:r>
        <w:rPr>
          <w:color w:val="4A86E8"/>
          <w:spacing w:val="-3"/>
        </w:rPr>
        <w:t xml:space="preserve"> </w:t>
      </w:r>
      <w:r>
        <w:rPr>
          <w:color w:val="4A86E8"/>
        </w:rPr>
        <w:t>out</w:t>
      </w:r>
      <w:r>
        <w:rPr>
          <w:color w:val="4A86E8"/>
          <w:spacing w:val="-3"/>
        </w:rPr>
        <w:t xml:space="preserve"> </w:t>
      </w:r>
      <w:r>
        <w:rPr>
          <w:color w:val="4A86E8"/>
        </w:rPr>
        <w:t>during</w:t>
      </w:r>
      <w:r>
        <w:rPr>
          <w:color w:val="4A86E8"/>
          <w:spacing w:val="-3"/>
        </w:rPr>
        <w:t xml:space="preserve"> </w:t>
      </w:r>
      <w:r>
        <w:rPr>
          <w:color w:val="4A86E8"/>
        </w:rPr>
        <w:t>training</w:t>
      </w:r>
      <w:r>
        <w:rPr>
          <w:color w:val="4A86E8"/>
          <w:spacing w:val="-3"/>
        </w:rPr>
        <w:t xml:space="preserve"> </w:t>
      </w:r>
      <w:r>
        <w:rPr>
          <w:color w:val="4A86E8"/>
        </w:rPr>
        <w:t>by</w:t>
      </w:r>
      <w:r>
        <w:rPr>
          <w:color w:val="4A86E8"/>
          <w:spacing w:val="-3"/>
        </w:rPr>
        <w:t xml:space="preserve"> </w:t>
      </w:r>
      <w:r>
        <w:rPr>
          <w:color w:val="4A86E8"/>
        </w:rPr>
        <w:t>the</w:t>
      </w:r>
      <w:r>
        <w:rPr>
          <w:color w:val="4A86E8"/>
          <w:spacing w:val="-3"/>
        </w:rPr>
        <w:t xml:space="preserve"> </w:t>
      </w:r>
      <w:r>
        <w:rPr>
          <w:color w:val="4A86E8"/>
        </w:rPr>
        <w:t>authors</w:t>
      </w:r>
      <w:r>
        <w:rPr>
          <w:color w:val="4A86E8"/>
          <w:spacing w:val="-3"/>
        </w:rPr>
        <w:t xml:space="preserve"> </w:t>
      </w:r>
      <w:r>
        <w:rPr>
          <w:color w:val="4A86E8"/>
        </w:rPr>
        <w:t>of each model. For Enformer, sequences were not held out in a cross-chromosome manner.</w:t>
      </w:r>
    </w:p>
    <w:p w14:paraId="118D95A7" w14:textId="77777777" w:rsidR="00E211CC" w:rsidRDefault="00E211CC" w:rsidP="00E211CC">
      <w:pPr>
        <w:pStyle w:val="BodyText"/>
        <w:spacing w:line="276" w:lineRule="auto"/>
        <w:ind w:right="861"/>
      </w:pPr>
      <w:r>
        <w:rPr>
          <w:color w:val="4A86E8"/>
        </w:rPr>
        <w:t>Instead, because the training data consisted of both human and mouse sequences, the authors attempted to minimize leakage of orthologous sequences between the training and test sets (procedure</w:t>
      </w:r>
      <w:r>
        <w:rPr>
          <w:color w:val="4A86E8"/>
          <w:spacing w:val="-4"/>
        </w:rPr>
        <w:t xml:space="preserve"> </w:t>
      </w:r>
      <w:r>
        <w:rPr>
          <w:color w:val="4A86E8"/>
        </w:rPr>
        <w:t>described</w:t>
      </w:r>
      <w:r>
        <w:rPr>
          <w:color w:val="4A86E8"/>
          <w:spacing w:val="-4"/>
        </w:rPr>
        <w:t xml:space="preserve"> </w:t>
      </w:r>
      <w:r>
        <w:rPr>
          <w:color w:val="1155CC"/>
          <w:u w:val="single" w:color="1155CC"/>
        </w:rPr>
        <w:t>here</w:t>
      </w:r>
      <w:r>
        <w:rPr>
          <w:color w:val="4A86E8"/>
        </w:rPr>
        <w:t>).</w:t>
      </w:r>
      <w:r>
        <w:rPr>
          <w:color w:val="4A86E8"/>
          <w:spacing w:val="-4"/>
        </w:rPr>
        <w:t xml:space="preserve"> </w:t>
      </w:r>
      <w:r>
        <w:rPr>
          <w:color w:val="4A86E8"/>
        </w:rPr>
        <w:t>For</w:t>
      </w:r>
      <w:r>
        <w:rPr>
          <w:color w:val="4A86E8"/>
          <w:spacing w:val="-4"/>
        </w:rPr>
        <w:t xml:space="preserve"> </w:t>
      </w:r>
      <w:r>
        <w:rPr>
          <w:color w:val="4A86E8"/>
        </w:rPr>
        <w:t>Sei,</w:t>
      </w:r>
      <w:r>
        <w:rPr>
          <w:color w:val="4A86E8"/>
          <w:spacing w:val="-4"/>
        </w:rPr>
        <w:t xml:space="preserve"> </w:t>
      </w:r>
      <w:r>
        <w:rPr>
          <w:color w:val="4A86E8"/>
        </w:rPr>
        <w:t>chromosome</w:t>
      </w:r>
      <w:r>
        <w:rPr>
          <w:color w:val="4A86E8"/>
          <w:spacing w:val="-4"/>
        </w:rPr>
        <w:t xml:space="preserve"> </w:t>
      </w:r>
      <w:r>
        <w:rPr>
          <w:color w:val="4A86E8"/>
        </w:rPr>
        <w:t>10</w:t>
      </w:r>
      <w:r>
        <w:rPr>
          <w:color w:val="4A86E8"/>
          <w:spacing w:val="-4"/>
        </w:rPr>
        <w:t xml:space="preserve"> </w:t>
      </w:r>
      <w:r>
        <w:rPr>
          <w:color w:val="4A86E8"/>
        </w:rPr>
        <w:t>was</w:t>
      </w:r>
      <w:r>
        <w:rPr>
          <w:color w:val="4A86E8"/>
          <w:spacing w:val="-4"/>
        </w:rPr>
        <w:t xml:space="preserve"> </w:t>
      </w:r>
      <w:r>
        <w:rPr>
          <w:color w:val="4A86E8"/>
        </w:rPr>
        <w:t>used</w:t>
      </w:r>
      <w:r>
        <w:rPr>
          <w:color w:val="4A86E8"/>
          <w:spacing w:val="-4"/>
        </w:rPr>
        <w:t xml:space="preserve"> </w:t>
      </w:r>
      <w:r>
        <w:rPr>
          <w:color w:val="4A86E8"/>
        </w:rPr>
        <w:t>for</w:t>
      </w:r>
      <w:r>
        <w:rPr>
          <w:color w:val="4A86E8"/>
          <w:spacing w:val="-4"/>
        </w:rPr>
        <w:t xml:space="preserve"> </w:t>
      </w:r>
      <w:r>
        <w:rPr>
          <w:color w:val="4A86E8"/>
        </w:rPr>
        <w:t>validation</w:t>
      </w:r>
      <w:r>
        <w:rPr>
          <w:color w:val="4A86E8"/>
          <w:spacing w:val="-4"/>
        </w:rPr>
        <w:t xml:space="preserve"> </w:t>
      </w:r>
      <w:r>
        <w:rPr>
          <w:color w:val="4A86E8"/>
        </w:rPr>
        <w:t>and</w:t>
      </w:r>
      <w:r>
        <w:rPr>
          <w:color w:val="4A86E8"/>
          <w:spacing w:val="-4"/>
        </w:rPr>
        <w:t xml:space="preserve"> </w:t>
      </w:r>
      <w:r>
        <w:rPr>
          <w:color w:val="4A86E8"/>
        </w:rPr>
        <w:t>chromosomes 8 and 9 were held out for evaluation.</w:t>
      </w:r>
    </w:p>
    <w:p w14:paraId="7FB2DE70" w14:textId="77777777" w:rsidR="00E211CC" w:rsidRDefault="00E211CC" w:rsidP="00E211CC">
      <w:pPr>
        <w:pStyle w:val="BodyText"/>
        <w:spacing w:before="41"/>
        <w:ind w:left="0"/>
      </w:pPr>
    </w:p>
    <w:p w14:paraId="0C0C666D" w14:textId="77777777" w:rsidR="00E211CC" w:rsidRDefault="00E211CC" w:rsidP="00E211CC">
      <w:pPr>
        <w:pStyle w:val="ListParagraph"/>
        <w:widowControl w:val="0"/>
        <w:numPr>
          <w:ilvl w:val="0"/>
          <w:numId w:val="6"/>
        </w:numPr>
        <w:tabs>
          <w:tab w:val="left" w:pos="1370"/>
        </w:tabs>
        <w:autoSpaceDE w:val="0"/>
        <w:autoSpaceDN w:val="0"/>
        <w:spacing w:after="0" w:line="276" w:lineRule="auto"/>
        <w:ind w:right="874" w:firstLine="0"/>
        <w:contextualSpacing w:val="0"/>
      </w:pPr>
      <w:r>
        <w:rPr>
          <w:color w:val="222222"/>
        </w:rPr>
        <w:t>The models were compared in two variations - multi-task and single-task. It would be very interesting to add a 'transfer-learning' approach, where a single-task model is first trained on</w:t>
      </w:r>
      <w:r>
        <w:rPr>
          <w:color w:val="222222"/>
          <w:spacing w:val="40"/>
        </w:rPr>
        <w:t xml:space="preserve"> </w:t>
      </w:r>
      <w:r>
        <w:rPr>
          <w:color w:val="222222"/>
        </w:rPr>
        <w:t>one</w:t>
      </w:r>
      <w:r>
        <w:rPr>
          <w:color w:val="222222"/>
          <w:spacing w:val="-3"/>
        </w:rPr>
        <w:t xml:space="preserve"> </w:t>
      </w:r>
      <w:r>
        <w:rPr>
          <w:color w:val="222222"/>
        </w:rPr>
        <w:t>cell-type</w:t>
      </w:r>
      <w:r>
        <w:rPr>
          <w:color w:val="222222"/>
          <w:spacing w:val="-3"/>
        </w:rPr>
        <w:t xml:space="preserve"> </w:t>
      </w:r>
      <w:r>
        <w:rPr>
          <w:color w:val="222222"/>
        </w:rPr>
        <w:t>with</w:t>
      </w:r>
      <w:r>
        <w:rPr>
          <w:color w:val="222222"/>
          <w:spacing w:val="-3"/>
        </w:rPr>
        <w:t xml:space="preserve"> </w:t>
      </w:r>
      <w:r>
        <w:rPr>
          <w:color w:val="222222"/>
        </w:rPr>
        <w:t>abundant</w:t>
      </w:r>
      <w:r>
        <w:rPr>
          <w:color w:val="222222"/>
          <w:spacing w:val="-3"/>
        </w:rPr>
        <w:t xml:space="preserve"> </w:t>
      </w:r>
      <w:r>
        <w:rPr>
          <w:color w:val="222222"/>
        </w:rPr>
        <w:t>high-quality</w:t>
      </w:r>
      <w:r>
        <w:rPr>
          <w:color w:val="222222"/>
          <w:spacing w:val="-3"/>
        </w:rPr>
        <w:t xml:space="preserve"> </w:t>
      </w:r>
      <w:r>
        <w:rPr>
          <w:color w:val="222222"/>
        </w:rPr>
        <w:t>data</w:t>
      </w:r>
      <w:r>
        <w:rPr>
          <w:color w:val="222222"/>
          <w:spacing w:val="-3"/>
        </w:rPr>
        <w:t xml:space="preserve"> </w:t>
      </w:r>
      <w:r>
        <w:rPr>
          <w:color w:val="222222"/>
        </w:rPr>
        <w:t>and</w:t>
      </w:r>
      <w:r>
        <w:rPr>
          <w:color w:val="222222"/>
          <w:spacing w:val="-3"/>
        </w:rPr>
        <w:t xml:space="preserve"> </w:t>
      </w:r>
      <w:r>
        <w:rPr>
          <w:color w:val="222222"/>
        </w:rPr>
        <w:t>then</w:t>
      </w:r>
      <w:r>
        <w:rPr>
          <w:color w:val="222222"/>
          <w:spacing w:val="-3"/>
        </w:rPr>
        <w:t xml:space="preserve"> </w:t>
      </w:r>
      <w:r>
        <w:rPr>
          <w:color w:val="222222"/>
        </w:rPr>
        <w:t>fine-tuned</w:t>
      </w:r>
      <w:r>
        <w:rPr>
          <w:color w:val="222222"/>
          <w:spacing w:val="-3"/>
        </w:rPr>
        <w:t xml:space="preserve"> </w:t>
      </w:r>
      <w:r>
        <w:rPr>
          <w:color w:val="222222"/>
        </w:rPr>
        <w:t>to</w:t>
      </w:r>
      <w:r>
        <w:rPr>
          <w:color w:val="222222"/>
          <w:spacing w:val="-3"/>
        </w:rPr>
        <w:t xml:space="preserve"> </w:t>
      </w:r>
      <w:r>
        <w:rPr>
          <w:color w:val="222222"/>
        </w:rPr>
        <w:t>a</w:t>
      </w:r>
      <w:r>
        <w:rPr>
          <w:color w:val="222222"/>
          <w:spacing w:val="-3"/>
        </w:rPr>
        <w:t xml:space="preserve"> </w:t>
      </w:r>
      <w:r>
        <w:rPr>
          <w:color w:val="222222"/>
        </w:rPr>
        <w:t>specific</w:t>
      </w:r>
      <w:r>
        <w:rPr>
          <w:color w:val="222222"/>
          <w:spacing w:val="-2"/>
        </w:rPr>
        <w:t xml:space="preserve"> </w:t>
      </w:r>
      <w:r>
        <w:rPr>
          <w:color w:val="222222"/>
        </w:rPr>
        <w:t>cell</w:t>
      </w:r>
      <w:r>
        <w:rPr>
          <w:color w:val="222222"/>
          <w:spacing w:val="-3"/>
        </w:rPr>
        <w:t xml:space="preserve"> </w:t>
      </w:r>
      <w:r>
        <w:rPr>
          <w:color w:val="222222"/>
        </w:rPr>
        <w:t>type</w:t>
      </w:r>
      <w:r>
        <w:rPr>
          <w:color w:val="222222"/>
          <w:spacing w:val="-3"/>
        </w:rPr>
        <w:t xml:space="preserve"> </w:t>
      </w:r>
      <w:r>
        <w:rPr>
          <w:color w:val="222222"/>
        </w:rPr>
        <w:t>for</w:t>
      </w:r>
      <w:r>
        <w:rPr>
          <w:color w:val="222222"/>
          <w:spacing w:val="-3"/>
        </w:rPr>
        <w:t xml:space="preserve"> </w:t>
      </w:r>
      <w:r>
        <w:rPr>
          <w:color w:val="222222"/>
        </w:rPr>
        <w:t xml:space="preserve">which less data or of lower quality is available (e.g., </w:t>
      </w:r>
      <w:r>
        <w:rPr>
          <w:color w:val="1155CC"/>
          <w:u w:val="single" w:color="1155CC"/>
        </w:rPr>
        <w:t>https://doi.org/10.1093/nar/gkaa349</w:t>
      </w:r>
      <w:r>
        <w:rPr>
          <w:color w:val="222222"/>
        </w:rPr>
        <w:t>). We recommend adding this model variant to the comparison.</w:t>
      </w:r>
    </w:p>
    <w:p w14:paraId="52C22143" w14:textId="77777777" w:rsidR="00E211CC" w:rsidRDefault="00E211CC" w:rsidP="00E211CC">
      <w:pPr>
        <w:pStyle w:val="BodyText"/>
        <w:spacing w:before="34"/>
        <w:ind w:left="0"/>
      </w:pPr>
    </w:p>
    <w:p w14:paraId="7C82F3FC" w14:textId="77777777" w:rsidR="00E211CC" w:rsidRDefault="00E211CC" w:rsidP="00E211CC">
      <w:pPr>
        <w:pStyle w:val="BodyText"/>
        <w:spacing w:before="1" w:line="276" w:lineRule="auto"/>
        <w:ind w:right="861"/>
      </w:pPr>
      <w:r>
        <w:rPr>
          <w:color w:val="4A86E8"/>
        </w:rPr>
        <w:t>We thank the reviewer for this interesting suggestion. We have performed the following test to evaluate the suggested transfer learning approach, and have added the results as a supplementary figure (Fig. S13). Using the Loeb, et al. data, we trained two additional model variants using a downsampled version of the Proximal Tubule data (downsampled to approximately 10% of the original number of collected cells): 1) a single task model trained from scratch</w:t>
      </w:r>
      <w:r>
        <w:rPr>
          <w:color w:val="4A86E8"/>
          <w:spacing w:val="-3"/>
        </w:rPr>
        <w:t xml:space="preserve"> </w:t>
      </w:r>
      <w:r>
        <w:rPr>
          <w:color w:val="4A86E8"/>
        </w:rPr>
        <w:t>on</w:t>
      </w:r>
      <w:r>
        <w:rPr>
          <w:color w:val="4A86E8"/>
          <w:spacing w:val="-3"/>
        </w:rPr>
        <w:t xml:space="preserve"> </w:t>
      </w:r>
      <w:r>
        <w:rPr>
          <w:color w:val="4A86E8"/>
        </w:rPr>
        <w:t>the</w:t>
      </w:r>
      <w:r>
        <w:rPr>
          <w:color w:val="4A86E8"/>
          <w:spacing w:val="-3"/>
        </w:rPr>
        <w:t xml:space="preserve"> </w:t>
      </w:r>
      <w:r>
        <w:rPr>
          <w:color w:val="4A86E8"/>
        </w:rPr>
        <w:t>downsampled</w:t>
      </w:r>
      <w:r>
        <w:rPr>
          <w:color w:val="4A86E8"/>
          <w:spacing w:val="-3"/>
        </w:rPr>
        <w:t xml:space="preserve"> </w:t>
      </w:r>
      <w:r>
        <w:rPr>
          <w:color w:val="4A86E8"/>
        </w:rPr>
        <w:t>Proximal</w:t>
      </w:r>
      <w:r>
        <w:rPr>
          <w:color w:val="4A86E8"/>
          <w:spacing w:val="-3"/>
        </w:rPr>
        <w:t xml:space="preserve"> </w:t>
      </w:r>
      <w:r>
        <w:rPr>
          <w:color w:val="4A86E8"/>
        </w:rPr>
        <w:t>Tubule</w:t>
      </w:r>
      <w:r>
        <w:rPr>
          <w:color w:val="4A86E8"/>
          <w:spacing w:val="-3"/>
        </w:rPr>
        <w:t xml:space="preserve"> </w:t>
      </w:r>
      <w:r>
        <w:rPr>
          <w:color w:val="4A86E8"/>
        </w:rPr>
        <w:t>data,</w:t>
      </w:r>
      <w:r>
        <w:rPr>
          <w:color w:val="4A86E8"/>
          <w:spacing w:val="-3"/>
        </w:rPr>
        <w:t xml:space="preserve"> </w:t>
      </w:r>
      <w:r>
        <w:rPr>
          <w:color w:val="4A86E8"/>
        </w:rPr>
        <w:t>and</w:t>
      </w:r>
      <w:r>
        <w:rPr>
          <w:color w:val="4A86E8"/>
          <w:spacing w:val="-3"/>
        </w:rPr>
        <w:t xml:space="preserve"> </w:t>
      </w:r>
      <w:r>
        <w:rPr>
          <w:color w:val="4A86E8"/>
        </w:rPr>
        <w:t>2)</w:t>
      </w:r>
      <w:r>
        <w:rPr>
          <w:color w:val="4A86E8"/>
          <w:spacing w:val="-3"/>
        </w:rPr>
        <w:t xml:space="preserve"> </w:t>
      </w:r>
      <w:r>
        <w:rPr>
          <w:color w:val="4A86E8"/>
        </w:rPr>
        <w:t>a</w:t>
      </w:r>
      <w:r>
        <w:rPr>
          <w:color w:val="4A86E8"/>
          <w:spacing w:val="-3"/>
        </w:rPr>
        <w:t xml:space="preserve"> </w:t>
      </w:r>
      <w:r>
        <w:rPr>
          <w:color w:val="4A86E8"/>
        </w:rPr>
        <w:t>single</w:t>
      </w:r>
      <w:r>
        <w:rPr>
          <w:color w:val="4A86E8"/>
          <w:spacing w:val="-3"/>
        </w:rPr>
        <w:t xml:space="preserve"> </w:t>
      </w:r>
      <w:r>
        <w:rPr>
          <w:color w:val="4A86E8"/>
        </w:rPr>
        <w:t>task</w:t>
      </w:r>
      <w:r>
        <w:rPr>
          <w:color w:val="4A86E8"/>
          <w:spacing w:val="-3"/>
        </w:rPr>
        <w:t xml:space="preserve"> </w:t>
      </w:r>
      <w:r>
        <w:rPr>
          <w:color w:val="4A86E8"/>
        </w:rPr>
        <w:t>model</w:t>
      </w:r>
      <w:r>
        <w:rPr>
          <w:color w:val="4A86E8"/>
          <w:spacing w:val="-3"/>
        </w:rPr>
        <w:t xml:space="preserve"> </w:t>
      </w:r>
      <w:r>
        <w:rPr>
          <w:color w:val="4A86E8"/>
        </w:rPr>
        <w:t>pretrained</w:t>
      </w:r>
      <w:r>
        <w:rPr>
          <w:color w:val="4A86E8"/>
          <w:spacing w:val="-3"/>
        </w:rPr>
        <w:t xml:space="preserve"> </w:t>
      </w:r>
      <w:r>
        <w:rPr>
          <w:color w:val="4A86E8"/>
        </w:rPr>
        <w:t>on</w:t>
      </w:r>
      <w:r>
        <w:rPr>
          <w:color w:val="4A86E8"/>
          <w:spacing w:val="-3"/>
        </w:rPr>
        <w:t xml:space="preserve"> </w:t>
      </w:r>
      <w:r>
        <w:rPr>
          <w:color w:val="4A86E8"/>
        </w:rPr>
        <w:t>the Stromal cell data and then fine-tuned on the downsampled Proximal Tubule data. We then evaluated how well each of these models was able to predict Proximal Tubule specific peaks, ubiquitous peaks, and all genomic sequences (peaks and non-peaks). We find that the transfer learning procedure decreases predictive accuracy on cell type specific peaks, and leads to a small increase in accuracy on ubiquitous peaks. This result complements our existing single- task versus multi-task comparisons, which suggest that cross cell type training does not provide</w:t>
      </w:r>
    </w:p>
    <w:p w14:paraId="46D6F2EC"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3F32229F" w14:textId="77777777" w:rsidR="00E211CC" w:rsidRDefault="00E211CC" w:rsidP="00E211CC">
      <w:pPr>
        <w:pStyle w:val="BodyText"/>
        <w:spacing w:before="80" w:line="276" w:lineRule="auto"/>
        <w:ind w:right="861"/>
      </w:pPr>
      <w:r>
        <w:rPr>
          <w:color w:val="4A86E8"/>
        </w:rPr>
        <w:lastRenderedPageBreak/>
        <w:t>a benefit for cell type specific peak prediction. There may be other cases – for example, when the</w:t>
      </w:r>
      <w:r>
        <w:rPr>
          <w:color w:val="4A86E8"/>
          <w:spacing w:val="-3"/>
        </w:rPr>
        <w:t xml:space="preserve"> </w:t>
      </w:r>
      <w:r>
        <w:rPr>
          <w:color w:val="4A86E8"/>
        </w:rPr>
        <w:t>pretraining</w:t>
      </w:r>
      <w:r>
        <w:rPr>
          <w:color w:val="4A86E8"/>
          <w:spacing w:val="-3"/>
        </w:rPr>
        <w:t xml:space="preserve"> </w:t>
      </w:r>
      <w:r>
        <w:rPr>
          <w:color w:val="4A86E8"/>
        </w:rPr>
        <w:t>and</w:t>
      </w:r>
      <w:r>
        <w:rPr>
          <w:color w:val="4A86E8"/>
          <w:spacing w:val="-3"/>
        </w:rPr>
        <w:t xml:space="preserve"> </w:t>
      </w:r>
      <w:r>
        <w:rPr>
          <w:color w:val="4A86E8"/>
        </w:rPr>
        <w:t>target</w:t>
      </w:r>
      <w:r>
        <w:rPr>
          <w:color w:val="4A86E8"/>
          <w:spacing w:val="-3"/>
        </w:rPr>
        <w:t xml:space="preserve"> </w:t>
      </w:r>
      <w:r>
        <w:rPr>
          <w:color w:val="4A86E8"/>
        </w:rPr>
        <w:t>cell</w:t>
      </w:r>
      <w:r>
        <w:rPr>
          <w:color w:val="4A86E8"/>
          <w:spacing w:val="-3"/>
        </w:rPr>
        <w:t xml:space="preserve"> </w:t>
      </w:r>
      <w:r>
        <w:rPr>
          <w:color w:val="4A86E8"/>
        </w:rPr>
        <w:t>types</w:t>
      </w:r>
      <w:r>
        <w:rPr>
          <w:color w:val="4A86E8"/>
          <w:spacing w:val="-3"/>
        </w:rPr>
        <w:t xml:space="preserve"> </w:t>
      </w:r>
      <w:r>
        <w:rPr>
          <w:color w:val="4A86E8"/>
        </w:rPr>
        <w:t>are</w:t>
      </w:r>
      <w:r>
        <w:rPr>
          <w:color w:val="4A86E8"/>
          <w:spacing w:val="-3"/>
        </w:rPr>
        <w:t xml:space="preserve"> </w:t>
      </w:r>
      <w:r>
        <w:rPr>
          <w:color w:val="4A86E8"/>
        </w:rPr>
        <w:t>more</w:t>
      </w:r>
      <w:r>
        <w:rPr>
          <w:color w:val="4A86E8"/>
          <w:spacing w:val="-3"/>
        </w:rPr>
        <w:t xml:space="preserve"> </w:t>
      </w:r>
      <w:r>
        <w:rPr>
          <w:color w:val="4A86E8"/>
        </w:rPr>
        <w:t>closely</w:t>
      </w:r>
      <w:r>
        <w:rPr>
          <w:color w:val="4A86E8"/>
          <w:spacing w:val="-3"/>
        </w:rPr>
        <w:t xml:space="preserve"> </w:t>
      </w:r>
      <w:r>
        <w:rPr>
          <w:color w:val="4A86E8"/>
        </w:rPr>
        <w:t>related,</w:t>
      </w:r>
      <w:r>
        <w:rPr>
          <w:color w:val="4A86E8"/>
          <w:spacing w:val="-3"/>
        </w:rPr>
        <w:t xml:space="preserve"> </w:t>
      </w:r>
      <w:r>
        <w:rPr>
          <w:color w:val="4A86E8"/>
        </w:rPr>
        <w:t>or</w:t>
      </w:r>
      <w:r>
        <w:rPr>
          <w:color w:val="4A86E8"/>
          <w:spacing w:val="-3"/>
        </w:rPr>
        <w:t xml:space="preserve"> </w:t>
      </w:r>
      <w:r>
        <w:rPr>
          <w:color w:val="4A86E8"/>
        </w:rPr>
        <w:t>when</w:t>
      </w:r>
      <w:r>
        <w:rPr>
          <w:color w:val="4A86E8"/>
          <w:spacing w:val="-3"/>
        </w:rPr>
        <w:t xml:space="preserve"> </w:t>
      </w:r>
      <w:r>
        <w:rPr>
          <w:color w:val="4A86E8"/>
        </w:rPr>
        <w:t>the</w:t>
      </w:r>
      <w:r>
        <w:rPr>
          <w:color w:val="4A86E8"/>
          <w:spacing w:val="-3"/>
        </w:rPr>
        <w:t xml:space="preserve"> </w:t>
      </w:r>
      <w:r>
        <w:rPr>
          <w:color w:val="4A86E8"/>
        </w:rPr>
        <w:t>data</w:t>
      </w:r>
      <w:r>
        <w:rPr>
          <w:color w:val="4A86E8"/>
          <w:spacing w:val="-3"/>
        </w:rPr>
        <w:t xml:space="preserve"> </w:t>
      </w:r>
      <w:r>
        <w:rPr>
          <w:color w:val="4A86E8"/>
        </w:rPr>
        <w:t>for</w:t>
      </w:r>
      <w:r>
        <w:rPr>
          <w:color w:val="4A86E8"/>
          <w:spacing w:val="-3"/>
        </w:rPr>
        <w:t xml:space="preserve"> </w:t>
      </w:r>
      <w:r>
        <w:rPr>
          <w:color w:val="4A86E8"/>
        </w:rPr>
        <w:t>the</w:t>
      </w:r>
      <w:r>
        <w:rPr>
          <w:color w:val="4A86E8"/>
          <w:spacing w:val="-3"/>
        </w:rPr>
        <w:t xml:space="preserve"> </w:t>
      </w:r>
      <w:r>
        <w:rPr>
          <w:color w:val="4A86E8"/>
        </w:rPr>
        <w:t>target</w:t>
      </w:r>
      <w:r>
        <w:rPr>
          <w:color w:val="4A86E8"/>
          <w:spacing w:val="-3"/>
        </w:rPr>
        <w:t xml:space="preserve"> </w:t>
      </w:r>
      <w:r>
        <w:rPr>
          <w:color w:val="4A86E8"/>
        </w:rPr>
        <w:t>cell type is even more sparse – where this transfer learning paradigm may provide some utility, which would be interesting avenues for future exploration.</w:t>
      </w:r>
    </w:p>
    <w:p w14:paraId="01671445" w14:textId="77777777" w:rsidR="00E211CC" w:rsidRDefault="00E211CC" w:rsidP="00E211CC">
      <w:pPr>
        <w:pStyle w:val="BodyText"/>
        <w:spacing w:before="37"/>
        <w:ind w:left="0"/>
      </w:pPr>
    </w:p>
    <w:p w14:paraId="6A813AC2" w14:textId="77777777" w:rsidR="00E211CC" w:rsidRDefault="00E211CC" w:rsidP="00E211CC">
      <w:pPr>
        <w:pStyle w:val="ListParagraph"/>
        <w:widowControl w:val="0"/>
        <w:numPr>
          <w:ilvl w:val="0"/>
          <w:numId w:val="6"/>
        </w:numPr>
        <w:tabs>
          <w:tab w:val="left" w:pos="1370"/>
        </w:tabs>
        <w:autoSpaceDE w:val="0"/>
        <w:autoSpaceDN w:val="0"/>
        <w:spacing w:after="0" w:line="276" w:lineRule="auto"/>
        <w:ind w:right="1059" w:firstLine="0"/>
        <w:contextualSpacing w:val="0"/>
      </w:pPr>
      <w:r>
        <w:rPr>
          <w:color w:val="222222"/>
        </w:rPr>
        <w:t>Some of the issues raised in the paper may have been resolved using large DNA language models, such as DNABERT-2 (</w:t>
      </w:r>
      <w:r>
        <w:rPr>
          <w:color w:val="1155CC"/>
          <w:u w:val="single" w:color="1155CC"/>
        </w:rPr>
        <w:t>https://arxiv.org/abs/2306.15006</w:t>
      </w:r>
      <w:r>
        <w:rPr>
          <w:color w:val="222222"/>
        </w:rPr>
        <w:t>), Grover (</w:t>
      </w:r>
      <w:r>
        <w:rPr>
          <w:color w:val="1155CC"/>
          <w:u w:val="single" w:color="1155CC"/>
        </w:rPr>
        <w:t>https://</w:t>
      </w:r>
      <w:hyperlink r:id="rId6">
        <w:r>
          <w:rPr>
            <w:color w:val="1155CC"/>
            <w:u w:val="single" w:color="1155CC"/>
          </w:rPr>
          <w:t>www.biorxiv.org/content/10.1101/2023.07.19.549677v2.abstract</w:t>
        </w:r>
        <w:r>
          <w:rPr>
            <w:color w:val="222222"/>
          </w:rPr>
          <w:t>),</w:t>
        </w:r>
      </w:hyperlink>
      <w:r>
        <w:rPr>
          <w:color w:val="222222"/>
        </w:rPr>
        <w:t xml:space="preserve"> and GPN (</w:t>
      </w:r>
      <w:r>
        <w:rPr>
          <w:color w:val="1155CC"/>
          <w:u w:val="single" w:color="1155CC"/>
        </w:rPr>
        <w:t>https://</w:t>
      </w:r>
      <w:hyperlink r:id="rId7">
        <w:r>
          <w:rPr>
            <w:color w:val="1155CC"/>
            <w:u w:val="single" w:color="1155CC"/>
          </w:rPr>
          <w:t>www.pnas.org/doi/abs/10.1073/pnas.2311219120</w:t>
        </w:r>
        <w:r>
          <w:rPr>
            <w:color w:val="222222"/>
          </w:rPr>
          <w:t>).</w:t>
        </w:r>
      </w:hyperlink>
      <w:r>
        <w:rPr>
          <w:color w:val="222222"/>
          <w:spacing w:val="-8"/>
        </w:rPr>
        <w:t xml:space="preserve"> </w:t>
      </w:r>
      <w:r>
        <w:rPr>
          <w:color w:val="222222"/>
        </w:rPr>
        <w:t>We</w:t>
      </w:r>
      <w:r>
        <w:rPr>
          <w:color w:val="222222"/>
          <w:spacing w:val="-8"/>
        </w:rPr>
        <w:t xml:space="preserve"> </w:t>
      </w:r>
      <w:r>
        <w:rPr>
          <w:color w:val="222222"/>
        </w:rPr>
        <w:t>highly</w:t>
      </w:r>
      <w:r>
        <w:rPr>
          <w:color w:val="222222"/>
          <w:spacing w:val="-8"/>
        </w:rPr>
        <w:t xml:space="preserve"> </w:t>
      </w:r>
      <w:r>
        <w:rPr>
          <w:color w:val="222222"/>
        </w:rPr>
        <w:t>recommend</w:t>
      </w:r>
      <w:r>
        <w:rPr>
          <w:color w:val="222222"/>
          <w:spacing w:val="-8"/>
        </w:rPr>
        <w:t xml:space="preserve"> </w:t>
      </w:r>
      <w:r>
        <w:rPr>
          <w:color w:val="222222"/>
        </w:rPr>
        <w:t>testing</w:t>
      </w:r>
      <w:r>
        <w:rPr>
          <w:color w:val="222222"/>
          <w:spacing w:val="-8"/>
        </w:rPr>
        <w:t xml:space="preserve"> </w:t>
      </w:r>
      <w:r>
        <w:rPr>
          <w:color w:val="222222"/>
        </w:rPr>
        <w:t>their performance, since they may improve performance on cell-type-specific CREs.</w:t>
      </w:r>
    </w:p>
    <w:p w14:paraId="7AB81E4F" w14:textId="77777777" w:rsidR="00E211CC" w:rsidRDefault="00E211CC" w:rsidP="00E211CC">
      <w:pPr>
        <w:pStyle w:val="BodyText"/>
        <w:spacing w:before="40"/>
        <w:ind w:left="0"/>
      </w:pPr>
    </w:p>
    <w:p w14:paraId="046FAF58" w14:textId="77777777" w:rsidR="00E211CC" w:rsidRDefault="00E211CC" w:rsidP="00E211CC">
      <w:pPr>
        <w:pStyle w:val="BodyText"/>
        <w:spacing w:line="276" w:lineRule="auto"/>
        <w:ind w:right="883"/>
      </w:pPr>
      <w:r>
        <w:rPr>
          <w:color w:val="4A86E8"/>
        </w:rPr>
        <w:t>We agree with the reviewer that DNA language models are a promising direction that might overcome some of the issues faced by supervised genomic deep learning models, and we think this</w:t>
      </w:r>
      <w:r>
        <w:rPr>
          <w:color w:val="4A86E8"/>
          <w:spacing w:val="-3"/>
        </w:rPr>
        <w:t xml:space="preserve"> </w:t>
      </w:r>
      <w:r>
        <w:rPr>
          <w:color w:val="4A86E8"/>
        </w:rPr>
        <w:t>is</w:t>
      </w:r>
      <w:r>
        <w:rPr>
          <w:color w:val="4A86E8"/>
          <w:spacing w:val="-3"/>
        </w:rPr>
        <w:t xml:space="preserve"> </w:t>
      </w:r>
      <w:r>
        <w:rPr>
          <w:color w:val="4A86E8"/>
        </w:rPr>
        <w:t>a</w:t>
      </w:r>
      <w:r>
        <w:rPr>
          <w:color w:val="4A86E8"/>
          <w:spacing w:val="-3"/>
        </w:rPr>
        <w:t xml:space="preserve"> </w:t>
      </w:r>
      <w:r>
        <w:rPr>
          <w:color w:val="4A86E8"/>
        </w:rPr>
        <w:t>fascinating</w:t>
      </w:r>
      <w:r>
        <w:rPr>
          <w:color w:val="4A86E8"/>
          <w:spacing w:val="-3"/>
        </w:rPr>
        <w:t xml:space="preserve"> </w:t>
      </w:r>
      <w:r>
        <w:rPr>
          <w:color w:val="4A86E8"/>
        </w:rPr>
        <w:t>area</w:t>
      </w:r>
      <w:r>
        <w:rPr>
          <w:color w:val="4A86E8"/>
          <w:spacing w:val="-3"/>
        </w:rPr>
        <w:t xml:space="preserve"> </w:t>
      </w:r>
      <w:r>
        <w:rPr>
          <w:color w:val="4A86E8"/>
        </w:rPr>
        <w:t>for</w:t>
      </w:r>
      <w:r>
        <w:rPr>
          <w:color w:val="4A86E8"/>
          <w:spacing w:val="-3"/>
        </w:rPr>
        <w:t xml:space="preserve"> </w:t>
      </w:r>
      <w:r>
        <w:rPr>
          <w:color w:val="4A86E8"/>
        </w:rPr>
        <w:t>future</w:t>
      </w:r>
      <w:r>
        <w:rPr>
          <w:color w:val="4A86E8"/>
          <w:spacing w:val="-3"/>
        </w:rPr>
        <w:t xml:space="preserve"> </w:t>
      </w:r>
      <w:r>
        <w:rPr>
          <w:color w:val="4A86E8"/>
        </w:rPr>
        <w:t>exploration.</w:t>
      </w:r>
      <w:r>
        <w:rPr>
          <w:color w:val="4A86E8"/>
          <w:spacing w:val="-3"/>
        </w:rPr>
        <w:t xml:space="preserve"> </w:t>
      </w:r>
      <w:r>
        <w:rPr>
          <w:color w:val="4A86E8"/>
        </w:rPr>
        <w:t>Because</w:t>
      </w:r>
      <w:r>
        <w:rPr>
          <w:color w:val="4A86E8"/>
          <w:spacing w:val="-3"/>
        </w:rPr>
        <w:t xml:space="preserve"> </w:t>
      </w:r>
      <w:r>
        <w:rPr>
          <w:color w:val="4A86E8"/>
        </w:rPr>
        <w:t>DNA</w:t>
      </w:r>
      <w:r>
        <w:rPr>
          <w:color w:val="4A86E8"/>
          <w:spacing w:val="-3"/>
        </w:rPr>
        <w:t xml:space="preserve"> </w:t>
      </w:r>
      <w:r>
        <w:rPr>
          <w:color w:val="4A86E8"/>
        </w:rPr>
        <w:t>language</w:t>
      </w:r>
      <w:r>
        <w:rPr>
          <w:color w:val="4A86E8"/>
          <w:spacing w:val="-3"/>
        </w:rPr>
        <w:t xml:space="preserve"> </w:t>
      </w:r>
      <w:r>
        <w:rPr>
          <w:color w:val="4A86E8"/>
        </w:rPr>
        <w:t>models</w:t>
      </w:r>
      <w:r>
        <w:rPr>
          <w:color w:val="4A86E8"/>
          <w:spacing w:val="-3"/>
        </w:rPr>
        <w:t xml:space="preserve"> </w:t>
      </w:r>
      <w:r>
        <w:rPr>
          <w:color w:val="4A86E8"/>
        </w:rPr>
        <w:t>are</w:t>
      </w:r>
      <w:r>
        <w:rPr>
          <w:color w:val="4A86E8"/>
          <w:spacing w:val="-3"/>
        </w:rPr>
        <w:t xml:space="preserve"> </w:t>
      </w:r>
      <w:r>
        <w:rPr>
          <w:color w:val="4A86E8"/>
        </w:rPr>
        <w:t>trained</w:t>
      </w:r>
      <w:r>
        <w:rPr>
          <w:color w:val="4A86E8"/>
          <w:spacing w:val="-3"/>
        </w:rPr>
        <w:t xml:space="preserve"> </w:t>
      </w:r>
      <w:r>
        <w:rPr>
          <w:color w:val="4A86E8"/>
        </w:rPr>
        <w:t>in</w:t>
      </w:r>
      <w:r>
        <w:rPr>
          <w:color w:val="4A86E8"/>
          <w:spacing w:val="-3"/>
        </w:rPr>
        <w:t xml:space="preserve"> </w:t>
      </w:r>
      <w:r>
        <w:rPr>
          <w:color w:val="4A86E8"/>
        </w:rPr>
        <w:t>an unsupervised</w:t>
      </w:r>
      <w:r>
        <w:rPr>
          <w:color w:val="4A86E8"/>
          <w:spacing w:val="-2"/>
        </w:rPr>
        <w:t xml:space="preserve"> </w:t>
      </w:r>
      <w:r>
        <w:rPr>
          <w:color w:val="4A86E8"/>
        </w:rPr>
        <w:t>manner</w:t>
      </w:r>
      <w:r>
        <w:rPr>
          <w:color w:val="4A86E8"/>
          <w:spacing w:val="-2"/>
        </w:rPr>
        <w:t xml:space="preserve"> </w:t>
      </w:r>
      <w:r>
        <w:rPr>
          <w:color w:val="4A86E8"/>
        </w:rPr>
        <w:t>using</w:t>
      </w:r>
      <w:r>
        <w:rPr>
          <w:color w:val="4A86E8"/>
          <w:spacing w:val="-2"/>
        </w:rPr>
        <w:t xml:space="preserve"> </w:t>
      </w:r>
      <w:r>
        <w:rPr>
          <w:color w:val="4A86E8"/>
        </w:rPr>
        <w:t>only</w:t>
      </w:r>
      <w:r>
        <w:rPr>
          <w:color w:val="4A86E8"/>
          <w:spacing w:val="-2"/>
        </w:rPr>
        <w:t xml:space="preserve"> </w:t>
      </w:r>
      <w:r>
        <w:rPr>
          <w:color w:val="4A86E8"/>
        </w:rPr>
        <w:t>DNA</w:t>
      </w:r>
      <w:r>
        <w:rPr>
          <w:color w:val="4A86E8"/>
          <w:spacing w:val="-2"/>
        </w:rPr>
        <w:t xml:space="preserve"> </w:t>
      </w:r>
      <w:r>
        <w:rPr>
          <w:color w:val="4A86E8"/>
        </w:rPr>
        <w:t>sequences,</w:t>
      </w:r>
      <w:r>
        <w:rPr>
          <w:color w:val="4A86E8"/>
          <w:spacing w:val="-2"/>
        </w:rPr>
        <w:t xml:space="preserve"> </w:t>
      </w:r>
      <w:r>
        <w:rPr>
          <w:color w:val="4A86E8"/>
        </w:rPr>
        <w:t>without</w:t>
      </w:r>
      <w:r>
        <w:rPr>
          <w:color w:val="4A86E8"/>
          <w:spacing w:val="-2"/>
        </w:rPr>
        <w:t xml:space="preserve"> </w:t>
      </w:r>
      <w:r>
        <w:rPr>
          <w:color w:val="4A86E8"/>
        </w:rPr>
        <w:t>any</w:t>
      </w:r>
      <w:r>
        <w:rPr>
          <w:color w:val="4A86E8"/>
          <w:spacing w:val="-2"/>
        </w:rPr>
        <w:t xml:space="preserve"> </w:t>
      </w:r>
      <w:r>
        <w:rPr>
          <w:color w:val="4A86E8"/>
        </w:rPr>
        <w:t>cell</w:t>
      </w:r>
      <w:r>
        <w:rPr>
          <w:color w:val="4A86E8"/>
          <w:spacing w:val="-2"/>
        </w:rPr>
        <w:t xml:space="preserve"> </w:t>
      </w:r>
      <w:r>
        <w:rPr>
          <w:color w:val="4A86E8"/>
        </w:rPr>
        <w:t>type</w:t>
      </w:r>
      <w:r>
        <w:rPr>
          <w:color w:val="4A86E8"/>
          <w:spacing w:val="-2"/>
        </w:rPr>
        <w:t xml:space="preserve"> </w:t>
      </w:r>
      <w:r>
        <w:rPr>
          <w:color w:val="4A86E8"/>
        </w:rPr>
        <w:t>specific</w:t>
      </w:r>
      <w:r>
        <w:rPr>
          <w:color w:val="4A86E8"/>
          <w:spacing w:val="-2"/>
        </w:rPr>
        <w:t xml:space="preserve"> </w:t>
      </w:r>
      <w:r>
        <w:rPr>
          <w:color w:val="4A86E8"/>
        </w:rPr>
        <w:t>data,</w:t>
      </w:r>
      <w:r>
        <w:rPr>
          <w:color w:val="4A86E8"/>
          <w:spacing w:val="-2"/>
        </w:rPr>
        <w:t xml:space="preserve"> </w:t>
      </w:r>
      <w:r>
        <w:rPr>
          <w:color w:val="4A86E8"/>
        </w:rPr>
        <w:t>their</w:t>
      </w:r>
      <w:r>
        <w:rPr>
          <w:color w:val="4A86E8"/>
          <w:spacing w:val="-2"/>
        </w:rPr>
        <w:t xml:space="preserve"> </w:t>
      </w:r>
      <w:r>
        <w:rPr>
          <w:color w:val="4A86E8"/>
        </w:rPr>
        <w:t>zero- shot predictions are by nature cell-type agnostic. We conducted a preliminary comparison of DNABERT-2, Enformer, and Sei on the eQTL classification task presented in Fig. 2C and observe that zero-shot predictions from DNABERT-2 have minimal signal for classifying fine- mapped eQTLs (figure below). However, fine-tuning language models such as DNABERT-2 on functional genomics data, such as cell-type specific accessibility data, may yield better performance. Such fine-tuning will be an interesting avenue for future exploration, but is beyond the scope of our current work. We believe the primary value of our current work is in evaluating supervised</w:t>
      </w:r>
      <w:r>
        <w:rPr>
          <w:color w:val="4A86E8"/>
          <w:spacing w:val="-3"/>
        </w:rPr>
        <w:t xml:space="preserve"> </w:t>
      </w:r>
      <w:r>
        <w:rPr>
          <w:color w:val="4A86E8"/>
        </w:rPr>
        <w:t>models,</w:t>
      </w:r>
      <w:r>
        <w:rPr>
          <w:color w:val="4A86E8"/>
          <w:spacing w:val="-3"/>
        </w:rPr>
        <w:t xml:space="preserve"> </w:t>
      </w:r>
      <w:r>
        <w:rPr>
          <w:color w:val="4A86E8"/>
        </w:rPr>
        <w:t>which</w:t>
      </w:r>
      <w:r>
        <w:rPr>
          <w:color w:val="4A86E8"/>
          <w:spacing w:val="-3"/>
        </w:rPr>
        <w:t xml:space="preserve"> </w:t>
      </w:r>
      <w:r>
        <w:rPr>
          <w:color w:val="4A86E8"/>
        </w:rPr>
        <w:t>(1)</w:t>
      </w:r>
      <w:r>
        <w:rPr>
          <w:color w:val="4A86E8"/>
          <w:spacing w:val="-3"/>
        </w:rPr>
        <w:t xml:space="preserve"> </w:t>
      </w:r>
      <w:r>
        <w:rPr>
          <w:color w:val="4A86E8"/>
        </w:rPr>
        <w:t>are</w:t>
      </w:r>
      <w:r>
        <w:rPr>
          <w:color w:val="4A86E8"/>
          <w:spacing w:val="-3"/>
        </w:rPr>
        <w:t xml:space="preserve"> </w:t>
      </w:r>
      <w:r>
        <w:rPr>
          <w:color w:val="4A86E8"/>
        </w:rPr>
        <w:t>becoming</w:t>
      </w:r>
      <w:r>
        <w:rPr>
          <w:color w:val="4A86E8"/>
          <w:spacing w:val="-3"/>
        </w:rPr>
        <w:t xml:space="preserve"> </w:t>
      </w:r>
      <w:r>
        <w:rPr>
          <w:color w:val="4A86E8"/>
        </w:rPr>
        <w:t>more</w:t>
      </w:r>
      <w:r>
        <w:rPr>
          <w:color w:val="4A86E8"/>
          <w:spacing w:val="-3"/>
        </w:rPr>
        <w:t xml:space="preserve"> </w:t>
      </w:r>
      <w:r>
        <w:rPr>
          <w:color w:val="4A86E8"/>
        </w:rPr>
        <w:t>routinely</w:t>
      </w:r>
      <w:r>
        <w:rPr>
          <w:color w:val="4A86E8"/>
          <w:spacing w:val="-3"/>
        </w:rPr>
        <w:t xml:space="preserve"> </w:t>
      </w:r>
      <w:r>
        <w:rPr>
          <w:color w:val="4A86E8"/>
        </w:rPr>
        <w:t>adopted</w:t>
      </w:r>
      <w:r>
        <w:rPr>
          <w:color w:val="4A86E8"/>
          <w:spacing w:val="-3"/>
        </w:rPr>
        <w:t xml:space="preserve"> </w:t>
      </w:r>
      <w:r>
        <w:rPr>
          <w:color w:val="4A86E8"/>
        </w:rPr>
        <w:t>for</w:t>
      </w:r>
      <w:r>
        <w:rPr>
          <w:color w:val="4A86E8"/>
          <w:spacing w:val="-3"/>
        </w:rPr>
        <w:t xml:space="preserve"> </w:t>
      </w:r>
      <w:r>
        <w:rPr>
          <w:color w:val="4A86E8"/>
        </w:rPr>
        <w:t>a</w:t>
      </w:r>
      <w:r>
        <w:rPr>
          <w:color w:val="4A86E8"/>
          <w:spacing w:val="-3"/>
        </w:rPr>
        <w:t xml:space="preserve"> </w:t>
      </w:r>
      <w:r>
        <w:rPr>
          <w:color w:val="4A86E8"/>
        </w:rPr>
        <w:t>variety</w:t>
      </w:r>
      <w:r>
        <w:rPr>
          <w:color w:val="4A86E8"/>
          <w:spacing w:val="-3"/>
        </w:rPr>
        <w:t xml:space="preserve"> </w:t>
      </w:r>
      <w:r>
        <w:rPr>
          <w:color w:val="4A86E8"/>
        </w:rPr>
        <w:t>of</w:t>
      </w:r>
      <w:r>
        <w:rPr>
          <w:color w:val="4A86E8"/>
          <w:spacing w:val="-3"/>
        </w:rPr>
        <w:t xml:space="preserve"> </w:t>
      </w:r>
      <w:r>
        <w:rPr>
          <w:color w:val="4A86E8"/>
        </w:rPr>
        <w:t>variant</w:t>
      </w:r>
      <w:r>
        <w:rPr>
          <w:color w:val="4A86E8"/>
          <w:spacing w:val="-3"/>
        </w:rPr>
        <w:t xml:space="preserve"> </w:t>
      </w:r>
      <w:r>
        <w:rPr>
          <w:color w:val="4A86E8"/>
        </w:rPr>
        <w:t xml:space="preserve">effect prediction and genome interpretation tasks, and (2) by virtue of their training procedure, naturally make cell-type specific predictions without the need for any additional training or fine- </w:t>
      </w:r>
      <w:r>
        <w:rPr>
          <w:color w:val="4A86E8"/>
          <w:spacing w:val="-2"/>
        </w:rPr>
        <w:t>tuning.</w:t>
      </w:r>
    </w:p>
    <w:p w14:paraId="4BA67326" w14:textId="77777777" w:rsidR="00E211CC" w:rsidRDefault="00E211CC" w:rsidP="00E211CC">
      <w:pPr>
        <w:pStyle w:val="BodyText"/>
        <w:spacing w:before="61"/>
        <w:ind w:left="0"/>
        <w:rPr>
          <w:sz w:val="20"/>
        </w:rPr>
      </w:pPr>
      <w:r>
        <w:rPr>
          <w:noProof/>
        </w:rPr>
        <w:drawing>
          <wp:anchor distT="0" distB="0" distL="0" distR="0" simplePos="0" relativeHeight="251659264" behindDoc="1" locked="0" layoutInCell="1" allowOverlap="1" wp14:anchorId="6D121435" wp14:editId="56096A79">
            <wp:simplePos x="0" y="0"/>
            <wp:positionH relativeFrom="page">
              <wp:posOffset>914400</wp:posOffset>
            </wp:positionH>
            <wp:positionV relativeFrom="paragraph">
              <wp:posOffset>200503</wp:posOffset>
            </wp:positionV>
            <wp:extent cx="4066920" cy="2464308"/>
            <wp:effectExtent l="0" t="0" r="0" b="0"/>
            <wp:wrapTopAndBottom/>
            <wp:docPr id="5" name="Image 5" descr="A screenshot of a video g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creenshot of a video game&#10;&#10;Description automatically generated"/>
                    <pic:cNvPicPr/>
                  </pic:nvPicPr>
                  <pic:blipFill>
                    <a:blip r:embed="rId8" cstate="print"/>
                    <a:stretch>
                      <a:fillRect/>
                    </a:stretch>
                  </pic:blipFill>
                  <pic:spPr>
                    <a:xfrm>
                      <a:off x="0" y="0"/>
                      <a:ext cx="4066920" cy="2464308"/>
                    </a:xfrm>
                    <a:prstGeom prst="rect">
                      <a:avLst/>
                    </a:prstGeom>
                  </pic:spPr>
                </pic:pic>
              </a:graphicData>
            </a:graphic>
          </wp:anchor>
        </w:drawing>
      </w:r>
    </w:p>
    <w:p w14:paraId="4B9C4AC7" w14:textId="77777777" w:rsidR="00E211CC" w:rsidRDefault="00E211CC" w:rsidP="00E211CC">
      <w:pPr>
        <w:pStyle w:val="ListParagraph"/>
        <w:widowControl w:val="0"/>
        <w:numPr>
          <w:ilvl w:val="0"/>
          <w:numId w:val="6"/>
        </w:numPr>
        <w:tabs>
          <w:tab w:val="left" w:pos="1370"/>
        </w:tabs>
        <w:autoSpaceDE w:val="0"/>
        <w:autoSpaceDN w:val="0"/>
        <w:spacing w:before="252" w:after="0" w:line="278" w:lineRule="auto"/>
        <w:ind w:right="1030" w:firstLine="0"/>
        <w:contextualSpacing w:val="0"/>
      </w:pPr>
      <w:r>
        <w:rPr>
          <w:color w:val="222222"/>
        </w:rPr>
        <w:t>Some</w:t>
      </w:r>
      <w:r>
        <w:rPr>
          <w:color w:val="222222"/>
          <w:spacing w:val="-3"/>
        </w:rPr>
        <w:t xml:space="preserve"> </w:t>
      </w:r>
      <w:r>
        <w:rPr>
          <w:color w:val="222222"/>
        </w:rPr>
        <w:t>data</w:t>
      </w:r>
      <w:r>
        <w:rPr>
          <w:color w:val="222222"/>
          <w:spacing w:val="-3"/>
        </w:rPr>
        <w:t xml:space="preserve"> </w:t>
      </w:r>
      <w:r>
        <w:rPr>
          <w:color w:val="222222"/>
        </w:rPr>
        <w:t>is</w:t>
      </w:r>
      <w:r>
        <w:rPr>
          <w:color w:val="222222"/>
          <w:spacing w:val="-3"/>
        </w:rPr>
        <w:t xml:space="preserve"> </w:t>
      </w:r>
      <w:r>
        <w:rPr>
          <w:color w:val="222222"/>
        </w:rPr>
        <w:t>unavailable.</w:t>
      </w:r>
      <w:r>
        <w:rPr>
          <w:color w:val="222222"/>
          <w:spacing w:val="-3"/>
        </w:rPr>
        <w:t xml:space="preserve"> </w:t>
      </w:r>
      <w:r>
        <w:rPr>
          <w:color w:val="222222"/>
        </w:rPr>
        <w:t>Reference</w:t>
      </w:r>
      <w:r>
        <w:rPr>
          <w:color w:val="222222"/>
          <w:spacing w:val="-3"/>
        </w:rPr>
        <w:t xml:space="preserve"> </w:t>
      </w:r>
      <w:r>
        <w:rPr>
          <w:color w:val="222222"/>
        </w:rPr>
        <w:t>[22]</w:t>
      </w:r>
      <w:r>
        <w:rPr>
          <w:color w:val="222222"/>
          <w:spacing w:val="-3"/>
        </w:rPr>
        <w:t xml:space="preserve"> </w:t>
      </w:r>
      <w:r>
        <w:rPr>
          <w:color w:val="222222"/>
        </w:rPr>
        <w:t>appears</w:t>
      </w:r>
      <w:r>
        <w:rPr>
          <w:color w:val="222222"/>
          <w:spacing w:val="-3"/>
        </w:rPr>
        <w:t xml:space="preserve"> </w:t>
      </w:r>
      <w:r>
        <w:rPr>
          <w:color w:val="222222"/>
        </w:rPr>
        <w:t>as</w:t>
      </w:r>
      <w:r>
        <w:rPr>
          <w:color w:val="222222"/>
          <w:spacing w:val="-3"/>
        </w:rPr>
        <w:t xml:space="preserve"> </w:t>
      </w:r>
      <w:r>
        <w:rPr>
          <w:color w:val="222222"/>
        </w:rPr>
        <w:t>'submitted'</w:t>
      </w:r>
      <w:r>
        <w:rPr>
          <w:color w:val="222222"/>
          <w:spacing w:val="-3"/>
        </w:rPr>
        <w:t xml:space="preserve"> </w:t>
      </w:r>
      <w:r>
        <w:rPr>
          <w:color w:val="222222"/>
        </w:rPr>
        <w:t>and</w:t>
      </w:r>
      <w:r>
        <w:rPr>
          <w:color w:val="222222"/>
          <w:spacing w:val="-4"/>
        </w:rPr>
        <w:t xml:space="preserve"> </w:t>
      </w:r>
      <w:r>
        <w:rPr>
          <w:color w:val="222222"/>
        </w:rPr>
        <w:t>there's</w:t>
      </w:r>
      <w:r>
        <w:rPr>
          <w:color w:val="222222"/>
          <w:spacing w:val="-3"/>
        </w:rPr>
        <w:t xml:space="preserve"> </w:t>
      </w:r>
      <w:r>
        <w:rPr>
          <w:color w:val="222222"/>
        </w:rPr>
        <w:t>no</w:t>
      </w:r>
      <w:r>
        <w:rPr>
          <w:color w:val="222222"/>
          <w:spacing w:val="-3"/>
        </w:rPr>
        <w:t xml:space="preserve"> </w:t>
      </w:r>
      <w:r>
        <w:rPr>
          <w:color w:val="222222"/>
        </w:rPr>
        <w:t>link</w:t>
      </w:r>
      <w:r>
        <w:rPr>
          <w:color w:val="222222"/>
          <w:spacing w:val="-3"/>
        </w:rPr>
        <w:t xml:space="preserve"> </w:t>
      </w:r>
      <w:r>
        <w:rPr>
          <w:color w:val="222222"/>
        </w:rPr>
        <w:t>to</w:t>
      </w:r>
      <w:r>
        <w:rPr>
          <w:color w:val="222222"/>
          <w:spacing w:val="-3"/>
        </w:rPr>
        <w:t xml:space="preserve"> </w:t>
      </w:r>
      <w:r>
        <w:rPr>
          <w:color w:val="222222"/>
        </w:rPr>
        <w:t>its data. In addition, the GitHub link does not work. These two issues must be corrected.</w:t>
      </w:r>
    </w:p>
    <w:p w14:paraId="45ED8331" w14:textId="77777777" w:rsidR="00E211CC" w:rsidRDefault="00E211CC" w:rsidP="00E211CC">
      <w:pPr>
        <w:spacing w:line="278" w:lineRule="auto"/>
        <w:sectPr w:rsidR="00E211CC" w:rsidSect="00E211CC">
          <w:pgSz w:w="12240" w:h="15840"/>
          <w:pgMar w:top="1360" w:right="580" w:bottom="280" w:left="620" w:header="720" w:footer="720" w:gutter="0"/>
          <w:cols w:space="720"/>
        </w:sectPr>
      </w:pPr>
    </w:p>
    <w:p w14:paraId="43CED2E8" w14:textId="77777777" w:rsidR="00E211CC" w:rsidRDefault="00E211CC" w:rsidP="00E211CC">
      <w:pPr>
        <w:pStyle w:val="BodyText"/>
        <w:spacing w:before="80" w:line="276" w:lineRule="auto"/>
        <w:ind w:right="861"/>
      </w:pPr>
      <w:r>
        <w:rPr>
          <w:color w:val="4A86E8"/>
        </w:rPr>
        <w:lastRenderedPageBreak/>
        <w:t>We</w:t>
      </w:r>
      <w:r>
        <w:rPr>
          <w:color w:val="4A86E8"/>
          <w:spacing w:val="-2"/>
        </w:rPr>
        <w:t xml:space="preserve"> </w:t>
      </w:r>
      <w:r>
        <w:rPr>
          <w:color w:val="4A86E8"/>
        </w:rPr>
        <w:t>apologize</w:t>
      </w:r>
      <w:r>
        <w:rPr>
          <w:color w:val="4A86E8"/>
          <w:spacing w:val="-2"/>
        </w:rPr>
        <w:t xml:space="preserve"> </w:t>
      </w:r>
      <w:r>
        <w:rPr>
          <w:color w:val="4A86E8"/>
        </w:rPr>
        <w:t>that</w:t>
      </w:r>
      <w:r>
        <w:rPr>
          <w:color w:val="4A86E8"/>
          <w:spacing w:val="-2"/>
        </w:rPr>
        <w:t xml:space="preserve"> </w:t>
      </w:r>
      <w:r>
        <w:rPr>
          <w:color w:val="4A86E8"/>
        </w:rPr>
        <w:t>there</w:t>
      </w:r>
      <w:r>
        <w:rPr>
          <w:color w:val="4A86E8"/>
          <w:spacing w:val="-2"/>
        </w:rPr>
        <w:t xml:space="preserve"> </w:t>
      </w:r>
      <w:r>
        <w:rPr>
          <w:color w:val="4A86E8"/>
        </w:rPr>
        <w:t>was</w:t>
      </w:r>
      <w:r>
        <w:rPr>
          <w:color w:val="4A86E8"/>
          <w:spacing w:val="-2"/>
        </w:rPr>
        <w:t xml:space="preserve"> </w:t>
      </w:r>
      <w:r>
        <w:rPr>
          <w:color w:val="4A86E8"/>
        </w:rPr>
        <w:t>a</w:t>
      </w:r>
      <w:r>
        <w:rPr>
          <w:color w:val="4A86E8"/>
          <w:spacing w:val="-2"/>
        </w:rPr>
        <w:t xml:space="preserve"> </w:t>
      </w:r>
      <w:r>
        <w:rPr>
          <w:color w:val="4A86E8"/>
        </w:rPr>
        <w:t>typo</w:t>
      </w:r>
      <w:r>
        <w:rPr>
          <w:color w:val="4A86E8"/>
          <w:spacing w:val="-2"/>
        </w:rPr>
        <w:t xml:space="preserve"> </w:t>
      </w:r>
      <w:r>
        <w:rPr>
          <w:color w:val="4A86E8"/>
        </w:rPr>
        <w:t>in</w:t>
      </w:r>
      <w:r>
        <w:rPr>
          <w:color w:val="4A86E8"/>
          <w:spacing w:val="-2"/>
        </w:rPr>
        <w:t xml:space="preserve"> </w:t>
      </w:r>
      <w:r>
        <w:rPr>
          <w:color w:val="4A86E8"/>
        </w:rPr>
        <w:t>the</w:t>
      </w:r>
      <w:r>
        <w:rPr>
          <w:color w:val="4A86E8"/>
          <w:spacing w:val="-2"/>
        </w:rPr>
        <w:t xml:space="preserve"> </w:t>
      </w:r>
      <w:r>
        <w:rPr>
          <w:color w:val="4A86E8"/>
        </w:rPr>
        <w:t>Github</w:t>
      </w:r>
      <w:r>
        <w:rPr>
          <w:color w:val="4A86E8"/>
          <w:spacing w:val="-2"/>
        </w:rPr>
        <w:t xml:space="preserve"> </w:t>
      </w:r>
      <w:r>
        <w:rPr>
          <w:color w:val="4A86E8"/>
        </w:rPr>
        <w:t>link</w:t>
      </w:r>
      <w:r>
        <w:rPr>
          <w:color w:val="4A86E8"/>
          <w:spacing w:val="-2"/>
        </w:rPr>
        <w:t xml:space="preserve"> </w:t>
      </w:r>
      <w:r>
        <w:rPr>
          <w:color w:val="4A86E8"/>
        </w:rPr>
        <w:t>in</w:t>
      </w:r>
      <w:r>
        <w:rPr>
          <w:color w:val="4A86E8"/>
          <w:spacing w:val="-2"/>
        </w:rPr>
        <w:t xml:space="preserve"> </w:t>
      </w:r>
      <w:r>
        <w:rPr>
          <w:color w:val="4A86E8"/>
        </w:rPr>
        <w:t>our</w:t>
      </w:r>
      <w:r>
        <w:rPr>
          <w:color w:val="4A86E8"/>
          <w:spacing w:val="-2"/>
        </w:rPr>
        <w:t xml:space="preserve"> </w:t>
      </w:r>
      <w:r>
        <w:rPr>
          <w:color w:val="4A86E8"/>
        </w:rPr>
        <w:t>original</w:t>
      </w:r>
      <w:r>
        <w:rPr>
          <w:color w:val="4A86E8"/>
          <w:spacing w:val="-2"/>
        </w:rPr>
        <w:t xml:space="preserve"> </w:t>
      </w:r>
      <w:r>
        <w:rPr>
          <w:color w:val="4A86E8"/>
        </w:rPr>
        <w:t>manuscript.</w:t>
      </w:r>
      <w:r>
        <w:rPr>
          <w:color w:val="4A86E8"/>
          <w:spacing w:val="-2"/>
        </w:rPr>
        <w:t xml:space="preserve"> </w:t>
      </w:r>
      <w:r>
        <w:rPr>
          <w:color w:val="4A86E8"/>
        </w:rPr>
        <w:t>We</w:t>
      </w:r>
      <w:r>
        <w:rPr>
          <w:color w:val="4A86E8"/>
          <w:spacing w:val="-2"/>
        </w:rPr>
        <w:t xml:space="preserve"> </w:t>
      </w:r>
      <w:r>
        <w:rPr>
          <w:color w:val="4A86E8"/>
        </w:rPr>
        <w:t>have</w:t>
      </w:r>
      <w:r>
        <w:rPr>
          <w:color w:val="4A86E8"/>
          <w:spacing w:val="-2"/>
        </w:rPr>
        <w:t xml:space="preserve"> </w:t>
      </w:r>
      <w:r>
        <w:rPr>
          <w:color w:val="4A86E8"/>
        </w:rPr>
        <w:t xml:space="preserve">fixed this error, and the Github can be accessed here: </w:t>
      </w:r>
      <w:r>
        <w:rPr>
          <w:color w:val="1155CC"/>
          <w:u w:val="single" w:color="1155CC"/>
        </w:rPr>
        <w:t>https://github.com/ni-</w:t>
      </w:r>
      <w:r>
        <w:rPr>
          <w:color w:val="1155CC"/>
        </w:rPr>
        <w:t xml:space="preserve"> </w:t>
      </w:r>
      <w:r>
        <w:rPr>
          <w:color w:val="1155CC"/>
          <w:u w:val="single" w:color="1155CC"/>
        </w:rPr>
        <w:t>lab/CellTypeSpecificAccessibilityPrediction</w:t>
      </w:r>
      <w:r>
        <w:rPr>
          <w:color w:val="4A86E8"/>
        </w:rPr>
        <w:t>. The data from reference [22] have also been deposited</w:t>
      </w:r>
      <w:r>
        <w:rPr>
          <w:color w:val="4A86E8"/>
          <w:spacing w:val="-2"/>
        </w:rPr>
        <w:t xml:space="preserve"> </w:t>
      </w:r>
      <w:r>
        <w:rPr>
          <w:color w:val="4A86E8"/>
        </w:rPr>
        <w:t>to</w:t>
      </w:r>
      <w:r>
        <w:rPr>
          <w:color w:val="4A86E8"/>
          <w:spacing w:val="-2"/>
        </w:rPr>
        <w:t xml:space="preserve"> </w:t>
      </w:r>
      <w:r>
        <w:rPr>
          <w:color w:val="4A86E8"/>
        </w:rPr>
        <w:t>GEO;</w:t>
      </w:r>
      <w:r>
        <w:rPr>
          <w:color w:val="4A86E8"/>
          <w:spacing w:val="-2"/>
        </w:rPr>
        <w:t xml:space="preserve"> </w:t>
      </w:r>
      <w:r>
        <w:rPr>
          <w:color w:val="4A86E8"/>
        </w:rPr>
        <w:t>we</w:t>
      </w:r>
      <w:r>
        <w:rPr>
          <w:color w:val="4A86E8"/>
          <w:spacing w:val="-2"/>
        </w:rPr>
        <w:t xml:space="preserve"> </w:t>
      </w:r>
      <w:r>
        <w:rPr>
          <w:color w:val="4A86E8"/>
        </w:rPr>
        <w:t>will</w:t>
      </w:r>
      <w:r>
        <w:rPr>
          <w:color w:val="4A86E8"/>
          <w:spacing w:val="-2"/>
        </w:rPr>
        <w:t xml:space="preserve"> </w:t>
      </w:r>
      <w:r>
        <w:rPr>
          <w:color w:val="4A86E8"/>
        </w:rPr>
        <w:t>share</w:t>
      </w:r>
      <w:r>
        <w:rPr>
          <w:color w:val="4A86E8"/>
          <w:spacing w:val="-2"/>
        </w:rPr>
        <w:t xml:space="preserve"> </w:t>
      </w:r>
      <w:r>
        <w:rPr>
          <w:color w:val="4A86E8"/>
        </w:rPr>
        <w:t>the</w:t>
      </w:r>
      <w:r>
        <w:rPr>
          <w:color w:val="4A86E8"/>
          <w:spacing w:val="-2"/>
        </w:rPr>
        <w:t xml:space="preserve"> </w:t>
      </w:r>
      <w:r>
        <w:rPr>
          <w:color w:val="4A86E8"/>
        </w:rPr>
        <w:t>link</w:t>
      </w:r>
      <w:r>
        <w:rPr>
          <w:color w:val="4A86E8"/>
          <w:spacing w:val="-2"/>
        </w:rPr>
        <w:t xml:space="preserve"> </w:t>
      </w:r>
      <w:r>
        <w:rPr>
          <w:color w:val="4A86E8"/>
        </w:rPr>
        <w:t>to</w:t>
      </w:r>
      <w:r>
        <w:rPr>
          <w:color w:val="4A86E8"/>
          <w:spacing w:val="-2"/>
        </w:rPr>
        <w:t xml:space="preserve"> </w:t>
      </w:r>
      <w:r>
        <w:rPr>
          <w:color w:val="4A86E8"/>
        </w:rPr>
        <w:t>the</w:t>
      </w:r>
      <w:r>
        <w:rPr>
          <w:color w:val="4A86E8"/>
          <w:spacing w:val="-2"/>
        </w:rPr>
        <w:t xml:space="preserve"> </w:t>
      </w:r>
      <w:r>
        <w:rPr>
          <w:color w:val="4A86E8"/>
        </w:rPr>
        <w:t>data</w:t>
      </w:r>
      <w:r>
        <w:rPr>
          <w:color w:val="4A86E8"/>
          <w:spacing w:val="-2"/>
        </w:rPr>
        <w:t xml:space="preserve"> </w:t>
      </w:r>
      <w:r>
        <w:rPr>
          <w:color w:val="4A86E8"/>
        </w:rPr>
        <w:t>on</w:t>
      </w:r>
      <w:r>
        <w:rPr>
          <w:color w:val="4A86E8"/>
          <w:spacing w:val="-2"/>
        </w:rPr>
        <w:t xml:space="preserve"> </w:t>
      </w:r>
      <w:r>
        <w:rPr>
          <w:color w:val="4A86E8"/>
        </w:rPr>
        <w:t>GEO</w:t>
      </w:r>
      <w:r>
        <w:rPr>
          <w:color w:val="4A86E8"/>
          <w:spacing w:val="-2"/>
        </w:rPr>
        <w:t xml:space="preserve"> </w:t>
      </w:r>
      <w:r>
        <w:rPr>
          <w:color w:val="4A86E8"/>
        </w:rPr>
        <w:t>as</w:t>
      </w:r>
      <w:r>
        <w:rPr>
          <w:color w:val="4A86E8"/>
          <w:spacing w:val="-2"/>
        </w:rPr>
        <w:t xml:space="preserve"> </w:t>
      </w:r>
      <w:r>
        <w:rPr>
          <w:color w:val="4A86E8"/>
        </w:rPr>
        <w:t>soon</w:t>
      </w:r>
      <w:r>
        <w:rPr>
          <w:color w:val="4A86E8"/>
          <w:spacing w:val="-2"/>
        </w:rPr>
        <w:t xml:space="preserve"> </w:t>
      </w:r>
      <w:r>
        <w:rPr>
          <w:color w:val="4A86E8"/>
        </w:rPr>
        <w:t>as</w:t>
      </w:r>
      <w:r>
        <w:rPr>
          <w:color w:val="4A86E8"/>
          <w:spacing w:val="-2"/>
        </w:rPr>
        <w:t xml:space="preserve"> </w:t>
      </w:r>
      <w:r>
        <w:rPr>
          <w:color w:val="4A86E8"/>
        </w:rPr>
        <w:t>it</w:t>
      </w:r>
      <w:r>
        <w:rPr>
          <w:color w:val="4A86E8"/>
          <w:spacing w:val="-2"/>
        </w:rPr>
        <w:t xml:space="preserve"> </w:t>
      </w:r>
      <w:r>
        <w:rPr>
          <w:color w:val="4A86E8"/>
        </w:rPr>
        <w:t>is</w:t>
      </w:r>
      <w:r>
        <w:rPr>
          <w:color w:val="4A86E8"/>
          <w:spacing w:val="-2"/>
        </w:rPr>
        <w:t xml:space="preserve"> </w:t>
      </w:r>
      <w:r>
        <w:rPr>
          <w:color w:val="4A86E8"/>
        </w:rPr>
        <w:t>available</w:t>
      </w:r>
      <w:r>
        <w:rPr>
          <w:color w:val="4A86E8"/>
          <w:spacing w:val="-2"/>
        </w:rPr>
        <w:t xml:space="preserve"> </w:t>
      </w:r>
      <w:r>
        <w:rPr>
          <w:color w:val="4A86E8"/>
        </w:rPr>
        <w:t>(within</w:t>
      </w:r>
      <w:r>
        <w:rPr>
          <w:color w:val="4A86E8"/>
          <w:spacing w:val="-2"/>
        </w:rPr>
        <w:t xml:space="preserve"> </w:t>
      </w:r>
      <w:r>
        <w:rPr>
          <w:color w:val="4A86E8"/>
        </w:rPr>
        <w:t>5 days</w:t>
      </w:r>
      <w:r>
        <w:rPr>
          <w:color w:val="4A86E8"/>
          <w:spacing w:val="-3"/>
        </w:rPr>
        <w:t xml:space="preserve"> </w:t>
      </w:r>
      <w:r>
        <w:rPr>
          <w:color w:val="4A86E8"/>
        </w:rPr>
        <w:t>of</w:t>
      </w:r>
      <w:r>
        <w:rPr>
          <w:color w:val="4A86E8"/>
          <w:spacing w:val="-3"/>
        </w:rPr>
        <w:t xml:space="preserve"> </w:t>
      </w:r>
      <w:r>
        <w:rPr>
          <w:color w:val="4A86E8"/>
        </w:rPr>
        <w:t>GEO</w:t>
      </w:r>
      <w:r>
        <w:rPr>
          <w:color w:val="4A86E8"/>
          <w:spacing w:val="-3"/>
        </w:rPr>
        <w:t xml:space="preserve"> </w:t>
      </w:r>
      <w:r>
        <w:rPr>
          <w:color w:val="4A86E8"/>
        </w:rPr>
        <w:t>submission).</w:t>
      </w:r>
      <w:r>
        <w:rPr>
          <w:color w:val="4A86E8"/>
          <w:spacing w:val="-3"/>
        </w:rPr>
        <w:t xml:space="preserve"> </w:t>
      </w:r>
      <w:r>
        <w:rPr>
          <w:color w:val="4A86E8"/>
        </w:rPr>
        <w:t>In</w:t>
      </w:r>
      <w:r>
        <w:rPr>
          <w:color w:val="4A86E8"/>
          <w:spacing w:val="-3"/>
        </w:rPr>
        <w:t xml:space="preserve"> </w:t>
      </w:r>
      <w:r>
        <w:rPr>
          <w:color w:val="4A86E8"/>
        </w:rPr>
        <w:t>addition,</w:t>
      </w:r>
      <w:r>
        <w:rPr>
          <w:color w:val="4A86E8"/>
          <w:spacing w:val="-3"/>
        </w:rPr>
        <w:t xml:space="preserve"> </w:t>
      </w:r>
      <w:r>
        <w:rPr>
          <w:color w:val="4A86E8"/>
        </w:rPr>
        <w:t>reference</w:t>
      </w:r>
      <w:r>
        <w:rPr>
          <w:color w:val="4A86E8"/>
          <w:spacing w:val="-3"/>
        </w:rPr>
        <w:t xml:space="preserve"> </w:t>
      </w:r>
      <w:r>
        <w:rPr>
          <w:color w:val="4A86E8"/>
        </w:rPr>
        <w:t>[22]</w:t>
      </w:r>
      <w:r>
        <w:rPr>
          <w:color w:val="4A86E8"/>
          <w:spacing w:val="-3"/>
        </w:rPr>
        <w:t xml:space="preserve"> </w:t>
      </w:r>
      <w:r>
        <w:rPr>
          <w:color w:val="4A86E8"/>
        </w:rPr>
        <w:t>is</w:t>
      </w:r>
      <w:r>
        <w:rPr>
          <w:color w:val="4A86E8"/>
          <w:spacing w:val="-3"/>
        </w:rPr>
        <w:t xml:space="preserve"> </w:t>
      </w:r>
      <w:r>
        <w:rPr>
          <w:color w:val="4A86E8"/>
        </w:rPr>
        <w:t>in</w:t>
      </w:r>
      <w:r>
        <w:rPr>
          <w:color w:val="4A86E8"/>
          <w:spacing w:val="-3"/>
        </w:rPr>
        <w:t xml:space="preserve"> </w:t>
      </w:r>
      <w:r>
        <w:rPr>
          <w:color w:val="4A86E8"/>
        </w:rPr>
        <w:t>the</w:t>
      </w:r>
      <w:r>
        <w:rPr>
          <w:color w:val="4A86E8"/>
          <w:spacing w:val="-3"/>
        </w:rPr>
        <w:t xml:space="preserve"> </w:t>
      </w:r>
      <w:r>
        <w:rPr>
          <w:color w:val="4A86E8"/>
        </w:rPr>
        <w:t>final</w:t>
      </w:r>
      <w:r>
        <w:rPr>
          <w:color w:val="4A86E8"/>
          <w:spacing w:val="-3"/>
        </w:rPr>
        <w:t xml:space="preserve"> </w:t>
      </w:r>
      <w:r>
        <w:rPr>
          <w:color w:val="4A86E8"/>
        </w:rPr>
        <w:t>stages</w:t>
      </w:r>
      <w:r>
        <w:rPr>
          <w:color w:val="4A86E8"/>
          <w:spacing w:val="-3"/>
        </w:rPr>
        <w:t xml:space="preserve"> </w:t>
      </w:r>
      <w:r>
        <w:rPr>
          <w:color w:val="4A86E8"/>
        </w:rPr>
        <w:t>of</w:t>
      </w:r>
      <w:r>
        <w:rPr>
          <w:color w:val="4A86E8"/>
          <w:spacing w:val="-3"/>
        </w:rPr>
        <w:t xml:space="preserve"> </w:t>
      </w:r>
      <w:r>
        <w:rPr>
          <w:color w:val="4A86E8"/>
        </w:rPr>
        <w:t>review</w:t>
      </w:r>
      <w:r>
        <w:rPr>
          <w:color w:val="4A86E8"/>
          <w:spacing w:val="-3"/>
        </w:rPr>
        <w:t xml:space="preserve"> </w:t>
      </w:r>
      <w:r>
        <w:rPr>
          <w:color w:val="4A86E8"/>
        </w:rPr>
        <w:t>and</w:t>
      </w:r>
      <w:r>
        <w:rPr>
          <w:color w:val="4A86E8"/>
          <w:spacing w:val="-3"/>
        </w:rPr>
        <w:t xml:space="preserve"> </w:t>
      </w:r>
      <w:r>
        <w:rPr>
          <w:color w:val="4A86E8"/>
        </w:rPr>
        <w:t>we</w:t>
      </w:r>
      <w:r>
        <w:rPr>
          <w:color w:val="4A86E8"/>
          <w:spacing w:val="-3"/>
        </w:rPr>
        <w:t xml:space="preserve"> </w:t>
      </w:r>
      <w:r>
        <w:rPr>
          <w:color w:val="4A86E8"/>
        </w:rPr>
        <w:t>will ensure that it is publicly available before publication of this manuscript.</w:t>
      </w:r>
    </w:p>
    <w:p w14:paraId="707DDB88" w14:textId="77777777" w:rsidR="00E211CC" w:rsidRDefault="00E211CC" w:rsidP="00E211CC">
      <w:pPr>
        <w:pStyle w:val="BodyText"/>
        <w:spacing w:before="36"/>
        <w:ind w:left="0"/>
      </w:pPr>
    </w:p>
    <w:p w14:paraId="275BD4AA" w14:textId="77777777" w:rsidR="00E211CC" w:rsidRDefault="00E211CC" w:rsidP="00E211CC">
      <w:pPr>
        <w:pStyle w:val="ListParagraph"/>
        <w:widowControl w:val="0"/>
        <w:numPr>
          <w:ilvl w:val="0"/>
          <w:numId w:val="6"/>
        </w:numPr>
        <w:tabs>
          <w:tab w:val="left" w:pos="1370"/>
        </w:tabs>
        <w:autoSpaceDE w:val="0"/>
        <w:autoSpaceDN w:val="0"/>
        <w:spacing w:after="0" w:line="276" w:lineRule="auto"/>
        <w:ind w:right="995" w:firstLine="0"/>
        <w:contextualSpacing w:val="0"/>
      </w:pPr>
      <w:r>
        <w:rPr>
          <w:color w:val="222222"/>
        </w:rPr>
        <w:t>It would be interesting to see an evaluation and effect of the model choices and training options</w:t>
      </w:r>
      <w:r>
        <w:rPr>
          <w:color w:val="222222"/>
          <w:spacing w:val="-3"/>
        </w:rPr>
        <w:t xml:space="preserve"> </w:t>
      </w:r>
      <w:r>
        <w:rPr>
          <w:color w:val="222222"/>
        </w:rPr>
        <w:t>on</w:t>
      </w:r>
      <w:r>
        <w:rPr>
          <w:color w:val="222222"/>
          <w:spacing w:val="-3"/>
        </w:rPr>
        <w:t xml:space="preserve"> </w:t>
      </w:r>
      <w:r>
        <w:rPr>
          <w:color w:val="222222"/>
        </w:rPr>
        <w:t>the</w:t>
      </w:r>
      <w:r>
        <w:rPr>
          <w:color w:val="222222"/>
          <w:spacing w:val="-3"/>
        </w:rPr>
        <w:t xml:space="preserve"> </w:t>
      </w:r>
      <w:r>
        <w:rPr>
          <w:color w:val="222222"/>
        </w:rPr>
        <w:t>interpretability</w:t>
      </w:r>
      <w:r>
        <w:rPr>
          <w:color w:val="222222"/>
          <w:spacing w:val="-3"/>
        </w:rPr>
        <w:t xml:space="preserve"> </w:t>
      </w:r>
      <w:r>
        <w:rPr>
          <w:color w:val="222222"/>
        </w:rPr>
        <w:t>and</w:t>
      </w:r>
      <w:r>
        <w:rPr>
          <w:color w:val="222222"/>
          <w:spacing w:val="-3"/>
        </w:rPr>
        <w:t xml:space="preserve"> </w:t>
      </w:r>
      <w:r>
        <w:rPr>
          <w:color w:val="222222"/>
        </w:rPr>
        <w:t>not</w:t>
      </w:r>
      <w:r>
        <w:rPr>
          <w:color w:val="222222"/>
          <w:spacing w:val="-3"/>
        </w:rPr>
        <w:t xml:space="preserve"> </w:t>
      </w:r>
      <w:r>
        <w:rPr>
          <w:color w:val="222222"/>
        </w:rPr>
        <w:t>just</w:t>
      </w:r>
      <w:r>
        <w:rPr>
          <w:color w:val="222222"/>
          <w:spacing w:val="-3"/>
        </w:rPr>
        <w:t xml:space="preserve"> </w:t>
      </w:r>
      <w:r>
        <w:rPr>
          <w:color w:val="222222"/>
        </w:rPr>
        <w:t>predictability,</w:t>
      </w:r>
      <w:r>
        <w:rPr>
          <w:color w:val="222222"/>
          <w:spacing w:val="-3"/>
        </w:rPr>
        <w:t xml:space="preserve"> </w:t>
      </w:r>
      <w:r>
        <w:rPr>
          <w:color w:val="222222"/>
        </w:rPr>
        <w:t>as</w:t>
      </w:r>
      <w:r>
        <w:rPr>
          <w:color w:val="222222"/>
          <w:spacing w:val="-3"/>
        </w:rPr>
        <w:t xml:space="preserve"> </w:t>
      </w:r>
      <w:r>
        <w:rPr>
          <w:color w:val="222222"/>
        </w:rPr>
        <w:t>interpretability</w:t>
      </w:r>
      <w:r>
        <w:rPr>
          <w:color w:val="222222"/>
          <w:spacing w:val="-3"/>
        </w:rPr>
        <w:t xml:space="preserve"> </w:t>
      </w:r>
      <w:r>
        <w:rPr>
          <w:color w:val="222222"/>
        </w:rPr>
        <w:t>is</w:t>
      </w:r>
      <w:r>
        <w:rPr>
          <w:color w:val="222222"/>
          <w:spacing w:val="-3"/>
        </w:rPr>
        <w:t xml:space="preserve"> </w:t>
      </w:r>
      <w:r>
        <w:rPr>
          <w:color w:val="222222"/>
        </w:rPr>
        <w:t>a</w:t>
      </w:r>
      <w:r>
        <w:rPr>
          <w:color w:val="222222"/>
          <w:spacing w:val="-3"/>
        </w:rPr>
        <w:t xml:space="preserve"> </w:t>
      </w:r>
      <w:r>
        <w:rPr>
          <w:color w:val="222222"/>
        </w:rPr>
        <w:t>fundamental</w:t>
      </w:r>
      <w:r>
        <w:rPr>
          <w:color w:val="222222"/>
          <w:spacing w:val="-3"/>
        </w:rPr>
        <w:t xml:space="preserve"> </w:t>
      </w:r>
      <w:r>
        <w:rPr>
          <w:color w:val="222222"/>
        </w:rPr>
        <w:t>task in genomics and bioinformatics (e.g., Figure 4c in Enformer paper).</w:t>
      </w:r>
    </w:p>
    <w:p w14:paraId="08FA32BC" w14:textId="77777777" w:rsidR="00E211CC" w:rsidRDefault="00E211CC" w:rsidP="00E211CC">
      <w:pPr>
        <w:pStyle w:val="BodyText"/>
        <w:spacing w:before="41"/>
        <w:ind w:left="0"/>
      </w:pPr>
    </w:p>
    <w:p w14:paraId="017919E3" w14:textId="77777777" w:rsidR="00E211CC" w:rsidRDefault="00E211CC" w:rsidP="00E211CC">
      <w:pPr>
        <w:pStyle w:val="BodyText"/>
        <w:spacing w:line="276" w:lineRule="auto"/>
        <w:ind w:right="1024"/>
      </w:pPr>
      <w:r>
        <w:rPr>
          <w:color w:val="4A86E8"/>
        </w:rPr>
        <w:t>We agree that interpretability is an important task and use case for genomic deep learning models. We have performed two additional analyses to illustrate the effect of single-task vs. multi-task</w:t>
      </w:r>
      <w:r>
        <w:rPr>
          <w:color w:val="4A86E8"/>
          <w:spacing w:val="-4"/>
        </w:rPr>
        <w:t xml:space="preserve"> </w:t>
      </w:r>
      <w:r>
        <w:rPr>
          <w:color w:val="4A86E8"/>
        </w:rPr>
        <w:t>training</w:t>
      </w:r>
      <w:r>
        <w:rPr>
          <w:color w:val="4A86E8"/>
          <w:spacing w:val="-4"/>
        </w:rPr>
        <w:t xml:space="preserve"> </w:t>
      </w:r>
      <w:r>
        <w:rPr>
          <w:color w:val="4A86E8"/>
        </w:rPr>
        <w:t>on</w:t>
      </w:r>
      <w:r>
        <w:rPr>
          <w:color w:val="4A86E8"/>
          <w:spacing w:val="-4"/>
        </w:rPr>
        <w:t xml:space="preserve"> </w:t>
      </w:r>
      <w:r>
        <w:rPr>
          <w:color w:val="4A86E8"/>
        </w:rPr>
        <w:t>interpretability:</w:t>
      </w:r>
      <w:r>
        <w:rPr>
          <w:color w:val="4A86E8"/>
          <w:spacing w:val="-4"/>
        </w:rPr>
        <w:t xml:space="preserve"> </w:t>
      </w:r>
      <w:r>
        <w:rPr>
          <w:color w:val="4A86E8"/>
        </w:rPr>
        <w:t>a</w:t>
      </w:r>
      <w:r>
        <w:rPr>
          <w:color w:val="4A86E8"/>
          <w:spacing w:val="-4"/>
        </w:rPr>
        <w:t xml:space="preserve"> </w:t>
      </w:r>
      <w:r>
        <w:rPr>
          <w:color w:val="4A86E8"/>
        </w:rPr>
        <w:t>global</w:t>
      </w:r>
      <w:r>
        <w:rPr>
          <w:color w:val="4A86E8"/>
          <w:spacing w:val="-4"/>
        </w:rPr>
        <w:t xml:space="preserve"> </w:t>
      </w:r>
      <w:r>
        <w:rPr>
          <w:color w:val="4A86E8"/>
        </w:rPr>
        <w:t>interpretability</w:t>
      </w:r>
      <w:r>
        <w:rPr>
          <w:color w:val="4A86E8"/>
          <w:spacing w:val="-4"/>
        </w:rPr>
        <w:t xml:space="preserve"> </w:t>
      </w:r>
      <w:r>
        <w:rPr>
          <w:color w:val="4A86E8"/>
        </w:rPr>
        <w:t>analysis</w:t>
      </w:r>
      <w:r>
        <w:rPr>
          <w:color w:val="4A86E8"/>
          <w:spacing w:val="-4"/>
        </w:rPr>
        <w:t xml:space="preserve"> </w:t>
      </w:r>
      <w:r>
        <w:rPr>
          <w:color w:val="4A86E8"/>
        </w:rPr>
        <w:t>and</w:t>
      </w:r>
      <w:r>
        <w:rPr>
          <w:color w:val="4A86E8"/>
          <w:spacing w:val="-4"/>
        </w:rPr>
        <w:t xml:space="preserve"> </w:t>
      </w:r>
      <w:r>
        <w:rPr>
          <w:color w:val="4A86E8"/>
        </w:rPr>
        <w:t>a</w:t>
      </w:r>
      <w:r>
        <w:rPr>
          <w:color w:val="4A86E8"/>
          <w:spacing w:val="-4"/>
        </w:rPr>
        <w:t xml:space="preserve"> </w:t>
      </w:r>
      <w:r>
        <w:rPr>
          <w:color w:val="4A86E8"/>
        </w:rPr>
        <w:t>local</w:t>
      </w:r>
      <w:r>
        <w:rPr>
          <w:color w:val="4A86E8"/>
          <w:spacing w:val="-4"/>
        </w:rPr>
        <w:t xml:space="preserve"> </w:t>
      </w:r>
      <w:r>
        <w:rPr>
          <w:color w:val="4A86E8"/>
        </w:rPr>
        <w:t>interpretability analysis, which we have incorporated into the paper in Supplementary Figures 16 and 17.</w:t>
      </w:r>
    </w:p>
    <w:p w14:paraId="1DE2C6CD" w14:textId="77777777" w:rsidR="00E211CC" w:rsidRDefault="00E211CC" w:rsidP="00E211CC">
      <w:pPr>
        <w:pStyle w:val="BodyText"/>
        <w:spacing w:before="38"/>
        <w:ind w:left="0"/>
      </w:pPr>
    </w:p>
    <w:p w14:paraId="1FF155D5" w14:textId="77777777" w:rsidR="00E211CC" w:rsidRDefault="00E211CC" w:rsidP="00E211CC">
      <w:pPr>
        <w:pStyle w:val="BodyText"/>
      </w:pPr>
      <w:r>
        <w:rPr>
          <w:color w:val="4A86E8"/>
          <w:u w:val="single" w:color="4A86E8"/>
        </w:rPr>
        <w:t>Global</w:t>
      </w:r>
      <w:r>
        <w:rPr>
          <w:color w:val="4A86E8"/>
          <w:spacing w:val="-11"/>
          <w:u w:val="single" w:color="4A86E8"/>
        </w:rPr>
        <w:t xml:space="preserve"> </w:t>
      </w:r>
      <w:r>
        <w:rPr>
          <w:color w:val="4A86E8"/>
          <w:u w:val="single" w:color="4A86E8"/>
        </w:rPr>
        <w:t>interpretability</w:t>
      </w:r>
      <w:r>
        <w:rPr>
          <w:color w:val="4A86E8"/>
          <w:spacing w:val="-11"/>
          <w:u w:val="single" w:color="4A86E8"/>
        </w:rPr>
        <w:t xml:space="preserve"> </w:t>
      </w:r>
      <w:r>
        <w:rPr>
          <w:color w:val="4A86E8"/>
          <w:spacing w:val="-2"/>
          <w:u w:val="single" w:color="4A86E8"/>
        </w:rPr>
        <w:t>analysis</w:t>
      </w:r>
    </w:p>
    <w:p w14:paraId="08768391" w14:textId="77777777" w:rsidR="00E211CC" w:rsidRDefault="00E211CC" w:rsidP="00E211CC">
      <w:pPr>
        <w:pStyle w:val="BodyText"/>
        <w:spacing w:before="35" w:line="276" w:lineRule="auto"/>
        <w:ind w:right="987"/>
      </w:pPr>
      <w:r>
        <w:rPr>
          <w:color w:val="4A86E8"/>
        </w:rPr>
        <w:t>We reasoned that differences in cell-type specific prediction between models are likely to be driven by differences in their ability to recognize cell-type specific TF motifs and to correctly associate</w:t>
      </w:r>
      <w:r>
        <w:rPr>
          <w:color w:val="4A86E8"/>
          <w:spacing w:val="-2"/>
        </w:rPr>
        <w:t xml:space="preserve"> </w:t>
      </w:r>
      <w:r>
        <w:rPr>
          <w:color w:val="4A86E8"/>
        </w:rPr>
        <w:t>these</w:t>
      </w:r>
      <w:r>
        <w:rPr>
          <w:color w:val="4A86E8"/>
          <w:spacing w:val="-2"/>
        </w:rPr>
        <w:t xml:space="preserve"> </w:t>
      </w:r>
      <w:r>
        <w:rPr>
          <w:color w:val="4A86E8"/>
        </w:rPr>
        <w:t>motifs</w:t>
      </w:r>
      <w:r>
        <w:rPr>
          <w:color w:val="4A86E8"/>
          <w:spacing w:val="-2"/>
        </w:rPr>
        <w:t xml:space="preserve"> </w:t>
      </w:r>
      <w:r>
        <w:rPr>
          <w:color w:val="4A86E8"/>
        </w:rPr>
        <w:t>with</w:t>
      </w:r>
      <w:r>
        <w:rPr>
          <w:color w:val="4A86E8"/>
          <w:spacing w:val="-2"/>
        </w:rPr>
        <w:t xml:space="preserve"> </w:t>
      </w:r>
      <w:r>
        <w:rPr>
          <w:color w:val="4A86E8"/>
        </w:rPr>
        <w:t>accessibility</w:t>
      </w:r>
      <w:r>
        <w:rPr>
          <w:color w:val="4A86E8"/>
          <w:spacing w:val="-2"/>
        </w:rPr>
        <w:t xml:space="preserve"> </w:t>
      </w:r>
      <w:r>
        <w:rPr>
          <w:color w:val="4A86E8"/>
        </w:rPr>
        <w:t>in</w:t>
      </w:r>
      <w:r>
        <w:rPr>
          <w:color w:val="4A86E8"/>
          <w:spacing w:val="-2"/>
        </w:rPr>
        <w:t xml:space="preserve"> </w:t>
      </w:r>
      <w:r>
        <w:rPr>
          <w:color w:val="4A86E8"/>
        </w:rPr>
        <w:t>particular</w:t>
      </w:r>
      <w:r>
        <w:rPr>
          <w:color w:val="4A86E8"/>
          <w:spacing w:val="-2"/>
        </w:rPr>
        <w:t xml:space="preserve"> </w:t>
      </w:r>
      <w:r>
        <w:rPr>
          <w:color w:val="4A86E8"/>
        </w:rPr>
        <w:t>cell</w:t>
      </w:r>
      <w:r>
        <w:rPr>
          <w:color w:val="4A86E8"/>
          <w:spacing w:val="-2"/>
        </w:rPr>
        <w:t xml:space="preserve"> </w:t>
      </w:r>
      <w:r>
        <w:rPr>
          <w:color w:val="4A86E8"/>
        </w:rPr>
        <w:t>types.</w:t>
      </w:r>
      <w:r>
        <w:rPr>
          <w:color w:val="4A86E8"/>
          <w:spacing w:val="-2"/>
        </w:rPr>
        <w:t xml:space="preserve"> </w:t>
      </w:r>
      <w:r>
        <w:rPr>
          <w:color w:val="4A86E8"/>
        </w:rPr>
        <w:t>To</w:t>
      </w:r>
      <w:r>
        <w:rPr>
          <w:color w:val="4A86E8"/>
          <w:spacing w:val="-2"/>
        </w:rPr>
        <w:t xml:space="preserve"> </w:t>
      </w:r>
      <w:r>
        <w:rPr>
          <w:color w:val="4A86E8"/>
        </w:rPr>
        <w:t>assess</w:t>
      </w:r>
      <w:r>
        <w:rPr>
          <w:color w:val="4A86E8"/>
          <w:spacing w:val="-2"/>
        </w:rPr>
        <w:t xml:space="preserve"> </w:t>
      </w:r>
      <w:r>
        <w:rPr>
          <w:color w:val="4A86E8"/>
        </w:rPr>
        <w:t>this,</w:t>
      </w:r>
      <w:r>
        <w:rPr>
          <w:color w:val="4A86E8"/>
          <w:spacing w:val="-2"/>
        </w:rPr>
        <w:t xml:space="preserve"> </w:t>
      </w:r>
      <w:r>
        <w:rPr>
          <w:color w:val="4A86E8"/>
        </w:rPr>
        <w:t>we</w:t>
      </w:r>
      <w:r>
        <w:rPr>
          <w:color w:val="4A86E8"/>
          <w:spacing w:val="-2"/>
        </w:rPr>
        <w:t xml:space="preserve"> </w:t>
      </w:r>
      <w:r>
        <w:rPr>
          <w:color w:val="4A86E8"/>
        </w:rPr>
        <w:t>performed</w:t>
      </w:r>
      <w:r>
        <w:rPr>
          <w:color w:val="4A86E8"/>
          <w:spacing w:val="-2"/>
        </w:rPr>
        <w:t xml:space="preserve"> </w:t>
      </w:r>
      <w:r>
        <w:rPr>
          <w:color w:val="4A86E8"/>
        </w:rPr>
        <w:t>a motif insertion analysis using both the single-task and multi-task models (Fig. S16a,b). We computed TF activity scores for each TF in each cell type and model by comparing predicted activity</w:t>
      </w:r>
      <w:r>
        <w:rPr>
          <w:color w:val="4A86E8"/>
          <w:spacing w:val="-3"/>
        </w:rPr>
        <w:t xml:space="preserve"> </w:t>
      </w:r>
      <w:r>
        <w:rPr>
          <w:color w:val="4A86E8"/>
        </w:rPr>
        <w:t>for</w:t>
      </w:r>
      <w:r>
        <w:rPr>
          <w:color w:val="4A86E8"/>
          <w:spacing w:val="-3"/>
        </w:rPr>
        <w:t xml:space="preserve"> </w:t>
      </w:r>
      <w:r>
        <w:rPr>
          <w:color w:val="4A86E8"/>
        </w:rPr>
        <w:t>a</w:t>
      </w:r>
      <w:r>
        <w:rPr>
          <w:color w:val="4A86E8"/>
          <w:spacing w:val="-3"/>
        </w:rPr>
        <w:t xml:space="preserve"> </w:t>
      </w:r>
      <w:r>
        <w:rPr>
          <w:color w:val="4A86E8"/>
        </w:rPr>
        <w:t>set</w:t>
      </w:r>
      <w:r>
        <w:rPr>
          <w:color w:val="4A86E8"/>
          <w:spacing w:val="-3"/>
        </w:rPr>
        <w:t xml:space="preserve"> </w:t>
      </w:r>
      <w:r>
        <w:rPr>
          <w:color w:val="4A86E8"/>
        </w:rPr>
        <w:t>of</w:t>
      </w:r>
      <w:r>
        <w:rPr>
          <w:color w:val="4A86E8"/>
          <w:spacing w:val="-3"/>
        </w:rPr>
        <w:t xml:space="preserve"> </w:t>
      </w:r>
      <w:r>
        <w:rPr>
          <w:color w:val="4A86E8"/>
        </w:rPr>
        <w:t>dinucleotide</w:t>
      </w:r>
      <w:r>
        <w:rPr>
          <w:color w:val="4A86E8"/>
          <w:spacing w:val="-3"/>
        </w:rPr>
        <w:t xml:space="preserve"> </w:t>
      </w:r>
      <w:r>
        <w:rPr>
          <w:color w:val="4A86E8"/>
        </w:rPr>
        <w:t>shuffled</w:t>
      </w:r>
      <w:r>
        <w:rPr>
          <w:color w:val="4A86E8"/>
          <w:spacing w:val="-3"/>
        </w:rPr>
        <w:t xml:space="preserve"> </w:t>
      </w:r>
      <w:r>
        <w:rPr>
          <w:color w:val="4A86E8"/>
        </w:rPr>
        <w:t>background</w:t>
      </w:r>
      <w:r>
        <w:rPr>
          <w:color w:val="4A86E8"/>
          <w:spacing w:val="-3"/>
        </w:rPr>
        <w:t xml:space="preserve"> </w:t>
      </w:r>
      <w:r>
        <w:rPr>
          <w:color w:val="4A86E8"/>
        </w:rPr>
        <w:t>sequences</w:t>
      </w:r>
      <w:r>
        <w:rPr>
          <w:color w:val="4A86E8"/>
          <w:spacing w:val="-3"/>
        </w:rPr>
        <w:t xml:space="preserve"> </w:t>
      </w:r>
      <w:r>
        <w:rPr>
          <w:color w:val="4A86E8"/>
        </w:rPr>
        <w:t>versus</w:t>
      </w:r>
      <w:r>
        <w:rPr>
          <w:color w:val="4A86E8"/>
          <w:spacing w:val="-4"/>
        </w:rPr>
        <w:t xml:space="preserve"> </w:t>
      </w:r>
      <w:r>
        <w:rPr>
          <w:color w:val="4A86E8"/>
        </w:rPr>
        <w:t>background</w:t>
      </w:r>
      <w:r>
        <w:rPr>
          <w:color w:val="4A86E8"/>
          <w:spacing w:val="-3"/>
        </w:rPr>
        <w:t xml:space="preserve"> </w:t>
      </w:r>
      <w:r>
        <w:rPr>
          <w:color w:val="4A86E8"/>
        </w:rPr>
        <w:t>sequences with the TF’s canonical motif inserted. In both the Loeb et al. and Calderon et al. datasets, we visually observe greater heterogeneity in model-predicted TF activity scores across cell types for</w:t>
      </w:r>
      <w:r>
        <w:rPr>
          <w:color w:val="4A86E8"/>
          <w:spacing w:val="-3"/>
        </w:rPr>
        <w:t xml:space="preserve"> </w:t>
      </w:r>
      <w:r>
        <w:rPr>
          <w:color w:val="4A86E8"/>
        </w:rPr>
        <w:t>the</w:t>
      </w:r>
      <w:r>
        <w:rPr>
          <w:color w:val="4A86E8"/>
          <w:spacing w:val="-3"/>
        </w:rPr>
        <w:t xml:space="preserve"> </w:t>
      </w:r>
      <w:r>
        <w:rPr>
          <w:color w:val="4A86E8"/>
        </w:rPr>
        <w:t>single-task</w:t>
      </w:r>
      <w:r>
        <w:rPr>
          <w:color w:val="4A86E8"/>
          <w:spacing w:val="-3"/>
        </w:rPr>
        <w:t xml:space="preserve"> </w:t>
      </w:r>
      <w:r>
        <w:rPr>
          <w:color w:val="4A86E8"/>
        </w:rPr>
        <w:t>models</w:t>
      </w:r>
      <w:r>
        <w:rPr>
          <w:color w:val="4A86E8"/>
          <w:spacing w:val="-3"/>
        </w:rPr>
        <w:t xml:space="preserve"> </w:t>
      </w:r>
      <w:r>
        <w:rPr>
          <w:color w:val="4A86E8"/>
        </w:rPr>
        <w:t>as</w:t>
      </w:r>
      <w:r>
        <w:rPr>
          <w:color w:val="4A86E8"/>
          <w:spacing w:val="-3"/>
        </w:rPr>
        <w:t xml:space="preserve"> </w:t>
      </w:r>
      <w:r>
        <w:rPr>
          <w:color w:val="4A86E8"/>
        </w:rPr>
        <w:t>compared</w:t>
      </w:r>
      <w:r>
        <w:rPr>
          <w:color w:val="4A86E8"/>
          <w:spacing w:val="-3"/>
        </w:rPr>
        <w:t xml:space="preserve"> </w:t>
      </w:r>
      <w:r>
        <w:rPr>
          <w:color w:val="4A86E8"/>
        </w:rPr>
        <w:t>to</w:t>
      </w:r>
      <w:r>
        <w:rPr>
          <w:color w:val="4A86E8"/>
          <w:spacing w:val="-2"/>
        </w:rPr>
        <w:t xml:space="preserve"> </w:t>
      </w:r>
      <w:r>
        <w:rPr>
          <w:color w:val="4A86E8"/>
        </w:rPr>
        <w:t>the</w:t>
      </w:r>
      <w:r>
        <w:rPr>
          <w:color w:val="4A86E8"/>
          <w:spacing w:val="-3"/>
        </w:rPr>
        <w:t xml:space="preserve"> </w:t>
      </w:r>
      <w:r>
        <w:rPr>
          <w:color w:val="4A86E8"/>
        </w:rPr>
        <w:t>multi-task</w:t>
      </w:r>
      <w:r>
        <w:rPr>
          <w:color w:val="4A86E8"/>
          <w:spacing w:val="-3"/>
        </w:rPr>
        <w:t xml:space="preserve"> </w:t>
      </w:r>
      <w:r>
        <w:rPr>
          <w:color w:val="4A86E8"/>
        </w:rPr>
        <w:t>model.</w:t>
      </w:r>
      <w:r>
        <w:rPr>
          <w:color w:val="4A86E8"/>
          <w:spacing w:val="-3"/>
        </w:rPr>
        <w:t xml:space="preserve"> </w:t>
      </w:r>
      <w:r>
        <w:rPr>
          <w:color w:val="4A86E8"/>
        </w:rPr>
        <w:t>This</w:t>
      </w:r>
      <w:r>
        <w:rPr>
          <w:color w:val="4A86E8"/>
          <w:spacing w:val="-3"/>
        </w:rPr>
        <w:t xml:space="preserve"> </w:t>
      </w:r>
      <w:r>
        <w:rPr>
          <w:color w:val="4A86E8"/>
        </w:rPr>
        <w:t>suggests</w:t>
      </w:r>
      <w:r>
        <w:rPr>
          <w:color w:val="4A86E8"/>
          <w:spacing w:val="-3"/>
        </w:rPr>
        <w:t xml:space="preserve"> </w:t>
      </w:r>
      <w:r>
        <w:rPr>
          <w:color w:val="4A86E8"/>
        </w:rPr>
        <w:t>that</w:t>
      </w:r>
      <w:r>
        <w:rPr>
          <w:color w:val="4A86E8"/>
          <w:spacing w:val="-3"/>
        </w:rPr>
        <w:t xml:space="preserve"> </w:t>
      </w:r>
      <w:r>
        <w:rPr>
          <w:color w:val="4A86E8"/>
        </w:rPr>
        <w:t>some</w:t>
      </w:r>
      <w:r>
        <w:rPr>
          <w:color w:val="4A86E8"/>
          <w:spacing w:val="-3"/>
        </w:rPr>
        <w:t xml:space="preserve"> </w:t>
      </w:r>
      <w:r>
        <w:rPr>
          <w:color w:val="4A86E8"/>
        </w:rPr>
        <w:t>of</w:t>
      </w:r>
      <w:r>
        <w:rPr>
          <w:color w:val="4A86E8"/>
          <w:spacing w:val="-3"/>
        </w:rPr>
        <w:t xml:space="preserve"> </w:t>
      </w:r>
      <w:r>
        <w:rPr>
          <w:color w:val="4A86E8"/>
        </w:rPr>
        <w:t>the over-correlation between cell types that we observe for the multi-task models (Fig. 4b) may be due to the models learning a similar regulatory syntax for distinct cell types.</w:t>
      </w:r>
    </w:p>
    <w:p w14:paraId="45A20FD4" w14:textId="77777777" w:rsidR="00E211CC" w:rsidRDefault="00E211CC" w:rsidP="00E211CC">
      <w:pPr>
        <w:pStyle w:val="BodyText"/>
        <w:spacing w:before="41"/>
        <w:ind w:left="0"/>
      </w:pPr>
    </w:p>
    <w:p w14:paraId="75461868" w14:textId="77777777" w:rsidR="00E211CC" w:rsidRDefault="00E211CC" w:rsidP="00E211CC">
      <w:pPr>
        <w:pStyle w:val="BodyText"/>
        <w:spacing w:line="276" w:lineRule="auto"/>
        <w:ind w:right="861"/>
      </w:pPr>
      <w:r>
        <w:rPr>
          <w:color w:val="4A86E8"/>
        </w:rPr>
        <w:t>We note some particular cases where the single-task models have learned cell-type specific TF activity that is missed by the multitask model. For example, in the Loeb et al. data, the single- task models correctly identify SRF as a Stromal specific TF, while the multitask model fails to learn this TF as active in any cell type (Fig. S16a). In the Calderon et al. data, the single-task models identify SPI1 as a myeloid specific TF, while the multitask model instead predicts only weak SPI1 activity across cell types (Fig. S16b). Similarly, the single-task models predict more specific</w:t>
      </w:r>
      <w:r>
        <w:rPr>
          <w:color w:val="4A86E8"/>
          <w:spacing w:val="-5"/>
        </w:rPr>
        <w:t xml:space="preserve"> </w:t>
      </w:r>
      <w:r>
        <w:rPr>
          <w:color w:val="4A86E8"/>
        </w:rPr>
        <w:t>TF</w:t>
      </w:r>
      <w:r>
        <w:rPr>
          <w:color w:val="4A86E8"/>
          <w:spacing w:val="-5"/>
        </w:rPr>
        <w:t xml:space="preserve"> </w:t>
      </w:r>
      <w:r>
        <w:rPr>
          <w:color w:val="4A86E8"/>
        </w:rPr>
        <w:t>activity</w:t>
      </w:r>
      <w:r>
        <w:rPr>
          <w:color w:val="4A86E8"/>
          <w:spacing w:val="-5"/>
        </w:rPr>
        <w:t xml:space="preserve"> </w:t>
      </w:r>
      <w:r>
        <w:rPr>
          <w:color w:val="4A86E8"/>
        </w:rPr>
        <w:t>for</w:t>
      </w:r>
      <w:r>
        <w:rPr>
          <w:color w:val="4A86E8"/>
          <w:spacing w:val="-5"/>
        </w:rPr>
        <w:t xml:space="preserve"> </w:t>
      </w:r>
      <w:r>
        <w:rPr>
          <w:color w:val="4A86E8"/>
        </w:rPr>
        <w:t>FOS/JUN</w:t>
      </w:r>
      <w:r>
        <w:rPr>
          <w:color w:val="4A86E8"/>
          <w:spacing w:val="-5"/>
        </w:rPr>
        <w:t xml:space="preserve"> </w:t>
      </w:r>
      <w:r>
        <w:rPr>
          <w:color w:val="4A86E8"/>
        </w:rPr>
        <w:t>TFs</w:t>
      </w:r>
      <w:r>
        <w:rPr>
          <w:color w:val="4A86E8"/>
          <w:spacing w:val="-5"/>
        </w:rPr>
        <w:t xml:space="preserve"> </w:t>
      </w:r>
      <w:r>
        <w:rPr>
          <w:color w:val="4A86E8"/>
        </w:rPr>
        <w:t>(FOSL2::JUNB,</w:t>
      </w:r>
      <w:r>
        <w:rPr>
          <w:color w:val="4A86E8"/>
          <w:spacing w:val="-5"/>
        </w:rPr>
        <w:t xml:space="preserve"> </w:t>
      </w:r>
      <w:r>
        <w:rPr>
          <w:color w:val="4A86E8"/>
        </w:rPr>
        <w:t>FOSL2::JUN,</w:t>
      </w:r>
      <w:r>
        <w:rPr>
          <w:color w:val="4A86E8"/>
          <w:spacing w:val="-5"/>
        </w:rPr>
        <w:t xml:space="preserve"> </w:t>
      </w:r>
      <w:r>
        <w:rPr>
          <w:color w:val="4A86E8"/>
        </w:rPr>
        <w:t>FOSB::JUN,</w:t>
      </w:r>
      <w:r>
        <w:rPr>
          <w:color w:val="4A86E8"/>
          <w:spacing w:val="-5"/>
        </w:rPr>
        <w:t xml:space="preserve"> </w:t>
      </w:r>
      <w:r>
        <w:rPr>
          <w:color w:val="4A86E8"/>
        </w:rPr>
        <w:t>FOSL2::JUND)</w:t>
      </w:r>
    </w:p>
    <w:p w14:paraId="1D2354F4" w14:textId="77777777" w:rsidR="00E211CC" w:rsidRDefault="00E211CC" w:rsidP="00E211CC">
      <w:pPr>
        <w:pStyle w:val="BodyText"/>
        <w:spacing w:line="278" w:lineRule="auto"/>
        <w:ind w:right="861"/>
      </w:pPr>
      <w:r>
        <w:rPr>
          <w:color w:val="4A86E8"/>
        </w:rPr>
        <w:t>in</w:t>
      </w:r>
      <w:r>
        <w:rPr>
          <w:color w:val="4A86E8"/>
          <w:spacing w:val="-3"/>
        </w:rPr>
        <w:t xml:space="preserve"> </w:t>
      </w:r>
      <w:r>
        <w:rPr>
          <w:color w:val="4A86E8"/>
        </w:rPr>
        <w:t>CD8</w:t>
      </w:r>
      <w:r>
        <w:rPr>
          <w:color w:val="4A86E8"/>
          <w:spacing w:val="-3"/>
        </w:rPr>
        <w:t xml:space="preserve"> </w:t>
      </w:r>
      <w:r>
        <w:rPr>
          <w:color w:val="4A86E8"/>
        </w:rPr>
        <w:t>T</w:t>
      </w:r>
      <w:r>
        <w:rPr>
          <w:color w:val="4A86E8"/>
          <w:spacing w:val="-3"/>
        </w:rPr>
        <w:t xml:space="preserve"> </w:t>
      </w:r>
      <w:r>
        <w:rPr>
          <w:color w:val="4A86E8"/>
        </w:rPr>
        <w:t>cells,</w:t>
      </w:r>
      <w:r>
        <w:rPr>
          <w:color w:val="4A86E8"/>
          <w:spacing w:val="-3"/>
        </w:rPr>
        <w:t xml:space="preserve"> </w:t>
      </w:r>
      <w:r>
        <w:rPr>
          <w:color w:val="4A86E8"/>
        </w:rPr>
        <w:t>while</w:t>
      </w:r>
      <w:r>
        <w:rPr>
          <w:color w:val="4A86E8"/>
          <w:spacing w:val="-3"/>
        </w:rPr>
        <w:t xml:space="preserve"> </w:t>
      </w:r>
      <w:r>
        <w:rPr>
          <w:color w:val="4A86E8"/>
        </w:rPr>
        <w:t>the</w:t>
      </w:r>
      <w:r>
        <w:rPr>
          <w:color w:val="4A86E8"/>
          <w:spacing w:val="-3"/>
        </w:rPr>
        <w:t xml:space="preserve"> </w:t>
      </w:r>
      <w:r>
        <w:rPr>
          <w:color w:val="4A86E8"/>
        </w:rPr>
        <w:t>multitask</w:t>
      </w:r>
      <w:r>
        <w:rPr>
          <w:color w:val="4A86E8"/>
          <w:spacing w:val="-3"/>
        </w:rPr>
        <w:t xml:space="preserve"> </w:t>
      </w:r>
      <w:r>
        <w:rPr>
          <w:color w:val="4A86E8"/>
        </w:rPr>
        <w:t>model</w:t>
      </w:r>
      <w:r>
        <w:rPr>
          <w:color w:val="4A86E8"/>
          <w:spacing w:val="-3"/>
        </w:rPr>
        <w:t xml:space="preserve"> </w:t>
      </w:r>
      <w:r>
        <w:rPr>
          <w:color w:val="4A86E8"/>
        </w:rPr>
        <w:t>predicts</w:t>
      </w:r>
      <w:r>
        <w:rPr>
          <w:color w:val="4A86E8"/>
          <w:spacing w:val="-3"/>
        </w:rPr>
        <w:t xml:space="preserve"> </w:t>
      </w:r>
      <w:r>
        <w:rPr>
          <w:color w:val="4A86E8"/>
        </w:rPr>
        <w:t>these</w:t>
      </w:r>
      <w:r>
        <w:rPr>
          <w:color w:val="4A86E8"/>
          <w:spacing w:val="-3"/>
        </w:rPr>
        <w:t xml:space="preserve"> </w:t>
      </w:r>
      <w:r>
        <w:rPr>
          <w:color w:val="4A86E8"/>
        </w:rPr>
        <w:t>TFs</w:t>
      </w:r>
      <w:r>
        <w:rPr>
          <w:color w:val="4A86E8"/>
          <w:spacing w:val="-3"/>
        </w:rPr>
        <w:t xml:space="preserve"> </w:t>
      </w:r>
      <w:r>
        <w:rPr>
          <w:color w:val="4A86E8"/>
        </w:rPr>
        <w:t>to</w:t>
      </w:r>
      <w:r>
        <w:rPr>
          <w:color w:val="4A86E8"/>
          <w:spacing w:val="-3"/>
        </w:rPr>
        <w:t xml:space="preserve"> </w:t>
      </w:r>
      <w:r>
        <w:rPr>
          <w:color w:val="4A86E8"/>
        </w:rPr>
        <w:t>be</w:t>
      </w:r>
      <w:r>
        <w:rPr>
          <w:color w:val="4A86E8"/>
          <w:spacing w:val="-3"/>
        </w:rPr>
        <w:t xml:space="preserve"> </w:t>
      </w:r>
      <w:r>
        <w:rPr>
          <w:color w:val="4A86E8"/>
        </w:rPr>
        <w:t>broadly</w:t>
      </w:r>
      <w:r>
        <w:rPr>
          <w:color w:val="4A86E8"/>
          <w:spacing w:val="-3"/>
        </w:rPr>
        <w:t xml:space="preserve"> </w:t>
      </w:r>
      <w:r>
        <w:rPr>
          <w:color w:val="4A86E8"/>
        </w:rPr>
        <w:t>active</w:t>
      </w:r>
      <w:r>
        <w:rPr>
          <w:color w:val="4A86E8"/>
          <w:spacing w:val="-3"/>
        </w:rPr>
        <w:t xml:space="preserve"> </w:t>
      </w:r>
      <w:r>
        <w:rPr>
          <w:color w:val="4A86E8"/>
        </w:rPr>
        <w:t>across</w:t>
      </w:r>
      <w:r>
        <w:rPr>
          <w:color w:val="4A86E8"/>
          <w:spacing w:val="-3"/>
        </w:rPr>
        <w:t xml:space="preserve"> </w:t>
      </w:r>
      <w:r>
        <w:rPr>
          <w:color w:val="4A86E8"/>
        </w:rPr>
        <w:t>the</w:t>
      </w:r>
      <w:r>
        <w:rPr>
          <w:color w:val="4A86E8"/>
          <w:spacing w:val="-3"/>
        </w:rPr>
        <w:t xml:space="preserve"> </w:t>
      </w:r>
      <w:r>
        <w:rPr>
          <w:color w:val="4A86E8"/>
        </w:rPr>
        <w:t>cell types (Fig. S16b).</w:t>
      </w:r>
    </w:p>
    <w:p w14:paraId="6F7EE230" w14:textId="77777777" w:rsidR="00E211CC" w:rsidRDefault="00E211CC" w:rsidP="00E211CC">
      <w:pPr>
        <w:pStyle w:val="BodyText"/>
        <w:spacing w:before="32"/>
        <w:ind w:left="0"/>
      </w:pPr>
    </w:p>
    <w:p w14:paraId="71B84B90" w14:textId="77777777" w:rsidR="00E211CC" w:rsidRDefault="00E211CC" w:rsidP="00E211CC">
      <w:pPr>
        <w:pStyle w:val="BodyText"/>
      </w:pPr>
      <w:r>
        <w:rPr>
          <w:color w:val="4A86E8"/>
          <w:u w:val="single" w:color="4A86E8"/>
        </w:rPr>
        <w:t>Local</w:t>
      </w:r>
      <w:r>
        <w:rPr>
          <w:color w:val="4A86E8"/>
          <w:spacing w:val="-11"/>
          <w:u w:val="single" w:color="4A86E8"/>
        </w:rPr>
        <w:t xml:space="preserve"> </w:t>
      </w:r>
      <w:r>
        <w:rPr>
          <w:color w:val="4A86E8"/>
          <w:u w:val="single" w:color="4A86E8"/>
        </w:rPr>
        <w:t>interpretability</w:t>
      </w:r>
      <w:r>
        <w:rPr>
          <w:color w:val="4A86E8"/>
          <w:spacing w:val="-10"/>
          <w:u w:val="single" w:color="4A86E8"/>
        </w:rPr>
        <w:t xml:space="preserve"> </w:t>
      </w:r>
      <w:r>
        <w:rPr>
          <w:color w:val="4A86E8"/>
          <w:spacing w:val="-2"/>
          <w:u w:val="single" w:color="4A86E8"/>
        </w:rPr>
        <w:t>analysis</w:t>
      </w:r>
    </w:p>
    <w:p w14:paraId="4637C487" w14:textId="77777777" w:rsidR="00E211CC" w:rsidRDefault="00E211CC" w:rsidP="00E211CC">
      <w:pPr>
        <w:pStyle w:val="BodyText"/>
        <w:spacing w:before="35" w:line="278" w:lineRule="auto"/>
        <w:ind w:right="899"/>
      </w:pPr>
      <w:r>
        <w:rPr>
          <w:color w:val="4A86E8"/>
        </w:rPr>
        <w:t>We</w:t>
      </w:r>
      <w:r>
        <w:rPr>
          <w:color w:val="4A86E8"/>
          <w:spacing w:val="-3"/>
        </w:rPr>
        <w:t xml:space="preserve"> </w:t>
      </w:r>
      <w:r>
        <w:rPr>
          <w:color w:val="4A86E8"/>
        </w:rPr>
        <w:t>also</w:t>
      </w:r>
      <w:r>
        <w:rPr>
          <w:color w:val="4A86E8"/>
          <w:spacing w:val="-3"/>
        </w:rPr>
        <w:t xml:space="preserve"> </w:t>
      </w:r>
      <w:r>
        <w:rPr>
          <w:color w:val="4A86E8"/>
        </w:rPr>
        <w:t>performed</w:t>
      </w:r>
      <w:r>
        <w:rPr>
          <w:color w:val="4A86E8"/>
          <w:spacing w:val="-3"/>
        </w:rPr>
        <w:t xml:space="preserve"> </w:t>
      </w:r>
      <w:r>
        <w:rPr>
          <w:color w:val="4A86E8"/>
        </w:rPr>
        <w:t>a</w:t>
      </w:r>
      <w:r>
        <w:rPr>
          <w:color w:val="4A86E8"/>
          <w:spacing w:val="-3"/>
        </w:rPr>
        <w:t xml:space="preserve"> </w:t>
      </w:r>
      <w:r>
        <w:rPr>
          <w:color w:val="4A86E8"/>
        </w:rPr>
        <w:t>local</w:t>
      </w:r>
      <w:r>
        <w:rPr>
          <w:color w:val="4A86E8"/>
          <w:spacing w:val="-3"/>
        </w:rPr>
        <w:t xml:space="preserve"> </w:t>
      </w:r>
      <w:r>
        <w:rPr>
          <w:color w:val="4A86E8"/>
        </w:rPr>
        <w:t>interpretability</w:t>
      </w:r>
      <w:r>
        <w:rPr>
          <w:color w:val="4A86E8"/>
          <w:spacing w:val="-3"/>
        </w:rPr>
        <w:t xml:space="preserve"> </w:t>
      </w:r>
      <w:r>
        <w:rPr>
          <w:color w:val="4A86E8"/>
        </w:rPr>
        <w:t>analysis</w:t>
      </w:r>
      <w:r>
        <w:rPr>
          <w:color w:val="4A86E8"/>
          <w:spacing w:val="-3"/>
        </w:rPr>
        <w:t xml:space="preserve"> </w:t>
      </w:r>
      <w:r>
        <w:rPr>
          <w:color w:val="4A86E8"/>
        </w:rPr>
        <w:t>to</w:t>
      </w:r>
      <w:r>
        <w:rPr>
          <w:color w:val="4A86E8"/>
          <w:spacing w:val="-3"/>
        </w:rPr>
        <w:t xml:space="preserve"> </w:t>
      </w:r>
      <w:r>
        <w:rPr>
          <w:color w:val="4A86E8"/>
        </w:rPr>
        <w:t>highlight</w:t>
      </w:r>
      <w:r>
        <w:rPr>
          <w:color w:val="4A86E8"/>
          <w:spacing w:val="-3"/>
        </w:rPr>
        <w:t xml:space="preserve"> </w:t>
      </w:r>
      <w:r>
        <w:rPr>
          <w:color w:val="4A86E8"/>
        </w:rPr>
        <w:t>specific</w:t>
      </w:r>
      <w:r>
        <w:rPr>
          <w:color w:val="4A86E8"/>
          <w:spacing w:val="-3"/>
        </w:rPr>
        <w:t xml:space="preserve"> </w:t>
      </w:r>
      <w:r>
        <w:rPr>
          <w:color w:val="4A86E8"/>
        </w:rPr>
        <w:t>examples</w:t>
      </w:r>
      <w:r>
        <w:rPr>
          <w:color w:val="4A86E8"/>
          <w:spacing w:val="-3"/>
        </w:rPr>
        <w:t xml:space="preserve"> </w:t>
      </w:r>
      <w:r>
        <w:rPr>
          <w:color w:val="4A86E8"/>
        </w:rPr>
        <w:t>of</w:t>
      </w:r>
      <w:r>
        <w:rPr>
          <w:color w:val="4A86E8"/>
          <w:spacing w:val="-3"/>
        </w:rPr>
        <w:t xml:space="preserve"> </w:t>
      </w:r>
      <w:r>
        <w:rPr>
          <w:color w:val="4A86E8"/>
        </w:rPr>
        <w:t>the</w:t>
      </w:r>
      <w:r>
        <w:rPr>
          <w:color w:val="4A86E8"/>
          <w:spacing w:val="-3"/>
        </w:rPr>
        <w:t xml:space="preserve"> </w:t>
      </w:r>
      <w:r>
        <w:rPr>
          <w:color w:val="4A86E8"/>
        </w:rPr>
        <w:t>motifs that are driving the predictions of the single-task and multi-task models.</w:t>
      </w:r>
    </w:p>
    <w:p w14:paraId="647B5A90" w14:textId="77777777" w:rsidR="00E211CC" w:rsidRDefault="00E211CC" w:rsidP="00E211CC">
      <w:pPr>
        <w:spacing w:line="278" w:lineRule="auto"/>
        <w:sectPr w:rsidR="00E211CC" w:rsidSect="00E211CC">
          <w:pgSz w:w="12240" w:h="15840"/>
          <w:pgMar w:top="1360" w:right="580" w:bottom="280" w:left="620" w:header="720" w:footer="720" w:gutter="0"/>
          <w:cols w:space="720"/>
        </w:sectPr>
      </w:pPr>
    </w:p>
    <w:p w14:paraId="6B4E3940" w14:textId="77777777" w:rsidR="00E211CC" w:rsidRDefault="00E211CC" w:rsidP="00E211CC">
      <w:pPr>
        <w:pStyle w:val="BodyText"/>
        <w:spacing w:before="80" w:line="276" w:lineRule="auto"/>
        <w:ind w:right="1243"/>
      </w:pPr>
      <w:r>
        <w:rPr>
          <w:color w:val="4A86E8"/>
        </w:rPr>
        <w:lastRenderedPageBreak/>
        <w:t xml:space="preserve">In the Loeb, et al. data, we highlight a Stromal cell specific peak that is mispredicted by the multitask model to be a peak in the other cell types as well, but is correctly predicted by the single-task models to only be accessible in Stromal cells. </w:t>
      </w:r>
      <w:r>
        <w:rPr>
          <w:i/>
          <w:color w:val="4A86E8"/>
        </w:rPr>
        <w:t xml:space="preserve">In silico </w:t>
      </w:r>
      <w:r>
        <w:rPr>
          <w:color w:val="4A86E8"/>
        </w:rPr>
        <w:t>mutagenesis of this peak reveals</w:t>
      </w:r>
      <w:r>
        <w:rPr>
          <w:color w:val="4A86E8"/>
          <w:spacing w:val="-3"/>
        </w:rPr>
        <w:t xml:space="preserve"> </w:t>
      </w:r>
      <w:r>
        <w:rPr>
          <w:color w:val="4A86E8"/>
        </w:rPr>
        <w:t>that</w:t>
      </w:r>
      <w:r>
        <w:rPr>
          <w:color w:val="4A86E8"/>
          <w:spacing w:val="-3"/>
        </w:rPr>
        <w:t xml:space="preserve"> </w:t>
      </w:r>
      <w:r>
        <w:rPr>
          <w:color w:val="4A86E8"/>
        </w:rPr>
        <w:t>a</w:t>
      </w:r>
      <w:r>
        <w:rPr>
          <w:color w:val="4A86E8"/>
          <w:spacing w:val="-3"/>
        </w:rPr>
        <w:t xml:space="preserve"> </w:t>
      </w:r>
      <w:r>
        <w:rPr>
          <w:color w:val="4A86E8"/>
        </w:rPr>
        <w:t>TEAD-like</w:t>
      </w:r>
      <w:r>
        <w:rPr>
          <w:color w:val="4A86E8"/>
          <w:spacing w:val="-3"/>
        </w:rPr>
        <w:t xml:space="preserve"> </w:t>
      </w:r>
      <w:r>
        <w:rPr>
          <w:color w:val="4A86E8"/>
        </w:rPr>
        <w:t>motif</w:t>
      </w:r>
      <w:r>
        <w:rPr>
          <w:color w:val="4A86E8"/>
          <w:spacing w:val="-3"/>
        </w:rPr>
        <w:t xml:space="preserve"> </w:t>
      </w:r>
      <w:r>
        <w:rPr>
          <w:color w:val="4A86E8"/>
        </w:rPr>
        <w:t>is</w:t>
      </w:r>
      <w:r>
        <w:rPr>
          <w:color w:val="4A86E8"/>
          <w:spacing w:val="-3"/>
        </w:rPr>
        <w:t xml:space="preserve"> </w:t>
      </w:r>
      <w:r>
        <w:rPr>
          <w:color w:val="4A86E8"/>
        </w:rPr>
        <w:t>driving</w:t>
      </w:r>
      <w:r>
        <w:rPr>
          <w:color w:val="4A86E8"/>
          <w:spacing w:val="-3"/>
        </w:rPr>
        <w:t xml:space="preserve"> </w:t>
      </w:r>
      <w:r>
        <w:rPr>
          <w:color w:val="4A86E8"/>
        </w:rPr>
        <w:t>the</w:t>
      </w:r>
      <w:r>
        <w:rPr>
          <w:color w:val="4A86E8"/>
          <w:spacing w:val="-3"/>
        </w:rPr>
        <w:t xml:space="preserve"> </w:t>
      </w:r>
      <w:r>
        <w:rPr>
          <w:color w:val="4A86E8"/>
        </w:rPr>
        <w:t>prediction</w:t>
      </w:r>
      <w:r>
        <w:rPr>
          <w:color w:val="4A86E8"/>
          <w:spacing w:val="-3"/>
        </w:rPr>
        <w:t xml:space="preserve"> </w:t>
      </w:r>
      <w:r>
        <w:rPr>
          <w:color w:val="4A86E8"/>
        </w:rPr>
        <w:t>of</w:t>
      </w:r>
      <w:r>
        <w:rPr>
          <w:color w:val="4A86E8"/>
          <w:spacing w:val="-3"/>
        </w:rPr>
        <w:t xml:space="preserve"> </w:t>
      </w:r>
      <w:r>
        <w:rPr>
          <w:color w:val="4A86E8"/>
        </w:rPr>
        <w:t>the</w:t>
      </w:r>
      <w:r>
        <w:rPr>
          <w:color w:val="4A86E8"/>
          <w:spacing w:val="-3"/>
        </w:rPr>
        <w:t xml:space="preserve"> </w:t>
      </w:r>
      <w:r>
        <w:rPr>
          <w:color w:val="4A86E8"/>
        </w:rPr>
        <w:t>multi-task</w:t>
      </w:r>
      <w:r>
        <w:rPr>
          <w:color w:val="4A86E8"/>
          <w:spacing w:val="-3"/>
        </w:rPr>
        <w:t xml:space="preserve"> </w:t>
      </w:r>
      <w:r>
        <w:rPr>
          <w:color w:val="4A86E8"/>
        </w:rPr>
        <w:t>model</w:t>
      </w:r>
      <w:r>
        <w:rPr>
          <w:color w:val="4A86E8"/>
          <w:spacing w:val="-3"/>
        </w:rPr>
        <w:t xml:space="preserve"> </w:t>
      </w:r>
      <w:r>
        <w:rPr>
          <w:color w:val="4A86E8"/>
        </w:rPr>
        <w:t>in</w:t>
      </w:r>
      <w:r>
        <w:rPr>
          <w:color w:val="4A86E8"/>
          <w:spacing w:val="-3"/>
        </w:rPr>
        <w:t xml:space="preserve"> </w:t>
      </w:r>
      <w:r>
        <w:rPr>
          <w:color w:val="4A86E8"/>
        </w:rPr>
        <w:t>Stromal</w:t>
      </w:r>
      <w:r>
        <w:rPr>
          <w:color w:val="4A86E8"/>
          <w:spacing w:val="-3"/>
        </w:rPr>
        <w:t xml:space="preserve"> </w:t>
      </w:r>
      <w:r>
        <w:rPr>
          <w:color w:val="4A86E8"/>
        </w:rPr>
        <w:t>and non-Stromal cell types (Fig. S17a). By contrast, this TEAD-like motif is less apparent in the single-task models trained on the non-Stromal cell types.</w:t>
      </w:r>
    </w:p>
    <w:p w14:paraId="32F73E84" w14:textId="77777777" w:rsidR="00E211CC" w:rsidRDefault="00E211CC" w:rsidP="00E211CC">
      <w:pPr>
        <w:pStyle w:val="BodyText"/>
        <w:spacing w:before="36"/>
        <w:ind w:left="0"/>
      </w:pPr>
    </w:p>
    <w:p w14:paraId="522627F1" w14:textId="77777777" w:rsidR="00E211CC" w:rsidRDefault="00E211CC" w:rsidP="00E211CC">
      <w:pPr>
        <w:pStyle w:val="BodyText"/>
        <w:spacing w:line="276" w:lineRule="auto"/>
        <w:ind w:right="923"/>
      </w:pPr>
      <w:r>
        <w:rPr>
          <w:color w:val="4A86E8"/>
        </w:rPr>
        <w:t>In</w:t>
      </w:r>
      <w:r>
        <w:rPr>
          <w:color w:val="4A86E8"/>
          <w:spacing w:val="-3"/>
        </w:rPr>
        <w:t xml:space="preserve"> </w:t>
      </w:r>
      <w:r>
        <w:rPr>
          <w:color w:val="4A86E8"/>
        </w:rPr>
        <w:t>the</w:t>
      </w:r>
      <w:r>
        <w:rPr>
          <w:color w:val="4A86E8"/>
          <w:spacing w:val="-3"/>
        </w:rPr>
        <w:t xml:space="preserve"> </w:t>
      </w:r>
      <w:r>
        <w:rPr>
          <w:color w:val="4A86E8"/>
        </w:rPr>
        <w:t>Calderon,</w:t>
      </w:r>
      <w:r>
        <w:rPr>
          <w:color w:val="4A86E8"/>
          <w:spacing w:val="-3"/>
        </w:rPr>
        <w:t xml:space="preserve"> </w:t>
      </w:r>
      <w:r>
        <w:rPr>
          <w:color w:val="4A86E8"/>
        </w:rPr>
        <w:t>et</w:t>
      </w:r>
      <w:r>
        <w:rPr>
          <w:color w:val="4A86E8"/>
          <w:spacing w:val="-3"/>
        </w:rPr>
        <w:t xml:space="preserve"> </w:t>
      </w:r>
      <w:r>
        <w:rPr>
          <w:color w:val="4A86E8"/>
        </w:rPr>
        <w:t>al.</w:t>
      </w:r>
      <w:r>
        <w:rPr>
          <w:color w:val="4A86E8"/>
          <w:spacing w:val="-3"/>
        </w:rPr>
        <w:t xml:space="preserve"> </w:t>
      </w:r>
      <w:r>
        <w:rPr>
          <w:color w:val="4A86E8"/>
        </w:rPr>
        <w:t>data,</w:t>
      </w:r>
      <w:r>
        <w:rPr>
          <w:color w:val="4A86E8"/>
          <w:spacing w:val="-3"/>
        </w:rPr>
        <w:t xml:space="preserve"> </w:t>
      </w:r>
      <w:r>
        <w:rPr>
          <w:color w:val="4A86E8"/>
        </w:rPr>
        <w:t>we</w:t>
      </w:r>
      <w:r>
        <w:rPr>
          <w:color w:val="4A86E8"/>
          <w:spacing w:val="-2"/>
        </w:rPr>
        <w:t xml:space="preserve"> </w:t>
      </w:r>
      <w:r>
        <w:rPr>
          <w:color w:val="4A86E8"/>
        </w:rPr>
        <w:t>highlight</w:t>
      </w:r>
      <w:r>
        <w:rPr>
          <w:color w:val="4A86E8"/>
          <w:spacing w:val="-3"/>
        </w:rPr>
        <w:t xml:space="preserve"> </w:t>
      </w:r>
      <w:r>
        <w:rPr>
          <w:color w:val="4A86E8"/>
        </w:rPr>
        <w:t>a</w:t>
      </w:r>
      <w:r>
        <w:rPr>
          <w:color w:val="4A86E8"/>
          <w:spacing w:val="-3"/>
        </w:rPr>
        <w:t xml:space="preserve"> </w:t>
      </w:r>
      <w:r>
        <w:rPr>
          <w:color w:val="4A86E8"/>
        </w:rPr>
        <w:t>dendritic</w:t>
      </w:r>
      <w:r>
        <w:rPr>
          <w:color w:val="4A86E8"/>
          <w:spacing w:val="-3"/>
        </w:rPr>
        <w:t xml:space="preserve"> </w:t>
      </w:r>
      <w:r>
        <w:rPr>
          <w:color w:val="4A86E8"/>
        </w:rPr>
        <w:t>cell</w:t>
      </w:r>
      <w:r>
        <w:rPr>
          <w:color w:val="4A86E8"/>
          <w:spacing w:val="-3"/>
        </w:rPr>
        <w:t xml:space="preserve"> </w:t>
      </w:r>
      <w:r>
        <w:rPr>
          <w:color w:val="4A86E8"/>
        </w:rPr>
        <w:t>specific</w:t>
      </w:r>
      <w:r>
        <w:rPr>
          <w:color w:val="4A86E8"/>
          <w:spacing w:val="-3"/>
        </w:rPr>
        <w:t xml:space="preserve"> </w:t>
      </w:r>
      <w:r>
        <w:rPr>
          <w:color w:val="4A86E8"/>
        </w:rPr>
        <w:t>peak</w:t>
      </w:r>
      <w:r>
        <w:rPr>
          <w:color w:val="4A86E8"/>
          <w:spacing w:val="-3"/>
        </w:rPr>
        <w:t xml:space="preserve"> </w:t>
      </w:r>
      <w:r>
        <w:rPr>
          <w:color w:val="4A86E8"/>
        </w:rPr>
        <w:t>that</w:t>
      </w:r>
      <w:r>
        <w:rPr>
          <w:color w:val="4A86E8"/>
          <w:spacing w:val="-3"/>
        </w:rPr>
        <w:t xml:space="preserve"> </w:t>
      </w:r>
      <w:r>
        <w:rPr>
          <w:color w:val="4A86E8"/>
        </w:rPr>
        <w:t>is</w:t>
      </w:r>
      <w:r>
        <w:rPr>
          <w:color w:val="4A86E8"/>
          <w:spacing w:val="-3"/>
        </w:rPr>
        <w:t xml:space="preserve"> </w:t>
      </w:r>
      <w:r>
        <w:rPr>
          <w:color w:val="4A86E8"/>
        </w:rPr>
        <w:t>mispredicted</w:t>
      </w:r>
      <w:r>
        <w:rPr>
          <w:color w:val="4A86E8"/>
          <w:spacing w:val="-3"/>
        </w:rPr>
        <w:t xml:space="preserve"> </w:t>
      </w:r>
      <w:r>
        <w:rPr>
          <w:color w:val="4A86E8"/>
        </w:rPr>
        <w:t>by</w:t>
      </w:r>
      <w:r>
        <w:rPr>
          <w:color w:val="4A86E8"/>
          <w:spacing w:val="-3"/>
        </w:rPr>
        <w:t xml:space="preserve"> </w:t>
      </w:r>
      <w:r>
        <w:rPr>
          <w:color w:val="4A86E8"/>
        </w:rPr>
        <w:t xml:space="preserve">the multitask model to be a peak in the other cell types as well, but is correctly predicted by the single-task models to only be accessible in dendritic cells. </w:t>
      </w:r>
      <w:r>
        <w:rPr>
          <w:i/>
          <w:color w:val="4A86E8"/>
        </w:rPr>
        <w:t xml:space="preserve">In silico </w:t>
      </w:r>
      <w:r>
        <w:rPr>
          <w:color w:val="4A86E8"/>
        </w:rPr>
        <w:t>mutagenesis of this peak reveals</w:t>
      </w:r>
      <w:r>
        <w:rPr>
          <w:color w:val="4A86E8"/>
          <w:spacing w:val="-1"/>
        </w:rPr>
        <w:t xml:space="preserve"> </w:t>
      </w:r>
      <w:r>
        <w:rPr>
          <w:color w:val="4A86E8"/>
        </w:rPr>
        <w:t>that</w:t>
      </w:r>
      <w:r>
        <w:rPr>
          <w:color w:val="4A86E8"/>
          <w:spacing w:val="-1"/>
        </w:rPr>
        <w:t xml:space="preserve"> </w:t>
      </w:r>
      <w:r>
        <w:rPr>
          <w:color w:val="4A86E8"/>
        </w:rPr>
        <w:t>a</w:t>
      </w:r>
      <w:r>
        <w:rPr>
          <w:color w:val="4A86E8"/>
          <w:spacing w:val="-1"/>
        </w:rPr>
        <w:t xml:space="preserve"> </w:t>
      </w:r>
      <w:r>
        <w:rPr>
          <w:color w:val="4A86E8"/>
        </w:rPr>
        <w:t>SPIB-like</w:t>
      </w:r>
      <w:r>
        <w:rPr>
          <w:color w:val="4A86E8"/>
          <w:spacing w:val="-1"/>
        </w:rPr>
        <w:t xml:space="preserve"> </w:t>
      </w:r>
      <w:r>
        <w:rPr>
          <w:color w:val="4A86E8"/>
        </w:rPr>
        <w:t>motif</w:t>
      </w:r>
      <w:r>
        <w:rPr>
          <w:color w:val="4A86E8"/>
          <w:spacing w:val="-1"/>
        </w:rPr>
        <w:t xml:space="preserve"> </w:t>
      </w:r>
      <w:r>
        <w:rPr>
          <w:color w:val="4A86E8"/>
        </w:rPr>
        <w:t>is</w:t>
      </w:r>
      <w:r>
        <w:rPr>
          <w:color w:val="4A86E8"/>
          <w:spacing w:val="-1"/>
        </w:rPr>
        <w:t xml:space="preserve"> </w:t>
      </w:r>
      <w:r>
        <w:rPr>
          <w:color w:val="4A86E8"/>
        </w:rPr>
        <w:t>weakly</w:t>
      </w:r>
      <w:r>
        <w:rPr>
          <w:color w:val="4A86E8"/>
          <w:spacing w:val="-1"/>
        </w:rPr>
        <w:t xml:space="preserve"> </w:t>
      </w:r>
      <w:r>
        <w:rPr>
          <w:color w:val="4A86E8"/>
        </w:rPr>
        <w:t>driving</w:t>
      </w:r>
      <w:r>
        <w:rPr>
          <w:color w:val="4A86E8"/>
          <w:spacing w:val="-1"/>
        </w:rPr>
        <w:t xml:space="preserve"> </w:t>
      </w:r>
      <w:r>
        <w:rPr>
          <w:color w:val="4A86E8"/>
        </w:rPr>
        <w:t>the</w:t>
      </w:r>
      <w:r>
        <w:rPr>
          <w:color w:val="4A86E8"/>
          <w:spacing w:val="-1"/>
        </w:rPr>
        <w:t xml:space="preserve"> </w:t>
      </w:r>
      <w:r>
        <w:rPr>
          <w:color w:val="4A86E8"/>
        </w:rPr>
        <w:t>prediction</w:t>
      </w:r>
      <w:r>
        <w:rPr>
          <w:color w:val="4A86E8"/>
          <w:spacing w:val="-1"/>
        </w:rPr>
        <w:t xml:space="preserve"> </w:t>
      </w:r>
      <w:r>
        <w:rPr>
          <w:color w:val="4A86E8"/>
        </w:rPr>
        <w:t>of</w:t>
      </w:r>
      <w:r>
        <w:rPr>
          <w:color w:val="4A86E8"/>
          <w:spacing w:val="-1"/>
        </w:rPr>
        <w:t xml:space="preserve"> </w:t>
      </w:r>
      <w:r>
        <w:rPr>
          <w:color w:val="4A86E8"/>
        </w:rPr>
        <w:t>the</w:t>
      </w:r>
      <w:r>
        <w:rPr>
          <w:color w:val="4A86E8"/>
          <w:spacing w:val="-1"/>
        </w:rPr>
        <w:t xml:space="preserve"> </w:t>
      </w:r>
      <w:r>
        <w:rPr>
          <w:color w:val="4A86E8"/>
        </w:rPr>
        <w:t>multi-task</w:t>
      </w:r>
      <w:r>
        <w:rPr>
          <w:color w:val="4A86E8"/>
          <w:spacing w:val="-1"/>
        </w:rPr>
        <w:t xml:space="preserve"> </w:t>
      </w:r>
      <w:r>
        <w:rPr>
          <w:color w:val="4A86E8"/>
        </w:rPr>
        <w:t>model</w:t>
      </w:r>
      <w:r>
        <w:rPr>
          <w:color w:val="4A86E8"/>
          <w:spacing w:val="-1"/>
        </w:rPr>
        <w:t xml:space="preserve"> </w:t>
      </w:r>
      <w:r>
        <w:rPr>
          <w:color w:val="4A86E8"/>
        </w:rPr>
        <w:t>in</w:t>
      </w:r>
      <w:r>
        <w:rPr>
          <w:color w:val="4A86E8"/>
          <w:spacing w:val="-1"/>
        </w:rPr>
        <w:t xml:space="preserve"> </w:t>
      </w:r>
      <w:r>
        <w:rPr>
          <w:color w:val="4A86E8"/>
        </w:rPr>
        <w:t>dendritic and non-dendritic cell types (Fig. S17b). By contrast, this SPIB-like motif is only driving predictions for the dendritic cell single-task model. Notably, the dendritic cell single-task model also</w:t>
      </w:r>
      <w:r>
        <w:rPr>
          <w:color w:val="4A86E8"/>
          <w:spacing w:val="-3"/>
        </w:rPr>
        <w:t xml:space="preserve"> </w:t>
      </w:r>
      <w:r>
        <w:rPr>
          <w:color w:val="4A86E8"/>
        </w:rPr>
        <w:t>predicts</w:t>
      </w:r>
      <w:r>
        <w:rPr>
          <w:color w:val="4A86E8"/>
          <w:spacing w:val="-3"/>
        </w:rPr>
        <w:t xml:space="preserve"> </w:t>
      </w:r>
      <w:r>
        <w:rPr>
          <w:color w:val="4A86E8"/>
        </w:rPr>
        <w:t>a</w:t>
      </w:r>
      <w:r>
        <w:rPr>
          <w:color w:val="4A86E8"/>
          <w:spacing w:val="-3"/>
        </w:rPr>
        <w:t xml:space="preserve"> </w:t>
      </w:r>
      <w:r>
        <w:rPr>
          <w:color w:val="4A86E8"/>
        </w:rPr>
        <w:t>much</w:t>
      </w:r>
      <w:r>
        <w:rPr>
          <w:color w:val="4A86E8"/>
          <w:spacing w:val="-3"/>
        </w:rPr>
        <w:t xml:space="preserve"> </w:t>
      </w:r>
      <w:r>
        <w:rPr>
          <w:color w:val="4A86E8"/>
        </w:rPr>
        <w:t>stronger</w:t>
      </w:r>
      <w:r>
        <w:rPr>
          <w:color w:val="4A86E8"/>
          <w:spacing w:val="-3"/>
        </w:rPr>
        <w:t xml:space="preserve"> </w:t>
      </w:r>
      <w:r>
        <w:rPr>
          <w:color w:val="4A86E8"/>
        </w:rPr>
        <w:t>effect</w:t>
      </w:r>
      <w:r>
        <w:rPr>
          <w:color w:val="4A86E8"/>
          <w:spacing w:val="-3"/>
        </w:rPr>
        <w:t xml:space="preserve"> </w:t>
      </w:r>
      <w:r>
        <w:rPr>
          <w:color w:val="4A86E8"/>
        </w:rPr>
        <w:t>of</w:t>
      </w:r>
      <w:r>
        <w:rPr>
          <w:color w:val="4A86E8"/>
          <w:spacing w:val="-3"/>
        </w:rPr>
        <w:t xml:space="preserve"> </w:t>
      </w:r>
      <w:r>
        <w:rPr>
          <w:color w:val="4A86E8"/>
        </w:rPr>
        <w:t>the</w:t>
      </w:r>
      <w:r>
        <w:rPr>
          <w:color w:val="4A86E8"/>
          <w:spacing w:val="-3"/>
        </w:rPr>
        <w:t xml:space="preserve"> </w:t>
      </w:r>
      <w:r>
        <w:rPr>
          <w:color w:val="4A86E8"/>
        </w:rPr>
        <w:t>SPIB-like</w:t>
      </w:r>
      <w:r>
        <w:rPr>
          <w:color w:val="4A86E8"/>
          <w:spacing w:val="-3"/>
        </w:rPr>
        <w:t xml:space="preserve"> </w:t>
      </w:r>
      <w:r>
        <w:rPr>
          <w:color w:val="4A86E8"/>
        </w:rPr>
        <w:t>motif,</w:t>
      </w:r>
      <w:r>
        <w:rPr>
          <w:color w:val="4A86E8"/>
          <w:spacing w:val="-3"/>
        </w:rPr>
        <w:t xml:space="preserve"> </w:t>
      </w:r>
      <w:r>
        <w:rPr>
          <w:color w:val="4A86E8"/>
        </w:rPr>
        <w:t>mirroring</w:t>
      </w:r>
      <w:r>
        <w:rPr>
          <w:color w:val="4A86E8"/>
          <w:spacing w:val="-3"/>
        </w:rPr>
        <w:t xml:space="preserve"> </w:t>
      </w:r>
      <w:r>
        <w:rPr>
          <w:color w:val="4A86E8"/>
        </w:rPr>
        <w:t>the</w:t>
      </w:r>
      <w:r>
        <w:rPr>
          <w:color w:val="4A86E8"/>
          <w:spacing w:val="-3"/>
        </w:rPr>
        <w:t xml:space="preserve"> </w:t>
      </w:r>
      <w:r>
        <w:rPr>
          <w:color w:val="4A86E8"/>
        </w:rPr>
        <w:t>differences</w:t>
      </w:r>
      <w:r>
        <w:rPr>
          <w:color w:val="4A86E8"/>
          <w:spacing w:val="-3"/>
        </w:rPr>
        <w:t xml:space="preserve"> </w:t>
      </w:r>
      <w:r>
        <w:rPr>
          <w:color w:val="4A86E8"/>
        </w:rPr>
        <w:t>in</w:t>
      </w:r>
      <w:r>
        <w:rPr>
          <w:color w:val="4A86E8"/>
          <w:spacing w:val="-3"/>
        </w:rPr>
        <w:t xml:space="preserve"> </w:t>
      </w:r>
      <w:r>
        <w:rPr>
          <w:color w:val="4A86E8"/>
        </w:rPr>
        <w:t>predicted TF activity in Fig. S16b, where we observed stronger and more specific predicted SPIB activity in dendritic cells with single-task models.</w:t>
      </w:r>
    </w:p>
    <w:p w14:paraId="1CD72829" w14:textId="77777777" w:rsidR="00E211CC" w:rsidRDefault="00E211CC" w:rsidP="00E211CC">
      <w:pPr>
        <w:pStyle w:val="BodyText"/>
        <w:spacing w:before="38"/>
        <w:ind w:left="0"/>
      </w:pPr>
    </w:p>
    <w:p w14:paraId="052C7E0C" w14:textId="77777777" w:rsidR="00E211CC" w:rsidRDefault="00E211CC" w:rsidP="00E211CC">
      <w:pPr>
        <w:pStyle w:val="BodyText"/>
      </w:pPr>
      <w:r>
        <w:rPr>
          <w:color w:val="222222"/>
        </w:rPr>
        <w:t>Minor</w:t>
      </w:r>
      <w:r>
        <w:rPr>
          <w:color w:val="222222"/>
          <w:spacing w:val="-5"/>
        </w:rPr>
        <w:t xml:space="preserve"> </w:t>
      </w:r>
      <w:r>
        <w:rPr>
          <w:color w:val="222222"/>
          <w:spacing w:val="-2"/>
        </w:rPr>
        <w:t>comments</w:t>
      </w:r>
    </w:p>
    <w:p w14:paraId="16EC3AF9" w14:textId="77777777" w:rsidR="00E211CC" w:rsidRDefault="00E211CC" w:rsidP="00E211CC">
      <w:pPr>
        <w:pStyle w:val="BodyText"/>
        <w:spacing w:before="79"/>
        <w:ind w:left="0"/>
      </w:pPr>
    </w:p>
    <w:p w14:paraId="7F9F272A" w14:textId="77777777" w:rsidR="00E211CC" w:rsidRDefault="00E211CC" w:rsidP="00E211CC">
      <w:pPr>
        <w:pStyle w:val="ListParagraph"/>
        <w:widowControl w:val="0"/>
        <w:numPr>
          <w:ilvl w:val="0"/>
          <w:numId w:val="6"/>
        </w:numPr>
        <w:tabs>
          <w:tab w:val="left" w:pos="1370"/>
        </w:tabs>
        <w:autoSpaceDE w:val="0"/>
        <w:autoSpaceDN w:val="0"/>
        <w:spacing w:before="1" w:after="0" w:line="273" w:lineRule="auto"/>
        <w:ind w:right="6812" w:firstLine="0"/>
        <w:contextualSpacing w:val="0"/>
      </w:pPr>
      <w:r>
        <w:rPr>
          <w:color w:val="222222"/>
        </w:rPr>
        <w:t>Figure</w:t>
      </w:r>
      <w:r>
        <w:rPr>
          <w:color w:val="222222"/>
          <w:spacing w:val="-8"/>
        </w:rPr>
        <w:t xml:space="preserve"> </w:t>
      </w:r>
      <w:r>
        <w:rPr>
          <w:color w:val="222222"/>
        </w:rPr>
        <w:t>1,</w:t>
      </w:r>
      <w:r>
        <w:rPr>
          <w:color w:val="222222"/>
          <w:spacing w:val="-8"/>
        </w:rPr>
        <w:t xml:space="preserve"> </w:t>
      </w:r>
      <w:r>
        <w:rPr>
          <w:color w:val="222222"/>
        </w:rPr>
        <w:t>caption:</w:t>
      </w:r>
      <w:r>
        <w:rPr>
          <w:color w:val="222222"/>
          <w:spacing w:val="-8"/>
        </w:rPr>
        <w:t xml:space="preserve"> </w:t>
      </w:r>
      <w:r>
        <w:rPr>
          <w:color w:val="222222"/>
        </w:rPr>
        <w:t>cell</w:t>
      </w:r>
      <w:r>
        <w:rPr>
          <w:color w:val="222222"/>
          <w:spacing w:val="-9"/>
        </w:rPr>
        <w:t xml:space="preserve"> </w:t>
      </w:r>
      <w:r>
        <w:rPr>
          <w:color w:val="222222"/>
        </w:rPr>
        <w:t>-&gt;</w:t>
      </w:r>
      <w:r>
        <w:rPr>
          <w:color w:val="222222"/>
          <w:spacing w:val="-8"/>
        </w:rPr>
        <w:t xml:space="preserve"> </w:t>
      </w:r>
      <w:r>
        <w:rPr>
          <w:color w:val="222222"/>
        </w:rPr>
        <w:t xml:space="preserve">Cell. </w:t>
      </w:r>
      <w:r>
        <w:rPr>
          <w:color w:val="4A86E8"/>
        </w:rPr>
        <w:t>We have fixed this typo.</w:t>
      </w:r>
    </w:p>
    <w:p w14:paraId="17AE65C1" w14:textId="77777777" w:rsidR="00E211CC" w:rsidRDefault="00E211CC" w:rsidP="00E211CC">
      <w:pPr>
        <w:pStyle w:val="BodyText"/>
        <w:spacing w:before="38"/>
        <w:ind w:left="0"/>
      </w:pPr>
    </w:p>
    <w:p w14:paraId="18825B62" w14:textId="77777777" w:rsidR="00E211CC" w:rsidRDefault="00E211CC" w:rsidP="00E211CC">
      <w:pPr>
        <w:pStyle w:val="ListParagraph"/>
        <w:widowControl w:val="0"/>
        <w:numPr>
          <w:ilvl w:val="0"/>
          <w:numId w:val="6"/>
        </w:numPr>
        <w:tabs>
          <w:tab w:val="left" w:pos="1370"/>
        </w:tabs>
        <w:autoSpaceDE w:val="0"/>
        <w:autoSpaceDN w:val="0"/>
        <w:spacing w:before="1" w:after="0" w:line="278" w:lineRule="auto"/>
        <w:ind w:right="859" w:firstLine="0"/>
        <w:contextualSpacing w:val="0"/>
      </w:pPr>
      <w:r>
        <w:rPr>
          <w:color w:val="222222"/>
        </w:rPr>
        <w:t>Figure</w:t>
      </w:r>
      <w:r>
        <w:rPr>
          <w:color w:val="222222"/>
          <w:spacing w:val="-3"/>
        </w:rPr>
        <w:t xml:space="preserve"> </w:t>
      </w:r>
      <w:r>
        <w:rPr>
          <w:color w:val="222222"/>
        </w:rPr>
        <w:t>2a</w:t>
      </w:r>
      <w:r>
        <w:rPr>
          <w:color w:val="222222"/>
          <w:spacing w:val="-3"/>
        </w:rPr>
        <w:t xml:space="preserve"> </w:t>
      </w:r>
      <w:r>
        <w:rPr>
          <w:color w:val="222222"/>
        </w:rPr>
        <w:t>cannot</w:t>
      </w:r>
      <w:r>
        <w:rPr>
          <w:color w:val="222222"/>
          <w:spacing w:val="-3"/>
        </w:rPr>
        <w:t xml:space="preserve"> </w:t>
      </w:r>
      <w:r>
        <w:rPr>
          <w:color w:val="222222"/>
        </w:rPr>
        <w:t>be</w:t>
      </w:r>
      <w:r>
        <w:rPr>
          <w:color w:val="222222"/>
          <w:spacing w:val="-3"/>
        </w:rPr>
        <w:t xml:space="preserve"> </w:t>
      </w:r>
      <w:r>
        <w:rPr>
          <w:color w:val="222222"/>
        </w:rPr>
        <w:t>referenced</w:t>
      </w:r>
      <w:r>
        <w:rPr>
          <w:color w:val="222222"/>
          <w:spacing w:val="-3"/>
        </w:rPr>
        <w:t xml:space="preserve"> </w:t>
      </w:r>
      <w:r>
        <w:rPr>
          <w:color w:val="222222"/>
        </w:rPr>
        <w:t>after</w:t>
      </w:r>
      <w:r>
        <w:rPr>
          <w:color w:val="222222"/>
          <w:spacing w:val="-3"/>
        </w:rPr>
        <w:t xml:space="preserve"> </w:t>
      </w:r>
      <w:r>
        <w:rPr>
          <w:color w:val="222222"/>
        </w:rPr>
        <w:t>2b,c.</w:t>
      </w:r>
      <w:r>
        <w:rPr>
          <w:color w:val="222222"/>
          <w:spacing w:val="-3"/>
        </w:rPr>
        <w:t xml:space="preserve"> </w:t>
      </w:r>
      <w:r>
        <w:rPr>
          <w:color w:val="222222"/>
        </w:rPr>
        <w:t>Also,</w:t>
      </w:r>
      <w:r>
        <w:rPr>
          <w:color w:val="222222"/>
          <w:spacing w:val="-3"/>
        </w:rPr>
        <w:t xml:space="preserve"> </w:t>
      </w:r>
      <w:r>
        <w:rPr>
          <w:color w:val="222222"/>
        </w:rPr>
        <w:t>Figure</w:t>
      </w:r>
      <w:r>
        <w:rPr>
          <w:color w:val="222222"/>
          <w:spacing w:val="-3"/>
        </w:rPr>
        <w:t xml:space="preserve"> </w:t>
      </w:r>
      <w:r>
        <w:rPr>
          <w:color w:val="222222"/>
        </w:rPr>
        <w:t>S6,</w:t>
      </w:r>
      <w:r>
        <w:rPr>
          <w:color w:val="222222"/>
          <w:spacing w:val="-3"/>
        </w:rPr>
        <w:t xml:space="preserve"> </w:t>
      </w:r>
      <w:r>
        <w:rPr>
          <w:color w:val="222222"/>
        </w:rPr>
        <w:t>S7</w:t>
      </w:r>
      <w:r>
        <w:rPr>
          <w:color w:val="222222"/>
          <w:spacing w:val="-3"/>
        </w:rPr>
        <w:t xml:space="preserve"> </w:t>
      </w:r>
      <w:r>
        <w:rPr>
          <w:color w:val="222222"/>
        </w:rPr>
        <w:t>come</w:t>
      </w:r>
      <w:r>
        <w:rPr>
          <w:color w:val="222222"/>
          <w:spacing w:val="-3"/>
        </w:rPr>
        <w:t xml:space="preserve"> </w:t>
      </w:r>
      <w:r>
        <w:rPr>
          <w:color w:val="222222"/>
        </w:rPr>
        <w:t>after</w:t>
      </w:r>
      <w:r>
        <w:rPr>
          <w:color w:val="222222"/>
          <w:spacing w:val="-3"/>
        </w:rPr>
        <w:t xml:space="preserve"> </w:t>
      </w:r>
      <w:r>
        <w:rPr>
          <w:color w:val="222222"/>
        </w:rPr>
        <w:t>S2,</w:t>
      </w:r>
      <w:r>
        <w:rPr>
          <w:color w:val="222222"/>
          <w:spacing w:val="-3"/>
        </w:rPr>
        <w:t xml:space="preserve"> </w:t>
      </w:r>
      <w:r>
        <w:rPr>
          <w:color w:val="222222"/>
        </w:rPr>
        <w:t>and</w:t>
      </w:r>
      <w:r>
        <w:rPr>
          <w:color w:val="222222"/>
          <w:spacing w:val="-3"/>
        </w:rPr>
        <w:t xml:space="preserve"> </w:t>
      </w:r>
      <w:r>
        <w:rPr>
          <w:color w:val="222222"/>
        </w:rPr>
        <w:t>then</w:t>
      </w:r>
      <w:r>
        <w:rPr>
          <w:color w:val="222222"/>
          <w:spacing w:val="-3"/>
        </w:rPr>
        <w:t xml:space="preserve"> </w:t>
      </w:r>
      <w:r>
        <w:rPr>
          <w:color w:val="222222"/>
        </w:rPr>
        <w:t>S4 and S5. Correct all reference order.</w:t>
      </w:r>
    </w:p>
    <w:p w14:paraId="5BF86FE7" w14:textId="77777777" w:rsidR="00E211CC" w:rsidRDefault="00E211CC" w:rsidP="00E211CC">
      <w:pPr>
        <w:pStyle w:val="BodyText"/>
        <w:spacing w:line="252" w:lineRule="exact"/>
      </w:pPr>
      <w:r>
        <w:rPr>
          <w:color w:val="4A86E8"/>
        </w:rPr>
        <w:t>Thank</w:t>
      </w:r>
      <w:r>
        <w:rPr>
          <w:color w:val="4A86E8"/>
          <w:spacing w:val="-7"/>
        </w:rPr>
        <w:t xml:space="preserve"> </w:t>
      </w:r>
      <w:r>
        <w:rPr>
          <w:color w:val="4A86E8"/>
        </w:rPr>
        <w:t>you</w:t>
      </w:r>
      <w:r>
        <w:rPr>
          <w:color w:val="4A86E8"/>
          <w:spacing w:val="-5"/>
        </w:rPr>
        <w:t xml:space="preserve"> </w:t>
      </w:r>
      <w:r>
        <w:rPr>
          <w:color w:val="4A86E8"/>
        </w:rPr>
        <w:t>for</w:t>
      </w:r>
      <w:r>
        <w:rPr>
          <w:color w:val="4A86E8"/>
          <w:spacing w:val="-5"/>
        </w:rPr>
        <w:t xml:space="preserve"> </w:t>
      </w:r>
      <w:r>
        <w:rPr>
          <w:color w:val="4A86E8"/>
        </w:rPr>
        <w:t>pointing</w:t>
      </w:r>
      <w:r>
        <w:rPr>
          <w:color w:val="4A86E8"/>
          <w:spacing w:val="-5"/>
        </w:rPr>
        <w:t xml:space="preserve"> </w:t>
      </w:r>
      <w:r>
        <w:rPr>
          <w:color w:val="4A86E8"/>
        </w:rPr>
        <w:t>this</w:t>
      </w:r>
      <w:r>
        <w:rPr>
          <w:color w:val="4A86E8"/>
          <w:spacing w:val="-5"/>
        </w:rPr>
        <w:t xml:space="preserve"> </w:t>
      </w:r>
      <w:r>
        <w:rPr>
          <w:color w:val="4A86E8"/>
        </w:rPr>
        <w:t>out;</w:t>
      </w:r>
      <w:r>
        <w:rPr>
          <w:color w:val="4A86E8"/>
          <w:spacing w:val="-5"/>
        </w:rPr>
        <w:t xml:space="preserve"> </w:t>
      </w:r>
      <w:r>
        <w:rPr>
          <w:color w:val="4A86E8"/>
        </w:rPr>
        <w:t>we</w:t>
      </w:r>
      <w:r>
        <w:rPr>
          <w:color w:val="4A86E8"/>
          <w:spacing w:val="-5"/>
        </w:rPr>
        <w:t xml:space="preserve"> </w:t>
      </w:r>
      <w:r>
        <w:rPr>
          <w:color w:val="4A86E8"/>
        </w:rPr>
        <w:t>have</w:t>
      </w:r>
      <w:r>
        <w:rPr>
          <w:color w:val="4A86E8"/>
          <w:spacing w:val="-5"/>
        </w:rPr>
        <w:t xml:space="preserve"> </w:t>
      </w:r>
      <w:r>
        <w:rPr>
          <w:color w:val="4A86E8"/>
        </w:rPr>
        <w:t>corrected</w:t>
      </w:r>
      <w:r>
        <w:rPr>
          <w:color w:val="4A86E8"/>
          <w:spacing w:val="-5"/>
        </w:rPr>
        <w:t xml:space="preserve"> </w:t>
      </w:r>
      <w:r>
        <w:rPr>
          <w:color w:val="4A86E8"/>
        </w:rPr>
        <w:t>the</w:t>
      </w:r>
      <w:r>
        <w:rPr>
          <w:color w:val="4A86E8"/>
          <w:spacing w:val="-5"/>
        </w:rPr>
        <w:t xml:space="preserve"> </w:t>
      </w:r>
      <w:r>
        <w:rPr>
          <w:color w:val="4A86E8"/>
        </w:rPr>
        <w:t>reference</w:t>
      </w:r>
      <w:r>
        <w:rPr>
          <w:color w:val="4A86E8"/>
          <w:spacing w:val="-4"/>
        </w:rPr>
        <w:t xml:space="preserve"> </w:t>
      </w:r>
      <w:r>
        <w:rPr>
          <w:color w:val="4A86E8"/>
          <w:spacing w:val="-2"/>
        </w:rPr>
        <w:t>orderings.</w:t>
      </w:r>
    </w:p>
    <w:p w14:paraId="64E9DEB0" w14:textId="77777777" w:rsidR="00E211CC" w:rsidRDefault="00E211CC" w:rsidP="00E211CC">
      <w:pPr>
        <w:pStyle w:val="BodyText"/>
        <w:spacing w:before="74"/>
        <w:ind w:left="0"/>
      </w:pPr>
    </w:p>
    <w:p w14:paraId="7B10E3BF" w14:textId="77777777" w:rsidR="00E211CC" w:rsidRDefault="00E211CC" w:rsidP="00E211CC">
      <w:pPr>
        <w:pStyle w:val="ListParagraph"/>
        <w:widowControl w:val="0"/>
        <w:numPr>
          <w:ilvl w:val="0"/>
          <w:numId w:val="6"/>
        </w:numPr>
        <w:tabs>
          <w:tab w:val="left" w:pos="1370"/>
        </w:tabs>
        <w:autoSpaceDE w:val="0"/>
        <w:autoSpaceDN w:val="0"/>
        <w:spacing w:after="0" w:line="273" w:lineRule="auto"/>
        <w:ind w:right="1154" w:firstLine="0"/>
        <w:contextualSpacing w:val="0"/>
      </w:pPr>
      <w:r>
        <w:rPr>
          <w:color w:val="222222"/>
        </w:rPr>
        <w:t>Results,</w:t>
      </w:r>
      <w:r>
        <w:rPr>
          <w:color w:val="222222"/>
          <w:spacing w:val="-3"/>
        </w:rPr>
        <w:t xml:space="preserve"> </w:t>
      </w:r>
      <w:r>
        <w:rPr>
          <w:color w:val="222222"/>
        </w:rPr>
        <w:t>1st</w:t>
      </w:r>
      <w:r>
        <w:rPr>
          <w:color w:val="222222"/>
          <w:spacing w:val="-3"/>
        </w:rPr>
        <w:t xml:space="preserve"> </w:t>
      </w:r>
      <w:r>
        <w:rPr>
          <w:color w:val="222222"/>
        </w:rPr>
        <w:t>subsection:</w:t>
      </w:r>
      <w:r>
        <w:rPr>
          <w:color w:val="222222"/>
          <w:spacing w:val="-3"/>
        </w:rPr>
        <w:t xml:space="preserve"> </w:t>
      </w:r>
      <w:r>
        <w:rPr>
          <w:color w:val="222222"/>
        </w:rPr>
        <w:t>Does</w:t>
      </w:r>
      <w:r>
        <w:rPr>
          <w:color w:val="222222"/>
          <w:spacing w:val="-3"/>
        </w:rPr>
        <w:t xml:space="preserve"> </w:t>
      </w:r>
      <w:r>
        <w:rPr>
          <w:color w:val="222222"/>
        </w:rPr>
        <w:t>Sei</w:t>
      </w:r>
      <w:r>
        <w:rPr>
          <w:color w:val="222222"/>
          <w:spacing w:val="-3"/>
        </w:rPr>
        <w:t xml:space="preserve"> </w:t>
      </w:r>
      <w:r>
        <w:rPr>
          <w:color w:val="222222"/>
        </w:rPr>
        <w:t>model</w:t>
      </w:r>
      <w:r>
        <w:rPr>
          <w:color w:val="222222"/>
          <w:spacing w:val="-3"/>
        </w:rPr>
        <w:t xml:space="preserve"> </w:t>
      </w:r>
      <w:r>
        <w:rPr>
          <w:color w:val="222222"/>
        </w:rPr>
        <w:t>outputs</w:t>
      </w:r>
      <w:r>
        <w:rPr>
          <w:color w:val="222222"/>
          <w:spacing w:val="-3"/>
        </w:rPr>
        <w:t xml:space="preserve"> </w:t>
      </w:r>
      <w:r>
        <w:rPr>
          <w:color w:val="222222"/>
        </w:rPr>
        <w:t>a</w:t>
      </w:r>
      <w:r>
        <w:rPr>
          <w:color w:val="222222"/>
          <w:spacing w:val="-3"/>
        </w:rPr>
        <w:t xml:space="preserve"> </w:t>
      </w:r>
      <w:r>
        <w:rPr>
          <w:color w:val="222222"/>
        </w:rPr>
        <w:t>binary</w:t>
      </w:r>
      <w:r>
        <w:rPr>
          <w:color w:val="222222"/>
          <w:spacing w:val="-3"/>
        </w:rPr>
        <w:t xml:space="preserve"> </w:t>
      </w:r>
      <w:r>
        <w:rPr>
          <w:color w:val="222222"/>
        </w:rPr>
        <w:t>value</w:t>
      </w:r>
      <w:r>
        <w:rPr>
          <w:color w:val="222222"/>
          <w:spacing w:val="-3"/>
        </w:rPr>
        <w:t xml:space="preserve"> </w:t>
      </w:r>
      <w:r>
        <w:rPr>
          <w:color w:val="222222"/>
        </w:rPr>
        <w:t>or</w:t>
      </w:r>
      <w:r>
        <w:rPr>
          <w:color w:val="222222"/>
          <w:spacing w:val="-3"/>
        </w:rPr>
        <w:t xml:space="preserve"> </w:t>
      </w:r>
      <w:r>
        <w:rPr>
          <w:color w:val="222222"/>
        </w:rPr>
        <w:t>a</w:t>
      </w:r>
      <w:r>
        <w:rPr>
          <w:color w:val="222222"/>
          <w:spacing w:val="-3"/>
        </w:rPr>
        <w:t xml:space="preserve"> </w:t>
      </w:r>
      <w:r>
        <w:rPr>
          <w:color w:val="222222"/>
        </w:rPr>
        <w:t>probability?</w:t>
      </w:r>
      <w:r>
        <w:rPr>
          <w:color w:val="222222"/>
          <w:spacing w:val="-3"/>
        </w:rPr>
        <w:t xml:space="preserve"> </w:t>
      </w:r>
      <w:r>
        <w:rPr>
          <w:color w:val="222222"/>
        </w:rPr>
        <w:t>(binary value would not allow for ranking, which is required for AUROC, AUPR calculation)</w:t>
      </w:r>
    </w:p>
    <w:p w14:paraId="51FE001C" w14:textId="77777777" w:rsidR="00E211CC" w:rsidRDefault="00E211CC" w:rsidP="00E211CC">
      <w:pPr>
        <w:pStyle w:val="BodyText"/>
        <w:spacing w:before="4" w:line="276" w:lineRule="auto"/>
        <w:ind w:right="861"/>
      </w:pPr>
      <w:r>
        <w:rPr>
          <w:color w:val="4A86E8"/>
        </w:rPr>
        <w:t>The</w:t>
      </w:r>
      <w:r>
        <w:rPr>
          <w:color w:val="4A86E8"/>
          <w:spacing w:val="-3"/>
        </w:rPr>
        <w:t xml:space="preserve"> </w:t>
      </w:r>
      <w:r>
        <w:rPr>
          <w:color w:val="4A86E8"/>
        </w:rPr>
        <w:t>Sei</w:t>
      </w:r>
      <w:r>
        <w:rPr>
          <w:color w:val="4A86E8"/>
          <w:spacing w:val="-3"/>
        </w:rPr>
        <w:t xml:space="preserve"> </w:t>
      </w:r>
      <w:r>
        <w:rPr>
          <w:color w:val="4A86E8"/>
        </w:rPr>
        <w:t>model</w:t>
      </w:r>
      <w:r>
        <w:rPr>
          <w:color w:val="4A86E8"/>
          <w:spacing w:val="-3"/>
        </w:rPr>
        <w:t xml:space="preserve"> </w:t>
      </w:r>
      <w:r>
        <w:rPr>
          <w:color w:val="4A86E8"/>
        </w:rPr>
        <w:t>outputs</w:t>
      </w:r>
      <w:r>
        <w:rPr>
          <w:color w:val="4A86E8"/>
          <w:spacing w:val="-3"/>
        </w:rPr>
        <w:t xml:space="preserve"> </w:t>
      </w:r>
      <w:r>
        <w:rPr>
          <w:color w:val="4A86E8"/>
        </w:rPr>
        <w:t>a</w:t>
      </w:r>
      <w:r>
        <w:rPr>
          <w:color w:val="4A86E8"/>
          <w:spacing w:val="-3"/>
        </w:rPr>
        <w:t xml:space="preserve"> </w:t>
      </w:r>
      <w:r>
        <w:rPr>
          <w:color w:val="4A86E8"/>
        </w:rPr>
        <w:t>probability.</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updated</w:t>
      </w:r>
      <w:r>
        <w:rPr>
          <w:color w:val="4A86E8"/>
          <w:spacing w:val="-3"/>
        </w:rPr>
        <w:t xml:space="preserve"> </w:t>
      </w:r>
      <w:r>
        <w:rPr>
          <w:color w:val="4A86E8"/>
        </w:rPr>
        <w:t>the</w:t>
      </w:r>
      <w:r>
        <w:rPr>
          <w:color w:val="4A86E8"/>
          <w:spacing w:val="-3"/>
        </w:rPr>
        <w:t xml:space="preserve"> </w:t>
      </w:r>
      <w:r>
        <w:rPr>
          <w:color w:val="4A86E8"/>
        </w:rPr>
        <w:t>relevant</w:t>
      </w:r>
      <w:r>
        <w:rPr>
          <w:color w:val="4A86E8"/>
          <w:spacing w:val="-3"/>
        </w:rPr>
        <w:t xml:space="preserve"> </w:t>
      </w:r>
      <w:r>
        <w:rPr>
          <w:color w:val="4A86E8"/>
        </w:rPr>
        <w:t>results</w:t>
      </w:r>
      <w:r>
        <w:rPr>
          <w:color w:val="4A86E8"/>
          <w:spacing w:val="-3"/>
        </w:rPr>
        <w:t xml:space="preserve"> </w:t>
      </w:r>
      <w:r>
        <w:rPr>
          <w:color w:val="4A86E8"/>
        </w:rPr>
        <w:t>section</w:t>
      </w:r>
      <w:r>
        <w:rPr>
          <w:color w:val="4A86E8"/>
          <w:spacing w:val="-3"/>
        </w:rPr>
        <w:t xml:space="preserve"> </w:t>
      </w:r>
      <w:r>
        <w:rPr>
          <w:color w:val="4A86E8"/>
        </w:rPr>
        <w:t>to</w:t>
      </w:r>
      <w:r>
        <w:rPr>
          <w:color w:val="4A86E8"/>
          <w:spacing w:val="-3"/>
        </w:rPr>
        <w:t xml:space="preserve"> </w:t>
      </w:r>
      <w:r>
        <w:rPr>
          <w:color w:val="4A86E8"/>
        </w:rPr>
        <w:t>read:</w:t>
      </w:r>
      <w:r>
        <w:rPr>
          <w:color w:val="4A86E8"/>
          <w:spacing w:val="-3"/>
        </w:rPr>
        <w:t xml:space="preserve"> </w:t>
      </w:r>
      <w:r>
        <w:rPr>
          <w:color w:val="4A86E8"/>
        </w:rPr>
        <w:t xml:space="preserve">“For the Sei model, which predicts a probability of </w:t>
      </w:r>
      <w:r>
        <w:rPr>
          <w:strike/>
          <w:color w:val="4A86E8"/>
        </w:rPr>
        <w:t>binary value corresponding to</w:t>
      </w:r>
      <w:r>
        <w:rPr>
          <w:color w:val="4A86E8"/>
        </w:rPr>
        <w:t xml:space="preserve"> the presence </w:t>
      </w:r>
      <w:r>
        <w:rPr>
          <w:strike/>
          <w:color w:val="4A86E8"/>
        </w:rPr>
        <w:t>or</w:t>
      </w:r>
      <w:r>
        <w:rPr>
          <w:color w:val="4A86E8"/>
        </w:rPr>
        <w:t xml:space="preserve"> </w:t>
      </w:r>
      <w:r>
        <w:rPr>
          <w:strike/>
          <w:color w:val="4A86E8"/>
        </w:rPr>
        <w:t xml:space="preserve">absence </w:t>
      </w:r>
      <w:r>
        <w:rPr>
          <w:color w:val="4A86E8"/>
        </w:rPr>
        <w:t>of a peak, we report the AUC and AUPRC for the predictions in each bin.”</w:t>
      </w:r>
    </w:p>
    <w:p w14:paraId="18571767" w14:textId="77777777" w:rsidR="00E211CC" w:rsidRDefault="00E211CC" w:rsidP="00E211CC">
      <w:pPr>
        <w:pStyle w:val="BodyText"/>
        <w:spacing w:before="41"/>
        <w:ind w:left="0"/>
      </w:pPr>
    </w:p>
    <w:p w14:paraId="60298D1A" w14:textId="77777777" w:rsidR="00E211CC" w:rsidRDefault="00E211CC" w:rsidP="00E211CC">
      <w:pPr>
        <w:pStyle w:val="ListParagraph"/>
        <w:widowControl w:val="0"/>
        <w:numPr>
          <w:ilvl w:val="0"/>
          <w:numId w:val="6"/>
        </w:numPr>
        <w:tabs>
          <w:tab w:val="left" w:pos="1370"/>
        </w:tabs>
        <w:autoSpaceDE w:val="0"/>
        <w:autoSpaceDN w:val="0"/>
        <w:spacing w:after="0" w:line="276" w:lineRule="auto"/>
        <w:ind w:right="872" w:firstLine="0"/>
        <w:contextualSpacing w:val="0"/>
      </w:pPr>
      <w:r>
        <w:rPr>
          <w:color w:val="222222"/>
        </w:rPr>
        <w:t>Multiple</w:t>
      </w:r>
      <w:r>
        <w:rPr>
          <w:color w:val="222222"/>
          <w:spacing w:val="-3"/>
        </w:rPr>
        <w:t xml:space="preserve"> </w:t>
      </w:r>
      <w:r>
        <w:rPr>
          <w:color w:val="222222"/>
        </w:rPr>
        <w:t>figures:</w:t>
      </w:r>
      <w:r>
        <w:rPr>
          <w:color w:val="222222"/>
          <w:spacing w:val="-3"/>
        </w:rPr>
        <w:t xml:space="preserve"> </w:t>
      </w:r>
      <w:r>
        <w:rPr>
          <w:color w:val="222222"/>
        </w:rPr>
        <w:t>What</w:t>
      </w:r>
      <w:r>
        <w:rPr>
          <w:color w:val="222222"/>
          <w:spacing w:val="-3"/>
        </w:rPr>
        <w:t xml:space="preserve"> </w:t>
      </w:r>
      <w:r>
        <w:rPr>
          <w:color w:val="222222"/>
        </w:rPr>
        <w:t>is</w:t>
      </w:r>
      <w:r>
        <w:rPr>
          <w:color w:val="222222"/>
          <w:spacing w:val="-3"/>
        </w:rPr>
        <w:t xml:space="preserve"> </w:t>
      </w:r>
      <w:r>
        <w:rPr>
          <w:color w:val="222222"/>
        </w:rPr>
        <w:t>the</w:t>
      </w:r>
      <w:r>
        <w:rPr>
          <w:color w:val="222222"/>
          <w:spacing w:val="-3"/>
        </w:rPr>
        <w:t xml:space="preserve"> </w:t>
      </w:r>
      <w:r>
        <w:rPr>
          <w:color w:val="222222"/>
        </w:rPr>
        <w:t>"log-log"</w:t>
      </w:r>
      <w:r>
        <w:rPr>
          <w:color w:val="222222"/>
          <w:spacing w:val="-3"/>
        </w:rPr>
        <w:t xml:space="preserve"> </w:t>
      </w:r>
      <w:r>
        <w:rPr>
          <w:color w:val="222222"/>
        </w:rPr>
        <w:t>Pearson</w:t>
      </w:r>
      <w:r>
        <w:rPr>
          <w:color w:val="222222"/>
          <w:spacing w:val="-3"/>
        </w:rPr>
        <w:t xml:space="preserve"> </w:t>
      </w:r>
      <w:r>
        <w:rPr>
          <w:color w:val="222222"/>
        </w:rPr>
        <w:t>R?</w:t>
      </w:r>
      <w:r>
        <w:rPr>
          <w:color w:val="222222"/>
          <w:spacing w:val="-3"/>
        </w:rPr>
        <w:t xml:space="preserve"> </w:t>
      </w:r>
      <w:r>
        <w:rPr>
          <w:color w:val="222222"/>
        </w:rPr>
        <w:t>we</w:t>
      </w:r>
      <w:r>
        <w:rPr>
          <w:color w:val="222222"/>
          <w:spacing w:val="-3"/>
        </w:rPr>
        <w:t xml:space="preserve"> </w:t>
      </w:r>
      <w:r>
        <w:rPr>
          <w:color w:val="222222"/>
        </w:rPr>
        <w:t>assume</w:t>
      </w:r>
      <w:r>
        <w:rPr>
          <w:color w:val="222222"/>
          <w:spacing w:val="-3"/>
        </w:rPr>
        <w:t xml:space="preserve"> </w:t>
      </w:r>
      <w:r>
        <w:rPr>
          <w:color w:val="222222"/>
        </w:rPr>
        <w:t>it's</w:t>
      </w:r>
      <w:r>
        <w:rPr>
          <w:color w:val="222222"/>
          <w:spacing w:val="-3"/>
        </w:rPr>
        <w:t xml:space="preserve"> </w:t>
      </w:r>
      <w:r>
        <w:rPr>
          <w:color w:val="222222"/>
        </w:rPr>
        <w:t>the</w:t>
      </w:r>
      <w:r>
        <w:rPr>
          <w:color w:val="222222"/>
          <w:spacing w:val="-3"/>
        </w:rPr>
        <w:t xml:space="preserve"> </w:t>
      </w:r>
      <w:r>
        <w:rPr>
          <w:color w:val="222222"/>
        </w:rPr>
        <w:t>Pearson</w:t>
      </w:r>
      <w:r>
        <w:rPr>
          <w:color w:val="222222"/>
          <w:spacing w:val="-3"/>
        </w:rPr>
        <w:t xml:space="preserve"> </w:t>
      </w:r>
      <w:r>
        <w:rPr>
          <w:color w:val="222222"/>
        </w:rPr>
        <w:t>R</w:t>
      </w:r>
      <w:r>
        <w:rPr>
          <w:color w:val="222222"/>
          <w:spacing w:val="-3"/>
        </w:rPr>
        <w:t xml:space="preserve"> </w:t>
      </w:r>
      <w:r>
        <w:rPr>
          <w:color w:val="222222"/>
        </w:rPr>
        <w:t>on</w:t>
      </w:r>
      <w:r>
        <w:rPr>
          <w:color w:val="222222"/>
          <w:spacing w:val="-3"/>
        </w:rPr>
        <w:t xml:space="preserve"> </w:t>
      </w:r>
      <w:r>
        <w:rPr>
          <w:color w:val="222222"/>
        </w:rPr>
        <w:t>the</w:t>
      </w:r>
      <w:r>
        <w:rPr>
          <w:color w:val="222222"/>
          <w:spacing w:val="-3"/>
        </w:rPr>
        <w:t xml:space="preserve"> </w:t>
      </w:r>
      <w:r>
        <w:rPr>
          <w:color w:val="222222"/>
        </w:rPr>
        <w:t xml:space="preserve">log values of predicted and log values of measured. Thus, it is Pearson R and not "log-log Pearson </w:t>
      </w:r>
      <w:r>
        <w:rPr>
          <w:color w:val="222222"/>
          <w:spacing w:val="-4"/>
        </w:rPr>
        <w:t>R".</w:t>
      </w:r>
    </w:p>
    <w:p w14:paraId="3517119C" w14:textId="77777777" w:rsidR="00E211CC" w:rsidRDefault="00E211CC" w:rsidP="00E211CC">
      <w:pPr>
        <w:pStyle w:val="BodyText"/>
        <w:spacing w:line="278" w:lineRule="auto"/>
        <w:ind w:right="861"/>
      </w:pPr>
      <w:r>
        <w:rPr>
          <w:color w:val="4A86E8"/>
        </w:rPr>
        <w:t>You</w:t>
      </w:r>
      <w:r>
        <w:rPr>
          <w:color w:val="4A86E8"/>
          <w:spacing w:val="-2"/>
        </w:rPr>
        <w:t xml:space="preserve"> </w:t>
      </w:r>
      <w:r>
        <w:rPr>
          <w:color w:val="4A86E8"/>
        </w:rPr>
        <w:t>are</w:t>
      </w:r>
      <w:r>
        <w:rPr>
          <w:color w:val="4A86E8"/>
          <w:spacing w:val="-3"/>
        </w:rPr>
        <w:t xml:space="preserve"> </w:t>
      </w:r>
      <w:r>
        <w:rPr>
          <w:color w:val="4A86E8"/>
        </w:rPr>
        <w:t>correct</w:t>
      </w:r>
      <w:r>
        <w:rPr>
          <w:color w:val="4A86E8"/>
          <w:spacing w:val="-2"/>
        </w:rPr>
        <w:t xml:space="preserve"> </w:t>
      </w:r>
      <w:r>
        <w:rPr>
          <w:color w:val="4A86E8"/>
        </w:rPr>
        <w:t>that</w:t>
      </w:r>
      <w:r>
        <w:rPr>
          <w:color w:val="4A86E8"/>
          <w:spacing w:val="-3"/>
        </w:rPr>
        <w:t xml:space="preserve"> </w:t>
      </w:r>
      <w:r>
        <w:rPr>
          <w:color w:val="4A86E8"/>
        </w:rPr>
        <w:t>we</w:t>
      </w:r>
      <w:r>
        <w:rPr>
          <w:color w:val="4A86E8"/>
          <w:spacing w:val="-2"/>
        </w:rPr>
        <w:t xml:space="preserve"> </w:t>
      </w:r>
      <w:r>
        <w:rPr>
          <w:color w:val="4A86E8"/>
        </w:rPr>
        <w:t>are</w:t>
      </w:r>
      <w:r>
        <w:rPr>
          <w:color w:val="4A86E8"/>
          <w:spacing w:val="-3"/>
        </w:rPr>
        <w:t xml:space="preserve"> </w:t>
      </w:r>
      <w:r>
        <w:rPr>
          <w:color w:val="4A86E8"/>
        </w:rPr>
        <w:t>referring</w:t>
      </w:r>
      <w:r>
        <w:rPr>
          <w:color w:val="4A86E8"/>
          <w:spacing w:val="-2"/>
        </w:rPr>
        <w:t xml:space="preserve"> </w:t>
      </w:r>
      <w:r>
        <w:rPr>
          <w:color w:val="4A86E8"/>
        </w:rPr>
        <w:t>to</w:t>
      </w:r>
      <w:r>
        <w:rPr>
          <w:color w:val="4A86E8"/>
          <w:spacing w:val="-3"/>
        </w:rPr>
        <w:t xml:space="preserve"> </w:t>
      </w:r>
      <w:r>
        <w:rPr>
          <w:color w:val="4A86E8"/>
        </w:rPr>
        <w:t>the</w:t>
      </w:r>
      <w:r>
        <w:rPr>
          <w:color w:val="4A86E8"/>
          <w:spacing w:val="-2"/>
        </w:rPr>
        <w:t xml:space="preserve"> </w:t>
      </w:r>
      <w:r>
        <w:rPr>
          <w:color w:val="4A86E8"/>
        </w:rPr>
        <w:t>Pearson</w:t>
      </w:r>
      <w:r>
        <w:rPr>
          <w:color w:val="4A86E8"/>
          <w:spacing w:val="-3"/>
        </w:rPr>
        <w:t xml:space="preserve"> </w:t>
      </w:r>
      <w:r>
        <w:rPr>
          <w:color w:val="4A86E8"/>
        </w:rPr>
        <w:t>R</w:t>
      </w:r>
      <w:r>
        <w:rPr>
          <w:color w:val="4A86E8"/>
          <w:spacing w:val="-2"/>
        </w:rPr>
        <w:t xml:space="preserve"> </w:t>
      </w:r>
      <w:r>
        <w:rPr>
          <w:color w:val="4A86E8"/>
        </w:rPr>
        <w:t>on</w:t>
      </w:r>
      <w:r>
        <w:rPr>
          <w:color w:val="4A86E8"/>
          <w:spacing w:val="-3"/>
        </w:rPr>
        <w:t xml:space="preserve"> </w:t>
      </w:r>
      <w:r>
        <w:rPr>
          <w:color w:val="4A86E8"/>
        </w:rPr>
        <w:t>the</w:t>
      </w:r>
      <w:r>
        <w:rPr>
          <w:color w:val="4A86E8"/>
          <w:spacing w:val="-2"/>
        </w:rPr>
        <w:t xml:space="preserve"> </w:t>
      </w:r>
      <w:r>
        <w:rPr>
          <w:color w:val="4A86E8"/>
        </w:rPr>
        <w:t>log</w:t>
      </w:r>
      <w:r>
        <w:rPr>
          <w:color w:val="4A86E8"/>
          <w:spacing w:val="-3"/>
        </w:rPr>
        <w:t xml:space="preserve"> </w:t>
      </w:r>
      <w:r>
        <w:rPr>
          <w:color w:val="4A86E8"/>
        </w:rPr>
        <w:t>predicted</w:t>
      </w:r>
      <w:r>
        <w:rPr>
          <w:color w:val="4A86E8"/>
          <w:spacing w:val="-2"/>
        </w:rPr>
        <w:t xml:space="preserve"> </w:t>
      </w:r>
      <w:r>
        <w:rPr>
          <w:color w:val="4A86E8"/>
        </w:rPr>
        <w:t>and</w:t>
      </w:r>
      <w:r>
        <w:rPr>
          <w:color w:val="4A86E8"/>
          <w:spacing w:val="-3"/>
        </w:rPr>
        <w:t xml:space="preserve"> </w:t>
      </w:r>
      <w:r>
        <w:rPr>
          <w:color w:val="4A86E8"/>
        </w:rPr>
        <w:t>log</w:t>
      </w:r>
      <w:r>
        <w:rPr>
          <w:color w:val="4A86E8"/>
          <w:spacing w:val="-2"/>
        </w:rPr>
        <w:t xml:space="preserve"> </w:t>
      </w:r>
      <w:r>
        <w:rPr>
          <w:color w:val="4A86E8"/>
        </w:rPr>
        <w:t>measured values. We have updated the text and figures to read “Pearson R” to avoid confusion.</w:t>
      </w:r>
    </w:p>
    <w:p w14:paraId="510B6E7A" w14:textId="77777777" w:rsidR="00E211CC" w:rsidRDefault="00E211CC" w:rsidP="00E211CC">
      <w:pPr>
        <w:pStyle w:val="BodyText"/>
        <w:spacing w:before="30"/>
        <w:ind w:left="0"/>
      </w:pPr>
    </w:p>
    <w:p w14:paraId="3E9A323C" w14:textId="77777777" w:rsidR="00E211CC" w:rsidRDefault="00E211CC" w:rsidP="00E211CC">
      <w:pPr>
        <w:pStyle w:val="ListParagraph"/>
        <w:widowControl w:val="0"/>
        <w:numPr>
          <w:ilvl w:val="0"/>
          <w:numId w:val="6"/>
        </w:numPr>
        <w:tabs>
          <w:tab w:val="left" w:pos="1431"/>
        </w:tabs>
        <w:autoSpaceDE w:val="0"/>
        <w:autoSpaceDN w:val="0"/>
        <w:spacing w:after="0" w:line="278" w:lineRule="auto"/>
        <w:ind w:right="6613" w:firstLine="0"/>
        <w:contextualSpacing w:val="0"/>
      </w:pPr>
      <w:r>
        <w:rPr>
          <w:color w:val="222222"/>
        </w:rPr>
        <w:t>Figure</w:t>
      </w:r>
      <w:r>
        <w:rPr>
          <w:color w:val="222222"/>
          <w:spacing w:val="-8"/>
        </w:rPr>
        <w:t xml:space="preserve"> </w:t>
      </w:r>
      <w:r>
        <w:rPr>
          <w:color w:val="222222"/>
        </w:rPr>
        <w:t>3e</w:t>
      </w:r>
      <w:r>
        <w:rPr>
          <w:color w:val="222222"/>
          <w:spacing w:val="-8"/>
        </w:rPr>
        <w:t xml:space="preserve"> </w:t>
      </w:r>
      <w:r>
        <w:rPr>
          <w:color w:val="222222"/>
        </w:rPr>
        <w:t>caption</w:t>
      </w:r>
      <w:r>
        <w:rPr>
          <w:color w:val="222222"/>
          <w:spacing w:val="-9"/>
        </w:rPr>
        <w:t xml:space="preserve"> </w:t>
      </w:r>
      <w:r>
        <w:rPr>
          <w:color w:val="222222"/>
        </w:rPr>
        <w:t>-</w:t>
      </w:r>
      <w:r>
        <w:rPr>
          <w:color w:val="222222"/>
          <w:spacing w:val="-8"/>
        </w:rPr>
        <w:t xml:space="preserve"> </w:t>
      </w:r>
      <w:r>
        <w:rPr>
          <w:color w:val="222222"/>
        </w:rPr>
        <w:t>missing</w:t>
      </w:r>
      <w:r>
        <w:rPr>
          <w:color w:val="222222"/>
          <w:spacing w:val="-8"/>
        </w:rPr>
        <w:t xml:space="preserve"> </w:t>
      </w:r>
      <w:r>
        <w:rPr>
          <w:color w:val="222222"/>
        </w:rPr>
        <w:t xml:space="preserve">")". </w:t>
      </w:r>
      <w:r>
        <w:rPr>
          <w:color w:val="4A86E8"/>
        </w:rPr>
        <w:t>We have fixed this typo.</w:t>
      </w:r>
    </w:p>
    <w:p w14:paraId="3C860190" w14:textId="77777777" w:rsidR="00E211CC" w:rsidRDefault="00E211CC" w:rsidP="00E211CC">
      <w:pPr>
        <w:pStyle w:val="BodyText"/>
        <w:spacing w:before="33"/>
        <w:ind w:left="0"/>
      </w:pPr>
    </w:p>
    <w:p w14:paraId="7BF6BC03" w14:textId="77777777" w:rsidR="00E211CC" w:rsidRDefault="00E211CC" w:rsidP="00E211CC">
      <w:pPr>
        <w:pStyle w:val="ListParagraph"/>
        <w:widowControl w:val="0"/>
        <w:numPr>
          <w:ilvl w:val="0"/>
          <w:numId w:val="6"/>
        </w:numPr>
        <w:tabs>
          <w:tab w:val="left" w:pos="1431"/>
        </w:tabs>
        <w:autoSpaceDE w:val="0"/>
        <w:autoSpaceDN w:val="0"/>
        <w:spacing w:before="1" w:after="0" w:line="276" w:lineRule="auto"/>
        <w:ind w:right="960" w:firstLine="0"/>
        <w:contextualSpacing w:val="0"/>
      </w:pPr>
      <w:r>
        <w:rPr>
          <w:color w:val="222222"/>
        </w:rPr>
        <w:t xml:space="preserve">Figure S6 legend - there is redundancy which can be resolved by using different ticks. </w:t>
      </w:r>
      <w:r>
        <w:rPr>
          <w:color w:val="4A86E8"/>
        </w:rPr>
        <w:t>We</w:t>
      </w:r>
      <w:r>
        <w:rPr>
          <w:color w:val="4A86E8"/>
          <w:spacing w:val="-3"/>
        </w:rPr>
        <w:t xml:space="preserve"> </w:t>
      </w:r>
      <w:r>
        <w:rPr>
          <w:color w:val="4A86E8"/>
        </w:rPr>
        <w:t>have</w:t>
      </w:r>
      <w:r>
        <w:rPr>
          <w:color w:val="4A86E8"/>
          <w:spacing w:val="-3"/>
        </w:rPr>
        <w:t xml:space="preserve"> </w:t>
      </w:r>
      <w:r>
        <w:rPr>
          <w:color w:val="4A86E8"/>
        </w:rPr>
        <w:t>updated</w:t>
      </w:r>
      <w:r>
        <w:rPr>
          <w:color w:val="4A86E8"/>
          <w:spacing w:val="-3"/>
        </w:rPr>
        <w:t xml:space="preserve"> </w:t>
      </w:r>
      <w:r>
        <w:rPr>
          <w:color w:val="4A86E8"/>
        </w:rPr>
        <w:t>the</w:t>
      </w:r>
      <w:r>
        <w:rPr>
          <w:color w:val="4A86E8"/>
          <w:spacing w:val="-3"/>
        </w:rPr>
        <w:t xml:space="preserve"> </w:t>
      </w:r>
      <w:r>
        <w:rPr>
          <w:color w:val="4A86E8"/>
        </w:rPr>
        <w:t>formatting</w:t>
      </w:r>
      <w:r>
        <w:rPr>
          <w:color w:val="4A86E8"/>
          <w:spacing w:val="-3"/>
        </w:rPr>
        <w:t xml:space="preserve"> </w:t>
      </w:r>
      <w:r>
        <w:rPr>
          <w:color w:val="4A86E8"/>
        </w:rPr>
        <w:t>of</w:t>
      </w:r>
      <w:r>
        <w:rPr>
          <w:color w:val="4A86E8"/>
          <w:spacing w:val="-3"/>
        </w:rPr>
        <w:t xml:space="preserve"> </w:t>
      </w:r>
      <w:r>
        <w:rPr>
          <w:color w:val="4A86E8"/>
        </w:rPr>
        <w:t>the</w:t>
      </w:r>
      <w:r>
        <w:rPr>
          <w:color w:val="4A86E8"/>
          <w:spacing w:val="-3"/>
        </w:rPr>
        <w:t xml:space="preserve"> </w:t>
      </w:r>
      <w:r>
        <w:rPr>
          <w:color w:val="4A86E8"/>
        </w:rPr>
        <w:t>previous</w:t>
      </w:r>
      <w:r>
        <w:rPr>
          <w:color w:val="4A86E8"/>
          <w:spacing w:val="-3"/>
        </w:rPr>
        <w:t xml:space="preserve"> </w:t>
      </w:r>
      <w:r>
        <w:rPr>
          <w:color w:val="4A86E8"/>
        </w:rPr>
        <w:t>Figures</w:t>
      </w:r>
      <w:r>
        <w:rPr>
          <w:color w:val="4A86E8"/>
          <w:spacing w:val="-3"/>
        </w:rPr>
        <w:t xml:space="preserve"> </w:t>
      </w:r>
      <w:r>
        <w:rPr>
          <w:color w:val="4A86E8"/>
        </w:rPr>
        <w:t>S6</w:t>
      </w:r>
      <w:r>
        <w:rPr>
          <w:color w:val="4A86E8"/>
          <w:spacing w:val="-3"/>
        </w:rPr>
        <w:t xml:space="preserve"> </w:t>
      </w:r>
      <w:r>
        <w:rPr>
          <w:color w:val="4A86E8"/>
        </w:rPr>
        <w:t>and</w:t>
      </w:r>
      <w:r>
        <w:rPr>
          <w:color w:val="4A86E8"/>
          <w:spacing w:val="-3"/>
        </w:rPr>
        <w:t xml:space="preserve"> </w:t>
      </w:r>
      <w:r>
        <w:rPr>
          <w:color w:val="4A86E8"/>
        </w:rPr>
        <w:t>S7</w:t>
      </w:r>
      <w:r>
        <w:rPr>
          <w:color w:val="4A86E8"/>
          <w:spacing w:val="-3"/>
        </w:rPr>
        <w:t xml:space="preserve"> </w:t>
      </w:r>
      <w:r>
        <w:rPr>
          <w:color w:val="4A86E8"/>
        </w:rPr>
        <w:t>(now</w:t>
      </w:r>
      <w:r>
        <w:rPr>
          <w:color w:val="4A86E8"/>
          <w:spacing w:val="-3"/>
        </w:rPr>
        <w:t xml:space="preserve"> </w:t>
      </w:r>
      <w:r>
        <w:rPr>
          <w:color w:val="4A86E8"/>
        </w:rPr>
        <w:t>Figures</w:t>
      </w:r>
      <w:r>
        <w:rPr>
          <w:color w:val="4A86E8"/>
          <w:spacing w:val="-3"/>
        </w:rPr>
        <w:t xml:space="preserve"> </w:t>
      </w:r>
      <w:r>
        <w:rPr>
          <w:color w:val="4A86E8"/>
        </w:rPr>
        <w:t>S11</w:t>
      </w:r>
      <w:r>
        <w:rPr>
          <w:color w:val="4A86E8"/>
          <w:spacing w:val="-3"/>
        </w:rPr>
        <w:t xml:space="preserve"> </w:t>
      </w:r>
      <w:r>
        <w:rPr>
          <w:color w:val="4A86E8"/>
        </w:rPr>
        <w:t>and</w:t>
      </w:r>
      <w:r>
        <w:rPr>
          <w:color w:val="4A86E8"/>
          <w:spacing w:val="-3"/>
        </w:rPr>
        <w:t xml:space="preserve"> </w:t>
      </w:r>
      <w:r>
        <w:rPr>
          <w:color w:val="4A86E8"/>
        </w:rPr>
        <w:t>S12) for clarity. In particular, we have taken the reviewer’s suggestion to use different ticks to limit</w:t>
      </w:r>
    </w:p>
    <w:p w14:paraId="4397C2F7"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301F4B95" w14:textId="77777777" w:rsidR="00E211CC" w:rsidRDefault="00E211CC" w:rsidP="00E211CC">
      <w:pPr>
        <w:pStyle w:val="BodyText"/>
        <w:spacing w:before="80" w:line="276" w:lineRule="auto"/>
        <w:ind w:right="1668"/>
        <w:jc w:val="both"/>
      </w:pPr>
      <w:r>
        <w:rPr>
          <w:color w:val="4A86E8"/>
        </w:rPr>
        <w:lastRenderedPageBreak/>
        <w:t>redundancy</w:t>
      </w:r>
      <w:r>
        <w:rPr>
          <w:color w:val="4A86E8"/>
          <w:spacing w:val="-1"/>
        </w:rPr>
        <w:t xml:space="preserve"> </w:t>
      </w:r>
      <w:r>
        <w:rPr>
          <w:color w:val="4A86E8"/>
        </w:rPr>
        <w:t>in</w:t>
      </w:r>
      <w:r>
        <w:rPr>
          <w:color w:val="4A86E8"/>
          <w:spacing w:val="-1"/>
        </w:rPr>
        <w:t xml:space="preserve"> </w:t>
      </w:r>
      <w:r>
        <w:rPr>
          <w:color w:val="4A86E8"/>
        </w:rPr>
        <w:t>the</w:t>
      </w:r>
      <w:r>
        <w:rPr>
          <w:color w:val="4A86E8"/>
          <w:spacing w:val="-1"/>
        </w:rPr>
        <w:t xml:space="preserve"> </w:t>
      </w:r>
      <w:r>
        <w:rPr>
          <w:color w:val="4A86E8"/>
        </w:rPr>
        <w:t>figure</w:t>
      </w:r>
      <w:r>
        <w:rPr>
          <w:color w:val="4A86E8"/>
          <w:spacing w:val="-1"/>
        </w:rPr>
        <w:t xml:space="preserve"> </w:t>
      </w:r>
      <w:r>
        <w:rPr>
          <w:color w:val="4A86E8"/>
        </w:rPr>
        <w:t>legend.</w:t>
      </w:r>
      <w:r>
        <w:rPr>
          <w:color w:val="4A86E8"/>
          <w:spacing w:val="-1"/>
        </w:rPr>
        <w:t xml:space="preserve"> </w:t>
      </w:r>
      <w:r>
        <w:rPr>
          <w:color w:val="4A86E8"/>
        </w:rPr>
        <w:t>In</w:t>
      </w:r>
      <w:r>
        <w:rPr>
          <w:color w:val="4A86E8"/>
          <w:spacing w:val="-1"/>
        </w:rPr>
        <w:t xml:space="preserve"> </w:t>
      </w:r>
      <w:r>
        <w:rPr>
          <w:color w:val="4A86E8"/>
        </w:rPr>
        <w:t>addition,</w:t>
      </w:r>
      <w:r>
        <w:rPr>
          <w:color w:val="4A86E8"/>
          <w:spacing w:val="-1"/>
        </w:rPr>
        <w:t xml:space="preserve"> </w:t>
      </w:r>
      <w:r>
        <w:rPr>
          <w:color w:val="4A86E8"/>
        </w:rPr>
        <w:t>we</w:t>
      </w:r>
      <w:r>
        <w:rPr>
          <w:color w:val="4A86E8"/>
          <w:spacing w:val="-1"/>
        </w:rPr>
        <w:t xml:space="preserve"> </w:t>
      </w:r>
      <w:r>
        <w:rPr>
          <w:color w:val="4A86E8"/>
        </w:rPr>
        <w:t>have</w:t>
      </w:r>
      <w:r>
        <w:rPr>
          <w:color w:val="4A86E8"/>
          <w:spacing w:val="-1"/>
        </w:rPr>
        <w:t xml:space="preserve"> </w:t>
      </w:r>
      <w:r>
        <w:rPr>
          <w:color w:val="4A86E8"/>
        </w:rPr>
        <w:t>split</w:t>
      </w:r>
      <w:r>
        <w:rPr>
          <w:color w:val="4A86E8"/>
          <w:spacing w:val="-1"/>
        </w:rPr>
        <w:t xml:space="preserve"> </w:t>
      </w:r>
      <w:r>
        <w:rPr>
          <w:color w:val="4A86E8"/>
        </w:rPr>
        <w:t>out</w:t>
      </w:r>
      <w:r>
        <w:rPr>
          <w:color w:val="4A86E8"/>
          <w:spacing w:val="-1"/>
        </w:rPr>
        <w:t xml:space="preserve"> </w:t>
      </w:r>
      <w:r>
        <w:rPr>
          <w:color w:val="4A86E8"/>
        </w:rPr>
        <w:t>the</w:t>
      </w:r>
      <w:r>
        <w:rPr>
          <w:color w:val="4A86E8"/>
          <w:spacing w:val="-1"/>
        </w:rPr>
        <w:t xml:space="preserve"> </w:t>
      </w:r>
      <w:r>
        <w:rPr>
          <w:color w:val="4A86E8"/>
        </w:rPr>
        <w:t>results</w:t>
      </w:r>
      <w:r>
        <w:rPr>
          <w:color w:val="4A86E8"/>
          <w:spacing w:val="-1"/>
        </w:rPr>
        <w:t xml:space="preserve"> </w:t>
      </w:r>
      <w:r>
        <w:rPr>
          <w:color w:val="4A86E8"/>
        </w:rPr>
        <w:t>for</w:t>
      </w:r>
      <w:r>
        <w:rPr>
          <w:color w:val="4A86E8"/>
          <w:spacing w:val="-1"/>
        </w:rPr>
        <w:t xml:space="preserve"> </w:t>
      </w:r>
      <w:r>
        <w:rPr>
          <w:color w:val="4A86E8"/>
        </w:rPr>
        <w:t>each</w:t>
      </w:r>
      <w:r>
        <w:rPr>
          <w:color w:val="4A86E8"/>
          <w:spacing w:val="-1"/>
        </w:rPr>
        <w:t xml:space="preserve"> </w:t>
      </w:r>
      <w:r>
        <w:rPr>
          <w:color w:val="4A86E8"/>
        </w:rPr>
        <w:t>set</w:t>
      </w:r>
      <w:r>
        <w:rPr>
          <w:color w:val="4A86E8"/>
          <w:spacing w:val="-1"/>
        </w:rPr>
        <w:t xml:space="preserve"> </w:t>
      </w:r>
      <w:r>
        <w:rPr>
          <w:color w:val="4A86E8"/>
        </w:rPr>
        <w:t>of evaluation</w:t>
      </w:r>
      <w:r>
        <w:rPr>
          <w:color w:val="4A86E8"/>
          <w:spacing w:val="-3"/>
        </w:rPr>
        <w:t xml:space="preserve"> </w:t>
      </w:r>
      <w:r>
        <w:rPr>
          <w:color w:val="4A86E8"/>
        </w:rPr>
        <w:t>regions</w:t>
      </w:r>
      <w:r>
        <w:rPr>
          <w:color w:val="4A86E8"/>
          <w:spacing w:val="-3"/>
        </w:rPr>
        <w:t xml:space="preserve"> </w:t>
      </w:r>
      <w:r>
        <w:rPr>
          <w:color w:val="4A86E8"/>
        </w:rPr>
        <w:t>–</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peaks,</w:t>
      </w:r>
      <w:r>
        <w:rPr>
          <w:color w:val="4A86E8"/>
          <w:spacing w:val="-3"/>
        </w:rPr>
        <w:t xml:space="preserve"> </w:t>
      </w:r>
      <w:r>
        <w:rPr>
          <w:color w:val="4A86E8"/>
        </w:rPr>
        <w:t>ubiquitous</w:t>
      </w:r>
      <w:r>
        <w:rPr>
          <w:color w:val="4A86E8"/>
          <w:spacing w:val="-3"/>
        </w:rPr>
        <w:t xml:space="preserve"> </w:t>
      </w:r>
      <w:r>
        <w:rPr>
          <w:color w:val="4A86E8"/>
        </w:rPr>
        <w:t>peaks,</w:t>
      </w:r>
      <w:r>
        <w:rPr>
          <w:color w:val="4A86E8"/>
          <w:spacing w:val="-3"/>
        </w:rPr>
        <w:t xml:space="preserve"> </w:t>
      </w:r>
      <w:r>
        <w:rPr>
          <w:color w:val="4A86E8"/>
        </w:rPr>
        <w:t>and</w:t>
      </w:r>
      <w:r>
        <w:rPr>
          <w:color w:val="4A86E8"/>
          <w:spacing w:val="-3"/>
        </w:rPr>
        <w:t xml:space="preserve"> </w:t>
      </w:r>
      <w:r>
        <w:rPr>
          <w:color w:val="4A86E8"/>
        </w:rPr>
        <w:t>all</w:t>
      </w:r>
      <w:r>
        <w:rPr>
          <w:color w:val="4A86E8"/>
          <w:spacing w:val="-3"/>
        </w:rPr>
        <w:t xml:space="preserve"> </w:t>
      </w:r>
      <w:r>
        <w:rPr>
          <w:color w:val="4A86E8"/>
        </w:rPr>
        <w:t>sequences</w:t>
      </w:r>
      <w:r>
        <w:rPr>
          <w:color w:val="4A86E8"/>
          <w:spacing w:val="-5"/>
        </w:rPr>
        <w:t xml:space="preserve"> </w:t>
      </w:r>
      <w:r>
        <w:rPr>
          <w:color w:val="4A86E8"/>
        </w:rPr>
        <w:t>–</w:t>
      </w:r>
      <w:r>
        <w:rPr>
          <w:color w:val="4A86E8"/>
          <w:spacing w:val="-3"/>
        </w:rPr>
        <w:t xml:space="preserve"> </w:t>
      </w:r>
      <w:r>
        <w:rPr>
          <w:color w:val="4A86E8"/>
        </w:rPr>
        <w:t>into separate figure panels for readability, as suggested by another reviewer.</w:t>
      </w:r>
    </w:p>
    <w:p w14:paraId="3BA36267" w14:textId="77777777" w:rsidR="00E211CC" w:rsidRDefault="00E211CC" w:rsidP="00E211CC">
      <w:pPr>
        <w:pStyle w:val="BodyText"/>
        <w:spacing w:before="35"/>
        <w:ind w:left="0"/>
      </w:pPr>
    </w:p>
    <w:p w14:paraId="0602EA01" w14:textId="77777777" w:rsidR="00E211CC" w:rsidRDefault="00E211CC" w:rsidP="00E211CC">
      <w:pPr>
        <w:pStyle w:val="ListParagraph"/>
        <w:widowControl w:val="0"/>
        <w:numPr>
          <w:ilvl w:val="0"/>
          <w:numId w:val="6"/>
        </w:numPr>
        <w:tabs>
          <w:tab w:val="left" w:pos="1431"/>
        </w:tabs>
        <w:autoSpaceDE w:val="0"/>
        <w:autoSpaceDN w:val="0"/>
        <w:spacing w:before="1" w:after="0" w:line="278" w:lineRule="auto"/>
        <w:ind w:right="914" w:firstLine="0"/>
        <w:contextualSpacing w:val="0"/>
      </w:pPr>
      <w:r>
        <w:rPr>
          <w:color w:val="222222"/>
        </w:rPr>
        <w:t>Multiple</w:t>
      </w:r>
      <w:r>
        <w:rPr>
          <w:color w:val="222222"/>
          <w:spacing w:val="-3"/>
        </w:rPr>
        <w:t xml:space="preserve"> </w:t>
      </w:r>
      <w:r>
        <w:rPr>
          <w:color w:val="222222"/>
        </w:rPr>
        <w:t>figures:</w:t>
      </w:r>
      <w:r>
        <w:rPr>
          <w:color w:val="222222"/>
          <w:spacing w:val="-3"/>
        </w:rPr>
        <w:t xml:space="preserve"> </w:t>
      </w:r>
      <w:r>
        <w:rPr>
          <w:color w:val="222222"/>
        </w:rPr>
        <w:t>If</w:t>
      </w:r>
      <w:r>
        <w:rPr>
          <w:color w:val="222222"/>
          <w:spacing w:val="-3"/>
        </w:rPr>
        <w:t xml:space="preserve"> </w:t>
      </w:r>
      <w:r>
        <w:rPr>
          <w:color w:val="222222"/>
        </w:rPr>
        <w:t>bar-plot</w:t>
      </w:r>
      <w:r>
        <w:rPr>
          <w:color w:val="222222"/>
          <w:spacing w:val="-3"/>
        </w:rPr>
        <w:t xml:space="preserve"> </w:t>
      </w:r>
      <w:r>
        <w:rPr>
          <w:color w:val="222222"/>
        </w:rPr>
        <w:t>figures</w:t>
      </w:r>
      <w:r>
        <w:rPr>
          <w:color w:val="222222"/>
          <w:spacing w:val="-3"/>
        </w:rPr>
        <w:t xml:space="preserve"> </w:t>
      </w:r>
      <w:r>
        <w:rPr>
          <w:color w:val="222222"/>
        </w:rPr>
        <w:t>represent</w:t>
      </w:r>
      <w:r>
        <w:rPr>
          <w:color w:val="222222"/>
          <w:spacing w:val="-3"/>
        </w:rPr>
        <w:t xml:space="preserve"> </w:t>
      </w:r>
      <w:r>
        <w:rPr>
          <w:color w:val="222222"/>
        </w:rPr>
        <w:t>'median'</w:t>
      </w:r>
      <w:r>
        <w:rPr>
          <w:color w:val="222222"/>
          <w:spacing w:val="-3"/>
        </w:rPr>
        <w:t xml:space="preserve"> </w:t>
      </w:r>
      <w:r>
        <w:rPr>
          <w:color w:val="222222"/>
        </w:rPr>
        <w:t>Pearson</w:t>
      </w:r>
      <w:r>
        <w:rPr>
          <w:color w:val="222222"/>
          <w:spacing w:val="-3"/>
        </w:rPr>
        <w:t xml:space="preserve"> </w:t>
      </w:r>
      <w:r>
        <w:rPr>
          <w:color w:val="222222"/>
        </w:rPr>
        <w:t>R,</w:t>
      </w:r>
      <w:r>
        <w:rPr>
          <w:color w:val="222222"/>
          <w:spacing w:val="-3"/>
        </w:rPr>
        <w:t xml:space="preserve"> </w:t>
      </w:r>
      <w:r>
        <w:rPr>
          <w:color w:val="222222"/>
        </w:rPr>
        <w:t>the</w:t>
      </w:r>
      <w:r>
        <w:rPr>
          <w:color w:val="222222"/>
          <w:spacing w:val="-3"/>
        </w:rPr>
        <w:t xml:space="preserve"> </w:t>
      </w:r>
      <w:r>
        <w:rPr>
          <w:color w:val="222222"/>
        </w:rPr>
        <w:t>y-axis</w:t>
      </w:r>
      <w:r>
        <w:rPr>
          <w:color w:val="222222"/>
          <w:spacing w:val="-3"/>
        </w:rPr>
        <w:t xml:space="preserve"> </w:t>
      </w:r>
      <w:r>
        <w:rPr>
          <w:color w:val="222222"/>
        </w:rPr>
        <w:t>title</w:t>
      </w:r>
      <w:r>
        <w:rPr>
          <w:color w:val="222222"/>
          <w:spacing w:val="-3"/>
        </w:rPr>
        <w:t xml:space="preserve"> </w:t>
      </w:r>
      <w:r>
        <w:rPr>
          <w:color w:val="222222"/>
        </w:rPr>
        <w:t>should</w:t>
      </w:r>
      <w:r>
        <w:rPr>
          <w:color w:val="222222"/>
          <w:spacing w:val="-3"/>
        </w:rPr>
        <w:t xml:space="preserve"> </w:t>
      </w:r>
      <w:r>
        <w:rPr>
          <w:color w:val="222222"/>
        </w:rPr>
        <w:t>be "Median Pearson R".</w:t>
      </w:r>
    </w:p>
    <w:p w14:paraId="38D7E103" w14:textId="77777777" w:rsidR="00E211CC" w:rsidRDefault="00E211CC" w:rsidP="00E211CC">
      <w:pPr>
        <w:pStyle w:val="BodyText"/>
        <w:spacing w:line="252" w:lineRule="exact"/>
        <w:jc w:val="both"/>
      </w:pPr>
      <w:r>
        <w:rPr>
          <w:color w:val="4A86E8"/>
        </w:rPr>
        <w:t>We</w:t>
      </w:r>
      <w:r>
        <w:rPr>
          <w:color w:val="4A86E8"/>
          <w:spacing w:val="-7"/>
        </w:rPr>
        <w:t xml:space="preserve"> </w:t>
      </w:r>
      <w:r>
        <w:rPr>
          <w:color w:val="4A86E8"/>
        </w:rPr>
        <w:t>have</w:t>
      </w:r>
      <w:r>
        <w:rPr>
          <w:color w:val="4A86E8"/>
          <w:spacing w:val="-5"/>
        </w:rPr>
        <w:t xml:space="preserve"> </w:t>
      </w:r>
      <w:r>
        <w:rPr>
          <w:color w:val="4A86E8"/>
        </w:rPr>
        <w:t>updated</w:t>
      </w:r>
      <w:r>
        <w:rPr>
          <w:color w:val="4A86E8"/>
          <w:spacing w:val="-4"/>
        </w:rPr>
        <w:t xml:space="preserve"> </w:t>
      </w:r>
      <w:r>
        <w:rPr>
          <w:color w:val="4A86E8"/>
        </w:rPr>
        <w:t>the</w:t>
      </w:r>
      <w:r>
        <w:rPr>
          <w:color w:val="4A86E8"/>
          <w:spacing w:val="-5"/>
        </w:rPr>
        <w:t xml:space="preserve"> </w:t>
      </w:r>
      <w:r>
        <w:rPr>
          <w:color w:val="4A86E8"/>
        </w:rPr>
        <w:t>axis</w:t>
      </w:r>
      <w:r>
        <w:rPr>
          <w:color w:val="4A86E8"/>
          <w:spacing w:val="-5"/>
        </w:rPr>
        <w:t xml:space="preserve"> </w:t>
      </w:r>
      <w:r>
        <w:rPr>
          <w:color w:val="4A86E8"/>
        </w:rPr>
        <w:t>titles</w:t>
      </w:r>
      <w:r>
        <w:rPr>
          <w:color w:val="4A86E8"/>
          <w:spacing w:val="-4"/>
        </w:rPr>
        <w:t xml:space="preserve"> </w:t>
      </w:r>
      <w:r>
        <w:rPr>
          <w:color w:val="4A86E8"/>
        </w:rPr>
        <w:t>to</w:t>
      </w:r>
      <w:r>
        <w:rPr>
          <w:color w:val="4A86E8"/>
          <w:spacing w:val="-5"/>
        </w:rPr>
        <w:t xml:space="preserve"> </w:t>
      </w:r>
      <w:r>
        <w:rPr>
          <w:color w:val="4A86E8"/>
        </w:rPr>
        <w:t>“Median</w:t>
      </w:r>
      <w:r>
        <w:rPr>
          <w:color w:val="4A86E8"/>
          <w:spacing w:val="-5"/>
        </w:rPr>
        <w:t xml:space="preserve"> </w:t>
      </w:r>
      <w:r>
        <w:rPr>
          <w:color w:val="4A86E8"/>
        </w:rPr>
        <w:t>Pearson</w:t>
      </w:r>
      <w:r>
        <w:rPr>
          <w:color w:val="4A86E8"/>
          <w:spacing w:val="-4"/>
        </w:rPr>
        <w:t xml:space="preserve"> </w:t>
      </w:r>
      <w:r>
        <w:rPr>
          <w:color w:val="4A86E8"/>
          <w:spacing w:val="-5"/>
        </w:rPr>
        <w:t>R.”</w:t>
      </w:r>
    </w:p>
    <w:p w14:paraId="4CDFEFDA" w14:textId="77777777" w:rsidR="00E211CC" w:rsidRDefault="00E211CC" w:rsidP="00E211CC">
      <w:pPr>
        <w:pStyle w:val="BodyText"/>
        <w:spacing w:before="74"/>
        <w:ind w:left="0"/>
      </w:pPr>
    </w:p>
    <w:p w14:paraId="46016E23" w14:textId="77777777" w:rsidR="00E211CC" w:rsidRDefault="00E211CC" w:rsidP="00E211CC">
      <w:pPr>
        <w:pStyle w:val="ListParagraph"/>
        <w:widowControl w:val="0"/>
        <w:numPr>
          <w:ilvl w:val="0"/>
          <w:numId w:val="6"/>
        </w:numPr>
        <w:tabs>
          <w:tab w:val="left" w:pos="1431"/>
        </w:tabs>
        <w:autoSpaceDE w:val="0"/>
        <w:autoSpaceDN w:val="0"/>
        <w:spacing w:after="0" w:line="273" w:lineRule="auto"/>
        <w:ind w:right="6281" w:firstLine="0"/>
        <w:contextualSpacing w:val="0"/>
      </w:pPr>
      <w:r>
        <w:rPr>
          <w:color w:val="222222"/>
        </w:rPr>
        <w:t>Figures</w:t>
      </w:r>
      <w:r>
        <w:rPr>
          <w:color w:val="222222"/>
          <w:spacing w:val="-7"/>
        </w:rPr>
        <w:t xml:space="preserve"> </w:t>
      </w:r>
      <w:r>
        <w:rPr>
          <w:color w:val="222222"/>
        </w:rPr>
        <w:t>3e</w:t>
      </w:r>
      <w:r>
        <w:rPr>
          <w:color w:val="222222"/>
          <w:spacing w:val="-7"/>
        </w:rPr>
        <w:t xml:space="preserve"> </w:t>
      </w:r>
      <w:r>
        <w:rPr>
          <w:color w:val="222222"/>
        </w:rPr>
        <w:t>3f</w:t>
      </w:r>
      <w:r>
        <w:rPr>
          <w:color w:val="222222"/>
          <w:spacing w:val="-7"/>
        </w:rPr>
        <w:t xml:space="preserve"> </w:t>
      </w:r>
      <w:r>
        <w:rPr>
          <w:color w:val="222222"/>
        </w:rPr>
        <w:t>-</w:t>
      </w:r>
      <w:r>
        <w:rPr>
          <w:color w:val="222222"/>
          <w:spacing w:val="-7"/>
        </w:rPr>
        <w:t xml:space="preserve"> </w:t>
      </w:r>
      <w:r>
        <w:rPr>
          <w:color w:val="222222"/>
        </w:rPr>
        <w:t>missing</w:t>
      </w:r>
      <w:r>
        <w:rPr>
          <w:color w:val="222222"/>
          <w:spacing w:val="-7"/>
        </w:rPr>
        <w:t xml:space="preserve"> </w:t>
      </w:r>
      <w:r>
        <w:rPr>
          <w:color w:val="222222"/>
        </w:rPr>
        <w:t>y-axis</w:t>
      </w:r>
      <w:r>
        <w:rPr>
          <w:color w:val="222222"/>
          <w:spacing w:val="-7"/>
        </w:rPr>
        <w:t xml:space="preserve"> </w:t>
      </w:r>
      <w:r>
        <w:rPr>
          <w:color w:val="222222"/>
        </w:rPr>
        <w:t xml:space="preserve">title. </w:t>
      </w:r>
      <w:r>
        <w:rPr>
          <w:color w:val="4A86E8"/>
        </w:rPr>
        <w:t>We have fixed this.</w:t>
      </w:r>
    </w:p>
    <w:p w14:paraId="3FEB1CCA" w14:textId="77777777" w:rsidR="00E211CC" w:rsidRDefault="00E211CC" w:rsidP="00E211CC">
      <w:pPr>
        <w:pStyle w:val="BodyText"/>
        <w:spacing w:before="44"/>
        <w:ind w:left="0"/>
      </w:pPr>
    </w:p>
    <w:p w14:paraId="39BC56B0" w14:textId="77777777" w:rsidR="00E211CC" w:rsidRDefault="00E211CC" w:rsidP="00E211CC">
      <w:pPr>
        <w:pStyle w:val="ListParagraph"/>
        <w:widowControl w:val="0"/>
        <w:numPr>
          <w:ilvl w:val="0"/>
          <w:numId w:val="6"/>
        </w:numPr>
        <w:tabs>
          <w:tab w:val="left" w:pos="1431"/>
        </w:tabs>
        <w:autoSpaceDE w:val="0"/>
        <w:autoSpaceDN w:val="0"/>
        <w:spacing w:after="0" w:line="273" w:lineRule="auto"/>
        <w:ind w:right="1186" w:firstLine="0"/>
        <w:contextualSpacing w:val="0"/>
      </w:pPr>
      <w:r>
        <w:rPr>
          <w:color w:val="222222"/>
        </w:rPr>
        <w:t>Throughout</w:t>
      </w:r>
      <w:r>
        <w:rPr>
          <w:color w:val="222222"/>
          <w:spacing w:val="-3"/>
        </w:rPr>
        <w:t xml:space="preserve"> </w:t>
      </w:r>
      <w:r>
        <w:rPr>
          <w:color w:val="222222"/>
        </w:rPr>
        <w:t>paper:</w:t>
      </w:r>
      <w:r>
        <w:rPr>
          <w:color w:val="222222"/>
          <w:spacing w:val="-3"/>
        </w:rPr>
        <w:t xml:space="preserve"> </w:t>
      </w:r>
      <w:r>
        <w:rPr>
          <w:color w:val="222222"/>
        </w:rPr>
        <w:t>We</w:t>
      </w:r>
      <w:r>
        <w:rPr>
          <w:color w:val="222222"/>
          <w:spacing w:val="-3"/>
        </w:rPr>
        <w:t xml:space="preserve"> </w:t>
      </w:r>
      <w:r>
        <w:rPr>
          <w:color w:val="222222"/>
        </w:rPr>
        <w:t>recommend</w:t>
      </w:r>
      <w:r>
        <w:rPr>
          <w:color w:val="222222"/>
          <w:spacing w:val="-3"/>
        </w:rPr>
        <w:t xml:space="preserve"> </w:t>
      </w:r>
      <w:r>
        <w:rPr>
          <w:color w:val="222222"/>
        </w:rPr>
        <w:t>changing</w:t>
      </w:r>
      <w:r>
        <w:rPr>
          <w:color w:val="222222"/>
          <w:spacing w:val="-3"/>
        </w:rPr>
        <w:t xml:space="preserve"> </w:t>
      </w:r>
      <w:r>
        <w:rPr>
          <w:color w:val="222222"/>
        </w:rPr>
        <w:t>the</w:t>
      </w:r>
      <w:r>
        <w:rPr>
          <w:color w:val="222222"/>
          <w:spacing w:val="-3"/>
        </w:rPr>
        <w:t xml:space="preserve"> </w:t>
      </w:r>
      <w:r>
        <w:rPr>
          <w:color w:val="222222"/>
        </w:rPr>
        <w:t>terms</w:t>
      </w:r>
      <w:r>
        <w:rPr>
          <w:color w:val="222222"/>
          <w:spacing w:val="-3"/>
        </w:rPr>
        <w:t xml:space="preserve"> </w:t>
      </w:r>
      <w:r>
        <w:rPr>
          <w:color w:val="222222"/>
        </w:rPr>
        <w:t>"more"</w:t>
      </w:r>
      <w:r>
        <w:rPr>
          <w:color w:val="222222"/>
          <w:spacing w:val="-3"/>
        </w:rPr>
        <w:t xml:space="preserve"> </w:t>
      </w:r>
      <w:r>
        <w:rPr>
          <w:color w:val="222222"/>
        </w:rPr>
        <w:t>and</w:t>
      </w:r>
      <w:r>
        <w:rPr>
          <w:color w:val="222222"/>
          <w:spacing w:val="-3"/>
        </w:rPr>
        <w:t xml:space="preserve"> </w:t>
      </w:r>
      <w:r>
        <w:rPr>
          <w:color w:val="222222"/>
        </w:rPr>
        <w:t>"less"</w:t>
      </w:r>
      <w:r>
        <w:rPr>
          <w:color w:val="222222"/>
          <w:spacing w:val="-3"/>
        </w:rPr>
        <w:t xml:space="preserve"> </w:t>
      </w:r>
      <w:r>
        <w:rPr>
          <w:color w:val="222222"/>
        </w:rPr>
        <w:t>to</w:t>
      </w:r>
      <w:r>
        <w:rPr>
          <w:color w:val="222222"/>
          <w:spacing w:val="-3"/>
        </w:rPr>
        <w:t xml:space="preserve"> </w:t>
      </w:r>
      <w:r>
        <w:rPr>
          <w:color w:val="222222"/>
        </w:rPr>
        <w:t>"high"</w:t>
      </w:r>
      <w:r>
        <w:rPr>
          <w:color w:val="222222"/>
          <w:spacing w:val="-3"/>
        </w:rPr>
        <w:t xml:space="preserve"> </w:t>
      </w:r>
      <w:r>
        <w:rPr>
          <w:color w:val="222222"/>
        </w:rPr>
        <w:t>and "low", respectively.</w:t>
      </w:r>
    </w:p>
    <w:p w14:paraId="09566798" w14:textId="77777777" w:rsidR="00E211CC" w:rsidRDefault="00E211CC" w:rsidP="00E211CC">
      <w:pPr>
        <w:pStyle w:val="BodyText"/>
        <w:spacing w:before="4" w:line="278" w:lineRule="auto"/>
        <w:ind w:right="861"/>
      </w:pPr>
      <w:r>
        <w:rPr>
          <w:color w:val="4A86E8"/>
        </w:rPr>
        <w:t>We</w:t>
      </w:r>
      <w:r>
        <w:rPr>
          <w:color w:val="4A86E8"/>
          <w:spacing w:val="-3"/>
        </w:rPr>
        <w:t xml:space="preserve"> </w:t>
      </w:r>
      <w:r>
        <w:rPr>
          <w:color w:val="4A86E8"/>
        </w:rPr>
        <w:t>thank</w:t>
      </w:r>
      <w:r>
        <w:rPr>
          <w:color w:val="4A86E8"/>
          <w:spacing w:val="-3"/>
        </w:rPr>
        <w:t xml:space="preserve"> </w:t>
      </w:r>
      <w:r>
        <w:rPr>
          <w:color w:val="4A86E8"/>
        </w:rPr>
        <w:t>the</w:t>
      </w:r>
      <w:r>
        <w:rPr>
          <w:color w:val="4A86E8"/>
          <w:spacing w:val="-3"/>
        </w:rPr>
        <w:t xml:space="preserve"> </w:t>
      </w:r>
      <w:r>
        <w:rPr>
          <w:color w:val="4A86E8"/>
        </w:rPr>
        <w:t>reviewer</w:t>
      </w:r>
      <w:r>
        <w:rPr>
          <w:color w:val="4A86E8"/>
          <w:spacing w:val="-3"/>
        </w:rPr>
        <w:t xml:space="preserve"> </w:t>
      </w:r>
      <w:r>
        <w:rPr>
          <w:color w:val="4A86E8"/>
        </w:rPr>
        <w:t>for</w:t>
      </w:r>
      <w:r>
        <w:rPr>
          <w:color w:val="4A86E8"/>
          <w:spacing w:val="-3"/>
        </w:rPr>
        <w:t xml:space="preserve"> </w:t>
      </w:r>
      <w:r>
        <w:rPr>
          <w:color w:val="4A86E8"/>
        </w:rPr>
        <w:t>this</w:t>
      </w:r>
      <w:r>
        <w:rPr>
          <w:color w:val="4A86E8"/>
          <w:spacing w:val="-3"/>
        </w:rPr>
        <w:t xml:space="preserve"> </w:t>
      </w:r>
      <w:r>
        <w:rPr>
          <w:color w:val="4A86E8"/>
        </w:rPr>
        <w:t>suggestion.</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modified</w:t>
      </w:r>
      <w:r>
        <w:rPr>
          <w:color w:val="4A86E8"/>
          <w:spacing w:val="-3"/>
        </w:rPr>
        <w:t xml:space="preserve"> </w:t>
      </w:r>
      <w:r>
        <w:rPr>
          <w:color w:val="4A86E8"/>
        </w:rPr>
        <w:t>the</w:t>
      </w:r>
      <w:r>
        <w:rPr>
          <w:color w:val="4A86E8"/>
          <w:spacing w:val="-3"/>
        </w:rPr>
        <w:t xml:space="preserve"> </w:t>
      </w:r>
      <w:r>
        <w:rPr>
          <w:color w:val="4A86E8"/>
        </w:rPr>
        <w:t>language</w:t>
      </w:r>
      <w:r>
        <w:rPr>
          <w:color w:val="4A86E8"/>
          <w:spacing w:val="-3"/>
        </w:rPr>
        <w:t xml:space="preserve"> </w:t>
      </w:r>
      <w:r>
        <w:rPr>
          <w:color w:val="4A86E8"/>
        </w:rPr>
        <w:t>throughout</w:t>
      </w:r>
      <w:r>
        <w:rPr>
          <w:color w:val="4A86E8"/>
          <w:spacing w:val="-3"/>
        </w:rPr>
        <w:t xml:space="preserve"> </w:t>
      </w:r>
      <w:r>
        <w:rPr>
          <w:color w:val="4A86E8"/>
        </w:rPr>
        <w:t>the</w:t>
      </w:r>
      <w:r>
        <w:rPr>
          <w:color w:val="4A86E8"/>
          <w:spacing w:val="-3"/>
        </w:rPr>
        <w:t xml:space="preserve"> </w:t>
      </w:r>
      <w:r>
        <w:rPr>
          <w:color w:val="4A86E8"/>
        </w:rPr>
        <w:t>paper to refer to “high” and “low” cell type specificity peaks for clarity.</w:t>
      </w:r>
    </w:p>
    <w:p w14:paraId="52D0FAE6" w14:textId="77777777" w:rsidR="00E211CC" w:rsidRDefault="00E211CC" w:rsidP="00E211CC">
      <w:pPr>
        <w:pStyle w:val="BodyText"/>
        <w:spacing w:before="34"/>
        <w:ind w:left="0"/>
      </w:pPr>
    </w:p>
    <w:p w14:paraId="36362ABD" w14:textId="77777777" w:rsidR="00E211CC" w:rsidRDefault="00E211CC" w:rsidP="00E211CC">
      <w:pPr>
        <w:pStyle w:val="ListParagraph"/>
        <w:widowControl w:val="0"/>
        <w:numPr>
          <w:ilvl w:val="0"/>
          <w:numId w:val="6"/>
        </w:numPr>
        <w:tabs>
          <w:tab w:val="left" w:pos="1431"/>
        </w:tabs>
        <w:autoSpaceDE w:val="0"/>
        <w:autoSpaceDN w:val="0"/>
        <w:spacing w:after="0" w:line="276" w:lineRule="auto"/>
        <w:ind w:right="995" w:firstLine="0"/>
        <w:contextualSpacing w:val="0"/>
      </w:pPr>
      <w:r>
        <w:rPr>
          <w:color w:val="222222"/>
        </w:rPr>
        <w:t>Discussion: We kindly disagree with the limitation of single-task models. Since we are interested</w:t>
      </w:r>
      <w:r>
        <w:rPr>
          <w:color w:val="222222"/>
          <w:spacing w:val="-3"/>
        </w:rPr>
        <w:t xml:space="preserve"> </w:t>
      </w:r>
      <w:r>
        <w:rPr>
          <w:color w:val="222222"/>
        </w:rPr>
        <w:t>in</w:t>
      </w:r>
      <w:r>
        <w:rPr>
          <w:color w:val="222222"/>
          <w:spacing w:val="-3"/>
        </w:rPr>
        <w:t xml:space="preserve"> </w:t>
      </w:r>
      <w:r>
        <w:rPr>
          <w:color w:val="222222"/>
        </w:rPr>
        <w:t>best</w:t>
      </w:r>
      <w:r>
        <w:rPr>
          <w:color w:val="222222"/>
          <w:spacing w:val="-3"/>
        </w:rPr>
        <w:t xml:space="preserve"> </w:t>
      </w:r>
      <w:r>
        <w:rPr>
          <w:color w:val="222222"/>
        </w:rPr>
        <w:t>prediction,</w:t>
      </w:r>
      <w:r>
        <w:rPr>
          <w:color w:val="222222"/>
          <w:spacing w:val="-3"/>
        </w:rPr>
        <w:t xml:space="preserve"> </w:t>
      </w:r>
      <w:r>
        <w:rPr>
          <w:color w:val="222222"/>
        </w:rPr>
        <w:t>spending</w:t>
      </w:r>
      <w:r>
        <w:rPr>
          <w:color w:val="222222"/>
          <w:spacing w:val="-3"/>
        </w:rPr>
        <w:t xml:space="preserve"> </w:t>
      </w:r>
      <w:r>
        <w:rPr>
          <w:color w:val="222222"/>
        </w:rPr>
        <w:t>a</w:t>
      </w:r>
      <w:r>
        <w:rPr>
          <w:color w:val="222222"/>
          <w:spacing w:val="-3"/>
        </w:rPr>
        <w:t xml:space="preserve"> </w:t>
      </w:r>
      <w:r>
        <w:rPr>
          <w:color w:val="222222"/>
        </w:rPr>
        <w:t>long</w:t>
      </w:r>
      <w:r>
        <w:rPr>
          <w:color w:val="222222"/>
          <w:spacing w:val="-3"/>
        </w:rPr>
        <w:t xml:space="preserve"> </w:t>
      </w:r>
      <w:r>
        <w:rPr>
          <w:color w:val="222222"/>
        </w:rPr>
        <w:t>runtime</w:t>
      </w:r>
      <w:r>
        <w:rPr>
          <w:color w:val="222222"/>
          <w:spacing w:val="-3"/>
        </w:rPr>
        <w:t xml:space="preserve"> </w:t>
      </w:r>
      <w:r>
        <w:rPr>
          <w:color w:val="222222"/>
        </w:rPr>
        <w:t>but</w:t>
      </w:r>
      <w:r>
        <w:rPr>
          <w:color w:val="222222"/>
          <w:spacing w:val="-3"/>
        </w:rPr>
        <w:t xml:space="preserve"> </w:t>
      </w:r>
      <w:r>
        <w:rPr>
          <w:color w:val="222222"/>
        </w:rPr>
        <w:t>only</w:t>
      </w:r>
      <w:r>
        <w:rPr>
          <w:color w:val="222222"/>
          <w:spacing w:val="-3"/>
        </w:rPr>
        <w:t xml:space="preserve"> </w:t>
      </w:r>
      <w:r>
        <w:rPr>
          <w:color w:val="222222"/>
        </w:rPr>
        <w:t>once</w:t>
      </w:r>
      <w:r>
        <w:rPr>
          <w:color w:val="222222"/>
          <w:spacing w:val="-3"/>
        </w:rPr>
        <w:t xml:space="preserve"> </w:t>
      </w:r>
      <w:r>
        <w:rPr>
          <w:color w:val="222222"/>
        </w:rPr>
        <w:t>for</w:t>
      </w:r>
      <w:r>
        <w:rPr>
          <w:color w:val="222222"/>
          <w:spacing w:val="-3"/>
        </w:rPr>
        <w:t xml:space="preserve"> </w:t>
      </w:r>
      <w:r>
        <w:rPr>
          <w:color w:val="222222"/>
        </w:rPr>
        <w:t>training</w:t>
      </w:r>
      <w:r>
        <w:rPr>
          <w:color w:val="222222"/>
          <w:spacing w:val="-3"/>
        </w:rPr>
        <w:t xml:space="preserve"> </w:t>
      </w:r>
      <w:r>
        <w:rPr>
          <w:color w:val="222222"/>
        </w:rPr>
        <w:t>is</w:t>
      </w:r>
      <w:r>
        <w:rPr>
          <w:color w:val="222222"/>
          <w:spacing w:val="-3"/>
        </w:rPr>
        <w:t xml:space="preserve"> </w:t>
      </w:r>
      <w:r>
        <w:rPr>
          <w:color w:val="222222"/>
        </w:rPr>
        <w:t>acceptable</w:t>
      </w:r>
      <w:r>
        <w:rPr>
          <w:color w:val="222222"/>
          <w:spacing w:val="-3"/>
        </w:rPr>
        <w:t xml:space="preserve"> </w:t>
      </w:r>
      <w:r>
        <w:rPr>
          <w:color w:val="222222"/>
        </w:rPr>
        <w:t>to have a model with improved prediction performance.</w:t>
      </w:r>
    </w:p>
    <w:p w14:paraId="57125EB0" w14:textId="77777777" w:rsidR="00E211CC" w:rsidRDefault="00E211CC" w:rsidP="00E211CC">
      <w:pPr>
        <w:pStyle w:val="BodyText"/>
        <w:spacing w:before="1" w:line="273" w:lineRule="auto"/>
        <w:ind w:right="861"/>
      </w:pPr>
      <w:r>
        <w:rPr>
          <w:color w:val="4A86E8"/>
        </w:rPr>
        <w:t>We</w:t>
      </w:r>
      <w:r>
        <w:rPr>
          <w:color w:val="4A86E8"/>
          <w:spacing w:val="-3"/>
        </w:rPr>
        <w:t xml:space="preserve"> </w:t>
      </w:r>
      <w:r>
        <w:rPr>
          <w:color w:val="4A86E8"/>
        </w:rPr>
        <w:t>thank</w:t>
      </w:r>
      <w:r>
        <w:rPr>
          <w:color w:val="4A86E8"/>
          <w:spacing w:val="-3"/>
        </w:rPr>
        <w:t xml:space="preserve"> </w:t>
      </w:r>
      <w:r>
        <w:rPr>
          <w:color w:val="4A86E8"/>
        </w:rPr>
        <w:t>the</w:t>
      </w:r>
      <w:r>
        <w:rPr>
          <w:color w:val="4A86E8"/>
          <w:spacing w:val="-3"/>
        </w:rPr>
        <w:t xml:space="preserve"> </w:t>
      </w:r>
      <w:r>
        <w:rPr>
          <w:color w:val="4A86E8"/>
        </w:rPr>
        <w:t>reviewer</w:t>
      </w:r>
      <w:r>
        <w:rPr>
          <w:color w:val="4A86E8"/>
          <w:spacing w:val="-3"/>
        </w:rPr>
        <w:t xml:space="preserve"> </w:t>
      </w:r>
      <w:r>
        <w:rPr>
          <w:color w:val="4A86E8"/>
        </w:rPr>
        <w:t>for</w:t>
      </w:r>
      <w:r>
        <w:rPr>
          <w:color w:val="4A86E8"/>
          <w:spacing w:val="-3"/>
        </w:rPr>
        <w:t xml:space="preserve"> </w:t>
      </w:r>
      <w:r>
        <w:rPr>
          <w:color w:val="4A86E8"/>
        </w:rPr>
        <w:t>their</w:t>
      </w:r>
      <w:r>
        <w:rPr>
          <w:color w:val="4A86E8"/>
          <w:spacing w:val="-3"/>
        </w:rPr>
        <w:t xml:space="preserve"> </w:t>
      </w:r>
      <w:r>
        <w:rPr>
          <w:color w:val="4A86E8"/>
        </w:rPr>
        <w:t>perspective</w:t>
      </w:r>
      <w:r>
        <w:rPr>
          <w:color w:val="4A86E8"/>
          <w:spacing w:val="-3"/>
        </w:rPr>
        <w:t xml:space="preserve"> </w:t>
      </w:r>
      <w:r>
        <w:rPr>
          <w:color w:val="4A86E8"/>
        </w:rPr>
        <w:t>on</w:t>
      </w:r>
      <w:r>
        <w:rPr>
          <w:color w:val="4A86E8"/>
          <w:spacing w:val="-3"/>
        </w:rPr>
        <w:t xml:space="preserve"> </w:t>
      </w:r>
      <w:r>
        <w:rPr>
          <w:color w:val="4A86E8"/>
        </w:rPr>
        <w:t>this</w:t>
      </w:r>
      <w:r>
        <w:rPr>
          <w:color w:val="4A86E8"/>
          <w:spacing w:val="-3"/>
        </w:rPr>
        <w:t xml:space="preserve"> </w:t>
      </w:r>
      <w:r>
        <w:rPr>
          <w:color w:val="4A86E8"/>
        </w:rPr>
        <w:t>point.</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removed</w:t>
      </w:r>
      <w:r>
        <w:rPr>
          <w:color w:val="4A86E8"/>
          <w:spacing w:val="-3"/>
        </w:rPr>
        <w:t xml:space="preserve"> </w:t>
      </w:r>
      <w:r>
        <w:rPr>
          <w:color w:val="4A86E8"/>
        </w:rPr>
        <w:t>the</w:t>
      </w:r>
      <w:r>
        <w:rPr>
          <w:color w:val="4A86E8"/>
          <w:spacing w:val="-3"/>
        </w:rPr>
        <w:t xml:space="preserve"> </w:t>
      </w:r>
      <w:r>
        <w:rPr>
          <w:color w:val="4A86E8"/>
        </w:rPr>
        <w:t>discussion sentence about training time as a limitation of single-task models.</w:t>
      </w:r>
    </w:p>
    <w:p w14:paraId="76C77175" w14:textId="77777777" w:rsidR="00E211CC" w:rsidRDefault="00E211CC" w:rsidP="00E211CC">
      <w:pPr>
        <w:spacing w:line="273" w:lineRule="auto"/>
        <w:sectPr w:rsidR="00E211CC" w:rsidSect="00E211CC">
          <w:pgSz w:w="12240" w:h="15840"/>
          <w:pgMar w:top="1360" w:right="580" w:bottom="280" w:left="620" w:header="720" w:footer="720" w:gutter="0"/>
          <w:cols w:space="720"/>
        </w:sectPr>
      </w:pPr>
    </w:p>
    <w:p w14:paraId="5C588871" w14:textId="77777777" w:rsidR="00E211CC" w:rsidRDefault="00E211CC" w:rsidP="00E211CC">
      <w:pPr>
        <w:pStyle w:val="Heading1"/>
        <w:spacing w:before="234"/>
      </w:pPr>
      <w:r>
        <w:lastRenderedPageBreak/>
        <w:t>Reviewer</w:t>
      </w:r>
      <w:r>
        <w:rPr>
          <w:spacing w:val="-8"/>
        </w:rPr>
        <w:t xml:space="preserve"> </w:t>
      </w:r>
      <w:r>
        <w:rPr>
          <w:spacing w:val="-5"/>
        </w:rPr>
        <w:t>#2:</w:t>
      </w:r>
    </w:p>
    <w:p w14:paraId="4B774977" w14:textId="77777777" w:rsidR="00E211CC" w:rsidRDefault="00E211CC" w:rsidP="00E211CC">
      <w:pPr>
        <w:pStyle w:val="BodyText"/>
        <w:spacing w:before="117" w:line="276" w:lineRule="auto"/>
        <w:ind w:right="899"/>
      </w:pPr>
      <w:r>
        <w:rPr>
          <w:color w:val="222222"/>
        </w:rPr>
        <w:t>Summary: The authors show that the performance of existing models predicting epigenetic features from DNA (Enformer and Sei) within cell type specific CREs is lower compared to ubiquitous CREs for both the "reference accuracy" and for eQTL variant effect prediction. They have also trained multi-task Basset-like models on two much smaller datasets of DNA accessibility</w:t>
      </w:r>
      <w:r>
        <w:rPr>
          <w:color w:val="222222"/>
          <w:spacing w:val="-3"/>
        </w:rPr>
        <w:t xml:space="preserve"> </w:t>
      </w:r>
      <w:r>
        <w:rPr>
          <w:color w:val="222222"/>
        </w:rPr>
        <w:t>for</w:t>
      </w:r>
      <w:r>
        <w:rPr>
          <w:color w:val="222222"/>
          <w:spacing w:val="-3"/>
        </w:rPr>
        <w:t xml:space="preserve"> </w:t>
      </w:r>
      <w:r>
        <w:rPr>
          <w:color w:val="222222"/>
        </w:rPr>
        <w:t>more</w:t>
      </w:r>
      <w:r>
        <w:rPr>
          <w:color w:val="222222"/>
          <w:spacing w:val="-3"/>
        </w:rPr>
        <w:t xml:space="preserve"> </w:t>
      </w:r>
      <w:r>
        <w:rPr>
          <w:color w:val="222222"/>
        </w:rPr>
        <w:t>closely</w:t>
      </w:r>
      <w:r>
        <w:rPr>
          <w:color w:val="222222"/>
          <w:spacing w:val="-3"/>
        </w:rPr>
        <w:t xml:space="preserve"> </w:t>
      </w:r>
      <w:r>
        <w:rPr>
          <w:color w:val="222222"/>
        </w:rPr>
        <w:t>related</w:t>
      </w:r>
      <w:r>
        <w:rPr>
          <w:color w:val="222222"/>
          <w:spacing w:val="-3"/>
        </w:rPr>
        <w:t xml:space="preserve"> </w:t>
      </w:r>
      <w:r>
        <w:rPr>
          <w:color w:val="222222"/>
        </w:rPr>
        <w:t>cell</w:t>
      </w:r>
      <w:r>
        <w:rPr>
          <w:color w:val="222222"/>
          <w:spacing w:val="-3"/>
        </w:rPr>
        <w:t xml:space="preserve"> </w:t>
      </w:r>
      <w:r>
        <w:rPr>
          <w:color w:val="222222"/>
        </w:rPr>
        <w:t>types</w:t>
      </w:r>
      <w:r>
        <w:rPr>
          <w:color w:val="222222"/>
          <w:spacing w:val="-3"/>
        </w:rPr>
        <w:t xml:space="preserve"> </w:t>
      </w:r>
      <w:r>
        <w:rPr>
          <w:color w:val="222222"/>
        </w:rPr>
        <w:t>and</w:t>
      </w:r>
      <w:r>
        <w:rPr>
          <w:color w:val="222222"/>
          <w:spacing w:val="-3"/>
        </w:rPr>
        <w:t xml:space="preserve"> </w:t>
      </w:r>
      <w:r>
        <w:rPr>
          <w:color w:val="222222"/>
        </w:rPr>
        <w:t>have</w:t>
      </w:r>
      <w:r>
        <w:rPr>
          <w:color w:val="222222"/>
          <w:spacing w:val="-3"/>
        </w:rPr>
        <w:t xml:space="preserve"> </w:t>
      </w:r>
      <w:r>
        <w:rPr>
          <w:color w:val="222222"/>
        </w:rPr>
        <w:t>shown</w:t>
      </w:r>
      <w:r>
        <w:rPr>
          <w:color w:val="222222"/>
          <w:spacing w:val="-3"/>
        </w:rPr>
        <w:t xml:space="preserve"> </w:t>
      </w:r>
      <w:r>
        <w:rPr>
          <w:color w:val="222222"/>
        </w:rPr>
        <w:t>that</w:t>
      </w:r>
      <w:r>
        <w:rPr>
          <w:color w:val="222222"/>
          <w:spacing w:val="-3"/>
        </w:rPr>
        <w:t xml:space="preserve"> </w:t>
      </w:r>
      <w:r>
        <w:rPr>
          <w:color w:val="222222"/>
        </w:rPr>
        <w:t>the</w:t>
      </w:r>
      <w:r>
        <w:rPr>
          <w:color w:val="222222"/>
          <w:spacing w:val="-3"/>
        </w:rPr>
        <w:t xml:space="preserve"> </w:t>
      </w:r>
      <w:r>
        <w:rPr>
          <w:color w:val="222222"/>
        </w:rPr>
        <w:t>"reference</w:t>
      </w:r>
      <w:r>
        <w:rPr>
          <w:color w:val="222222"/>
          <w:spacing w:val="-3"/>
        </w:rPr>
        <w:t xml:space="preserve"> </w:t>
      </w:r>
      <w:r>
        <w:rPr>
          <w:color w:val="222222"/>
        </w:rPr>
        <w:t>accuracy"</w:t>
      </w:r>
      <w:r>
        <w:rPr>
          <w:color w:val="222222"/>
          <w:spacing w:val="-3"/>
        </w:rPr>
        <w:t xml:space="preserve"> </w:t>
      </w:r>
      <w:r>
        <w:rPr>
          <w:color w:val="222222"/>
        </w:rPr>
        <w:t>is also lower for these in cell type specific CREs compared to ubiquitously accessible CREs. For these smaller dataset of more closely related cell types, the authors have also trained single task</w:t>
      </w:r>
      <w:r>
        <w:rPr>
          <w:color w:val="222222"/>
          <w:spacing w:val="-1"/>
        </w:rPr>
        <w:t xml:space="preserve"> </w:t>
      </w:r>
      <w:r>
        <w:rPr>
          <w:color w:val="222222"/>
        </w:rPr>
        <w:t>models</w:t>
      </w:r>
      <w:r>
        <w:rPr>
          <w:color w:val="222222"/>
          <w:spacing w:val="-1"/>
        </w:rPr>
        <w:t xml:space="preserve"> </w:t>
      </w:r>
      <w:r>
        <w:rPr>
          <w:color w:val="222222"/>
        </w:rPr>
        <w:t>which</w:t>
      </w:r>
      <w:r>
        <w:rPr>
          <w:color w:val="222222"/>
          <w:spacing w:val="-1"/>
        </w:rPr>
        <w:t xml:space="preserve"> </w:t>
      </w:r>
      <w:r>
        <w:rPr>
          <w:color w:val="222222"/>
        </w:rPr>
        <w:t>showed</w:t>
      </w:r>
      <w:r>
        <w:rPr>
          <w:color w:val="222222"/>
          <w:spacing w:val="-1"/>
        </w:rPr>
        <w:t xml:space="preserve"> </w:t>
      </w:r>
      <w:r>
        <w:rPr>
          <w:color w:val="222222"/>
        </w:rPr>
        <w:t>higher</w:t>
      </w:r>
      <w:r>
        <w:rPr>
          <w:color w:val="222222"/>
          <w:spacing w:val="-1"/>
        </w:rPr>
        <w:t xml:space="preserve"> </w:t>
      </w:r>
      <w:r>
        <w:rPr>
          <w:color w:val="222222"/>
        </w:rPr>
        <w:t>"reference</w:t>
      </w:r>
      <w:r>
        <w:rPr>
          <w:color w:val="222222"/>
          <w:spacing w:val="-1"/>
        </w:rPr>
        <w:t xml:space="preserve"> </w:t>
      </w:r>
      <w:r>
        <w:rPr>
          <w:color w:val="222222"/>
        </w:rPr>
        <w:t>accuracy"</w:t>
      </w:r>
      <w:r>
        <w:rPr>
          <w:color w:val="222222"/>
          <w:spacing w:val="-1"/>
        </w:rPr>
        <w:t xml:space="preserve"> </w:t>
      </w:r>
      <w:r>
        <w:rPr>
          <w:color w:val="222222"/>
        </w:rPr>
        <w:t>in</w:t>
      </w:r>
      <w:r>
        <w:rPr>
          <w:color w:val="222222"/>
          <w:spacing w:val="-1"/>
        </w:rPr>
        <w:t xml:space="preserve"> </w:t>
      </w:r>
      <w:r>
        <w:rPr>
          <w:color w:val="222222"/>
        </w:rPr>
        <w:t>cell</w:t>
      </w:r>
      <w:r>
        <w:rPr>
          <w:color w:val="222222"/>
          <w:spacing w:val="-1"/>
        </w:rPr>
        <w:t xml:space="preserve"> </w:t>
      </w:r>
      <w:r>
        <w:rPr>
          <w:color w:val="222222"/>
        </w:rPr>
        <w:t>type</w:t>
      </w:r>
      <w:r>
        <w:rPr>
          <w:color w:val="222222"/>
          <w:spacing w:val="-1"/>
        </w:rPr>
        <w:t xml:space="preserve"> </w:t>
      </w:r>
      <w:r>
        <w:rPr>
          <w:color w:val="222222"/>
        </w:rPr>
        <w:t>specific</w:t>
      </w:r>
      <w:r>
        <w:rPr>
          <w:color w:val="222222"/>
          <w:spacing w:val="-1"/>
        </w:rPr>
        <w:t xml:space="preserve"> </w:t>
      </w:r>
      <w:r>
        <w:rPr>
          <w:color w:val="222222"/>
        </w:rPr>
        <w:t>CREs,</w:t>
      </w:r>
      <w:r>
        <w:rPr>
          <w:color w:val="222222"/>
          <w:spacing w:val="-1"/>
        </w:rPr>
        <w:t xml:space="preserve"> </w:t>
      </w:r>
      <w:r>
        <w:rPr>
          <w:color w:val="222222"/>
        </w:rPr>
        <w:t>although</w:t>
      </w:r>
      <w:r>
        <w:rPr>
          <w:color w:val="222222"/>
          <w:spacing w:val="-1"/>
        </w:rPr>
        <w:t xml:space="preserve"> </w:t>
      </w:r>
      <w:r>
        <w:rPr>
          <w:color w:val="222222"/>
        </w:rPr>
        <w:t xml:space="preserve">the performance was still significantly lower compared to ubiquitous CREs and they haven't really shown consistent improvement in variant effect prediction accuracy compared to multi-task </w:t>
      </w:r>
      <w:r>
        <w:rPr>
          <w:color w:val="222222"/>
          <w:spacing w:val="-2"/>
        </w:rPr>
        <w:t>models.</w:t>
      </w:r>
    </w:p>
    <w:p w14:paraId="3A4A4215" w14:textId="77777777" w:rsidR="00E211CC" w:rsidRDefault="00E211CC" w:rsidP="00E211CC">
      <w:pPr>
        <w:pStyle w:val="BodyText"/>
        <w:spacing w:before="36"/>
        <w:ind w:left="0"/>
      </w:pPr>
    </w:p>
    <w:p w14:paraId="4DD5F007" w14:textId="77777777" w:rsidR="00E211CC" w:rsidRDefault="00E211CC" w:rsidP="00E211CC">
      <w:pPr>
        <w:pStyle w:val="BodyText"/>
        <w:spacing w:line="276" w:lineRule="auto"/>
        <w:ind w:right="861"/>
      </w:pPr>
      <w:r>
        <w:rPr>
          <w:color w:val="222222"/>
        </w:rPr>
        <w:t>Overall, I find the manuscript interesting and novel. I expect it to provide helpful insights to the research community of model developers aiming to better understand the cis regulatory code using</w:t>
      </w:r>
      <w:r>
        <w:rPr>
          <w:color w:val="222222"/>
          <w:spacing w:val="-3"/>
        </w:rPr>
        <w:t xml:space="preserve"> </w:t>
      </w:r>
      <w:r>
        <w:rPr>
          <w:color w:val="222222"/>
        </w:rPr>
        <w:t>deep</w:t>
      </w:r>
      <w:r>
        <w:rPr>
          <w:color w:val="222222"/>
          <w:spacing w:val="-3"/>
        </w:rPr>
        <w:t xml:space="preserve"> </w:t>
      </w:r>
      <w:r>
        <w:rPr>
          <w:color w:val="222222"/>
        </w:rPr>
        <w:t>learning</w:t>
      </w:r>
      <w:r>
        <w:rPr>
          <w:color w:val="222222"/>
          <w:spacing w:val="-3"/>
        </w:rPr>
        <w:t xml:space="preserve"> </w:t>
      </w:r>
      <w:r>
        <w:rPr>
          <w:color w:val="222222"/>
        </w:rPr>
        <w:t>models.</w:t>
      </w:r>
      <w:r>
        <w:rPr>
          <w:color w:val="222222"/>
          <w:spacing w:val="-3"/>
        </w:rPr>
        <w:t xml:space="preserve"> </w:t>
      </w:r>
      <w:r>
        <w:rPr>
          <w:color w:val="222222"/>
        </w:rPr>
        <w:t>However,</w:t>
      </w:r>
      <w:r>
        <w:rPr>
          <w:color w:val="222222"/>
          <w:spacing w:val="-3"/>
        </w:rPr>
        <w:t xml:space="preserve"> </w:t>
      </w:r>
      <w:r>
        <w:rPr>
          <w:color w:val="222222"/>
        </w:rPr>
        <w:t>I</w:t>
      </w:r>
      <w:r>
        <w:rPr>
          <w:color w:val="222222"/>
          <w:spacing w:val="-3"/>
        </w:rPr>
        <w:t xml:space="preserve"> </w:t>
      </w:r>
      <w:r>
        <w:rPr>
          <w:color w:val="222222"/>
        </w:rPr>
        <w:t>don't</w:t>
      </w:r>
      <w:r>
        <w:rPr>
          <w:color w:val="222222"/>
          <w:spacing w:val="-3"/>
        </w:rPr>
        <w:t xml:space="preserve"> </w:t>
      </w:r>
      <w:r>
        <w:rPr>
          <w:color w:val="222222"/>
        </w:rPr>
        <w:t>think</w:t>
      </w:r>
      <w:r>
        <w:rPr>
          <w:color w:val="222222"/>
          <w:spacing w:val="-3"/>
        </w:rPr>
        <w:t xml:space="preserve"> </w:t>
      </w:r>
      <w:r>
        <w:rPr>
          <w:color w:val="222222"/>
        </w:rPr>
        <w:t>the</w:t>
      </w:r>
      <w:r>
        <w:rPr>
          <w:color w:val="222222"/>
          <w:spacing w:val="-3"/>
        </w:rPr>
        <w:t xml:space="preserve"> </w:t>
      </w:r>
      <w:r>
        <w:rPr>
          <w:color w:val="222222"/>
        </w:rPr>
        <w:t>manuscript</w:t>
      </w:r>
      <w:r>
        <w:rPr>
          <w:color w:val="222222"/>
          <w:spacing w:val="-3"/>
        </w:rPr>
        <w:t xml:space="preserve"> </w:t>
      </w:r>
      <w:r>
        <w:rPr>
          <w:color w:val="222222"/>
        </w:rPr>
        <w:t>in</w:t>
      </w:r>
      <w:r>
        <w:rPr>
          <w:color w:val="222222"/>
          <w:spacing w:val="-3"/>
        </w:rPr>
        <w:t xml:space="preserve"> </w:t>
      </w:r>
      <w:r>
        <w:rPr>
          <w:color w:val="222222"/>
        </w:rPr>
        <w:t>its</w:t>
      </w:r>
      <w:r>
        <w:rPr>
          <w:color w:val="222222"/>
          <w:spacing w:val="-3"/>
        </w:rPr>
        <w:t xml:space="preserve"> </w:t>
      </w:r>
      <w:r>
        <w:rPr>
          <w:color w:val="222222"/>
        </w:rPr>
        <w:t>current</w:t>
      </w:r>
      <w:r>
        <w:rPr>
          <w:color w:val="222222"/>
          <w:spacing w:val="-3"/>
        </w:rPr>
        <w:t xml:space="preserve"> </w:t>
      </w:r>
      <w:r>
        <w:rPr>
          <w:color w:val="222222"/>
        </w:rPr>
        <w:t>form</w:t>
      </w:r>
      <w:r>
        <w:rPr>
          <w:color w:val="222222"/>
          <w:spacing w:val="-3"/>
        </w:rPr>
        <w:t xml:space="preserve"> </w:t>
      </w:r>
      <w:r>
        <w:rPr>
          <w:color w:val="222222"/>
        </w:rPr>
        <w:t>is</w:t>
      </w:r>
      <w:r>
        <w:rPr>
          <w:color w:val="222222"/>
          <w:spacing w:val="-3"/>
        </w:rPr>
        <w:t xml:space="preserve"> </w:t>
      </w:r>
      <w:r>
        <w:rPr>
          <w:color w:val="222222"/>
        </w:rPr>
        <w:t>ready</w:t>
      </w:r>
      <w:r>
        <w:rPr>
          <w:color w:val="222222"/>
          <w:spacing w:val="-3"/>
        </w:rPr>
        <w:t xml:space="preserve"> </w:t>
      </w:r>
      <w:r>
        <w:rPr>
          <w:color w:val="222222"/>
        </w:rPr>
        <w:t>for publication. I have outlined my major and minor points that I think need to be addressed below.</w:t>
      </w:r>
    </w:p>
    <w:p w14:paraId="23661290" w14:textId="77777777" w:rsidR="00E211CC" w:rsidRDefault="00E211CC" w:rsidP="00E211CC">
      <w:pPr>
        <w:pStyle w:val="BodyText"/>
        <w:spacing w:before="38"/>
        <w:ind w:left="0"/>
      </w:pPr>
    </w:p>
    <w:p w14:paraId="1DE2E5DF" w14:textId="77777777" w:rsidR="00E211CC" w:rsidRDefault="00E211CC" w:rsidP="00E211CC">
      <w:pPr>
        <w:pStyle w:val="BodyText"/>
      </w:pPr>
      <w:r>
        <w:rPr>
          <w:color w:val="222222"/>
          <w:spacing w:val="-2"/>
        </w:rPr>
        <w:t>Major:</w:t>
      </w:r>
    </w:p>
    <w:p w14:paraId="24996166" w14:textId="77777777" w:rsidR="00E211CC" w:rsidRDefault="00E211CC" w:rsidP="00E211CC">
      <w:pPr>
        <w:pStyle w:val="BodyText"/>
        <w:spacing w:before="75"/>
        <w:ind w:left="0"/>
      </w:pPr>
    </w:p>
    <w:p w14:paraId="2B3A412D" w14:textId="77777777" w:rsidR="00E211CC" w:rsidRDefault="00E211CC" w:rsidP="00E211CC">
      <w:pPr>
        <w:pStyle w:val="ListParagraph"/>
        <w:widowControl w:val="0"/>
        <w:numPr>
          <w:ilvl w:val="0"/>
          <w:numId w:val="5"/>
        </w:numPr>
        <w:tabs>
          <w:tab w:val="left" w:pos="1063"/>
        </w:tabs>
        <w:autoSpaceDE w:val="0"/>
        <w:autoSpaceDN w:val="0"/>
        <w:spacing w:after="0" w:line="276" w:lineRule="auto"/>
        <w:ind w:right="900" w:firstLine="0"/>
        <w:contextualSpacing w:val="0"/>
      </w:pPr>
      <w:r>
        <w:rPr>
          <w:color w:val="222222"/>
        </w:rPr>
        <w:t>The</w:t>
      </w:r>
      <w:r>
        <w:rPr>
          <w:color w:val="222222"/>
          <w:spacing w:val="-4"/>
        </w:rPr>
        <w:t xml:space="preserve"> </w:t>
      </w:r>
      <w:r>
        <w:rPr>
          <w:color w:val="222222"/>
        </w:rPr>
        <w:t>authors</w:t>
      </w:r>
      <w:r>
        <w:rPr>
          <w:color w:val="222222"/>
          <w:spacing w:val="-4"/>
        </w:rPr>
        <w:t xml:space="preserve"> </w:t>
      </w:r>
      <w:r>
        <w:rPr>
          <w:color w:val="222222"/>
        </w:rPr>
        <w:t>use</w:t>
      </w:r>
      <w:r>
        <w:rPr>
          <w:color w:val="222222"/>
          <w:spacing w:val="-4"/>
        </w:rPr>
        <w:t xml:space="preserve"> </w:t>
      </w:r>
      <w:r>
        <w:rPr>
          <w:color w:val="222222"/>
        </w:rPr>
        <w:t>CRE</w:t>
      </w:r>
      <w:r>
        <w:rPr>
          <w:color w:val="222222"/>
          <w:spacing w:val="-4"/>
        </w:rPr>
        <w:t xml:space="preserve"> </w:t>
      </w:r>
      <w:r>
        <w:rPr>
          <w:color w:val="222222"/>
        </w:rPr>
        <w:t>and</w:t>
      </w:r>
      <w:r>
        <w:rPr>
          <w:color w:val="222222"/>
          <w:spacing w:val="-4"/>
        </w:rPr>
        <w:t xml:space="preserve"> </w:t>
      </w:r>
      <w:r>
        <w:rPr>
          <w:color w:val="222222"/>
        </w:rPr>
        <w:t>DNA</w:t>
      </w:r>
      <w:r>
        <w:rPr>
          <w:color w:val="222222"/>
          <w:spacing w:val="-4"/>
        </w:rPr>
        <w:t xml:space="preserve"> </w:t>
      </w:r>
      <w:r>
        <w:rPr>
          <w:color w:val="222222"/>
        </w:rPr>
        <w:t>accessibility</w:t>
      </w:r>
      <w:r>
        <w:rPr>
          <w:color w:val="222222"/>
          <w:spacing w:val="-4"/>
        </w:rPr>
        <w:t xml:space="preserve"> </w:t>
      </w:r>
      <w:r>
        <w:rPr>
          <w:color w:val="222222"/>
        </w:rPr>
        <w:t>peaks</w:t>
      </w:r>
      <w:r>
        <w:rPr>
          <w:color w:val="222222"/>
          <w:spacing w:val="-4"/>
        </w:rPr>
        <w:t xml:space="preserve"> </w:t>
      </w:r>
      <w:r>
        <w:rPr>
          <w:color w:val="222222"/>
        </w:rPr>
        <w:t>interchangeably.</w:t>
      </w:r>
      <w:r>
        <w:rPr>
          <w:color w:val="222222"/>
          <w:spacing w:val="-4"/>
        </w:rPr>
        <w:t xml:space="preserve"> </w:t>
      </w:r>
      <w:r>
        <w:rPr>
          <w:color w:val="222222"/>
        </w:rPr>
        <w:t>Not</w:t>
      </w:r>
      <w:r>
        <w:rPr>
          <w:color w:val="222222"/>
          <w:spacing w:val="-4"/>
        </w:rPr>
        <w:t xml:space="preserve"> </w:t>
      </w:r>
      <w:r>
        <w:rPr>
          <w:color w:val="222222"/>
        </w:rPr>
        <w:t>all</w:t>
      </w:r>
      <w:r>
        <w:rPr>
          <w:color w:val="222222"/>
          <w:spacing w:val="-4"/>
        </w:rPr>
        <w:t xml:space="preserve"> </w:t>
      </w:r>
      <w:r>
        <w:rPr>
          <w:color w:val="222222"/>
        </w:rPr>
        <w:t>DNA</w:t>
      </w:r>
      <w:r>
        <w:rPr>
          <w:color w:val="222222"/>
          <w:spacing w:val="-4"/>
        </w:rPr>
        <w:t xml:space="preserve"> </w:t>
      </w:r>
      <w:r>
        <w:rPr>
          <w:color w:val="222222"/>
        </w:rPr>
        <w:t>accessibility peaks are cis regulatory elements. Therefore, the authors should be much more explicit about this. This might require replacing most/all mentions of CRE with DHS peaks or use candidate CREs defined by the ENCODE consortium for their analysis.</w:t>
      </w:r>
    </w:p>
    <w:p w14:paraId="74E31AE2" w14:textId="77777777" w:rsidR="00E211CC" w:rsidRDefault="00E211CC" w:rsidP="00E211CC">
      <w:pPr>
        <w:pStyle w:val="BodyText"/>
        <w:spacing w:before="37"/>
        <w:ind w:left="0"/>
      </w:pPr>
    </w:p>
    <w:p w14:paraId="478B5181" w14:textId="77777777" w:rsidR="00E211CC" w:rsidRDefault="00E211CC" w:rsidP="00E211CC">
      <w:pPr>
        <w:pStyle w:val="BodyText"/>
        <w:spacing w:line="276" w:lineRule="auto"/>
        <w:ind w:right="861"/>
      </w:pPr>
      <w:r>
        <w:rPr>
          <w:color w:val="4A86E8"/>
        </w:rPr>
        <w:t>We appreciate the critique that “CRE” and “DNA accessibility peaks” should not be used interchangeably</w:t>
      </w:r>
      <w:r>
        <w:rPr>
          <w:color w:val="4A86E8"/>
          <w:spacing w:val="-4"/>
        </w:rPr>
        <w:t xml:space="preserve"> </w:t>
      </w:r>
      <w:r>
        <w:rPr>
          <w:color w:val="4A86E8"/>
        </w:rPr>
        <w:t>because</w:t>
      </w:r>
      <w:r>
        <w:rPr>
          <w:color w:val="4A86E8"/>
          <w:spacing w:val="-4"/>
        </w:rPr>
        <w:t xml:space="preserve"> </w:t>
      </w:r>
      <w:r>
        <w:rPr>
          <w:color w:val="4A86E8"/>
        </w:rPr>
        <w:t>not</w:t>
      </w:r>
      <w:r>
        <w:rPr>
          <w:color w:val="4A86E8"/>
          <w:spacing w:val="-4"/>
        </w:rPr>
        <w:t xml:space="preserve"> </w:t>
      </w:r>
      <w:r>
        <w:rPr>
          <w:color w:val="4A86E8"/>
        </w:rPr>
        <w:t>all</w:t>
      </w:r>
      <w:r>
        <w:rPr>
          <w:color w:val="4A86E8"/>
          <w:spacing w:val="-4"/>
        </w:rPr>
        <w:t xml:space="preserve"> </w:t>
      </w:r>
      <w:r>
        <w:rPr>
          <w:color w:val="4A86E8"/>
        </w:rPr>
        <w:t>DNA</w:t>
      </w:r>
      <w:r>
        <w:rPr>
          <w:color w:val="4A86E8"/>
          <w:spacing w:val="-4"/>
        </w:rPr>
        <w:t xml:space="preserve"> </w:t>
      </w:r>
      <w:r>
        <w:rPr>
          <w:color w:val="4A86E8"/>
        </w:rPr>
        <w:t>accessibility</w:t>
      </w:r>
      <w:r>
        <w:rPr>
          <w:color w:val="4A86E8"/>
          <w:spacing w:val="-4"/>
        </w:rPr>
        <w:t xml:space="preserve"> </w:t>
      </w:r>
      <w:r>
        <w:rPr>
          <w:color w:val="4A86E8"/>
        </w:rPr>
        <w:t>peaks</w:t>
      </w:r>
      <w:r>
        <w:rPr>
          <w:color w:val="4A86E8"/>
          <w:spacing w:val="-4"/>
        </w:rPr>
        <w:t xml:space="preserve"> </w:t>
      </w:r>
      <w:r>
        <w:rPr>
          <w:color w:val="4A86E8"/>
        </w:rPr>
        <w:t>are</w:t>
      </w:r>
      <w:r>
        <w:rPr>
          <w:color w:val="4A86E8"/>
          <w:spacing w:val="-4"/>
        </w:rPr>
        <w:t xml:space="preserve"> </w:t>
      </w:r>
      <w:r>
        <w:rPr>
          <w:color w:val="4A86E8"/>
        </w:rPr>
        <w:t>CREs.</w:t>
      </w:r>
      <w:r>
        <w:rPr>
          <w:color w:val="4A86E8"/>
          <w:spacing w:val="-4"/>
        </w:rPr>
        <w:t xml:space="preserve"> </w:t>
      </w:r>
      <w:r>
        <w:rPr>
          <w:color w:val="4A86E8"/>
        </w:rPr>
        <w:t>We</w:t>
      </w:r>
      <w:r>
        <w:rPr>
          <w:color w:val="4A86E8"/>
          <w:spacing w:val="-4"/>
        </w:rPr>
        <w:t xml:space="preserve"> </w:t>
      </w:r>
      <w:r>
        <w:rPr>
          <w:color w:val="4A86E8"/>
        </w:rPr>
        <w:t>have</w:t>
      </w:r>
      <w:r>
        <w:rPr>
          <w:color w:val="4A86E8"/>
          <w:spacing w:val="-4"/>
        </w:rPr>
        <w:t xml:space="preserve"> </w:t>
      </w:r>
      <w:r>
        <w:rPr>
          <w:color w:val="4A86E8"/>
        </w:rPr>
        <w:t>replaced</w:t>
      </w:r>
      <w:r>
        <w:rPr>
          <w:color w:val="4A86E8"/>
          <w:spacing w:val="-4"/>
        </w:rPr>
        <w:t xml:space="preserve"> </w:t>
      </w:r>
      <w:r>
        <w:rPr>
          <w:color w:val="4A86E8"/>
        </w:rPr>
        <w:t xml:space="preserve">most mentions of CREs throughout the paper (except when explicitly referring to candidate </w:t>
      </w:r>
      <w:r>
        <w:rPr>
          <w:i/>
          <w:color w:val="4A86E8"/>
        </w:rPr>
        <w:t xml:space="preserve">cis </w:t>
      </w:r>
      <w:r>
        <w:rPr>
          <w:color w:val="4A86E8"/>
        </w:rPr>
        <w:t>regulatory elements) with “chromatin accessibility peaks.”</w:t>
      </w:r>
    </w:p>
    <w:p w14:paraId="46C29003" w14:textId="77777777" w:rsidR="00E211CC" w:rsidRDefault="00E211CC" w:rsidP="00E211CC">
      <w:pPr>
        <w:pStyle w:val="BodyText"/>
        <w:spacing w:before="38"/>
        <w:ind w:left="0"/>
      </w:pPr>
    </w:p>
    <w:p w14:paraId="311BAE3D" w14:textId="77777777" w:rsidR="00E211CC" w:rsidRDefault="00E211CC" w:rsidP="00E211CC">
      <w:pPr>
        <w:pStyle w:val="ListParagraph"/>
        <w:widowControl w:val="0"/>
        <w:numPr>
          <w:ilvl w:val="0"/>
          <w:numId w:val="5"/>
        </w:numPr>
        <w:tabs>
          <w:tab w:val="left" w:pos="1063"/>
        </w:tabs>
        <w:autoSpaceDE w:val="0"/>
        <w:autoSpaceDN w:val="0"/>
        <w:spacing w:after="0" w:line="276" w:lineRule="auto"/>
        <w:ind w:right="948" w:firstLine="0"/>
        <w:contextualSpacing w:val="0"/>
      </w:pPr>
      <w:r>
        <w:rPr>
          <w:color w:val="222222"/>
        </w:rPr>
        <w:t>This manuscript doesn't provide direct insights into how to improve variant effect prediction accuracy which is the main application of models predicting chromatin features from DNA sequence. The authors have not demonstrated that single-task training leads to better variant effect prediction. Only in one cell type (Stroma in Fig. S6) out of 7 shown in Fig. S6 and S7 is single</w:t>
      </w:r>
      <w:r>
        <w:rPr>
          <w:color w:val="222222"/>
          <w:spacing w:val="-4"/>
        </w:rPr>
        <w:t xml:space="preserve"> </w:t>
      </w:r>
      <w:r>
        <w:rPr>
          <w:color w:val="222222"/>
        </w:rPr>
        <w:t>task</w:t>
      </w:r>
      <w:r>
        <w:rPr>
          <w:color w:val="222222"/>
          <w:spacing w:val="-4"/>
        </w:rPr>
        <w:t xml:space="preserve"> </w:t>
      </w:r>
      <w:r>
        <w:rPr>
          <w:color w:val="222222"/>
        </w:rPr>
        <w:t>training</w:t>
      </w:r>
      <w:r>
        <w:rPr>
          <w:color w:val="222222"/>
          <w:spacing w:val="-4"/>
        </w:rPr>
        <w:t xml:space="preserve"> </w:t>
      </w:r>
      <w:r>
        <w:rPr>
          <w:color w:val="222222"/>
        </w:rPr>
        <w:t>performing</w:t>
      </w:r>
      <w:r>
        <w:rPr>
          <w:color w:val="222222"/>
          <w:spacing w:val="-4"/>
        </w:rPr>
        <w:t xml:space="preserve"> </w:t>
      </w:r>
      <w:r>
        <w:rPr>
          <w:color w:val="222222"/>
        </w:rPr>
        <w:t>convincingly</w:t>
      </w:r>
      <w:r>
        <w:rPr>
          <w:color w:val="222222"/>
          <w:spacing w:val="-4"/>
        </w:rPr>
        <w:t xml:space="preserve"> </w:t>
      </w:r>
      <w:r>
        <w:rPr>
          <w:color w:val="222222"/>
        </w:rPr>
        <w:t>better</w:t>
      </w:r>
      <w:r>
        <w:rPr>
          <w:color w:val="222222"/>
          <w:spacing w:val="-4"/>
        </w:rPr>
        <w:t xml:space="preserve"> </w:t>
      </w:r>
      <w:r>
        <w:rPr>
          <w:color w:val="222222"/>
        </w:rPr>
        <w:t>in</w:t>
      </w:r>
      <w:r>
        <w:rPr>
          <w:color w:val="222222"/>
          <w:spacing w:val="-4"/>
        </w:rPr>
        <w:t xml:space="preserve"> </w:t>
      </w:r>
      <w:r>
        <w:rPr>
          <w:color w:val="222222"/>
        </w:rPr>
        <w:t>variant</w:t>
      </w:r>
      <w:r>
        <w:rPr>
          <w:color w:val="222222"/>
          <w:spacing w:val="-4"/>
        </w:rPr>
        <w:t xml:space="preserve"> </w:t>
      </w:r>
      <w:r>
        <w:rPr>
          <w:color w:val="222222"/>
        </w:rPr>
        <w:t>effect</w:t>
      </w:r>
      <w:r>
        <w:rPr>
          <w:color w:val="222222"/>
          <w:spacing w:val="-4"/>
        </w:rPr>
        <w:t xml:space="preserve"> </w:t>
      </w:r>
      <w:r>
        <w:rPr>
          <w:color w:val="222222"/>
        </w:rPr>
        <w:t>prediction</w:t>
      </w:r>
      <w:r>
        <w:rPr>
          <w:color w:val="222222"/>
          <w:spacing w:val="-4"/>
        </w:rPr>
        <w:t xml:space="preserve"> </w:t>
      </w:r>
      <w:r>
        <w:rPr>
          <w:color w:val="222222"/>
        </w:rPr>
        <w:t>compared</w:t>
      </w:r>
      <w:r>
        <w:rPr>
          <w:color w:val="222222"/>
          <w:spacing w:val="-4"/>
        </w:rPr>
        <w:t xml:space="preserve"> </w:t>
      </w:r>
      <w:r>
        <w:rPr>
          <w:color w:val="222222"/>
        </w:rPr>
        <w:t>to</w:t>
      </w:r>
      <w:r>
        <w:rPr>
          <w:color w:val="222222"/>
          <w:spacing w:val="-4"/>
        </w:rPr>
        <w:t xml:space="preserve"> </w:t>
      </w:r>
      <w:r>
        <w:rPr>
          <w:color w:val="222222"/>
        </w:rPr>
        <w:t>multi- task learning. Variant effect prediction is the most important task for these models and the authors acknowledge that by saying the performance shouldn't be just measured by 'reference accuracy' since it is unclear how this will translate to variant effect prediction accuracy in the main text. In the abstract, however, the authors say that they "identify single-task learning as a potential method to improve performance in cell type specific CREs.". Combining both makes the implicit argument that single task</w:t>
      </w:r>
    </w:p>
    <w:p w14:paraId="0DF82A43" w14:textId="77777777" w:rsidR="00E211CC" w:rsidRDefault="00E211CC" w:rsidP="00E211CC">
      <w:pPr>
        <w:spacing w:line="276" w:lineRule="auto"/>
        <w:sectPr w:rsidR="00E211CC" w:rsidSect="00E211CC">
          <w:pgSz w:w="12240" w:h="15840"/>
          <w:pgMar w:top="1820" w:right="580" w:bottom="280" w:left="620" w:header="720" w:footer="720" w:gutter="0"/>
          <w:cols w:space="720"/>
        </w:sectPr>
      </w:pPr>
    </w:p>
    <w:p w14:paraId="047A067D" w14:textId="77777777" w:rsidR="00E211CC" w:rsidRDefault="00E211CC" w:rsidP="00E211CC">
      <w:pPr>
        <w:pStyle w:val="BodyText"/>
        <w:spacing w:before="80" w:line="276" w:lineRule="auto"/>
        <w:ind w:right="873"/>
      </w:pPr>
      <w:r>
        <w:rPr>
          <w:color w:val="222222"/>
        </w:rPr>
        <w:lastRenderedPageBreak/>
        <w:t>learning will lead to better variant effect prediction, which is not supported. The authors should make</w:t>
      </w:r>
      <w:r>
        <w:rPr>
          <w:color w:val="222222"/>
          <w:spacing w:val="-3"/>
        </w:rPr>
        <w:t xml:space="preserve"> </w:t>
      </w:r>
      <w:r>
        <w:rPr>
          <w:color w:val="222222"/>
        </w:rPr>
        <w:t>that</w:t>
      </w:r>
      <w:r>
        <w:rPr>
          <w:color w:val="222222"/>
          <w:spacing w:val="-3"/>
        </w:rPr>
        <w:t xml:space="preserve"> </w:t>
      </w:r>
      <w:r>
        <w:rPr>
          <w:color w:val="222222"/>
        </w:rPr>
        <w:t>limitation</w:t>
      </w:r>
      <w:r>
        <w:rPr>
          <w:color w:val="222222"/>
          <w:spacing w:val="-3"/>
        </w:rPr>
        <w:t xml:space="preserve"> </w:t>
      </w:r>
      <w:r>
        <w:rPr>
          <w:color w:val="222222"/>
        </w:rPr>
        <w:t>explicit</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abstract</w:t>
      </w:r>
      <w:r>
        <w:rPr>
          <w:color w:val="222222"/>
          <w:spacing w:val="-3"/>
        </w:rPr>
        <w:t xml:space="preserve"> </w:t>
      </w:r>
      <w:r>
        <w:rPr>
          <w:color w:val="222222"/>
        </w:rPr>
        <w:t>and</w:t>
      </w:r>
      <w:r>
        <w:rPr>
          <w:color w:val="222222"/>
          <w:spacing w:val="-3"/>
        </w:rPr>
        <w:t xml:space="preserve"> </w:t>
      </w:r>
      <w:r>
        <w:rPr>
          <w:color w:val="222222"/>
        </w:rPr>
        <w:t>at</w:t>
      </w:r>
      <w:r>
        <w:rPr>
          <w:color w:val="222222"/>
          <w:spacing w:val="-3"/>
        </w:rPr>
        <w:t xml:space="preserve"> </w:t>
      </w:r>
      <w:r>
        <w:rPr>
          <w:color w:val="222222"/>
        </w:rPr>
        <w:t>numerous</w:t>
      </w:r>
      <w:r>
        <w:rPr>
          <w:color w:val="222222"/>
          <w:spacing w:val="-3"/>
        </w:rPr>
        <w:t xml:space="preserve"> </w:t>
      </w:r>
      <w:r>
        <w:rPr>
          <w:color w:val="222222"/>
        </w:rPr>
        <w:t>points</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manuscript</w:t>
      </w:r>
      <w:r>
        <w:rPr>
          <w:color w:val="222222"/>
          <w:spacing w:val="-3"/>
        </w:rPr>
        <w:t xml:space="preserve"> </w:t>
      </w:r>
      <w:r>
        <w:rPr>
          <w:color w:val="222222"/>
        </w:rPr>
        <w:t>including</w:t>
      </w:r>
      <w:r>
        <w:rPr>
          <w:color w:val="222222"/>
          <w:spacing w:val="-3"/>
        </w:rPr>
        <w:t xml:space="preserve"> </w:t>
      </w:r>
      <w:r>
        <w:rPr>
          <w:color w:val="222222"/>
        </w:rPr>
        <w:t xml:space="preserve">at </w:t>
      </w:r>
      <w:r>
        <w:rPr>
          <w:color w:val="222222"/>
          <w:spacing w:val="-2"/>
        </w:rPr>
        <w:t>L331-L348.</w:t>
      </w:r>
    </w:p>
    <w:p w14:paraId="58579B16" w14:textId="77777777" w:rsidR="00E211CC" w:rsidRDefault="00E211CC" w:rsidP="00E211CC">
      <w:pPr>
        <w:pStyle w:val="BodyText"/>
        <w:spacing w:before="35"/>
        <w:ind w:left="0"/>
      </w:pPr>
    </w:p>
    <w:p w14:paraId="33E5853E" w14:textId="77777777" w:rsidR="00E211CC" w:rsidRDefault="00E211CC" w:rsidP="00E211CC">
      <w:pPr>
        <w:pStyle w:val="BodyText"/>
        <w:spacing w:before="1" w:line="276" w:lineRule="auto"/>
        <w:ind w:right="899"/>
      </w:pPr>
      <w:r>
        <w:rPr>
          <w:color w:val="4A86E8"/>
        </w:rPr>
        <w:t>We completely agree with the reviewer’s observation that single-task models don’t consistently improve</w:t>
      </w:r>
      <w:r>
        <w:rPr>
          <w:color w:val="4A86E8"/>
          <w:spacing w:val="-2"/>
        </w:rPr>
        <w:t xml:space="preserve"> </w:t>
      </w:r>
      <w:r>
        <w:rPr>
          <w:color w:val="4A86E8"/>
        </w:rPr>
        <w:t>variant</w:t>
      </w:r>
      <w:r>
        <w:rPr>
          <w:color w:val="4A86E8"/>
          <w:spacing w:val="-2"/>
        </w:rPr>
        <w:t xml:space="preserve"> </w:t>
      </w:r>
      <w:r>
        <w:rPr>
          <w:color w:val="4A86E8"/>
        </w:rPr>
        <w:t>effect</w:t>
      </w:r>
      <w:r>
        <w:rPr>
          <w:color w:val="4A86E8"/>
          <w:spacing w:val="-2"/>
        </w:rPr>
        <w:t xml:space="preserve"> </w:t>
      </w:r>
      <w:r>
        <w:rPr>
          <w:color w:val="4A86E8"/>
        </w:rPr>
        <w:t>prediction.</w:t>
      </w:r>
      <w:r>
        <w:rPr>
          <w:color w:val="4A86E8"/>
          <w:spacing w:val="-2"/>
        </w:rPr>
        <w:t xml:space="preserve"> </w:t>
      </w:r>
      <w:r>
        <w:rPr>
          <w:color w:val="4A86E8"/>
        </w:rPr>
        <w:t>We</w:t>
      </w:r>
      <w:r>
        <w:rPr>
          <w:color w:val="4A86E8"/>
          <w:spacing w:val="-2"/>
        </w:rPr>
        <w:t xml:space="preserve"> </w:t>
      </w:r>
      <w:r>
        <w:rPr>
          <w:color w:val="4A86E8"/>
        </w:rPr>
        <w:t>have</w:t>
      </w:r>
      <w:r>
        <w:rPr>
          <w:color w:val="4A86E8"/>
          <w:spacing w:val="-2"/>
        </w:rPr>
        <w:t xml:space="preserve"> </w:t>
      </w:r>
      <w:r>
        <w:rPr>
          <w:color w:val="4A86E8"/>
        </w:rPr>
        <w:t>modified</w:t>
      </w:r>
      <w:r>
        <w:rPr>
          <w:color w:val="4A86E8"/>
          <w:spacing w:val="-2"/>
        </w:rPr>
        <w:t xml:space="preserve"> </w:t>
      </w:r>
      <w:r>
        <w:rPr>
          <w:color w:val="4A86E8"/>
        </w:rPr>
        <w:t>our</w:t>
      </w:r>
      <w:r>
        <w:rPr>
          <w:color w:val="4A86E8"/>
          <w:spacing w:val="-2"/>
        </w:rPr>
        <w:t xml:space="preserve"> </w:t>
      </w:r>
      <w:r>
        <w:rPr>
          <w:color w:val="4A86E8"/>
        </w:rPr>
        <w:t>text</w:t>
      </w:r>
      <w:r>
        <w:rPr>
          <w:color w:val="4A86E8"/>
          <w:spacing w:val="-2"/>
        </w:rPr>
        <w:t xml:space="preserve"> </w:t>
      </w:r>
      <w:r>
        <w:rPr>
          <w:color w:val="4A86E8"/>
        </w:rPr>
        <w:t>throughout</w:t>
      </w:r>
      <w:r>
        <w:rPr>
          <w:color w:val="4A86E8"/>
          <w:spacing w:val="-2"/>
        </w:rPr>
        <w:t xml:space="preserve"> </w:t>
      </w:r>
      <w:r>
        <w:rPr>
          <w:color w:val="4A86E8"/>
        </w:rPr>
        <w:t>the</w:t>
      </w:r>
      <w:r>
        <w:rPr>
          <w:color w:val="4A86E8"/>
          <w:spacing w:val="-2"/>
        </w:rPr>
        <w:t xml:space="preserve"> </w:t>
      </w:r>
      <w:r>
        <w:rPr>
          <w:color w:val="4A86E8"/>
        </w:rPr>
        <w:t>manuscript</w:t>
      </w:r>
      <w:r>
        <w:rPr>
          <w:color w:val="4A86E8"/>
          <w:spacing w:val="-2"/>
        </w:rPr>
        <w:t xml:space="preserve"> </w:t>
      </w:r>
      <w:r>
        <w:rPr>
          <w:color w:val="4A86E8"/>
        </w:rPr>
        <w:t>to</w:t>
      </w:r>
      <w:r>
        <w:rPr>
          <w:color w:val="4A86E8"/>
          <w:spacing w:val="-2"/>
        </w:rPr>
        <w:t xml:space="preserve"> </w:t>
      </w:r>
      <w:r>
        <w:rPr>
          <w:color w:val="4A86E8"/>
        </w:rPr>
        <w:t>clarify which results refer to reference accuracy versus variant effect accuracy, and to more clearly convey our findings that improvements in cell type specific peak “reference accuracy” do not necessarily translate to improvements in variant effect accuracy. We believe that our results identifying</w:t>
      </w:r>
      <w:r>
        <w:rPr>
          <w:color w:val="4A86E8"/>
          <w:spacing w:val="-4"/>
        </w:rPr>
        <w:t xml:space="preserve"> </w:t>
      </w:r>
      <w:r>
        <w:rPr>
          <w:color w:val="4A86E8"/>
        </w:rPr>
        <w:t>modeling</w:t>
      </w:r>
      <w:r>
        <w:rPr>
          <w:color w:val="4A86E8"/>
          <w:spacing w:val="-4"/>
        </w:rPr>
        <w:t xml:space="preserve"> </w:t>
      </w:r>
      <w:r>
        <w:rPr>
          <w:color w:val="4A86E8"/>
        </w:rPr>
        <w:t>strategies</w:t>
      </w:r>
      <w:r>
        <w:rPr>
          <w:color w:val="4A86E8"/>
          <w:spacing w:val="-4"/>
        </w:rPr>
        <w:t xml:space="preserve"> </w:t>
      </w:r>
      <w:r>
        <w:rPr>
          <w:color w:val="4A86E8"/>
        </w:rPr>
        <w:t>that</w:t>
      </w:r>
      <w:r>
        <w:rPr>
          <w:color w:val="4A86E8"/>
          <w:spacing w:val="-4"/>
        </w:rPr>
        <w:t xml:space="preserve"> </w:t>
      </w:r>
      <w:r>
        <w:rPr>
          <w:color w:val="4A86E8"/>
        </w:rPr>
        <w:t>improve</w:t>
      </w:r>
      <w:r>
        <w:rPr>
          <w:color w:val="4A86E8"/>
          <w:spacing w:val="-4"/>
        </w:rPr>
        <w:t xml:space="preserve"> </w:t>
      </w:r>
      <w:r>
        <w:rPr>
          <w:color w:val="4A86E8"/>
        </w:rPr>
        <w:t>reference</w:t>
      </w:r>
      <w:r>
        <w:rPr>
          <w:color w:val="4A86E8"/>
          <w:spacing w:val="-4"/>
        </w:rPr>
        <w:t xml:space="preserve"> </w:t>
      </w:r>
      <w:r>
        <w:rPr>
          <w:color w:val="4A86E8"/>
        </w:rPr>
        <w:t>sequence</w:t>
      </w:r>
      <w:r>
        <w:rPr>
          <w:color w:val="4A86E8"/>
          <w:spacing w:val="-4"/>
        </w:rPr>
        <w:t xml:space="preserve"> </w:t>
      </w:r>
      <w:r>
        <w:rPr>
          <w:color w:val="4A86E8"/>
        </w:rPr>
        <w:t>prediction</w:t>
      </w:r>
      <w:r>
        <w:rPr>
          <w:color w:val="4A86E8"/>
          <w:spacing w:val="-4"/>
        </w:rPr>
        <w:t xml:space="preserve"> </w:t>
      </w:r>
      <w:r>
        <w:rPr>
          <w:color w:val="4A86E8"/>
        </w:rPr>
        <w:t>but</w:t>
      </w:r>
      <w:r>
        <w:rPr>
          <w:color w:val="4A86E8"/>
          <w:spacing w:val="-4"/>
        </w:rPr>
        <w:t xml:space="preserve"> </w:t>
      </w:r>
      <w:r>
        <w:rPr>
          <w:color w:val="4A86E8"/>
        </w:rPr>
        <w:t>not</w:t>
      </w:r>
      <w:r>
        <w:rPr>
          <w:color w:val="4A86E8"/>
          <w:spacing w:val="-4"/>
        </w:rPr>
        <w:t xml:space="preserve"> </w:t>
      </w:r>
      <w:r>
        <w:rPr>
          <w:color w:val="4A86E8"/>
        </w:rPr>
        <w:t>variant</w:t>
      </w:r>
      <w:r>
        <w:rPr>
          <w:color w:val="4A86E8"/>
          <w:spacing w:val="-4"/>
        </w:rPr>
        <w:t xml:space="preserve"> </w:t>
      </w:r>
      <w:r>
        <w:rPr>
          <w:color w:val="4A86E8"/>
        </w:rPr>
        <w:t>effect prediction provide an important insight – namely, that these two evaluation metrics are not always correlated – to help guide future modeling strategies and evaluations emphasizing variant effect accuracy. We have also added text to this effect in our discussion.</w:t>
      </w:r>
    </w:p>
    <w:p w14:paraId="073564BB" w14:textId="77777777" w:rsidR="00E211CC" w:rsidRDefault="00E211CC" w:rsidP="00E211CC">
      <w:pPr>
        <w:pStyle w:val="BodyText"/>
        <w:spacing w:before="42"/>
        <w:ind w:left="0"/>
      </w:pPr>
    </w:p>
    <w:p w14:paraId="26661F2B" w14:textId="77777777" w:rsidR="00E211CC" w:rsidRDefault="00E211CC" w:rsidP="00E211CC">
      <w:pPr>
        <w:pStyle w:val="ListParagraph"/>
        <w:widowControl w:val="0"/>
        <w:numPr>
          <w:ilvl w:val="0"/>
          <w:numId w:val="5"/>
        </w:numPr>
        <w:tabs>
          <w:tab w:val="left" w:pos="1063"/>
        </w:tabs>
        <w:autoSpaceDE w:val="0"/>
        <w:autoSpaceDN w:val="0"/>
        <w:spacing w:after="0" w:line="276" w:lineRule="auto"/>
        <w:ind w:right="914" w:firstLine="0"/>
        <w:contextualSpacing w:val="0"/>
      </w:pPr>
      <w:r>
        <w:rPr>
          <w:color w:val="222222"/>
        </w:rPr>
        <w:t>Abstract: "we find that the accuracy of two state-of-the-art general purpose models… varies dramatically</w:t>
      </w:r>
      <w:r>
        <w:rPr>
          <w:color w:val="222222"/>
          <w:spacing w:val="-3"/>
        </w:rPr>
        <w:t xml:space="preserve"> </w:t>
      </w:r>
      <w:r>
        <w:rPr>
          <w:color w:val="222222"/>
        </w:rPr>
        <w:t>across</w:t>
      </w:r>
      <w:r>
        <w:rPr>
          <w:color w:val="222222"/>
          <w:spacing w:val="-3"/>
        </w:rPr>
        <w:t xml:space="preserve"> </w:t>
      </w:r>
      <w:r>
        <w:rPr>
          <w:color w:val="222222"/>
        </w:rPr>
        <w:t>the</w:t>
      </w:r>
      <w:r>
        <w:rPr>
          <w:color w:val="222222"/>
          <w:spacing w:val="-3"/>
        </w:rPr>
        <w:t xml:space="preserve"> </w:t>
      </w:r>
      <w:r>
        <w:rPr>
          <w:color w:val="222222"/>
        </w:rPr>
        <w:t>genome"</w:t>
      </w:r>
      <w:r>
        <w:rPr>
          <w:color w:val="222222"/>
          <w:spacing w:val="-3"/>
        </w:rPr>
        <w:t xml:space="preserve"> </w:t>
      </w:r>
      <w:r>
        <w:rPr>
          <w:color w:val="222222"/>
        </w:rPr>
        <w:t>-&gt;</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find</w:t>
      </w:r>
      <w:r>
        <w:rPr>
          <w:color w:val="222222"/>
          <w:spacing w:val="-3"/>
        </w:rPr>
        <w:t xml:space="preserve"> </w:t>
      </w:r>
      <w:r>
        <w:rPr>
          <w:color w:val="222222"/>
        </w:rPr>
        <w:t>this</w:t>
      </w:r>
      <w:r>
        <w:rPr>
          <w:color w:val="222222"/>
          <w:spacing w:val="-3"/>
        </w:rPr>
        <w:t xml:space="preserve"> </w:t>
      </w:r>
      <w:r>
        <w:rPr>
          <w:color w:val="222222"/>
        </w:rPr>
        <w:t>also</w:t>
      </w:r>
      <w:r>
        <w:rPr>
          <w:color w:val="222222"/>
          <w:spacing w:val="-3"/>
        </w:rPr>
        <w:t xml:space="preserve"> </w:t>
      </w:r>
      <w:r>
        <w:rPr>
          <w:color w:val="222222"/>
        </w:rPr>
        <w:t>for</w:t>
      </w:r>
      <w:r>
        <w:rPr>
          <w:color w:val="222222"/>
          <w:spacing w:val="-3"/>
        </w:rPr>
        <w:t xml:space="preserve"> </w:t>
      </w:r>
      <w:r>
        <w:rPr>
          <w:color w:val="222222"/>
        </w:rPr>
        <w:t>single</w:t>
      </w:r>
      <w:r>
        <w:rPr>
          <w:color w:val="222222"/>
          <w:spacing w:val="-3"/>
        </w:rPr>
        <w:t xml:space="preserve"> </w:t>
      </w:r>
      <w:r>
        <w:rPr>
          <w:color w:val="222222"/>
        </w:rPr>
        <w:t>task</w:t>
      </w:r>
      <w:r>
        <w:rPr>
          <w:color w:val="222222"/>
          <w:spacing w:val="-3"/>
        </w:rPr>
        <w:t xml:space="preserve"> </w:t>
      </w:r>
      <w:r>
        <w:rPr>
          <w:color w:val="222222"/>
        </w:rPr>
        <w:t>models,</w:t>
      </w:r>
      <w:r>
        <w:rPr>
          <w:color w:val="222222"/>
          <w:spacing w:val="-3"/>
        </w:rPr>
        <w:t xml:space="preserve"> </w:t>
      </w:r>
      <w:r>
        <w:rPr>
          <w:color w:val="222222"/>
        </w:rPr>
        <w:t>not</w:t>
      </w:r>
      <w:r>
        <w:rPr>
          <w:color w:val="222222"/>
          <w:spacing w:val="-3"/>
        </w:rPr>
        <w:t xml:space="preserve"> </w:t>
      </w:r>
      <w:r>
        <w:rPr>
          <w:color w:val="222222"/>
        </w:rPr>
        <w:t>just</w:t>
      </w:r>
      <w:r>
        <w:rPr>
          <w:color w:val="222222"/>
          <w:spacing w:val="-3"/>
        </w:rPr>
        <w:t xml:space="preserve"> </w:t>
      </w:r>
      <w:r>
        <w:rPr>
          <w:color w:val="222222"/>
        </w:rPr>
        <w:t>for general purpose models. This sentence implies as if only the general purpose models have this limitation which is misleading. The single task models only close a small performance gap between cell type specific vs ubiquitous CREs and therefore suffer from the same issues.</w:t>
      </w:r>
    </w:p>
    <w:p w14:paraId="36C6882B" w14:textId="77777777" w:rsidR="00E211CC" w:rsidRDefault="00E211CC" w:rsidP="00E211CC">
      <w:pPr>
        <w:pStyle w:val="BodyText"/>
        <w:spacing w:before="34"/>
        <w:ind w:left="0"/>
      </w:pPr>
    </w:p>
    <w:p w14:paraId="7962A166" w14:textId="77777777" w:rsidR="00E211CC" w:rsidRDefault="00E211CC" w:rsidP="00E211CC">
      <w:pPr>
        <w:pStyle w:val="BodyText"/>
        <w:spacing w:before="1" w:line="276" w:lineRule="auto"/>
        <w:ind w:right="861"/>
      </w:pPr>
      <w:r>
        <w:rPr>
          <w:color w:val="4A86E8"/>
        </w:rPr>
        <w:t>We</w:t>
      </w:r>
      <w:r>
        <w:rPr>
          <w:color w:val="4A86E8"/>
          <w:spacing w:val="-3"/>
        </w:rPr>
        <w:t xml:space="preserve"> </w:t>
      </w:r>
      <w:r>
        <w:rPr>
          <w:color w:val="4A86E8"/>
        </w:rPr>
        <w:t>appreciate</w:t>
      </w:r>
      <w:r>
        <w:rPr>
          <w:color w:val="4A86E8"/>
          <w:spacing w:val="-3"/>
        </w:rPr>
        <w:t xml:space="preserve"> </w:t>
      </w:r>
      <w:r>
        <w:rPr>
          <w:color w:val="4A86E8"/>
        </w:rPr>
        <w:t>that</w:t>
      </w:r>
      <w:r>
        <w:rPr>
          <w:color w:val="4A86E8"/>
          <w:spacing w:val="-3"/>
        </w:rPr>
        <w:t xml:space="preserve"> </w:t>
      </w:r>
      <w:r>
        <w:rPr>
          <w:color w:val="4A86E8"/>
        </w:rPr>
        <w:t>this</w:t>
      </w:r>
      <w:r>
        <w:rPr>
          <w:color w:val="4A86E8"/>
          <w:spacing w:val="-3"/>
        </w:rPr>
        <w:t xml:space="preserve"> </w:t>
      </w:r>
      <w:r>
        <w:rPr>
          <w:color w:val="4A86E8"/>
        </w:rPr>
        <w:t>wording</w:t>
      </w:r>
      <w:r>
        <w:rPr>
          <w:color w:val="4A86E8"/>
          <w:spacing w:val="-3"/>
        </w:rPr>
        <w:t xml:space="preserve"> </w:t>
      </w:r>
      <w:r>
        <w:rPr>
          <w:color w:val="4A86E8"/>
        </w:rPr>
        <w:t>was</w:t>
      </w:r>
      <w:r>
        <w:rPr>
          <w:color w:val="4A86E8"/>
          <w:spacing w:val="-3"/>
        </w:rPr>
        <w:t xml:space="preserve"> </w:t>
      </w:r>
      <w:r>
        <w:rPr>
          <w:color w:val="4A86E8"/>
        </w:rPr>
        <w:t>confusing</w:t>
      </w:r>
      <w:r>
        <w:rPr>
          <w:color w:val="4A86E8"/>
          <w:spacing w:val="-3"/>
        </w:rPr>
        <w:t xml:space="preserve"> </w:t>
      </w:r>
      <w:r>
        <w:rPr>
          <w:color w:val="4A86E8"/>
        </w:rPr>
        <w:t>and</w:t>
      </w:r>
      <w:r>
        <w:rPr>
          <w:color w:val="4A86E8"/>
          <w:spacing w:val="-3"/>
        </w:rPr>
        <w:t xml:space="preserve"> </w:t>
      </w:r>
      <w:r>
        <w:rPr>
          <w:color w:val="4A86E8"/>
        </w:rPr>
        <w:t>have</w:t>
      </w:r>
      <w:r>
        <w:rPr>
          <w:color w:val="4A86E8"/>
          <w:spacing w:val="-3"/>
        </w:rPr>
        <w:t xml:space="preserve"> </w:t>
      </w:r>
      <w:r>
        <w:rPr>
          <w:color w:val="4A86E8"/>
        </w:rPr>
        <w:t>modified</w:t>
      </w:r>
      <w:r>
        <w:rPr>
          <w:color w:val="4A86E8"/>
          <w:spacing w:val="-3"/>
        </w:rPr>
        <w:t xml:space="preserve"> </w:t>
      </w:r>
      <w:r>
        <w:rPr>
          <w:color w:val="4A86E8"/>
        </w:rPr>
        <w:t>the</w:t>
      </w:r>
      <w:r>
        <w:rPr>
          <w:color w:val="4A86E8"/>
          <w:spacing w:val="-3"/>
        </w:rPr>
        <w:t xml:space="preserve"> </w:t>
      </w:r>
      <w:r>
        <w:rPr>
          <w:color w:val="4A86E8"/>
        </w:rPr>
        <w:t>relevant</w:t>
      </w:r>
      <w:r>
        <w:rPr>
          <w:color w:val="4A86E8"/>
          <w:spacing w:val="-3"/>
        </w:rPr>
        <w:t xml:space="preserve"> </w:t>
      </w:r>
      <w:r>
        <w:rPr>
          <w:color w:val="4A86E8"/>
        </w:rPr>
        <w:t>sentence</w:t>
      </w:r>
      <w:r>
        <w:rPr>
          <w:color w:val="4A86E8"/>
          <w:spacing w:val="-3"/>
        </w:rPr>
        <w:t xml:space="preserve"> </w:t>
      </w:r>
      <w:r>
        <w:rPr>
          <w:color w:val="4A86E8"/>
        </w:rPr>
        <w:t>in</w:t>
      </w:r>
      <w:r>
        <w:rPr>
          <w:color w:val="4A86E8"/>
          <w:spacing w:val="-3"/>
        </w:rPr>
        <w:t xml:space="preserve"> </w:t>
      </w:r>
      <w:r>
        <w:rPr>
          <w:color w:val="4A86E8"/>
        </w:rPr>
        <w:t>the Abstract to clarify that this finding is not unique to general purpose models: “We find that the accuracy of genomic deep learning models, including two state-of-the-art general purpose models – Enformer and Sei – varies dramatically across the genome...”</w:t>
      </w:r>
    </w:p>
    <w:p w14:paraId="57D6C6B5" w14:textId="77777777" w:rsidR="00E211CC" w:rsidRDefault="00E211CC" w:rsidP="00E211CC">
      <w:pPr>
        <w:pStyle w:val="BodyText"/>
        <w:spacing w:before="37"/>
        <w:ind w:left="0"/>
      </w:pPr>
    </w:p>
    <w:p w14:paraId="6591E2F2" w14:textId="77777777" w:rsidR="00E211CC" w:rsidRDefault="00E211CC" w:rsidP="00E211CC">
      <w:pPr>
        <w:pStyle w:val="ListParagraph"/>
        <w:widowControl w:val="0"/>
        <w:numPr>
          <w:ilvl w:val="0"/>
          <w:numId w:val="5"/>
        </w:numPr>
        <w:tabs>
          <w:tab w:val="left" w:pos="1063"/>
        </w:tabs>
        <w:autoSpaceDE w:val="0"/>
        <w:autoSpaceDN w:val="0"/>
        <w:spacing w:after="0" w:line="276" w:lineRule="auto"/>
        <w:ind w:right="924" w:firstLine="0"/>
        <w:contextualSpacing w:val="0"/>
      </w:pPr>
      <w:r>
        <w:rPr>
          <w:color w:val="222222"/>
        </w:rPr>
        <w:t>The authors don't evaluate single task models on GWAS or eQTL benchmarks nor do they directly</w:t>
      </w:r>
      <w:r>
        <w:rPr>
          <w:color w:val="222222"/>
          <w:spacing w:val="-3"/>
        </w:rPr>
        <w:t xml:space="preserve"> </w:t>
      </w:r>
      <w:r>
        <w:rPr>
          <w:color w:val="222222"/>
        </w:rPr>
        <w:t>compare</w:t>
      </w:r>
      <w:r>
        <w:rPr>
          <w:color w:val="222222"/>
          <w:spacing w:val="-3"/>
        </w:rPr>
        <w:t xml:space="preserve"> </w:t>
      </w:r>
      <w:r>
        <w:rPr>
          <w:color w:val="222222"/>
        </w:rPr>
        <w:t>them</w:t>
      </w:r>
      <w:r>
        <w:rPr>
          <w:color w:val="222222"/>
          <w:spacing w:val="-3"/>
        </w:rPr>
        <w:t xml:space="preserve"> </w:t>
      </w:r>
      <w:r>
        <w:rPr>
          <w:color w:val="222222"/>
        </w:rPr>
        <w:t>to</w:t>
      </w:r>
      <w:r>
        <w:rPr>
          <w:color w:val="222222"/>
          <w:spacing w:val="-3"/>
        </w:rPr>
        <w:t xml:space="preserve"> </w:t>
      </w:r>
      <w:r>
        <w:rPr>
          <w:color w:val="222222"/>
        </w:rPr>
        <w:t>existing</w:t>
      </w:r>
      <w:r>
        <w:rPr>
          <w:color w:val="222222"/>
          <w:spacing w:val="-3"/>
        </w:rPr>
        <w:t xml:space="preserve"> </w:t>
      </w:r>
      <w:r>
        <w:rPr>
          <w:color w:val="222222"/>
        </w:rPr>
        <w:t>models.</w:t>
      </w:r>
      <w:r>
        <w:rPr>
          <w:color w:val="222222"/>
          <w:spacing w:val="-3"/>
        </w:rPr>
        <w:t xml:space="preserve"> </w:t>
      </w:r>
      <w:r>
        <w:rPr>
          <w:color w:val="222222"/>
        </w:rPr>
        <w:t>Therefore,</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should</w:t>
      </w:r>
      <w:r>
        <w:rPr>
          <w:color w:val="222222"/>
          <w:spacing w:val="-3"/>
        </w:rPr>
        <w:t xml:space="preserve"> </w:t>
      </w:r>
      <w:r>
        <w:rPr>
          <w:color w:val="222222"/>
        </w:rPr>
        <w:t>also</w:t>
      </w:r>
      <w:r>
        <w:rPr>
          <w:color w:val="222222"/>
          <w:spacing w:val="-3"/>
        </w:rPr>
        <w:t xml:space="preserve"> </w:t>
      </w:r>
      <w:r>
        <w:rPr>
          <w:color w:val="222222"/>
        </w:rPr>
        <w:t>re-train</w:t>
      </w:r>
      <w:r>
        <w:rPr>
          <w:color w:val="222222"/>
          <w:spacing w:val="-3"/>
        </w:rPr>
        <w:t xml:space="preserve"> </w:t>
      </w:r>
      <w:r>
        <w:rPr>
          <w:color w:val="222222"/>
        </w:rPr>
        <w:t>the</w:t>
      </w:r>
      <w:r>
        <w:rPr>
          <w:color w:val="222222"/>
          <w:spacing w:val="-3"/>
        </w:rPr>
        <w:t xml:space="preserve"> </w:t>
      </w:r>
      <w:r>
        <w:rPr>
          <w:color w:val="222222"/>
        </w:rPr>
        <w:t>single- task</w:t>
      </w:r>
      <w:r>
        <w:rPr>
          <w:color w:val="222222"/>
          <w:spacing w:val="-1"/>
        </w:rPr>
        <w:t xml:space="preserve"> </w:t>
      </w:r>
      <w:r>
        <w:rPr>
          <w:color w:val="222222"/>
        </w:rPr>
        <w:t>and</w:t>
      </w:r>
      <w:r>
        <w:rPr>
          <w:color w:val="222222"/>
          <w:spacing w:val="-1"/>
        </w:rPr>
        <w:t xml:space="preserve"> </w:t>
      </w:r>
      <w:r>
        <w:rPr>
          <w:color w:val="222222"/>
        </w:rPr>
        <w:t>multi-task</w:t>
      </w:r>
      <w:r>
        <w:rPr>
          <w:color w:val="222222"/>
          <w:spacing w:val="-1"/>
        </w:rPr>
        <w:t xml:space="preserve"> </w:t>
      </w:r>
      <w:r>
        <w:rPr>
          <w:color w:val="222222"/>
        </w:rPr>
        <w:t>models</w:t>
      </w:r>
      <w:r>
        <w:rPr>
          <w:color w:val="222222"/>
          <w:spacing w:val="-1"/>
        </w:rPr>
        <w:t xml:space="preserve"> </w:t>
      </w:r>
      <w:r>
        <w:rPr>
          <w:color w:val="222222"/>
        </w:rPr>
        <w:t>on</w:t>
      </w:r>
      <w:r>
        <w:rPr>
          <w:color w:val="222222"/>
          <w:spacing w:val="-1"/>
        </w:rPr>
        <w:t xml:space="preserve"> </w:t>
      </w:r>
      <w:r>
        <w:rPr>
          <w:color w:val="222222"/>
        </w:rPr>
        <w:t>either</w:t>
      </w:r>
      <w:r>
        <w:rPr>
          <w:color w:val="222222"/>
          <w:spacing w:val="-1"/>
        </w:rPr>
        <w:t xml:space="preserve"> </w:t>
      </w:r>
      <w:r>
        <w:rPr>
          <w:color w:val="222222"/>
        </w:rPr>
        <w:t>Sei</w:t>
      </w:r>
      <w:r>
        <w:rPr>
          <w:color w:val="222222"/>
          <w:spacing w:val="-1"/>
        </w:rPr>
        <w:t xml:space="preserve"> </w:t>
      </w:r>
      <w:r>
        <w:rPr>
          <w:color w:val="222222"/>
        </w:rPr>
        <w:t>or</w:t>
      </w:r>
      <w:r>
        <w:rPr>
          <w:color w:val="222222"/>
          <w:spacing w:val="-1"/>
        </w:rPr>
        <w:t xml:space="preserve"> </w:t>
      </w:r>
      <w:r>
        <w:rPr>
          <w:color w:val="222222"/>
        </w:rPr>
        <w:t>Enformer</w:t>
      </w:r>
      <w:r>
        <w:rPr>
          <w:color w:val="222222"/>
          <w:spacing w:val="-1"/>
        </w:rPr>
        <w:t xml:space="preserve"> </w:t>
      </w:r>
      <w:r>
        <w:rPr>
          <w:color w:val="222222"/>
        </w:rPr>
        <w:t>data</w:t>
      </w:r>
      <w:r>
        <w:rPr>
          <w:color w:val="222222"/>
          <w:spacing w:val="-1"/>
        </w:rPr>
        <w:t xml:space="preserve"> </w:t>
      </w:r>
      <w:r>
        <w:rPr>
          <w:color w:val="222222"/>
        </w:rPr>
        <w:t>sets</w:t>
      </w:r>
      <w:r>
        <w:rPr>
          <w:color w:val="222222"/>
          <w:spacing w:val="-1"/>
        </w:rPr>
        <w:t xml:space="preserve"> </w:t>
      </w:r>
      <w:r>
        <w:rPr>
          <w:color w:val="222222"/>
        </w:rPr>
        <w:t>similarly</w:t>
      </w:r>
      <w:r>
        <w:rPr>
          <w:color w:val="222222"/>
          <w:spacing w:val="-1"/>
        </w:rPr>
        <w:t xml:space="preserve"> </w:t>
      </w:r>
      <w:r>
        <w:rPr>
          <w:color w:val="222222"/>
        </w:rPr>
        <w:t>to</w:t>
      </w:r>
      <w:r>
        <w:rPr>
          <w:color w:val="222222"/>
          <w:spacing w:val="-1"/>
        </w:rPr>
        <w:t xml:space="preserve"> </w:t>
      </w:r>
      <w:r>
        <w:rPr>
          <w:color w:val="222222"/>
        </w:rPr>
        <w:t>what</w:t>
      </w:r>
      <w:r>
        <w:rPr>
          <w:color w:val="222222"/>
          <w:spacing w:val="-1"/>
        </w:rPr>
        <w:t xml:space="preserve"> </w:t>
      </w:r>
      <w:r>
        <w:rPr>
          <w:color w:val="222222"/>
        </w:rPr>
        <w:t>they</w:t>
      </w:r>
      <w:r>
        <w:rPr>
          <w:color w:val="222222"/>
          <w:spacing w:val="-1"/>
        </w:rPr>
        <w:t xml:space="preserve"> </w:t>
      </w:r>
      <w:r>
        <w:rPr>
          <w:color w:val="222222"/>
        </w:rPr>
        <w:t>have</w:t>
      </w:r>
      <w:r>
        <w:rPr>
          <w:color w:val="222222"/>
          <w:spacing w:val="-1"/>
        </w:rPr>
        <w:t xml:space="preserve"> </w:t>
      </w:r>
      <w:r>
        <w:rPr>
          <w:color w:val="222222"/>
        </w:rPr>
        <w:t xml:space="preserve">done for Loeb/Calderon data and evaluate the performance on eQTL causality and directionality </w:t>
      </w:r>
      <w:r>
        <w:rPr>
          <w:color w:val="222222"/>
          <w:spacing w:val="-2"/>
        </w:rPr>
        <w:t>benchmarks.</w:t>
      </w:r>
    </w:p>
    <w:p w14:paraId="28BC4BE9" w14:textId="77777777" w:rsidR="00E211CC" w:rsidRDefault="00E211CC" w:rsidP="00E211CC">
      <w:pPr>
        <w:pStyle w:val="BodyText"/>
        <w:spacing w:before="40"/>
        <w:ind w:left="0"/>
      </w:pPr>
    </w:p>
    <w:p w14:paraId="5AB8F5FF" w14:textId="77777777" w:rsidR="00E211CC" w:rsidRDefault="00E211CC" w:rsidP="00E211CC">
      <w:pPr>
        <w:pStyle w:val="BodyText"/>
        <w:spacing w:line="276" w:lineRule="auto"/>
        <w:ind w:right="899"/>
      </w:pPr>
      <w:r>
        <w:rPr>
          <w:color w:val="4A86E8"/>
        </w:rPr>
        <w:t>We</w:t>
      </w:r>
      <w:r>
        <w:rPr>
          <w:color w:val="4A86E8"/>
          <w:spacing w:val="-3"/>
        </w:rPr>
        <w:t xml:space="preserve"> </w:t>
      </w:r>
      <w:r>
        <w:rPr>
          <w:color w:val="4A86E8"/>
        </w:rPr>
        <w:t>have</w:t>
      </w:r>
      <w:r>
        <w:rPr>
          <w:color w:val="4A86E8"/>
          <w:spacing w:val="-3"/>
        </w:rPr>
        <w:t xml:space="preserve"> </w:t>
      </w:r>
      <w:r>
        <w:rPr>
          <w:color w:val="4A86E8"/>
        </w:rPr>
        <w:t>added</w:t>
      </w:r>
      <w:r>
        <w:rPr>
          <w:color w:val="4A86E8"/>
          <w:spacing w:val="-3"/>
        </w:rPr>
        <w:t xml:space="preserve"> </w:t>
      </w:r>
      <w:r>
        <w:rPr>
          <w:color w:val="4A86E8"/>
        </w:rPr>
        <w:t>an</w:t>
      </w:r>
      <w:r>
        <w:rPr>
          <w:color w:val="4A86E8"/>
          <w:spacing w:val="-3"/>
        </w:rPr>
        <w:t xml:space="preserve"> </w:t>
      </w:r>
      <w:r>
        <w:rPr>
          <w:color w:val="4A86E8"/>
        </w:rPr>
        <w:t>additional</w:t>
      </w:r>
      <w:r>
        <w:rPr>
          <w:color w:val="4A86E8"/>
          <w:spacing w:val="-3"/>
        </w:rPr>
        <w:t xml:space="preserve"> </w:t>
      </w:r>
      <w:r>
        <w:rPr>
          <w:color w:val="4A86E8"/>
        </w:rPr>
        <w:t>panel</w:t>
      </w:r>
      <w:r>
        <w:rPr>
          <w:color w:val="4A86E8"/>
          <w:spacing w:val="-3"/>
        </w:rPr>
        <w:t xml:space="preserve"> </w:t>
      </w:r>
      <w:r>
        <w:rPr>
          <w:color w:val="4A86E8"/>
        </w:rPr>
        <w:t>to</w:t>
      </w:r>
      <w:r>
        <w:rPr>
          <w:color w:val="4A86E8"/>
          <w:spacing w:val="-3"/>
        </w:rPr>
        <w:t xml:space="preserve"> </w:t>
      </w:r>
      <w:r>
        <w:rPr>
          <w:color w:val="4A86E8"/>
        </w:rPr>
        <w:t>Figure</w:t>
      </w:r>
      <w:r>
        <w:rPr>
          <w:color w:val="4A86E8"/>
          <w:spacing w:val="-3"/>
        </w:rPr>
        <w:t xml:space="preserve"> </w:t>
      </w:r>
      <w:r>
        <w:rPr>
          <w:color w:val="4A86E8"/>
        </w:rPr>
        <w:t>4</w:t>
      </w:r>
      <w:r>
        <w:rPr>
          <w:color w:val="4A86E8"/>
          <w:spacing w:val="-3"/>
        </w:rPr>
        <w:t xml:space="preserve"> </w:t>
      </w:r>
      <w:r>
        <w:rPr>
          <w:color w:val="4A86E8"/>
        </w:rPr>
        <w:t>(Fig.</w:t>
      </w:r>
      <w:r>
        <w:rPr>
          <w:color w:val="4A86E8"/>
          <w:spacing w:val="-3"/>
        </w:rPr>
        <w:t xml:space="preserve"> </w:t>
      </w:r>
      <w:r>
        <w:rPr>
          <w:color w:val="4A86E8"/>
        </w:rPr>
        <w:t>4c),</w:t>
      </w:r>
      <w:r>
        <w:rPr>
          <w:color w:val="4A86E8"/>
          <w:spacing w:val="-3"/>
        </w:rPr>
        <w:t xml:space="preserve"> </w:t>
      </w:r>
      <w:r>
        <w:rPr>
          <w:color w:val="4A86E8"/>
        </w:rPr>
        <w:t>as</w:t>
      </w:r>
      <w:r>
        <w:rPr>
          <w:color w:val="4A86E8"/>
          <w:spacing w:val="-3"/>
        </w:rPr>
        <w:t xml:space="preserve"> </w:t>
      </w:r>
      <w:r>
        <w:rPr>
          <w:color w:val="4A86E8"/>
        </w:rPr>
        <w:t>well</w:t>
      </w:r>
      <w:r>
        <w:rPr>
          <w:color w:val="4A86E8"/>
          <w:spacing w:val="-3"/>
        </w:rPr>
        <w:t xml:space="preserve"> </w:t>
      </w:r>
      <w:r>
        <w:rPr>
          <w:color w:val="4A86E8"/>
        </w:rPr>
        <w:t>as</w:t>
      </w:r>
      <w:r>
        <w:rPr>
          <w:color w:val="4A86E8"/>
          <w:spacing w:val="-3"/>
        </w:rPr>
        <w:t xml:space="preserve"> </w:t>
      </w:r>
      <w:r>
        <w:rPr>
          <w:color w:val="4A86E8"/>
        </w:rPr>
        <w:t>a</w:t>
      </w:r>
      <w:r>
        <w:rPr>
          <w:color w:val="4A86E8"/>
          <w:spacing w:val="-3"/>
        </w:rPr>
        <w:t xml:space="preserve"> </w:t>
      </w:r>
      <w:r>
        <w:rPr>
          <w:color w:val="4A86E8"/>
        </w:rPr>
        <w:t>supplementary</w:t>
      </w:r>
      <w:r>
        <w:rPr>
          <w:color w:val="4A86E8"/>
          <w:spacing w:val="-3"/>
        </w:rPr>
        <w:t xml:space="preserve"> </w:t>
      </w:r>
      <w:r>
        <w:rPr>
          <w:color w:val="4A86E8"/>
        </w:rPr>
        <w:t>figure</w:t>
      </w:r>
      <w:r>
        <w:rPr>
          <w:color w:val="4A86E8"/>
          <w:spacing w:val="-3"/>
        </w:rPr>
        <w:t xml:space="preserve"> </w:t>
      </w:r>
      <w:r>
        <w:rPr>
          <w:color w:val="4A86E8"/>
        </w:rPr>
        <w:t>(Fig. S19), evaluating the tissue-specific single-task and multi-task models on GWAS benchmarks. (We used the GWAS, rather than eQTL, benchmark due to the limited sample size of the finemapped GTEx eQTL set for kidney tissue.) We find that high SAD score variants from the single-task models and the baseline multi-task models are similarly enriched for trait heritability (Fig. 4c), consistent with the finding noted above that single-task models do not consistently outperform multi-task models on variant effect prediction tasks.</w:t>
      </w:r>
    </w:p>
    <w:p w14:paraId="04C21500" w14:textId="77777777" w:rsidR="00E211CC" w:rsidRDefault="00E211CC" w:rsidP="00E211CC">
      <w:pPr>
        <w:pStyle w:val="BodyText"/>
        <w:spacing w:before="38"/>
        <w:ind w:left="0"/>
      </w:pPr>
    </w:p>
    <w:p w14:paraId="24AC60EA" w14:textId="77777777" w:rsidR="00E211CC" w:rsidRDefault="00E211CC" w:rsidP="00E211CC">
      <w:pPr>
        <w:pStyle w:val="BodyText"/>
        <w:spacing w:before="1" w:line="276" w:lineRule="auto"/>
        <w:ind w:right="861"/>
      </w:pPr>
      <w:r>
        <w:rPr>
          <w:color w:val="4A86E8"/>
        </w:rPr>
        <w:t>We also compare these enrichments to those for variants with high Enformer SAD scores (for matched tissue tracks), and we observe quite different results for the kidney-related trait (Creatinine)</w:t>
      </w:r>
      <w:r>
        <w:rPr>
          <w:color w:val="4A86E8"/>
          <w:spacing w:val="-4"/>
        </w:rPr>
        <w:t xml:space="preserve"> </w:t>
      </w:r>
      <w:r>
        <w:rPr>
          <w:color w:val="4A86E8"/>
        </w:rPr>
        <w:t>versus</w:t>
      </w:r>
      <w:r>
        <w:rPr>
          <w:color w:val="4A86E8"/>
          <w:spacing w:val="-4"/>
        </w:rPr>
        <w:t xml:space="preserve"> </w:t>
      </w:r>
      <w:r>
        <w:rPr>
          <w:color w:val="4A86E8"/>
        </w:rPr>
        <w:t>the</w:t>
      </w:r>
      <w:r>
        <w:rPr>
          <w:color w:val="4A86E8"/>
          <w:spacing w:val="-4"/>
        </w:rPr>
        <w:t xml:space="preserve"> </w:t>
      </w:r>
      <w:r>
        <w:rPr>
          <w:color w:val="4A86E8"/>
        </w:rPr>
        <w:t>immune-related</w:t>
      </w:r>
      <w:r>
        <w:rPr>
          <w:color w:val="4A86E8"/>
          <w:spacing w:val="-4"/>
        </w:rPr>
        <w:t xml:space="preserve"> </w:t>
      </w:r>
      <w:r>
        <w:rPr>
          <w:color w:val="4A86E8"/>
        </w:rPr>
        <w:t>traits</w:t>
      </w:r>
      <w:r>
        <w:rPr>
          <w:color w:val="4A86E8"/>
          <w:spacing w:val="-4"/>
        </w:rPr>
        <w:t xml:space="preserve"> </w:t>
      </w:r>
      <w:r>
        <w:rPr>
          <w:color w:val="4A86E8"/>
        </w:rPr>
        <w:t>(Asthma</w:t>
      </w:r>
      <w:r>
        <w:rPr>
          <w:color w:val="4A86E8"/>
          <w:spacing w:val="-4"/>
        </w:rPr>
        <w:t xml:space="preserve"> </w:t>
      </w:r>
      <w:r>
        <w:rPr>
          <w:color w:val="4A86E8"/>
        </w:rPr>
        <w:t>and</w:t>
      </w:r>
      <w:r>
        <w:rPr>
          <w:color w:val="4A86E8"/>
          <w:spacing w:val="-4"/>
        </w:rPr>
        <w:t xml:space="preserve"> </w:t>
      </w:r>
      <w:r>
        <w:rPr>
          <w:color w:val="4A86E8"/>
        </w:rPr>
        <w:t>Eczema).</w:t>
      </w:r>
      <w:r>
        <w:rPr>
          <w:color w:val="4A86E8"/>
          <w:spacing w:val="-4"/>
        </w:rPr>
        <w:t xml:space="preserve"> </w:t>
      </w:r>
      <w:r>
        <w:rPr>
          <w:color w:val="4A86E8"/>
        </w:rPr>
        <w:t>For</w:t>
      </w:r>
      <w:r>
        <w:rPr>
          <w:color w:val="4A86E8"/>
          <w:spacing w:val="-4"/>
        </w:rPr>
        <w:t xml:space="preserve"> </w:t>
      </w:r>
      <w:r>
        <w:rPr>
          <w:color w:val="4A86E8"/>
        </w:rPr>
        <w:t>Creatinine,</w:t>
      </w:r>
      <w:r>
        <w:rPr>
          <w:color w:val="4A86E8"/>
          <w:spacing w:val="-4"/>
        </w:rPr>
        <w:t xml:space="preserve"> </w:t>
      </w:r>
      <w:r>
        <w:rPr>
          <w:color w:val="4A86E8"/>
        </w:rPr>
        <w:t>high</w:t>
      </w:r>
      <w:r>
        <w:rPr>
          <w:color w:val="4A86E8"/>
          <w:spacing w:val="-4"/>
        </w:rPr>
        <w:t xml:space="preserve"> </w:t>
      </w:r>
      <w:r>
        <w:rPr>
          <w:color w:val="4A86E8"/>
        </w:rPr>
        <w:t>SAD scores from the single-task and multi-task versions of the tissue-specific models have similar enrichment to high SAD scores from Enformer (Fig. S19a). However, for the immune-related</w:t>
      </w:r>
    </w:p>
    <w:p w14:paraId="040EC887"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462F9C83" w14:textId="77777777" w:rsidR="00E211CC" w:rsidRDefault="00E211CC" w:rsidP="00E211CC">
      <w:pPr>
        <w:pStyle w:val="BodyText"/>
        <w:spacing w:before="80" w:line="276" w:lineRule="auto"/>
        <w:ind w:right="899"/>
      </w:pPr>
      <w:r>
        <w:rPr>
          <w:color w:val="4A86E8"/>
        </w:rPr>
        <w:lastRenderedPageBreak/>
        <w:t>traits, Enformer’s high SAD scores are significantly more enriched for trait heritability than high SAD scores from the tissue-specific models (Fig. S19b). Differences in performance between the Basset models and Enformer could be due to several factors, such as training on a larger number of cell types, tissues, and assays (i.e. CAGE-seq and ChIP-seq), as well as a higher capacity model architecture. (Note that we do not compare to single-task versions of Enformer due</w:t>
      </w:r>
      <w:r>
        <w:rPr>
          <w:color w:val="4A86E8"/>
          <w:spacing w:val="-3"/>
        </w:rPr>
        <w:t xml:space="preserve"> </w:t>
      </w:r>
      <w:r>
        <w:rPr>
          <w:color w:val="4A86E8"/>
        </w:rPr>
        <w:t>to</w:t>
      </w:r>
      <w:r>
        <w:rPr>
          <w:color w:val="4A86E8"/>
          <w:spacing w:val="-3"/>
        </w:rPr>
        <w:t xml:space="preserve"> </w:t>
      </w:r>
      <w:r>
        <w:rPr>
          <w:color w:val="4A86E8"/>
        </w:rPr>
        <w:t>the</w:t>
      </w:r>
      <w:r>
        <w:rPr>
          <w:color w:val="4A86E8"/>
          <w:spacing w:val="-3"/>
        </w:rPr>
        <w:t xml:space="preserve"> </w:t>
      </w:r>
      <w:r>
        <w:rPr>
          <w:color w:val="4A86E8"/>
        </w:rPr>
        <w:t>computational</w:t>
      </w:r>
      <w:r>
        <w:rPr>
          <w:color w:val="4A86E8"/>
          <w:spacing w:val="-3"/>
        </w:rPr>
        <w:t xml:space="preserve"> </w:t>
      </w:r>
      <w:r>
        <w:rPr>
          <w:color w:val="4A86E8"/>
        </w:rPr>
        <w:t>cost</w:t>
      </w:r>
      <w:r>
        <w:rPr>
          <w:color w:val="4A86E8"/>
          <w:spacing w:val="-3"/>
        </w:rPr>
        <w:t xml:space="preserve"> </w:t>
      </w:r>
      <w:r>
        <w:rPr>
          <w:color w:val="4A86E8"/>
        </w:rPr>
        <w:t>of</w:t>
      </w:r>
      <w:r>
        <w:rPr>
          <w:color w:val="4A86E8"/>
          <w:spacing w:val="-3"/>
        </w:rPr>
        <w:t xml:space="preserve"> </w:t>
      </w:r>
      <w:r>
        <w:rPr>
          <w:color w:val="4A86E8"/>
        </w:rPr>
        <w:t>training</w:t>
      </w:r>
      <w:r>
        <w:rPr>
          <w:color w:val="4A86E8"/>
          <w:spacing w:val="-3"/>
        </w:rPr>
        <w:t xml:space="preserve"> </w:t>
      </w:r>
      <w:r>
        <w:rPr>
          <w:color w:val="4A86E8"/>
        </w:rPr>
        <w:t>the</w:t>
      </w:r>
      <w:r>
        <w:rPr>
          <w:color w:val="4A86E8"/>
          <w:spacing w:val="-3"/>
        </w:rPr>
        <w:t xml:space="preserve"> </w:t>
      </w:r>
      <w:r>
        <w:rPr>
          <w:color w:val="4A86E8"/>
        </w:rPr>
        <w:t>Enformer</w:t>
      </w:r>
      <w:r>
        <w:rPr>
          <w:color w:val="4A86E8"/>
          <w:spacing w:val="-3"/>
        </w:rPr>
        <w:t xml:space="preserve"> </w:t>
      </w:r>
      <w:r>
        <w:rPr>
          <w:color w:val="4A86E8"/>
        </w:rPr>
        <w:t>model.)</w:t>
      </w:r>
      <w:r>
        <w:rPr>
          <w:color w:val="4A86E8"/>
          <w:spacing w:val="-3"/>
        </w:rPr>
        <w:t xml:space="preserve"> </w:t>
      </w:r>
      <w:r>
        <w:rPr>
          <w:color w:val="4A86E8"/>
        </w:rPr>
        <w:t>One</w:t>
      </w:r>
      <w:r>
        <w:rPr>
          <w:color w:val="4A86E8"/>
          <w:spacing w:val="-3"/>
        </w:rPr>
        <w:t xml:space="preserve"> </w:t>
      </w:r>
      <w:r>
        <w:rPr>
          <w:color w:val="4A86E8"/>
        </w:rPr>
        <w:t>possible</w:t>
      </w:r>
      <w:r>
        <w:rPr>
          <w:color w:val="4A86E8"/>
          <w:spacing w:val="-3"/>
        </w:rPr>
        <w:t xml:space="preserve"> </w:t>
      </w:r>
      <w:r>
        <w:rPr>
          <w:color w:val="4A86E8"/>
        </w:rPr>
        <w:t>explanation</w:t>
      </w:r>
      <w:r>
        <w:rPr>
          <w:color w:val="4A86E8"/>
          <w:spacing w:val="-3"/>
        </w:rPr>
        <w:t xml:space="preserve"> </w:t>
      </w:r>
      <w:r>
        <w:rPr>
          <w:color w:val="4A86E8"/>
        </w:rPr>
        <w:t>for</w:t>
      </w:r>
      <w:r>
        <w:rPr>
          <w:color w:val="4A86E8"/>
          <w:spacing w:val="-3"/>
        </w:rPr>
        <w:t xml:space="preserve"> </w:t>
      </w:r>
      <w:r>
        <w:rPr>
          <w:color w:val="4A86E8"/>
        </w:rPr>
        <w:t>the differences between immune and kidney traits is the relative makeup of different track types in the Enformer training data. In particular, immune cell types and tissue samples are heavily overrepresented, which may bias Enformer towards learning immune cell regulatory syntax.</w:t>
      </w:r>
    </w:p>
    <w:p w14:paraId="2B9433A5" w14:textId="77777777" w:rsidR="00E211CC" w:rsidRDefault="00E211CC" w:rsidP="00E211CC">
      <w:pPr>
        <w:pStyle w:val="BodyText"/>
        <w:spacing w:line="278" w:lineRule="auto"/>
        <w:ind w:right="1067"/>
        <w:jc w:val="both"/>
      </w:pPr>
      <w:r>
        <w:rPr>
          <w:color w:val="4A86E8"/>
        </w:rPr>
        <w:t>Although this observation warrants further exploration for additional tissues and traits in future studies,</w:t>
      </w:r>
      <w:r>
        <w:rPr>
          <w:color w:val="4A86E8"/>
          <w:spacing w:val="-3"/>
        </w:rPr>
        <w:t xml:space="preserve"> </w:t>
      </w:r>
      <w:r>
        <w:rPr>
          <w:color w:val="4A86E8"/>
        </w:rPr>
        <w:t>it</w:t>
      </w:r>
      <w:r>
        <w:rPr>
          <w:color w:val="4A86E8"/>
          <w:spacing w:val="-3"/>
        </w:rPr>
        <w:t xml:space="preserve"> </w:t>
      </w:r>
      <w:r>
        <w:rPr>
          <w:color w:val="4A86E8"/>
        </w:rPr>
        <w:t>is</w:t>
      </w:r>
      <w:r>
        <w:rPr>
          <w:color w:val="4A86E8"/>
          <w:spacing w:val="-3"/>
        </w:rPr>
        <w:t xml:space="preserve"> </w:t>
      </w:r>
      <w:r>
        <w:rPr>
          <w:color w:val="4A86E8"/>
        </w:rPr>
        <w:t>interesting</w:t>
      </w:r>
      <w:r>
        <w:rPr>
          <w:color w:val="4A86E8"/>
          <w:spacing w:val="-3"/>
        </w:rPr>
        <w:t xml:space="preserve"> </w:t>
      </w:r>
      <w:r>
        <w:rPr>
          <w:color w:val="4A86E8"/>
        </w:rPr>
        <w:t>that</w:t>
      </w:r>
      <w:r>
        <w:rPr>
          <w:color w:val="4A86E8"/>
          <w:spacing w:val="-3"/>
        </w:rPr>
        <w:t xml:space="preserve"> </w:t>
      </w:r>
      <w:r>
        <w:rPr>
          <w:color w:val="4A86E8"/>
        </w:rPr>
        <w:t>variant</w:t>
      </w:r>
      <w:r>
        <w:rPr>
          <w:color w:val="4A86E8"/>
          <w:spacing w:val="-3"/>
        </w:rPr>
        <w:t xml:space="preserve"> </w:t>
      </w:r>
      <w:r>
        <w:rPr>
          <w:color w:val="4A86E8"/>
        </w:rPr>
        <w:t>effect</w:t>
      </w:r>
      <w:r>
        <w:rPr>
          <w:color w:val="4A86E8"/>
          <w:spacing w:val="-3"/>
        </w:rPr>
        <w:t xml:space="preserve"> </w:t>
      </w:r>
      <w:r>
        <w:rPr>
          <w:color w:val="4A86E8"/>
        </w:rPr>
        <w:t>predictions</w:t>
      </w:r>
      <w:r>
        <w:rPr>
          <w:color w:val="4A86E8"/>
          <w:spacing w:val="-3"/>
        </w:rPr>
        <w:t xml:space="preserve"> </w:t>
      </w:r>
      <w:r>
        <w:rPr>
          <w:color w:val="4A86E8"/>
        </w:rPr>
        <w:t>from</w:t>
      </w:r>
      <w:r>
        <w:rPr>
          <w:color w:val="4A86E8"/>
          <w:spacing w:val="-3"/>
        </w:rPr>
        <w:t xml:space="preserve"> </w:t>
      </w:r>
      <w:r>
        <w:rPr>
          <w:color w:val="4A86E8"/>
        </w:rPr>
        <w:t>a</w:t>
      </w:r>
      <w:r>
        <w:rPr>
          <w:color w:val="4A86E8"/>
          <w:spacing w:val="-3"/>
        </w:rPr>
        <w:t xml:space="preserve"> </w:t>
      </w:r>
      <w:r>
        <w:rPr>
          <w:color w:val="4A86E8"/>
        </w:rPr>
        <w:t>significantly</w:t>
      </w:r>
      <w:r>
        <w:rPr>
          <w:color w:val="4A86E8"/>
          <w:spacing w:val="-3"/>
        </w:rPr>
        <w:t xml:space="preserve"> </w:t>
      </w:r>
      <w:r>
        <w:rPr>
          <w:color w:val="4A86E8"/>
        </w:rPr>
        <w:t>smaller</w:t>
      </w:r>
      <w:r>
        <w:rPr>
          <w:color w:val="4A86E8"/>
          <w:spacing w:val="-3"/>
        </w:rPr>
        <w:t xml:space="preserve"> </w:t>
      </w:r>
      <w:r>
        <w:rPr>
          <w:color w:val="4A86E8"/>
        </w:rPr>
        <w:t>model</w:t>
      </w:r>
      <w:r>
        <w:rPr>
          <w:color w:val="4A86E8"/>
          <w:spacing w:val="-3"/>
        </w:rPr>
        <w:t xml:space="preserve"> </w:t>
      </w:r>
      <w:r>
        <w:rPr>
          <w:color w:val="4A86E8"/>
        </w:rPr>
        <w:t>trained on much less data appear to perform on par with Enformer for some traits.</w:t>
      </w:r>
    </w:p>
    <w:p w14:paraId="6F8E038D" w14:textId="77777777" w:rsidR="00E211CC" w:rsidRDefault="00E211CC" w:rsidP="00E211CC">
      <w:pPr>
        <w:pStyle w:val="BodyText"/>
        <w:spacing w:before="21"/>
        <w:ind w:left="0"/>
      </w:pPr>
    </w:p>
    <w:p w14:paraId="362B246C" w14:textId="77777777" w:rsidR="00E211CC" w:rsidRDefault="00E211CC" w:rsidP="00E211CC">
      <w:pPr>
        <w:pStyle w:val="ListParagraph"/>
        <w:widowControl w:val="0"/>
        <w:numPr>
          <w:ilvl w:val="0"/>
          <w:numId w:val="5"/>
        </w:numPr>
        <w:tabs>
          <w:tab w:val="left" w:pos="1063"/>
        </w:tabs>
        <w:autoSpaceDE w:val="0"/>
        <w:autoSpaceDN w:val="0"/>
        <w:spacing w:after="0" w:line="276" w:lineRule="auto"/>
        <w:ind w:right="986" w:firstLine="0"/>
        <w:contextualSpacing w:val="0"/>
      </w:pPr>
      <w:r>
        <w:rPr>
          <w:color w:val="222222"/>
        </w:rPr>
        <w:t>Multi-task vs single-task model comparison: The authors should make sure that the model capacity (say number of layers or channels) is appropriately larger for the multi-task model. Currently,</w:t>
      </w:r>
      <w:r>
        <w:rPr>
          <w:color w:val="222222"/>
          <w:spacing w:val="-3"/>
        </w:rPr>
        <w:t xml:space="preserve"> </w:t>
      </w:r>
      <w:r>
        <w:rPr>
          <w:color w:val="222222"/>
        </w:rPr>
        <w:t>the</w:t>
      </w:r>
      <w:r>
        <w:rPr>
          <w:color w:val="222222"/>
          <w:spacing w:val="-3"/>
        </w:rPr>
        <w:t xml:space="preserve"> </w:t>
      </w:r>
      <w:r>
        <w:rPr>
          <w:color w:val="222222"/>
        </w:rPr>
        <w:t>same</w:t>
      </w:r>
      <w:r>
        <w:rPr>
          <w:color w:val="222222"/>
          <w:spacing w:val="-3"/>
        </w:rPr>
        <w:t xml:space="preserve"> </w:t>
      </w:r>
      <w:r>
        <w:rPr>
          <w:color w:val="222222"/>
        </w:rPr>
        <w:t>hyper-parameters</w:t>
      </w:r>
      <w:r>
        <w:rPr>
          <w:color w:val="222222"/>
          <w:spacing w:val="-3"/>
        </w:rPr>
        <w:t xml:space="preserve"> </w:t>
      </w:r>
      <w:r>
        <w:rPr>
          <w:color w:val="222222"/>
        </w:rPr>
        <w:t>are</w:t>
      </w:r>
      <w:r>
        <w:rPr>
          <w:color w:val="222222"/>
          <w:spacing w:val="-3"/>
        </w:rPr>
        <w:t xml:space="preserve"> </w:t>
      </w:r>
      <w:r>
        <w:rPr>
          <w:color w:val="222222"/>
        </w:rPr>
        <w:t>used</w:t>
      </w:r>
      <w:r>
        <w:rPr>
          <w:color w:val="222222"/>
          <w:spacing w:val="-3"/>
        </w:rPr>
        <w:t xml:space="preserve"> </w:t>
      </w:r>
      <w:r>
        <w:rPr>
          <w:color w:val="222222"/>
        </w:rPr>
        <w:t>for</w:t>
      </w:r>
      <w:r>
        <w:rPr>
          <w:color w:val="222222"/>
          <w:spacing w:val="-3"/>
        </w:rPr>
        <w:t xml:space="preserve"> </w:t>
      </w:r>
      <w:r>
        <w:rPr>
          <w:color w:val="222222"/>
        </w:rPr>
        <w:t>both</w:t>
      </w:r>
      <w:r>
        <w:rPr>
          <w:color w:val="222222"/>
          <w:spacing w:val="-3"/>
        </w:rPr>
        <w:t xml:space="preserve"> </w:t>
      </w:r>
      <w:r>
        <w:rPr>
          <w:color w:val="222222"/>
        </w:rPr>
        <w:t>models</w:t>
      </w:r>
      <w:r>
        <w:rPr>
          <w:color w:val="222222"/>
          <w:spacing w:val="-3"/>
        </w:rPr>
        <w:t xml:space="preserve"> </w:t>
      </w:r>
      <w:r>
        <w:rPr>
          <w:color w:val="222222"/>
        </w:rPr>
        <w:t>which</w:t>
      </w:r>
      <w:r>
        <w:rPr>
          <w:color w:val="222222"/>
          <w:spacing w:val="-3"/>
        </w:rPr>
        <w:t xml:space="preserve"> </w:t>
      </w:r>
      <w:r>
        <w:rPr>
          <w:color w:val="222222"/>
        </w:rPr>
        <w:t>may</w:t>
      </w:r>
      <w:r>
        <w:rPr>
          <w:color w:val="222222"/>
          <w:spacing w:val="-3"/>
        </w:rPr>
        <w:t xml:space="preserve"> </w:t>
      </w:r>
      <w:r>
        <w:rPr>
          <w:color w:val="222222"/>
        </w:rPr>
        <w:t>lead</w:t>
      </w:r>
      <w:r>
        <w:rPr>
          <w:color w:val="222222"/>
          <w:spacing w:val="-3"/>
        </w:rPr>
        <w:t xml:space="preserve"> </w:t>
      </w:r>
      <w:r>
        <w:rPr>
          <w:color w:val="222222"/>
        </w:rPr>
        <w:t>to</w:t>
      </w:r>
      <w:r>
        <w:rPr>
          <w:color w:val="222222"/>
          <w:spacing w:val="-3"/>
        </w:rPr>
        <w:t xml:space="preserve"> </w:t>
      </w:r>
      <w:r>
        <w:rPr>
          <w:color w:val="222222"/>
        </w:rPr>
        <w:t>sub-optimal performance of either the multi-task or the single-task models.</w:t>
      </w:r>
    </w:p>
    <w:p w14:paraId="302101CD" w14:textId="77777777" w:rsidR="00E211CC" w:rsidRDefault="00E211CC" w:rsidP="00E211CC">
      <w:pPr>
        <w:pStyle w:val="BodyText"/>
        <w:spacing w:before="37"/>
        <w:ind w:left="0"/>
      </w:pPr>
    </w:p>
    <w:p w14:paraId="7D4EE2A5" w14:textId="77777777" w:rsidR="00E211CC" w:rsidRDefault="00E211CC" w:rsidP="00E211CC">
      <w:pPr>
        <w:pStyle w:val="BodyText"/>
        <w:spacing w:before="1" w:line="276" w:lineRule="auto"/>
        <w:ind w:right="926"/>
      </w:pPr>
      <w:r>
        <w:rPr>
          <w:color w:val="4A86E8"/>
        </w:rPr>
        <w:t>We thank the reviewer for this suggestion and agree that model capacity is an important consideration in fairly evaluating the multi-task versus single-task modeling paradigm. We initially used the same model architecture and hyperparameters for single-task and multi-task models, meaning that the single-task models have more capacity (i.e. parameters) to learn about each particular cell type. We have added an experiment to help disentangle the respective roles of increased model capacity versus negative transfer in the performance improvements seen for single-task models. Specifically, for both the Loeb, et al. and Calderon, et al. datasets, we have trained three additional models with 2, 4, and 8 times the number of parameters of the original multi-task models. (Training larger and larger multi-task models quickly becomes computationally prohibitive.) We then evaluated performance of these progressively larger multi-task models in different peak regions, as done throughout the paper. These results are shown in a new supplementary figure (Fig. S15). We have also included results</w:t>
      </w:r>
      <w:r>
        <w:rPr>
          <w:color w:val="4A86E8"/>
          <w:spacing w:val="-3"/>
        </w:rPr>
        <w:t xml:space="preserve"> </w:t>
      </w:r>
      <w:r>
        <w:rPr>
          <w:color w:val="4A86E8"/>
        </w:rPr>
        <w:t>from</w:t>
      </w:r>
      <w:r>
        <w:rPr>
          <w:color w:val="4A86E8"/>
          <w:spacing w:val="-3"/>
        </w:rPr>
        <w:t xml:space="preserve"> </w:t>
      </w:r>
      <w:r>
        <w:rPr>
          <w:color w:val="4A86E8"/>
        </w:rPr>
        <w:t>the</w:t>
      </w:r>
      <w:r>
        <w:rPr>
          <w:color w:val="4A86E8"/>
          <w:spacing w:val="-3"/>
        </w:rPr>
        <w:t xml:space="preserve"> </w:t>
      </w:r>
      <w:r>
        <w:rPr>
          <w:color w:val="4A86E8"/>
        </w:rPr>
        <w:t>8x</w:t>
      </w:r>
      <w:r>
        <w:rPr>
          <w:color w:val="4A86E8"/>
          <w:spacing w:val="-3"/>
        </w:rPr>
        <w:t xml:space="preserve"> </w:t>
      </w:r>
      <w:r>
        <w:rPr>
          <w:color w:val="4A86E8"/>
        </w:rPr>
        <w:t>capacity</w:t>
      </w:r>
      <w:r>
        <w:rPr>
          <w:color w:val="4A86E8"/>
          <w:spacing w:val="-2"/>
        </w:rPr>
        <w:t xml:space="preserve"> </w:t>
      </w:r>
      <w:r>
        <w:rPr>
          <w:color w:val="4A86E8"/>
        </w:rPr>
        <w:t>multi-task</w:t>
      </w:r>
      <w:r>
        <w:rPr>
          <w:color w:val="4A86E8"/>
          <w:spacing w:val="-3"/>
        </w:rPr>
        <w:t xml:space="preserve"> </w:t>
      </w:r>
      <w:r>
        <w:rPr>
          <w:color w:val="4A86E8"/>
        </w:rPr>
        <w:t>models</w:t>
      </w:r>
      <w:r>
        <w:rPr>
          <w:color w:val="4A86E8"/>
          <w:spacing w:val="-3"/>
        </w:rPr>
        <w:t xml:space="preserve"> </w:t>
      </w:r>
      <w:r>
        <w:rPr>
          <w:color w:val="4A86E8"/>
        </w:rPr>
        <w:t>in</w:t>
      </w:r>
      <w:r>
        <w:rPr>
          <w:color w:val="4A86E8"/>
          <w:spacing w:val="-3"/>
        </w:rPr>
        <w:t xml:space="preserve"> </w:t>
      </w:r>
      <w:r>
        <w:rPr>
          <w:color w:val="4A86E8"/>
        </w:rPr>
        <w:t>the</w:t>
      </w:r>
      <w:r>
        <w:rPr>
          <w:color w:val="4A86E8"/>
          <w:spacing w:val="-3"/>
        </w:rPr>
        <w:t xml:space="preserve"> </w:t>
      </w:r>
      <w:r>
        <w:rPr>
          <w:color w:val="4A86E8"/>
        </w:rPr>
        <w:t>relevant</w:t>
      </w:r>
      <w:r>
        <w:rPr>
          <w:color w:val="4A86E8"/>
          <w:spacing w:val="-3"/>
        </w:rPr>
        <w:t xml:space="preserve"> </w:t>
      </w:r>
      <w:r>
        <w:rPr>
          <w:color w:val="4A86E8"/>
        </w:rPr>
        <w:t>comparisons</w:t>
      </w:r>
      <w:r>
        <w:rPr>
          <w:color w:val="4A86E8"/>
          <w:spacing w:val="-3"/>
        </w:rPr>
        <w:t xml:space="preserve"> </w:t>
      </w:r>
      <w:r>
        <w:rPr>
          <w:color w:val="4A86E8"/>
        </w:rPr>
        <w:t>in</w:t>
      </w:r>
      <w:r>
        <w:rPr>
          <w:color w:val="4A86E8"/>
          <w:spacing w:val="-3"/>
        </w:rPr>
        <w:t xml:space="preserve"> </w:t>
      </w:r>
      <w:r>
        <w:rPr>
          <w:color w:val="4A86E8"/>
        </w:rPr>
        <w:t>Fig.</w:t>
      </w:r>
      <w:r>
        <w:rPr>
          <w:color w:val="4A86E8"/>
          <w:spacing w:val="-3"/>
        </w:rPr>
        <w:t xml:space="preserve"> </w:t>
      </w:r>
      <w:r>
        <w:rPr>
          <w:color w:val="4A86E8"/>
        </w:rPr>
        <w:t>4</w:t>
      </w:r>
      <w:r>
        <w:rPr>
          <w:color w:val="4A86E8"/>
          <w:spacing w:val="-3"/>
        </w:rPr>
        <w:t xml:space="preserve"> </w:t>
      </w:r>
      <w:r>
        <w:rPr>
          <w:color w:val="4A86E8"/>
        </w:rPr>
        <w:t>and</w:t>
      </w:r>
      <w:r>
        <w:rPr>
          <w:color w:val="4A86E8"/>
          <w:spacing w:val="-3"/>
        </w:rPr>
        <w:t xml:space="preserve"> </w:t>
      </w:r>
      <w:r>
        <w:rPr>
          <w:color w:val="4A86E8"/>
        </w:rPr>
        <w:t>Fig.</w:t>
      </w:r>
      <w:r>
        <w:rPr>
          <w:color w:val="4A86E8"/>
          <w:spacing w:val="-3"/>
        </w:rPr>
        <w:t xml:space="preserve"> </w:t>
      </w:r>
      <w:r>
        <w:rPr>
          <w:color w:val="4A86E8"/>
        </w:rPr>
        <w:t>S9. We find that when we measure predictive accuracy genome-wide or in ubiquitous peaks, we see little to no improvement from increasing model capacity (Fig. S15a,b, in gray and orange, respectively). However, in cell type specific peaks, we do indeed see that increasing model capacity improves predictive accuracy, in many cases approaching the performance of single task models (Fig. 4, in hatched blue; Fig. S15a,b, in blue). These results provide evidence that the benefit we observe from single-task models may largely be due to increased model capacity, which potentially gives the model more “room” to learn a potentially long tail of cell type specific TFs. Depending on the particular use case and computational budget, single-task models or higher capacity multi-task models may both be ways to achieve improved performance in cell type specific regions. We have modified the conclusions we draw from the single-task versus multi-task comparison to reflect this information, and more generally recommend increasing model capacity to improve cell type specific performance.</w:t>
      </w:r>
    </w:p>
    <w:p w14:paraId="5659D797"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4FB09B3D" w14:textId="77777777" w:rsidR="00E211CC" w:rsidRDefault="00E211CC" w:rsidP="00E211CC">
      <w:pPr>
        <w:pStyle w:val="ListParagraph"/>
        <w:widowControl w:val="0"/>
        <w:numPr>
          <w:ilvl w:val="0"/>
          <w:numId w:val="5"/>
        </w:numPr>
        <w:tabs>
          <w:tab w:val="left" w:pos="1063"/>
        </w:tabs>
        <w:autoSpaceDE w:val="0"/>
        <w:autoSpaceDN w:val="0"/>
        <w:spacing w:before="80" w:after="0" w:line="276" w:lineRule="auto"/>
        <w:ind w:right="1107" w:firstLine="0"/>
        <w:contextualSpacing w:val="0"/>
      </w:pPr>
      <w:r>
        <w:rPr>
          <w:color w:val="222222"/>
        </w:rPr>
        <w:lastRenderedPageBreak/>
        <w:t>The manuscript would also benefit from more in depth analysis of contribution scores (computed</w:t>
      </w:r>
      <w:r>
        <w:rPr>
          <w:color w:val="222222"/>
          <w:spacing w:val="-4"/>
        </w:rPr>
        <w:t xml:space="preserve"> </w:t>
      </w:r>
      <w:r>
        <w:rPr>
          <w:color w:val="222222"/>
        </w:rPr>
        <w:t>using</w:t>
      </w:r>
      <w:r>
        <w:rPr>
          <w:color w:val="222222"/>
          <w:spacing w:val="-4"/>
        </w:rPr>
        <w:t xml:space="preserve"> </w:t>
      </w:r>
      <w:r>
        <w:rPr>
          <w:color w:val="222222"/>
        </w:rPr>
        <w:t>say</w:t>
      </w:r>
      <w:r>
        <w:rPr>
          <w:color w:val="222222"/>
          <w:spacing w:val="-4"/>
        </w:rPr>
        <w:t xml:space="preserve"> </w:t>
      </w:r>
      <w:r>
        <w:rPr>
          <w:color w:val="222222"/>
        </w:rPr>
        <w:t>in</w:t>
      </w:r>
      <w:r>
        <w:rPr>
          <w:color w:val="222222"/>
          <w:spacing w:val="-4"/>
        </w:rPr>
        <w:t xml:space="preserve"> </w:t>
      </w:r>
      <w:r>
        <w:rPr>
          <w:color w:val="222222"/>
        </w:rPr>
        <w:t>silico</w:t>
      </w:r>
      <w:r>
        <w:rPr>
          <w:color w:val="222222"/>
          <w:spacing w:val="-4"/>
        </w:rPr>
        <w:t xml:space="preserve"> </w:t>
      </w:r>
      <w:r>
        <w:rPr>
          <w:color w:val="222222"/>
        </w:rPr>
        <w:t>mutagenesis</w:t>
      </w:r>
      <w:r>
        <w:rPr>
          <w:color w:val="222222"/>
          <w:spacing w:val="-2"/>
        </w:rPr>
        <w:t xml:space="preserve"> </w:t>
      </w:r>
      <w:r>
        <w:rPr>
          <w:color w:val="222222"/>
        </w:rPr>
        <w:t>or</w:t>
      </w:r>
      <w:r>
        <w:rPr>
          <w:color w:val="222222"/>
          <w:spacing w:val="-4"/>
        </w:rPr>
        <w:t xml:space="preserve"> </w:t>
      </w:r>
      <w:r>
        <w:rPr>
          <w:color w:val="222222"/>
        </w:rPr>
        <w:t>input*gradient)</w:t>
      </w:r>
      <w:r>
        <w:rPr>
          <w:color w:val="222222"/>
          <w:spacing w:val="-4"/>
        </w:rPr>
        <w:t xml:space="preserve"> </w:t>
      </w:r>
      <w:r>
        <w:rPr>
          <w:color w:val="222222"/>
        </w:rPr>
        <w:t>comparing</w:t>
      </w:r>
      <w:r>
        <w:rPr>
          <w:color w:val="222222"/>
          <w:spacing w:val="-4"/>
        </w:rPr>
        <w:t xml:space="preserve"> </w:t>
      </w:r>
      <w:r>
        <w:rPr>
          <w:color w:val="222222"/>
        </w:rPr>
        <w:t>single</w:t>
      </w:r>
      <w:r>
        <w:rPr>
          <w:color w:val="222222"/>
          <w:spacing w:val="-4"/>
        </w:rPr>
        <w:t xml:space="preserve"> </w:t>
      </w:r>
      <w:r>
        <w:rPr>
          <w:color w:val="222222"/>
        </w:rPr>
        <w:t>task</w:t>
      </w:r>
      <w:r>
        <w:rPr>
          <w:color w:val="222222"/>
          <w:spacing w:val="-4"/>
        </w:rPr>
        <w:t xml:space="preserve"> </w:t>
      </w:r>
      <w:r>
        <w:rPr>
          <w:color w:val="222222"/>
        </w:rPr>
        <w:t>models</w:t>
      </w:r>
      <w:r>
        <w:rPr>
          <w:color w:val="222222"/>
          <w:spacing w:val="-4"/>
        </w:rPr>
        <w:t xml:space="preserve"> </w:t>
      </w:r>
      <w:r>
        <w:rPr>
          <w:color w:val="222222"/>
        </w:rPr>
        <w:t>vs multi-task models when looking at cell-type specific CREs and/or variant effect prediction.</w:t>
      </w:r>
    </w:p>
    <w:p w14:paraId="454055C4" w14:textId="77777777" w:rsidR="00E211CC" w:rsidRDefault="00E211CC" w:rsidP="00E211CC">
      <w:pPr>
        <w:pStyle w:val="BodyText"/>
        <w:spacing w:before="35"/>
        <w:ind w:left="0"/>
      </w:pPr>
    </w:p>
    <w:p w14:paraId="50271B8A" w14:textId="77777777" w:rsidR="00E211CC" w:rsidRDefault="00E211CC" w:rsidP="00E211CC">
      <w:pPr>
        <w:pStyle w:val="BodyText"/>
        <w:spacing w:before="1" w:line="276" w:lineRule="auto"/>
        <w:ind w:right="1024"/>
      </w:pPr>
      <w:r>
        <w:rPr>
          <w:color w:val="4A86E8"/>
        </w:rPr>
        <w:t>We appreciate this suggestion, which is similar to a suggestion from Reviewer #1. We have performed</w:t>
      </w:r>
      <w:r>
        <w:rPr>
          <w:color w:val="4A86E8"/>
          <w:spacing w:val="-3"/>
        </w:rPr>
        <w:t xml:space="preserve"> </w:t>
      </w:r>
      <w:r>
        <w:rPr>
          <w:color w:val="4A86E8"/>
        </w:rPr>
        <w:t>two</w:t>
      </w:r>
      <w:r>
        <w:rPr>
          <w:color w:val="4A86E8"/>
          <w:spacing w:val="-3"/>
        </w:rPr>
        <w:t xml:space="preserve"> </w:t>
      </w:r>
      <w:r>
        <w:rPr>
          <w:color w:val="4A86E8"/>
        </w:rPr>
        <w:t>additional</w:t>
      </w:r>
      <w:r>
        <w:rPr>
          <w:color w:val="4A86E8"/>
          <w:spacing w:val="-3"/>
        </w:rPr>
        <w:t xml:space="preserve"> </w:t>
      </w:r>
      <w:r>
        <w:rPr>
          <w:color w:val="4A86E8"/>
        </w:rPr>
        <w:t>analyses</w:t>
      </w:r>
      <w:r>
        <w:rPr>
          <w:color w:val="4A86E8"/>
          <w:spacing w:val="-3"/>
        </w:rPr>
        <w:t xml:space="preserve"> </w:t>
      </w:r>
      <w:r>
        <w:rPr>
          <w:color w:val="4A86E8"/>
        </w:rPr>
        <w:t>to</w:t>
      </w:r>
      <w:r>
        <w:rPr>
          <w:color w:val="4A86E8"/>
          <w:spacing w:val="-3"/>
        </w:rPr>
        <w:t xml:space="preserve"> </w:t>
      </w:r>
      <w:r>
        <w:rPr>
          <w:color w:val="4A86E8"/>
        </w:rPr>
        <w:t>explore</w:t>
      </w:r>
      <w:r>
        <w:rPr>
          <w:color w:val="4A86E8"/>
          <w:spacing w:val="-3"/>
        </w:rPr>
        <w:t xml:space="preserve"> </w:t>
      </w:r>
      <w:r>
        <w:rPr>
          <w:color w:val="4A86E8"/>
        </w:rPr>
        <w:t>the</w:t>
      </w:r>
      <w:r>
        <w:rPr>
          <w:color w:val="4A86E8"/>
          <w:spacing w:val="-3"/>
        </w:rPr>
        <w:t xml:space="preserve"> </w:t>
      </w:r>
      <w:r>
        <w:rPr>
          <w:color w:val="4A86E8"/>
        </w:rPr>
        <w:t>effect</w:t>
      </w:r>
      <w:r>
        <w:rPr>
          <w:color w:val="4A86E8"/>
          <w:spacing w:val="-3"/>
        </w:rPr>
        <w:t xml:space="preserve"> </w:t>
      </w:r>
      <w:r>
        <w:rPr>
          <w:color w:val="4A86E8"/>
        </w:rPr>
        <w:t>of</w:t>
      </w:r>
      <w:r>
        <w:rPr>
          <w:color w:val="4A86E8"/>
          <w:spacing w:val="-3"/>
        </w:rPr>
        <w:t xml:space="preserve"> </w:t>
      </w:r>
      <w:r>
        <w:rPr>
          <w:color w:val="4A86E8"/>
        </w:rPr>
        <w:t>single-task</w:t>
      </w:r>
      <w:r>
        <w:rPr>
          <w:color w:val="4A86E8"/>
          <w:spacing w:val="-3"/>
        </w:rPr>
        <w:t xml:space="preserve"> </w:t>
      </w:r>
      <w:r>
        <w:rPr>
          <w:color w:val="4A86E8"/>
        </w:rPr>
        <w:t>vs.</w:t>
      </w:r>
      <w:r>
        <w:rPr>
          <w:color w:val="4A86E8"/>
          <w:spacing w:val="-3"/>
        </w:rPr>
        <w:t xml:space="preserve"> </w:t>
      </w:r>
      <w:r>
        <w:rPr>
          <w:color w:val="4A86E8"/>
        </w:rPr>
        <w:t>multi-task</w:t>
      </w:r>
      <w:r>
        <w:rPr>
          <w:color w:val="4A86E8"/>
          <w:spacing w:val="-3"/>
        </w:rPr>
        <w:t xml:space="preserve"> </w:t>
      </w:r>
      <w:r>
        <w:rPr>
          <w:color w:val="4A86E8"/>
        </w:rPr>
        <w:t>training</w:t>
      </w:r>
      <w:r>
        <w:rPr>
          <w:color w:val="4A86E8"/>
          <w:spacing w:val="-3"/>
        </w:rPr>
        <w:t xml:space="preserve"> </w:t>
      </w:r>
      <w:r>
        <w:rPr>
          <w:color w:val="4A86E8"/>
        </w:rPr>
        <w:t>on model interpretability and contribution scores: a global interpretability analysis and a local interpretability analysis (new Figures S16 and S17). Please see the above response to Reviewer #1, comment 5 for more details.</w:t>
      </w:r>
    </w:p>
    <w:p w14:paraId="07586716" w14:textId="77777777" w:rsidR="00E211CC" w:rsidRDefault="00E211CC" w:rsidP="00E211CC">
      <w:pPr>
        <w:pStyle w:val="BodyText"/>
        <w:spacing w:before="39"/>
        <w:ind w:left="0"/>
      </w:pPr>
    </w:p>
    <w:p w14:paraId="65776452" w14:textId="77777777" w:rsidR="00E211CC" w:rsidRDefault="00E211CC" w:rsidP="00E211CC">
      <w:pPr>
        <w:pStyle w:val="ListParagraph"/>
        <w:widowControl w:val="0"/>
        <w:numPr>
          <w:ilvl w:val="0"/>
          <w:numId w:val="5"/>
        </w:numPr>
        <w:tabs>
          <w:tab w:val="left" w:pos="1063"/>
        </w:tabs>
        <w:autoSpaceDE w:val="0"/>
        <w:autoSpaceDN w:val="0"/>
        <w:spacing w:after="0" w:line="276" w:lineRule="auto"/>
        <w:ind w:right="1155" w:firstLine="0"/>
        <w:contextualSpacing w:val="0"/>
      </w:pPr>
      <w:r>
        <w:rPr>
          <w:color w:val="222222"/>
        </w:rPr>
        <w:t>The</w:t>
      </w:r>
      <w:r>
        <w:rPr>
          <w:color w:val="222222"/>
          <w:spacing w:val="-3"/>
        </w:rPr>
        <w:t xml:space="preserve"> </w:t>
      </w:r>
      <w:r>
        <w:rPr>
          <w:color w:val="222222"/>
        </w:rPr>
        <w:t>flow</w:t>
      </w:r>
      <w:r>
        <w:rPr>
          <w:color w:val="222222"/>
          <w:spacing w:val="-3"/>
        </w:rPr>
        <w:t xml:space="preserve"> </w:t>
      </w:r>
      <w:r>
        <w:rPr>
          <w:color w:val="222222"/>
        </w:rPr>
        <w:t>of</w:t>
      </w:r>
      <w:r>
        <w:rPr>
          <w:color w:val="222222"/>
          <w:spacing w:val="-3"/>
        </w:rPr>
        <w:t xml:space="preserve"> </w:t>
      </w:r>
      <w:r>
        <w:rPr>
          <w:color w:val="222222"/>
        </w:rPr>
        <w:t>the</w:t>
      </w:r>
      <w:r>
        <w:rPr>
          <w:color w:val="222222"/>
          <w:spacing w:val="-3"/>
        </w:rPr>
        <w:t xml:space="preserve"> </w:t>
      </w:r>
      <w:r>
        <w:rPr>
          <w:color w:val="222222"/>
        </w:rPr>
        <w:t>manuscript</w:t>
      </w:r>
      <w:r>
        <w:rPr>
          <w:color w:val="222222"/>
          <w:spacing w:val="-3"/>
        </w:rPr>
        <w:t xml:space="preserve"> </w:t>
      </w:r>
      <w:r>
        <w:rPr>
          <w:color w:val="222222"/>
        </w:rPr>
        <w:t>could</w:t>
      </w:r>
      <w:r>
        <w:rPr>
          <w:color w:val="222222"/>
          <w:spacing w:val="-3"/>
        </w:rPr>
        <w:t xml:space="preserve"> </w:t>
      </w:r>
      <w:r>
        <w:rPr>
          <w:color w:val="222222"/>
        </w:rPr>
        <w:t>be</w:t>
      </w:r>
      <w:r>
        <w:rPr>
          <w:color w:val="222222"/>
          <w:spacing w:val="-3"/>
        </w:rPr>
        <w:t xml:space="preserve"> </w:t>
      </w:r>
      <w:r>
        <w:rPr>
          <w:color w:val="222222"/>
        </w:rPr>
        <w:t>improved.</w:t>
      </w:r>
      <w:r>
        <w:rPr>
          <w:color w:val="222222"/>
          <w:spacing w:val="-3"/>
        </w:rPr>
        <w:t xml:space="preserve"> </w:t>
      </w:r>
      <w:r>
        <w:rPr>
          <w:color w:val="222222"/>
        </w:rPr>
        <w:t>There</w:t>
      </w:r>
      <w:r>
        <w:rPr>
          <w:color w:val="222222"/>
          <w:spacing w:val="-3"/>
        </w:rPr>
        <w:t xml:space="preserve"> </w:t>
      </w:r>
      <w:r>
        <w:rPr>
          <w:color w:val="222222"/>
        </w:rPr>
        <w:t>are</w:t>
      </w:r>
      <w:r>
        <w:rPr>
          <w:color w:val="222222"/>
          <w:spacing w:val="-3"/>
        </w:rPr>
        <w:t xml:space="preserve"> </w:t>
      </w:r>
      <w:r>
        <w:rPr>
          <w:color w:val="222222"/>
        </w:rPr>
        <w:t>a</w:t>
      </w:r>
      <w:r>
        <w:rPr>
          <w:color w:val="222222"/>
          <w:spacing w:val="-3"/>
        </w:rPr>
        <w:t xml:space="preserve"> </w:t>
      </w:r>
      <w:r>
        <w:rPr>
          <w:color w:val="222222"/>
        </w:rPr>
        <w:t>number</w:t>
      </w:r>
      <w:r>
        <w:rPr>
          <w:color w:val="222222"/>
          <w:spacing w:val="-3"/>
        </w:rPr>
        <w:t xml:space="preserve"> </w:t>
      </w:r>
      <w:r>
        <w:rPr>
          <w:color w:val="222222"/>
        </w:rPr>
        <w:t>of</w:t>
      </w:r>
      <w:r>
        <w:rPr>
          <w:color w:val="222222"/>
          <w:spacing w:val="-3"/>
        </w:rPr>
        <w:t xml:space="preserve"> </w:t>
      </w:r>
      <w:r>
        <w:rPr>
          <w:color w:val="222222"/>
        </w:rPr>
        <w:t>occasions</w:t>
      </w:r>
      <w:r>
        <w:rPr>
          <w:color w:val="222222"/>
          <w:spacing w:val="-3"/>
        </w:rPr>
        <w:t xml:space="preserve"> </w:t>
      </w:r>
      <w:r>
        <w:rPr>
          <w:color w:val="222222"/>
        </w:rPr>
        <w:t>where</w:t>
      </w:r>
      <w:r>
        <w:rPr>
          <w:color w:val="222222"/>
          <w:spacing w:val="-3"/>
        </w:rPr>
        <w:t xml:space="preserve"> </w:t>
      </w:r>
      <w:r>
        <w:rPr>
          <w:color w:val="222222"/>
        </w:rPr>
        <w:t>the order of figures is inconsistent with when they are mentioned in the text and also some important details are not mentioned such as that a multi-task model was shown in Fig. 3. I've tried to flag a few of these instances in minor points below.</w:t>
      </w:r>
    </w:p>
    <w:p w14:paraId="305099DF" w14:textId="77777777" w:rsidR="00E211CC" w:rsidRDefault="00E211CC" w:rsidP="00E211CC">
      <w:pPr>
        <w:pStyle w:val="BodyText"/>
        <w:spacing w:before="38"/>
        <w:ind w:left="0"/>
      </w:pPr>
    </w:p>
    <w:p w14:paraId="1F2BD20F" w14:textId="77777777" w:rsidR="00E211CC" w:rsidRDefault="00E211CC" w:rsidP="00E211CC">
      <w:pPr>
        <w:pStyle w:val="BodyText"/>
        <w:spacing w:line="276" w:lineRule="auto"/>
        <w:ind w:right="861"/>
      </w:pPr>
      <w:r>
        <w:rPr>
          <w:color w:val="4A86E8"/>
        </w:rPr>
        <w:t>We appreciate this feedback and have made considerable effort to improve the flow of the manuscript, including ensuring that the order of figures is consistent with the order they are mentioned</w:t>
      </w:r>
      <w:r>
        <w:rPr>
          <w:color w:val="4A86E8"/>
          <w:spacing w:val="-3"/>
        </w:rPr>
        <w:t xml:space="preserve"> </w:t>
      </w:r>
      <w:r>
        <w:rPr>
          <w:color w:val="4A86E8"/>
        </w:rPr>
        <w:t>in</w:t>
      </w:r>
      <w:r>
        <w:rPr>
          <w:color w:val="4A86E8"/>
          <w:spacing w:val="-3"/>
        </w:rPr>
        <w:t xml:space="preserve"> </w:t>
      </w:r>
      <w:r>
        <w:rPr>
          <w:color w:val="4A86E8"/>
        </w:rPr>
        <w:t>the</w:t>
      </w:r>
      <w:r>
        <w:rPr>
          <w:color w:val="4A86E8"/>
          <w:spacing w:val="-3"/>
        </w:rPr>
        <w:t xml:space="preserve"> </w:t>
      </w:r>
      <w:r>
        <w:rPr>
          <w:color w:val="4A86E8"/>
        </w:rPr>
        <w:t>text,</w:t>
      </w:r>
      <w:r>
        <w:rPr>
          <w:color w:val="4A86E8"/>
          <w:spacing w:val="-3"/>
        </w:rPr>
        <w:t xml:space="preserve"> </w:t>
      </w:r>
      <w:r>
        <w:rPr>
          <w:color w:val="4A86E8"/>
        </w:rPr>
        <w:t>as</w:t>
      </w:r>
      <w:r>
        <w:rPr>
          <w:color w:val="4A86E8"/>
          <w:spacing w:val="-3"/>
        </w:rPr>
        <w:t xml:space="preserve"> </w:t>
      </w:r>
      <w:r>
        <w:rPr>
          <w:color w:val="4A86E8"/>
        </w:rPr>
        <w:t>well</w:t>
      </w:r>
      <w:r>
        <w:rPr>
          <w:color w:val="4A86E8"/>
          <w:spacing w:val="-3"/>
        </w:rPr>
        <w:t xml:space="preserve"> </w:t>
      </w:r>
      <w:r>
        <w:rPr>
          <w:color w:val="4A86E8"/>
        </w:rPr>
        <w:t>as</w:t>
      </w:r>
      <w:r>
        <w:rPr>
          <w:color w:val="4A86E8"/>
          <w:spacing w:val="-3"/>
        </w:rPr>
        <w:t xml:space="preserve"> </w:t>
      </w:r>
      <w:r>
        <w:rPr>
          <w:color w:val="4A86E8"/>
        </w:rPr>
        <w:t>making</w:t>
      </w:r>
      <w:r>
        <w:rPr>
          <w:color w:val="4A86E8"/>
          <w:spacing w:val="-3"/>
        </w:rPr>
        <w:t xml:space="preserve"> </w:t>
      </w:r>
      <w:r>
        <w:rPr>
          <w:color w:val="4A86E8"/>
        </w:rPr>
        <w:t>clear</w:t>
      </w:r>
      <w:r>
        <w:rPr>
          <w:color w:val="4A86E8"/>
          <w:spacing w:val="-3"/>
        </w:rPr>
        <w:t xml:space="preserve"> </w:t>
      </w:r>
      <w:r>
        <w:rPr>
          <w:color w:val="4A86E8"/>
        </w:rPr>
        <w:t>which</w:t>
      </w:r>
      <w:r>
        <w:rPr>
          <w:color w:val="4A86E8"/>
          <w:spacing w:val="-3"/>
        </w:rPr>
        <w:t xml:space="preserve"> </w:t>
      </w:r>
      <w:r>
        <w:rPr>
          <w:color w:val="4A86E8"/>
        </w:rPr>
        <w:t>models</w:t>
      </w:r>
      <w:r>
        <w:rPr>
          <w:color w:val="4A86E8"/>
          <w:spacing w:val="-3"/>
        </w:rPr>
        <w:t xml:space="preserve"> </w:t>
      </w:r>
      <w:r>
        <w:rPr>
          <w:color w:val="4A86E8"/>
        </w:rPr>
        <w:t>(i.e.</w:t>
      </w:r>
      <w:r>
        <w:rPr>
          <w:color w:val="4A86E8"/>
          <w:spacing w:val="-3"/>
        </w:rPr>
        <w:t xml:space="preserve"> </w:t>
      </w:r>
      <w:r>
        <w:rPr>
          <w:color w:val="4A86E8"/>
        </w:rPr>
        <w:t>single-task</w:t>
      </w:r>
      <w:r>
        <w:rPr>
          <w:color w:val="4A86E8"/>
          <w:spacing w:val="-3"/>
        </w:rPr>
        <w:t xml:space="preserve"> </w:t>
      </w:r>
      <w:r>
        <w:rPr>
          <w:color w:val="4A86E8"/>
        </w:rPr>
        <w:t>vs.</w:t>
      </w:r>
      <w:r>
        <w:rPr>
          <w:color w:val="4A86E8"/>
          <w:spacing w:val="-3"/>
        </w:rPr>
        <w:t xml:space="preserve"> </w:t>
      </w:r>
      <w:r>
        <w:rPr>
          <w:color w:val="4A86E8"/>
        </w:rPr>
        <w:t>multi-task)</w:t>
      </w:r>
      <w:r>
        <w:rPr>
          <w:color w:val="4A86E8"/>
          <w:spacing w:val="-3"/>
        </w:rPr>
        <w:t xml:space="preserve"> </w:t>
      </w:r>
      <w:r>
        <w:rPr>
          <w:color w:val="4A86E8"/>
        </w:rPr>
        <w:t>are being used in each specific evaluation.</w:t>
      </w:r>
    </w:p>
    <w:p w14:paraId="6F265F51" w14:textId="77777777" w:rsidR="00E211CC" w:rsidRDefault="00E211CC" w:rsidP="00E211CC">
      <w:pPr>
        <w:pStyle w:val="BodyText"/>
        <w:spacing w:before="37"/>
        <w:ind w:left="0"/>
      </w:pPr>
    </w:p>
    <w:p w14:paraId="2E238669" w14:textId="77777777" w:rsidR="00E211CC" w:rsidRDefault="00E211CC" w:rsidP="00E211CC">
      <w:pPr>
        <w:pStyle w:val="ListParagraph"/>
        <w:widowControl w:val="0"/>
        <w:numPr>
          <w:ilvl w:val="0"/>
          <w:numId w:val="5"/>
        </w:numPr>
        <w:tabs>
          <w:tab w:val="left" w:pos="1063"/>
        </w:tabs>
        <w:autoSpaceDE w:val="0"/>
        <w:autoSpaceDN w:val="0"/>
        <w:spacing w:before="1" w:after="0" w:line="276" w:lineRule="auto"/>
        <w:ind w:right="1136" w:firstLine="0"/>
        <w:contextualSpacing w:val="0"/>
      </w:pPr>
      <w:r>
        <w:rPr>
          <w:color w:val="222222"/>
        </w:rPr>
        <w:t>L353: "similar task groupings may be a promising approach to combine performance improvements"</w:t>
      </w:r>
      <w:r>
        <w:rPr>
          <w:color w:val="222222"/>
          <w:spacing w:val="-3"/>
        </w:rPr>
        <w:t xml:space="preserve"> </w:t>
      </w:r>
      <w:r>
        <w:rPr>
          <w:color w:val="222222"/>
        </w:rPr>
        <w:t>-</w:t>
      </w:r>
      <w:r>
        <w:rPr>
          <w:color w:val="222222"/>
          <w:spacing w:val="-3"/>
        </w:rPr>
        <w:t xml:space="preserve"> </w:t>
      </w:r>
      <w:r>
        <w:rPr>
          <w:color w:val="222222"/>
        </w:rPr>
        <w:t>what</w:t>
      </w:r>
      <w:r>
        <w:rPr>
          <w:color w:val="222222"/>
          <w:spacing w:val="-3"/>
        </w:rPr>
        <w:t xml:space="preserve"> </w:t>
      </w:r>
      <w:r>
        <w:rPr>
          <w:color w:val="222222"/>
        </w:rPr>
        <w:t>kind</w:t>
      </w:r>
      <w:r>
        <w:rPr>
          <w:color w:val="222222"/>
          <w:spacing w:val="-3"/>
        </w:rPr>
        <w:t xml:space="preserve"> </w:t>
      </w:r>
      <w:r>
        <w:rPr>
          <w:color w:val="222222"/>
        </w:rPr>
        <w:t>of</w:t>
      </w:r>
      <w:r>
        <w:rPr>
          <w:color w:val="222222"/>
          <w:spacing w:val="-3"/>
        </w:rPr>
        <w:t xml:space="preserve"> </w:t>
      </w:r>
      <w:r>
        <w:rPr>
          <w:color w:val="222222"/>
        </w:rPr>
        <w:t>task</w:t>
      </w:r>
      <w:r>
        <w:rPr>
          <w:color w:val="222222"/>
          <w:spacing w:val="-3"/>
        </w:rPr>
        <w:t xml:space="preserve"> </w:t>
      </w:r>
      <w:r>
        <w:rPr>
          <w:color w:val="222222"/>
        </w:rPr>
        <w:t>groupings</w:t>
      </w:r>
      <w:r>
        <w:rPr>
          <w:color w:val="222222"/>
          <w:spacing w:val="-3"/>
        </w:rPr>
        <w:t xml:space="preserve"> </w:t>
      </w:r>
      <w:r>
        <w:rPr>
          <w:color w:val="222222"/>
        </w:rPr>
        <w:t>have</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in</w:t>
      </w:r>
      <w:r>
        <w:rPr>
          <w:color w:val="222222"/>
          <w:spacing w:val="-3"/>
        </w:rPr>
        <w:t xml:space="preserve"> </w:t>
      </w:r>
      <w:r>
        <w:rPr>
          <w:color w:val="222222"/>
        </w:rPr>
        <w:t>mind</w:t>
      </w:r>
      <w:r>
        <w:rPr>
          <w:color w:val="222222"/>
          <w:spacing w:val="-3"/>
        </w:rPr>
        <w:t xml:space="preserve"> </w:t>
      </w:r>
      <w:r>
        <w:rPr>
          <w:color w:val="222222"/>
        </w:rPr>
        <w:t>here?</w:t>
      </w:r>
      <w:r>
        <w:rPr>
          <w:color w:val="222222"/>
          <w:spacing w:val="-3"/>
        </w:rPr>
        <w:t xml:space="preserve"> </w:t>
      </w:r>
      <w:r>
        <w:rPr>
          <w:color w:val="222222"/>
        </w:rPr>
        <w:t>Grouping</w:t>
      </w:r>
      <w:r>
        <w:rPr>
          <w:color w:val="222222"/>
          <w:spacing w:val="-3"/>
        </w:rPr>
        <w:t xml:space="preserve"> </w:t>
      </w:r>
      <w:r>
        <w:rPr>
          <w:color w:val="222222"/>
        </w:rPr>
        <w:t>similar cell</w:t>
      </w:r>
      <w:r>
        <w:rPr>
          <w:color w:val="222222"/>
          <w:spacing w:val="-1"/>
        </w:rPr>
        <w:t xml:space="preserve"> </w:t>
      </w:r>
      <w:r>
        <w:rPr>
          <w:color w:val="222222"/>
        </w:rPr>
        <w:t>types</w:t>
      </w:r>
      <w:r>
        <w:rPr>
          <w:color w:val="222222"/>
          <w:spacing w:val="-1"/>
        </w:rPr>
        <w:t xml:space="preserve"> </w:t>
      </w:r>
      <w:r>
        <w:rPr>
          <w:color w:val="222222"/>
        </w:rPr>
        <w:t>(as</w:t>
      </w:r>
      <w:r>
        <w:rPr>
          <w:color w:val="222222"/>
          <w:spacing w:val="-1"/>
        </w:rPr>
        <w:t xml:space="preserve"> </w:t>
      </w:r>
      <w:r>
        <w:rPr>
          <w:color w:val="222222"/>
        </w:rPr>
        <w:t>shown</w:t>
      </w:r>
      <w:r>
        <w:rPr>
          <w:color w:val="222222"/>
          <w:spacing w:val="-1"/>
        </w:rPr>
        <w:t xml:space="preserve"> </w:t>
      </w:r>
      <w:r>
        <w:rPr>
          <w:color w:val="222222"/>
        </w:rPr>
        <w:t>in</w:t>
      </w:r>
      <w:r>
        <w:rPr>
          <w:color w:val="222222"/>
          <w:spacing w:val="-1"/>
        </w:rPr>
        <w:t xml:space="preserve"> </w:t>
      </w:r>
      <w:r>
        <w:rPr>
          <w:color w:val="222222"/>
        </w:rPr>
        <w:t>Fig.</w:t>
      </w:r>
      <w:r>
        <w:rPr>
          <w:color w:val="222222"/>
          <w:spacing w:val="-1"/>
        </w:rPr>
        <w:t xml:space="preserve"> </w:t>
      </w:r>
      <w:r>
        <w:rPr>
          <w:color w:val="222222"/>
        </w:rPr>
        <w:t>3</w:t>
      </w:r>
      <w:r>
        <w:rPr>
          <w:color w:val="222222"/>
          <w:spacing w:val="-1"/>
        </w:rPr>
        <w:t xml:space="preserve"> </w:t>
      </w:r>
      <w:r>
        <w:rPr>
          <w:color w:val="222222"/>
        </w:rPr>
        <w:t>which</w:t>
      </w:r>
      <w:r>
        <w:rPr>
          <w:color w:val="222222"/>
          <w:spacing w:val="-1"/>
        </w:rPr>
        <w:t xml:space="preserve"> </w:t>
      </w:r>
      <w:r>
        <w:rPr>
          <w:color w:val="222222"/>
        </w:rPr>
        <w:t>also</w:t>
      </w:r>
      <w:r>
        <w:rPr>
          <w:color w:val="222222"/>
          <w:spacing w:val="-1"/>
        </w:rPr>
        <w:t xml:space="preserve"> </w:t>
      </w:r>
      <w:r>
        <w:rPr>
          <w:color w:val="222222"/>
        </w:rPr>
        <w:t>performs</w:t>
      </w:r>
      <w:r>
        <w:rPr>
          <w:color w:val="222222"/>
          <w:spacing w:val="-1"/>
        </w:rPr>
        <w:t xml:space="preserve"> </w:t>
      </w:r>
      <w:r>
        <w:rPr>
          <w:color w:val="222222"/>
        </w:rPr>
        <w:t>sub-optimally)</w:t>
      </w:r>
      <w:r>
        <w:rPr>
          <w:color w:val="222222"/>
          <w:spacing w:val="-1"/>
        </w:rPr>
        <w:t xml:space="preserve"> </w:t>
      </w:r>
      <w:r>
        <w:rPr>
          <w:color w:val="222222"/>
        </w:rPr>
        <w:t>or</w:t>
      </w:r>
      <w:r>
        <w:rPr>
          <w:color w:val="222222"/>
          <w:spacing w:val="-1"/>
        </w:rPr>
        <w:t xml:space="preserve"> </w:t>
      </w:r>
      <w:r>
        <w:rPr>
          <w:color w:val="222222"/>
        </w:rPr>
        <w:t>grouping</w:t>
      </w:r>
      <w:r>
        <w:rPr>
          <w:color w:val="222222"/>
          <w:spacing w:val="-1"/>
        </w:rPr>
        <w:t xml:space="preserve"> </w:t>
      </w:r>
      <w:r>
        <w:rPr>
          <w:color w:val="222222"/>
        </w:rPr>
        <w:t>different</w:t>
      </w:r>
      <w:r>
        <w:rPr>
          <w:color w:val="222222"/>
          <w:spacing w:val="-1"/>
        </w:rPr>
        <w:t xml:space="preserve"> </w:t>
      </w:r>
      <w:r>
        <w:rPr>
          <w:color w:val="222222"/>
        </w:rPr>
        <w:t>assays measuring the same cell type?</w:t>
      </w:r>
    </w:p>
    <w:p w14:paraId="23E837D9" w14:textId="77777777" w:rsidR="00E211CC" w:rsidRDefault="00E211CC" w:rsidP="00E211CC">
      <w:pPr>
        <w:pStyle w:val="BodyText"/>
        <w:spacing w:before="37"/>
        <w:ind w:left="0"/>
      </w:pPr>
    </w:p>
    <w:p w14:paraId="1EB3412C" w14:textId="77777777" w:rsidR="00E211CC" w:rsidRDefault="00E211CC" w:rsidP="00E211CC">
      <w:pPr>
        <w:pStyle w:val="BodyText"/>
        <w:spacing w:line="276" w:lineRule="auto"/>
        <w:ind w:right="935"/>
      </w:pPr>
      <w:r>
        <w:rPr>
          <w:color w:val="4A86E8"/>
        </w:rPr>
        <w:t>The</w:t>
      </w:r>
      <w:r>
        <w:rPr>
          <w:color w:val="4A86E8"/>
          <w:spacing w:val="-1"/>
        </w:rPr>
        <w:t xml:space="preserve"> </w:t>
      </w:r>
      <w:r>
        <w:rPr>
          <w:color w:val="4A86E8"/>
        </w:rPr>
        <w:t>task</w:t>
      </w:r>
      <w:r>
        <w:rPr>
          <w:color w:val="4A86E8"/>
          <w:spacing w:val="-1"/>
        </w:rPr>
        <w:t xml:space="preserve"> </w:t>
      </w:r>
      <w:r>
        <w:rPr>
          <w:color w:val="4A86E8"/>
        </w:rPr>
        <w:t>groupings</w:t>
      </w:r>
      <w:r>
        <w:rPr>
          <w:color w:val="4A86E8"/>
          <w:spacing w:val="-1"/>
        </w:rPr>
        <w:t xml:space="preserve"> </w:t>
      </w:r>
      <w:r>
        <w:rPr>
          <w:color w:val="4A86E8"/>
        </w:rPr>
        <w:t>we</w:t>
      </w:r>
      <w:r>
        <w:rPr>
          <w:color w:val="4A86E8"/>
          <w:spacing w:val="-1"/>
        </w:rPr>
        <w:t xml:space="preserve"> </w:t>
      </w:r>
      <w:r>
        <w:rPr>
          <w:color w:val="4A86E8"/>
        </w:rPr>
        <w:t>had</w:t>
      </w:r>
      <w:r>
        <w:rPr>
          <w:color w:val="4A86E8"/>
          <w:spacing w:val="-1"/>
        </w:rPr>
        <w:t xml:space="preserve"> </w:t>
      </w:r>
      <w:r>
        <w:rPr>
          <w:color w:val="4A86E8"/>
        </w:rPr>
        <w:t>in</w:t>
      </w:r>
      <w:r>
        <w:rPr>
          <w:color w:val="4A86E8"/>
          <w:spacing w:val="-1"/>
        </w:rPr>
        <w:t xml:space="preserve"> </w:t>
      </w:r>
      <w:r>
        <w:rPr>
          <w:color w:val="4A86E8"/>
        </w:rPr>
        <w:t>mind</w:t>
      </w:r>
      <w:r>
        <w:rPr>
          <w:color w:val="4A86E8"/>
          <w:spacing w:val="-1"/>
        </w:rPr>
        <w:t xml:space="preserve"> </w:t>
      </w:r>
      <w:r>
        <w:rPr>
          <w:color w:val="4A86E8"/>
        </w:rPr>
        <w:t>were</w:t>
      </w:r>
      <w:r>
        <w:rPr>
          <w:color w:val="4A86E8"/>
          <w:spacing w:val="-1"/>
        </w:rPr>
        <w:t xml:space="preserve"> </w:t>
      </w:r>
      <w:r>
        <w:rPr>
          <w:color w:val="4A86E8"/>
        </w:rPr>
        <w:t>to</w:t>
      </w:r>
      <w:r>
        <w:rPr>
          <w:color w:val="4A86E8"/>
          <w:spacing w:val="-1"/>
        </w:rPr>
        <w:t xml:space="preserve"> </w:t>
      </w:r>
      <w:r>
        <w:rPr>
          <w:color w:val="4A86E8"/>
        </w:rPr>
        <w:t>group</w:t>
      </w:r>
      <w:r>
        <w:rPr>
          <w:color w:val="4A86E8"/>
          <w:spacing w:val="-1"/>
        </w:rPr>
        <w:t xml:space="preserve"> </w:t>
      </w:r>
      <w:r>
        <w:rPr>
          <w:color w:val="4A86E8"/>
        </w:rPr>
        <w:t>the</w:t>
      </w:r>
      <w:r>
        <w:rPr>
          <w:color w:val="4A86E8"/>
          <w:spacing w:val="-1"/>
        </w:rPr>
        <w:t xml:space="preserve"> </w:t>
      </w:r>
      <w:r>
        <w:rPr>
          <w:color w:val="4A86E8"/>
        </w:rPr>
        <w:t>most</w:t>
      </w:r>
      <w:r>
        <w:rPr>
          <w:color w:val="4A86E8"/>
          <w:spacing w:val="-1"/>
        </w:rPr>
        <w:t xml:space="preserve"> </w:t>
      </w:r>
      <w:r>
        <w:rPr>
          <w:color w:val="4A86E8"/>
        </w:rPr>
        <w:t>highly</w:t>
      </w:r>
      <w:r>
        <w:rPr>
          <w:color w:val="4A86E8"/>
          <w:spacing w:val="-1"/>
        </w:rPr>
        <w:t xml:space="preserve"> </w:t>
      </w:r>
      <w:r>
        <w:rPr>
          <w:color w:val="4A86E8"/>
        </w:rPr>
        <w:t>related</w:t>
      </w:r>
      <w:r>
        <w:rPr>
          <w:color w:val="4A86E8"/>
          <w:spacing w:val="-1"/>
        </w:rPr>
        <w:t xml:space="preserve"> </w:t>
      </w:r>
      <w:r>
        <w:rPr>
          <w:color w:val="4A86E8"/>
        </w:rPr>
        <w:t>cell</w:t>
      </w:r>
      <w:r>
        <w:rPr>
          <w:color w:val="4A86E8"/>
          <w:spacing w:val="-1"/>
        </w:rPr>
        <w:t xml:space="preserve"> </w:t>
      </w:r>
      <w:r>
        <w:rPr>
          <w:color w:val="4A86E8"/>
        </w:rPr>
        <w:t>types</w:t>
      </w:r>
      <w:r>
        <w:rPr>
          <w:color w:val="4A86E8"/>
          <w:spacing w:val="-1"/>
        </w:rPr>
        <w:t xml:space="preserve"> </w:t>
      </w:r>
      <w:r>
        <w:rPr>
          <w:color w:val="4A86E8"/>
        </w:rPr>
        <w:t>even</w:t>
      </w:r>
      <w:r>
        <w:rPr>
          <w:color w:val="4A86E8"/>
          <w:spacing w:val="-1"/>
        </w:rPr>
        <w:t xml:space="preserve"> </w:t>
      </w:r>
      <w:r>
        <w:rPr>
          <w:color w:val="4A86E8"/>
        </w:rPr>
        <w:t>within a tissue; for example, of the 10 cell types in the Loeb, et al. kidney data, 5 of these are tubule cell types that share significant biology, while the other 5 are non-epithelial cell types such as immune</w:t>
      </w:r>
      <w:r>
        <w:rPr>
          <w:color w:val="4A86E8"/>
          <w:spacing w:val="-3"/>
        </w:rPr>
        <w:t xml:space="preserve"> </w:t>
      </w:r>
      <w:r>
        <w:rPr>
          <w:color w:val="4A86E8"/>
        </w:rPr>
        <w:t>cells.</w:t>
      </w:r>
      <w:r>
        <w:rPr>
          <w:color w:val="4A86E8"/>
          <w:spacing w:val="-3"/>
        </w:rPr>
        <w:t xml:space="preserve"> </w:t>
      </w:r>
      <w:r>
        <w:rPr>
          <w:color w:val="4A86E8"/>
        </w:rPr>
        <w:t>As</w:t>
      </w:r>
      <w:r>
        <w:rPr>
          <w:color w:val="4A86E8"/>
          <w:spacing w:val="-3"/>
        </w:rPr>
        <w:t xml:space="preserve"> </w:t>
      </w:r>
      <w:r>
        <w:rPr>
          <w:color w:val="4A86E8"/>
        </w:rPr>
        <w:t>a</w:t>
      </w:r>
      <w:r>
        <w:rPr>
          <w:color w:val="4A86E8"/>
          <w:spacing w:val="-3"/>
        </w:rPr>
        <w:t xml:space="preserve"> </w:t>
      </w:r>
      <w:r>
        <w:rPr>
          <w:color w:val="4A86E8"/>
        </w:rPr>
        <w:t>preliminary</w:t>
      </w:r>
      <w:r>
        <w:rPr>
          <w:color w:val="4A86E8"/>
          <w:spacing w:val="-3"/>
        </w:rPr>
        <w:t xml:space="preserve"> </w:t>
      </w:r>
      <w:r>
        <w:rPr>
          <w:color w:val="4A86E8"/>
        </w:rPr>
        <w:t>test</w:t>
      </w:r>
      <w:r>
        <w:rPr>
          <w:color w:val="4A86E8"/>
          <w:spacing w:val="-3"/>
        </w:rPr>
        <w:t xml:space="preserve"> </w:t>
      </w:r>
      <w:r>
        <w:rPr>
          <w:color w:val="4A86E8"/>
        </w:rPr>
        <w:t>of</w:t>
      </w:r>
      <w:r>
        <w:rPr>
          <w:color w:val="4A86E8"/>
          <w:spacing w:val="-3"/>
        </w:rPr>
        <w:t xml:space="preserve"> </w:t>
      </w:r>
      <w:r>
        <w:rPr>
          <w:color w:val="4A86E8"/>
        </w:rPr>
        <w:t>this</w:t>
      </w:r>
      <w:r>
        <w:rPr>
          <w:color w:val="4A86E8"/>
          <w:spacing w:val="-3"/>
        </w:rPr>
        <w:t xml:space="preserve"> </w:t>
      </w:r>
      <w:r>
        <w:rPr>
          <w:color w:val="4A86E8"/>
        </w:rPr>
        <w:t>hypothesis,</w:t>
      </w:r>
      <w:r>
        <w:rPr>
          <w:color w:val="4A86E8"/>
          <w:spacing w:val="-3"/>
        </w:rPr>
        <w:t xml:space="preserve"> </w:t>
      </w:r>
      <w:r>
        <w:rPr>
          <w:color w:val="4A86E8"/>
        </w:rPr>
        <w:t>we</w:t>
      </w:r>
      <w:r>
        <w:rPr>
          <w:color w:val="4A86E8"/>
          <w:spacing w:val="-3"/>
        </w:rPr>
        <w:t xml:space="preserve"> </w:t>
      </w:r>
      <w:r>
        <w:rPr>
          <w:color w:val="4A86E8"/>
        </w:rPr>
        <w:t>trained</w:t>
      </w:r>
      <w:r>
        <w:rPr>
          <w:color w:val="4A86E8"/>
          <w:spacing w:val="-3"/>
        </w:rPr>
        <w:t xml:space="preserve"> </w:t>
      </w:r>
      <w:r>
        <w:rPr>
          <w:color w:val="4A86E8"/>
        </w:rPr>
        <w:t>an</w:t>
      </w:r>
      <w:r>
        <w:rPr>
          <w:color w:val="4A86E8"/>
          <w:spacing w:val="-3"/>
        </w:rPr>
        <w:t xml:space="preserve"> </w:t>
      </w:r>
      <w:r>
        <w:rPr>
          <w:color w:val="4A86E8"/>
        </w:rPr>
        <w:t>additional</w:t>
      </w:r>
      <w:r>
        <w:rPr>
          <w:color w:val="4A86E8"/>
          <w:spacing w:val="-3"/>
        </w:rPr>
        <w:t xml:space="preserve"> </w:t>
      </w:r>
      <w:r>
        <w:rPr>
          <w:color w:val="4A86E8"/>
        </w:rPr>
        <w:t>multi-task</w:t>
      </w:r>
      <w:r>
        <w:rPr>
          <w:color w:val="4A86E8"/>
          <w:spacing w:val="-3"/>
        </w:rPr>
        <w:t xml:space="preserve"> </w:t>
      </w:r>
      <w:r>
        <w:rPr>
          <w:color w:val="4A86E8"/>
        </w:rPr>
        <w:t>model over</w:t>
      </w:r>
      <w:r>
        <w:rPr>
          <w:color w:val="4A86E8"/>
          <w:spacing w:val="-1"/>
        </w:rPr>
        <w:t xml:space="preserve"> </w:t>
      </w:r>
      <w:r>
        <w:rPr>
          <w:color w:val="4A86E8"/>
        </w:rPr>
        <w:t>only</w:t>
      </w:r>
      <w:r>
        <w:rPr>
          <w:color w:val="4A86E8"/>
          <w:spacing w:val="-1"/>
        </w:rPr>
        <w:t xml:space="preserve"> </w:t>
      </w:r>
      <w:r>
        <w:rPr>
          <w:color w:val="4A86E8"/>
        </w:rPr>
        <w:t>the</w:t>
      </w:r>
      <w:r>
        <w:rPr>
          <w:color w:val="4A86E8"/>
          <w:spacing w:val="-1"/>
        </w:rPr>
        <w:t xml:space="preserve"> </w:t>
      </w:r>
      <w:r>
        <w:rPr>
          <w:color w:val="4A86E8"/>
        </w:rPr>
        <w:t>5</w:t>
      </w:r>
      <w:r>
        <w:rPr>
          <w:color w:val="4A86E8"/>
          <w:spacing w:val="-1"/>
        </w:rPr>
        <w:t xml:space="preserve"> </w:t>
      </w:r>
      <w:r>
        <w:rPr>
          <w:color w:val="4A86E8"/>
        </w:rPr>
        <w:t>tubule</w:t>
      </w:r>
      <w:r>
        <w:rPr>
          <w:color w:val="4A86E8"/>
          <w:spacing w:val="-1"/>
        </w:rPr>
        <w:t xml:space="preserve"> </w:t>
      </w:r>
      <w:r>
        <w:rPr>
          <w:color w:val="4A86E8"/>
        </w:rPr>
        <w:t>cell</w:t>
      </w:r>
      <w:r>
        <w:rPr>
          <w:color w:val="4A86E8"/>
          <w:spacing w:val="-1"/>
        </w:rPr>
        <w:t xml:space="preserve"> </w:t>
      </w:r>
      <w:r>
        <w:rPr>
          <w:color w:val="4A86E8"/>
        </w:rPr>
        <w:t>types</w:t>
      </w:r>
      <w:r>
        <w:rPr>
          <w:color w:val="4A86E8"/>
          <w:spacing w:val="-1"/>
        </w:rPr>
        <w:t xml:space="preserve"> </w:t>
      </w:r>
      <w:r>
        <w:rPr>
          <w:color w:val="4A86E8"/>
        </w:rPr>
        <w:t>in</w:t>
      </w:r>
      <w:r>
        <w:rPr>
          <w:color w:val="4A86E8"/>
          <w:spacing w:val="-1"/>
        </w:rPr>
        <w:t xml:space="preserve"> </w:t>
      </w:r>
      <w:r>
        <w:rPr>
          <w:color w:val="4A86E8"/>
        </w:rPr>
        <w:t>the</w:t>
      </w:r>
      <w:r>
        <w:rPr>
          <w:color w:val="4A86E8"/>
          <w:spacing w:val="-1"/>
        </w:rPr>
        <w:t xml:space="preserve"> </w:t>
      </w:r>
      <w:r>
        <w:rPr>
          <w:color w:val="4A86E8"/>
        </w:rPr>
        <w:t>Loeb,</w:t>
      </w:r>
      <w:r>
        <w:rPr>
          <w:color w:val="4A86E8"/>
          <w:spacing w:val="-1"/>
        </w:rPr>
        <w:t xml:space="preserve"> </w:t>
      </w:r>
      <w:r>
        <w:rPr>
          <w:color w:val="4A86E8"/>
        </w:rPr>
        <w:t>et</w:t>
      </w:r>
      <w:r>
        <w:rPr>
          <w:color w:val="4A86E8"/>
          <w:spacing w:val="-1"/>
        </w:rPr>
        <w:t xml:space="preserve"> </w:t>
      </w:r>
      <w:r>
        <w:rPr>
          <w:color w:val="4A86E8"/>
        </w:rPr>
        <w:t>al.</w:t>
      </w:r>
      <w:r>
        <w:rPr>
          <w:color w:val="4A86E8"/>
          <w:spacing w:val="-1"/>
        </w:rPr>
        <w:t xml:space="preserve"> </w:t>
      </w:r>
      <w:r>
        <w:rPr>
          <w:color w:val="4A86E8"/>
        </w:rPr>
        <w:t>data.</w:t>
      </w:r>
      <w:r>
        <w:rPr>
          <w:color w:val="4A86E8"/>
          <w:spacing w:val="-1"/>
        </w:rPr>
        <w:t xml:space="preserve"> </w:t>
      </w:r>
      <w:r>
        <w:rPr>
          <w:color w:val="4A86E8"/>
        </w:rPr>
        <w:t>However,</w:t>
      </w:r>
      <w:r>
        <w:rPr>
          <w:color w:val="4A86E8"/>
          <w:spacing w:val="-1"/>
        </w:rPr>
        <w:t xml:space="preserve"> </w:t>
      </w:r>
      <w:r>
        <w:rPr>
          <w:color w:val="4A86E8"/>
        </w:rPr>
        <w:t>we</w:t>
      </w:r>
      <w:r>
        <w:rPr>
          <w:color w:val="4A86E8"/>
          <w:spacing w:val="-1"/>
        </w:rPr>
        <w:t xml:space="preserve"> </w:t>
      </w:r>
      <w:r>
        <w:rPr>
          <w:color w:val="4A86E8"/>
        </w:rPr>
        <w:t>observe</w:t>
      </w:r>
      <w:r>
        <w:rPr>
          <w:color w:val="4A86E8"/>
          <w:spacing w:val="-1"/>
        </w:rPr>
        <w:t xml:space="preserve"> </w:t>
      </w:r>
      <w:r>
        <w:rPr>
          <w:color w:val="4A86E8"/>
        </w:rPr>
        <w:t>that</w:t>
      </w:r>
      <w:r>
        <w:rPr>
          <w:color w:val="4A86E8"/>
          <w:spacing w:val="-1"/>
        </w:rPr>
        <w:t xml:space="preserve"> </w:t>
      </w:r>
      <w:r>
        <w:rPr>
          <w:color w:val="4A86E8"/>
        </w:rPr>
        <w:t>the</w:t>
      </w:r>
      <w:r>
        <w:rPr>
          <w:color w:val="4A86E8"/>
          <w:spacing w:val="-1"/>
        </w:rPr>
        <w:t xml:space="preserve"> </w:t>
      </w:r>
      <w:r>
        <w:rPr>
          <w:color w:val="4A86E8"/>
        </w:rPr>
        <w:t xml:space="preserve">cell-type specific performance of this new model is only slightly better than the full multi-task model (figure below). Although there are other approaches that could be explored in the future, such as hierarchically grouping cell types, we have removed the sentence quoted by the reviewer from the discussion, as we do not believe there is currently enough evidence to support this </w:t>
      </w:r>
      <w:r>
        <w:rPr>
          <w:color w:val="4A86E8"/>
          <w:spacing w:val="-2"/>
        </w:rPr>
        <w:t>direction.</w:t>
      </w:r>
    </w:p>
    <w:p w14:paraId="5DD7F772"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413CAEAD" w14:textId="77777777" w:rsidR="00E211CC" w:rsidRDefault="00E211CC" w:rsidP="00E211CC">
      <w:pPr>
        <w:pStyle w:val="BodyText"/>
        <w:rPr>
          <w:sz w:val="20"/>
        </w:rPr>
      </w:pPr>
      <w:r>
        <w:rPr>
          <w:noProof/>
          <w:sz w:val="20"/>
        </w:rPr>
        <w:lastRenderedPageBreak/>
        <w:drawing>
          <wp:inline distT="0" distB="0" distL="0" distR="0" wp14:anchorId="7375F245" wp14:editId="42468823">
            <wp:extent cx="5864140" cy="2343150"/>
            <wp:effectExtent l="0" t="0" r="0" b="0"/>
            <wp:docPr id="6" name="Image 6" descr="A graph of different colored column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graph of different colored columns&#10;&#10;Description automatically generated with medium confidence"/>
                    <pic:cNvPicPr/>
                  </pic:nvPicPr>
                  <pic:blipFill>
                    <a:blip r:embed="rId9" cstate="print"/>
                    <a:stretch>
                      <a:fillRect/>
                    </a:stretch>
                  </pic:blipFill>
                  <pic:spPr>
                    <a:xfrm>
                      <a:off x="0" y="0"/>
                      <a:ext cx="5864140" cy="2343150"/>
                    </a:xfrm>
                    <a:prstGeom prst="rect">
                      <a:avLst/>
                    </a:prstGeom>
                  </pic:spPr>
                </pic:pic>
              </a:graphicData>
            </a:graphic>
          </wp:inline>
        </w:drawing>
      </w:r>
    </w:p>
    <w:p w14:paraId="5005E9A7" w14:textId="77777777" w:rsidR="00E211CC" w:rsidRDefault="00E211CC" w:rsidP="00E211CC">
      <w:pPr>
        <w:pStyle w:val="BodyText"/>
        <w:spacing w:before="127"/>
        <w:ind w:left="0"/>
      </w:pPr>
    </w:p>
    <w:p w14:paraId="0DE19E76" w14:textId="77777777" w:rsidR="00E211CC" w:rsidRDefault="00E211CC" w:rsidP="00E211CC">
      <w:pPr>
        <w:pStyle w:val="ListParagraph"/>
        <w:widowControl w:val="0"/>
        <w:numPr>
          <w:ilvl w:val="0"/>
          <w:numId w:val="5"/>
        </w:numPr>
        <w:tabs>
          <w:tab w:val="left" w:pos="1063"/>
        </w:tabs>
        <w:autoSpaceDE w:val="0"/>
        <w:autoSpaceDN w:val="0"/>
        <w:spacing w:after="0" w:line="276" w:lineRule="auto"/>
        <w:ind w:right="866" w:firstLine="0"/>
        <w:contextualSpacing w:val="0"/>
        <w:jc w:val="both"/>
      </w:pPr>
      <w:r>
        <w:rPr>
          <w:color w:val="1155CC"/>
          <w:u w:val="single" w:color="1155CC"/>
        </w:rPr>
        <w:t>https://github.com/nilab/CellTypeSpecificAccessibilityPrediction</w:t>
      </w:r>
      <w:r>
        <w:rPr>
          <w:color w:val="1155CC"/>
        </w:rPr>
        <w:t xml:space="preserve"> </w:t>
      </w:r>
      <w:r>
        <w:rPr>
          <w:color w:val="222222"/>
        </w:rPr>
        <w:t>code is not accessible. Could the</w:t>
      </w:r>
      <w:r>
        <w:rPr>
          <w:color w:val="222222"/>
          <w:spacing w:val="-3"/>
        </w:rPr>
        <w:t xml:space="preserve"> </w:t>
      </w:r>
      <w:r>
        <w:rPr>
          <w:color w:val="222222"/>
        </w:rPr>
        <w:t>authors</w:t>
      </w:r>
      <w:r>
        <w:rPr>
          <w:color w:val="222222"/>
          <w:spacing w:val="-3"/>
        </w:rPr>
        <w:t xml:space="preserve"> </w:t>
      </w:r>
      <w:r>
        <w:rPr>
          <w:color w:val="222222"/>
        </w:rPr>
        <w:t>please</w:t>
      </w:r>
      <w:r>
        <w:rPr>
          <w:color w:val="222222"/>
          <w:spacing w:val="-3"/>
        </w:rPr>
        <w:t xml:space="preserve"> </w:t>
      </w:r>
      <w:r>
        <w:rPr>
          <w:color w:val="222222"/>
        </w:rPr>
        <w:t>share</w:t>
      </w:r>
      <w:r>
        <w:rPr>
          <w:color w:val="222222"/>
          <w:spacing w:val="-3"/>
        </w:rPr>
        <w:t xml:space="preserve"> </w:t>
      </w:r>
      <w:r>
        <w:rPr>
          <w:color w:val="222222"/>
        </w:rPr>
        <w:t>the</w:t>
      </w:r>
      <w:r>
        <w:rPr>
          <w:color w:val="222222"/>
          <w:spacing w:val="-3"/>
        </w:rPr>
        <w:t xml:space="preserve"> </w:t>
      </w:r>
      <w:r>
        <w:rPr>
          <w:color w:val="222222"/>
        </w:rPr>
        <w:t>code</w:t>
      </w:r>
      <w:r>
        <w:rPr>
          <w:color w:val="222222"/>
          <w:spacing w:val="-3"/>
        </w:rPr>
        <w:t xml:space="preserve"> </w:t>
      </w:r>
      <w:r>
        <w:rPr>
          <w:color w:val="222222"/>
        </w:rPr>
        <w:t>as</w:t>
      </w:r>
      <w:r>
        <w:rPr>
          <w:color w:val="222222"/>
          <w:spacing w:val="-3"/>
        </w:rPr>
        <w:t xml:space="preserve"> </w:t>
      </w:r>
      <w:r>
        <w:rPr>
          <w:color w:val="222222"/>
        </w:rPr>
        <w:t>well?</w:t>
      </w:r>
      <w:r>
        <w:rPr>
          <w:color w:val="222222"/>
          <w:spacing w:val="-3"/>
        </w:rPr>
        <w:t xml:space="preserve"> </w:t>
      </w:r>
      <w:r>
        <w:rPr>
          <w:color w:val="222222"/>
        </w:rPr>
        <w:t>I</w:t>
      </w:r>
      <w:r>
        <w:rPr>
          <w:color w:val="222222"/>
          <w:spacing w:val="-3"/>
        </w:rPr>
        <w:t xml:space="preserve"> </w:t>
      </w:r>
      <w:r>
        <w:rPr>
          <w:color w:val="222222"/>
        </w:rPr>
        <w:t>would</w:t>
      </w:r>
      <w:r>
        <w:rPr>
          <w:color w:val="222222"/>
          <w:spacing w:val="-3"/>
        </w:rPr>
        <w:t xml:space="preserve"> </w:t>
      </w:r>
      <w:r>
        <w:rPr>
          <w:color w:val="222222"/>
        </w:rPr>
        <w:t>expect</w:t>
      </w:r>
      <w:r>
        <w:rPr>
          <w:color w:val="222222"/>
          <w:spacing w:val="-3"/>
        </w:rPr>
        <w:t xml:space="preserve"> </w:t>
      </w:r>
      <w:r>
        <w:rPr>
          <w:color w:val="222222"/>
        </w:rPr>
        <w:t>this</w:t>
      </w:r>
      <w:r>
        <w:rPr>
          <w:color w:val="222222"/>
          <w:spacing w:val="-3"/>
        </w:rPr>
        <w:t xml:space="preserve"> </w:t>
      </w:r>
      <w:r>
        <w:rPr>
          <w:color w:val="222222"/>
        </w:rPr>
        <w:t>repository</w:t>
      </w:r>
      <w:r>
        <w:rPr>
          <w:color w:val="222222"/>
          <w:spacing w:val="-3"/>
        </w:rPr>
        <w:t xml:space="preserve"> </w:t>
      </w:r>
      <w:r>
        <w:rPr>
          <w:color w:val="222222"/>
        </w:rPr>
        <w:t>to</w:t>
      </w:r>
      <w:r>
        <w:rPr>
          <w:color w:val="222222"/>
          <w:spacing w:val="-3"/>
        </w:rPr>
        <w:t xml:space="preserve"> </w:t>
      </w:r>
      <w:r>
        <w:rPr>
          <w:color w:val="222222"/>
        </w:rPr>
        <w:t>allow</w:t>
      </w:r>
      <w:r>
        <w:rPr>
          <w:color w:val="222222"/>
          <w:spacing w:val="-3"/>
        </w:rPr>
        <w:t xml:space="preserve"> </w:t>
      </w:r>
      <w:r>
        <w:rPr>
          <w:color w:val="222222"/>
        </w:rPr>
        <w:t>researchers</w:t>
      </w:r>
      <w:r>
        <w:rPr>
          <w:color w:val="222222"/>
          <w:spacing w:val="-3"/>
        </w:rPr>
        <w:t xml:space="preserve"> </w:t>
      </w:r>
      <w:r>
        <w:rPr>
          <w:color w:val="222222"/>
        </w:rPr>
        <w:t>to easily re-evaluate new models on the benchmarks posed by the manuscript.</w:t>
      </w:r>
    </w:p>
    <w:p w14:paraId="2388D2D6" w14:textId="77777777" w:rsidR="00E211CC" w:rsidRDefault="00E211CC" w:rsidP="00E211CC">
      <w:pPr>
        <w:pStyle w:val="BodyText"/>
        <w:spacing w:before="36"/>
        <w:ind w:left="0"/>
      </w:pPr>
    </w:p>
    <w:p w14:paraId="530D1789" w14:textId="77777777" w:rsidR="00E211CC" w:rsidRDefault="00E211CC" w:rsidP="00E211CC">
      <w:pPr>
        <w:pStyle w:val="BodyText"/>
        <w:spacing w:line="276" w:lineRule="auto"/>
        <w:ind w:right="861"/>
      </w:pPr>
      <w:r>
        <w:rPr>
          <w:color w:val="4A86E8"/>
        </w:rPr>
        <w:t>We</w:t>
      </w:r>
      <w:r>
        <w:rPr>
          <w:color w:val="4A86E8"/>
          <w:spacing w:val="-3"/>
        </w:rPr>
        <w:t xml:space="preserve"> </w:t>
      </w:r>
      <w:r>
        <w:rPr>
          <w:color w:val="4A86E8"/>
        </w:rPr>
        <w:t>apologize</w:t>
      </w:r>
      <w:r>
        <w:rPr>
          <w:color w:val="4A86E8"/>
          <w:spacing w:val="-3"/>
        </w:rPr>
        <w:t xml:space="preserve"> </w:t>
      </w:r>
      <w:r>
        <w:rPr>
          <w:color w:val="4A86E8"/>
        </w:rPr>
        <w:t>that</w:t>
      </w:r>
      <w:r>
        <w:rPr>
          <w:color w:val="4A86E8"/>
          <w:spacing w:val="-3"/>
        </w:rPr>
        <w:t xml:space="preserve"> </w:t>
      </w:r>
      <w:r>
        <w:rPr>
          <w:color w:val="4A86E8"/>
        </w:rPr>
        <w:t>there</w:t>
      </w:r>
      <w:r>
        <w:rPr>
          <w:color w:val="4A86E8"/>
          <w:spacing w:val="-3"/>
        </w:rPr>
        <w:t xml:space="preserve"> </w:t>
      </w:r>
      <w:r>
        <w:rPr>
          <w:color w:val="4A86E8"/>
        </w:rPr>
        <w:t>was</w:t>
      </w:r>
      <w:r>
        <w:rPr>
          <w:color w:val="4A86E8"/>
          <w:spacing w:val="-3"/>
        </w:rPr>
        <w:t xml:space="preserve"> </w:t>
      </w:r>
      <w:r>
        <w:rPr>
          <w:color w:val="4A86E8"/>
        </w:rPr>
        <w:t>a</w:t>
      </w:r>
      <w:r>
        <w:rPr>
          <w:color w:val="4A86E8"/>
          <w:spacing w:val="-3"/>
        </w:rPr>
        <w:t xml:space="preserve"> </w:t>
      </w:r>
      <w:r>
        <w:rPr>
          <w:color w:val="4A86E8"/>
        </w:rPr>
        <w:t>typo</w:t>
      </w:r>
      <w:r>
        <w:rPr>
          <w:color w:val="4A86E8"/>
          <w:spacing w:val="-3"/>
        </w:rPr>
        <w:t xml:space="preserve"> </w:t>
      </w:r>
      <w:r>
        <w:rPr>
          <w:color w:val="4A86E8"/>
        </w:rPr>
        <w:t>in</w:t>
      </w:r>
      <w:r>
        <w:rPr>
          <w:color w:val="4A86E8"/>
          <w:spacing w:val="-3"/>
        </w:rPr>
        <w:t xml:space="preserve"> </w:t>
      </w:r>
      <w:r>
        <w:rPr>
          <w:color w:val="4A86E8"/>
        </w:rPr>
        <w:t>the</w:t>
      </w:r>
      <w:r>
        <w:rPr>
          <w:color w:val="4A86E8"/>
          <w:spacing w:val="-3"/>
        </w:rPr>
        <w:t xml:space="preserve"> </w:t>
      </w:r>
      <w:r>
        <w:rPr>
          <w:color w:val="4A86E8"/>
        </w:rPr>
        <w:t>Github</w:t>
      </w:r>
      <w:r>
        <w:rPr>
          <w:color w:val="4A86E8"/>
          <w:spacing w:val="-3"/>
        </w:rPr>
        <w:t xml:space="preserve"> </w:t>
      </w:r>
      <w:r>
        <w:rPr>
          <w:color w:val="4A86E8"/>
        </w:rPr>
        <w:t>link</w:t>
      </w:r>
      <w:r>
        <w:rPr>
          <w:color w:val="4A86E8"/>
          <w:spacing w:val="-3"/>
        </w:rPr>
        <w:t xml:space="preserve"> </w:t>
      </w:r>
      <w:r>
        <w:rPr>
          <w:color w:val="4A86E8"/>
        </w:rPr>
        <w:t>in</w:t>
      </w:r>
      <w:r>
        <w:rPr>
          <w:color w:val="4A86E8"/>
          <w:spacing w:val="-3"/>
        </w:rPr>
        <w:t xml:space="preserve"> </w:t>
      </w:r>
      <w:r>
        <w:rPr>
          <w:color w:val="4A86E8"/>
        </w:rPr>
        <w:t>our</w:t>
      </w:r>
      <w:r>
        <w:rPr>
          <w:color w:val="4A86E8"/>
          <w:spacing w:val="-3"/>
        </w:rPr>
        <w:t xml:space="preserve"> </w:t>
      </w:r>
      <w:r>
        <w:rPr>
          <w:color w:val="4A86E8"/>
        </w:rPr>
        <w:t>original</w:t>
      </w:r>
      <w:r>
        <w:rPr>
          <w:color w:val="4A86E8"/>
          <w:spacing w:val="-3"/>
        </w:rPr>
        <w:t xml:space="preserve"> </w:t>
      </w:r>
      <w:r>
        <w:rPr>
          <w:color w:val="4A86E8"/>
        </w:rPr>
        <w:t>manuscript.</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 xml:space="preserve">fixed this error, and the Github can be accessed here: </w:t>
      </w:r>
      <w:r>
        <w:rPr>
          <w:color w:val="1155CC"/>
          <w:u w:val="single" w:color="1155CC"/>
        </w:rPr>
        <w:t>https://github.com/ni-</w:t>
      </w:r>
      <w:r>
        <w:rPr>
          <w:color w:val="1155CC"/>
        </w:rPr>
        <w:t xml:space="preserve"> </w:t>
      </w:r>
      <w:r>
        <w:rPr>
          <w:color w:val="1155CC"/>
          <w:spacing w:val="-2"/>
          <w:u w:val="single" w:color="1155CC"/>
        </w:rPr>
        <w:t>lab/CellTypeSpecificAccessibilityPrediction</w:t>
      </w:r>
      <w:r>
        <w:rPr>
          <w:color w:val="4A86E8"/>
          <w:spacing w:val="-2"/>
        </w:rPr>
        <w:t>.</w:t>
      </w:r>
    </w:p>
    <w:p w14:paraId="384CBAA9" w14:textId="77777777" w:rsidR="00E211CC" w:rsidRDefault="00E211CC" w:rsidP="00E211CC">
      <w:pPr>
        <w:pStyle w:val="BodyText"/>
        <w:spacing w:before="40"/>
        <w:ind w:left="0"/>
      </w:pPr>
    </w:p>
    <w:p w14:paraId="72A1C1B4" w14:textId="77777777" w:rsidR="00E211CC" w:rsidRDefault="00E211CC" w:rsidP="00E211CC">
      <w:pPr>
        <w:pStyle w:val="BodyText"/>
        <w:spacing w:before="1"/>
      </w:pPr>
      <w:r>
        <w:rPr>
          <w:color w:val="222222"/>
          <w:spacing w:val="-2"/>
        </w:rPr>
        <w:t>Minor:</w:t>
      </w:r>
    </w:p>
    <w:p w14:paraId="42910E33" w14:textId="77777777" w:rsidR="00E211CC" w:rsidRDefault="00E211CC" w:rsidP="00E211CC">
      <w:pPr>
        <w:pStyle w:val="ListParagraph"/>
        <w:widowControl w:val="0"/>
        <w:numPr>
          <w:ilvl w:val="0"/>
          <w:numId w:val="4"/>
        </w:numPr>
        <w:tabs>
          <w:tab w:val="left" w:pos="1063"/>
        </w:tabs>
        <w:autoSpaceDE w:val="0"/>
        <w:autoSpaceDN w:val="0"/>
        <w:spacing w:before="35" w:after="0" w:line="278" w:lineRule="auto"/>
        <w:ind w:right="1799" w:firstLine="0"/>
        <w:contextualSpacing w:val="0"/>
      </w:pPr>
      <w:r>
        <w:rPr>
          <w:color w:val="222222"/>
        </w:rPr>
        <w:t>L71</w:t>
      </w:r>
      <w:r>
        <w:rPr>
          <w:color w:val="222222"/>
          <w:spacing w:val="-5"/>
        </w:rPr>
        <w:t xml:space="preserve"> </w:t>
      </w:r>
      <w:r>
        <w:rPr>
          <w:color w:val="222222"/>
        </w:rPr>
        <w:t>"accessibility</w:t>
      </w:r>
      <w:r>
        <w:rPr>
          <w:color w:val="222222"/>
          <w:spacing w:val="-5"/>
        </w:rPr>
        <w:t xml:space="preserve"> </w:t>
      </w:r>
      <w:r>
        <w:rPr>
          <w:color w:val="222222"/>
        </w:rPr>
        <w:t>characterizes</w:t>
      </w:r>
      <w:r>
        <w:rPr>
          <w:color w:val="222222"/>
          <w:spacing w:val="-5"/>
        </w:rPr>
        <w:t xml:space="preserve"> </w:t>
      </w:r>
      <w:r>
        <w:rPr>
          <w:color w:val="222222"/>
        </w:rPr>
        <w:t>active</w:t>
      </w:r>
      <w:r>
        <w:rPr>
          <w:color w:val="222222"/>
          <w:spacing w:val="-5"/>
        </w:rPr>
        <w:t xml:space="preserve"> </w:t>
      </w:r>
      <w:r>
        <w:rPr>
          <w:color w:val="222222"/>
        </w:rPr>
        <w:t>CREs,".</w:t>
      </w:r>
      <w:r>
        <w:rPr>
          <w:color w:val="222222"/>
          <w:spacing w:val="-5"/>
        </w:rPr>
        <w:t xml:space="preserve"> </w:t>
      </w:r>
      <w:r>
        <w:rPr>
          <w:color w:val="222222"/>
        </w:rPr>
        <w:t>Accessible</w:t>
      </w:r>
      <w:r>
        <w:rPr>
          <w:color w:val="222222"/>
          <w:spacing w:val="-5"/>
        </w:rPr>
        <w:t xml:space="preserve"> </w:t>
      </w:r>
      <w:r>
        <w:rPr>
          <w:color w:val="222222"/>
        </w:rPr>
        <w:t>CREs</w:t>
      </w:r>
      <w:r>
        <w:rPr>
          <w:color w:val="222222"/>
          <w:spacing w:val="-5"/>
        </w:rPr>
        <w:t xml:space="preserve"> </w:t>
      </w:r>
      <w:r>
        <w:rPr>
          <w:color w:val="222222"/>
        </w:rPr>
        <w:t>are</w:t>
      </w:r>
      <w:r>
        <w:rPr>
          <w:color w:val="222222"/>
          <w:spacing w:val="-5"/>
        </w:rPr>
        <w:t xml:space="preserve"> </w:t>
      </w:r>
      <w:r>
        <w:rPr>
          <w:color w:val="222222"/>
        </w:rPr>
        <w:t>not</w:t>
      </w:r>
      <w:r>
        <w:rPr>
          <w:color w:val="222222"/>
          <w:spacing w:val="-5"/>
        </w:rPr>
        <w:t xml:space="preserve"> </w:t>
      </w:r>
      <w:r>
        <w:rPr>
          <w:color w:val="222222"/>
        </w:rPr>
        <w:t>necessarily transcriptionally active. Would therefore suggest saying 'potentially active CRE'</w:t>
      </w:r>
    </w:p>
    <w:p w14:paraId="51DAA573" w14:textId="77777777" w:rsidR="00E211CC" w:rsidRDefault="00E211CC" w:rsidP="00E211CC">
      <w:pPr>
        <w:pStyle w:val="BodyText"/>
        <w:spacing w:line="247" w:lineRule="exact"/>
      </w:pPr>
      <w:r>
        <w:rPr>
          <w:color w:val="4A86E8"/>
        </w:rPr>
        <w:t>We</w:t>
      </w:r>
      <w:r>
        <w:rPr>
          <w:color w:val="4A86E8"/>
          <w:spacing w:val="-7"/>
        </w:rPr>
        <w:t xml:space="preserve"> </w:t>
      </w:r>
      <w:r>
        <w:rPr>
          <w:color w:val="4A86E8"/>
        </w:rPr>
        <w:t>have</w:t>
      </w:r>
      <w:r>
        <w:rPr>
          <w:color w:val="4A86E8"/>
          <w:spacing w:val="-4"/>
        </w:rPr>
        <w:t xml:space="preserve"> </w:t>
      </w:r>
      <w:r>
        <w:rPr>
          <w:color w:val="4A86E8"/>
        </w:rPr>
        <w:t>modified</w:t>
      </w:r>
      <w:r>
        <w:rPr>
          <w:color w:val="4A86E8"/>
          <w:spacing w:val="-4"/>
        </w:rPr>
        <w:t xml:space="preserve"> </w:t>
      </w:r>
      <w:r>
        <w:rPr>
          <w:color w:val="4A86E8"/>
        </w:rPr>
        <w:t>the</w:t>
      </w:r>
      <w:r>
        <w:rPr>
          <w:color w:val="4A86E8"/>
          <w:spacing w:val="-4"/>
        </w:rPr>
        <w:t xml:space="preserve"> </w:t>
      </w:r>
      <w:r>
        <w:rPr>
          <w:color w:val="4A86E8"/>
        </w:rPr>
        <w:t>text</w:t>
      </w:r>
      <w:r>
        <w:rPr>
          <w:color w:val="4A86E8"/>
          <w:spacing w:val="-5"/>
        </w:rPr>
        <w:t xml:space="preserve"> </w:t>
      </w:r>
      <w:r>
        <w:rPr>
          <w:color w:val="4A86E8"/>
        </w:rPr>
        <w:t>to</w:t>
      </w:r>
      <w:r>
        <w:rPr>
          <w:color w:val="4A86E8"/>
          <w:spacing w:val="-4"/>
        </w:rPr>
        <w:t xml:space="preserve"> </w:t>
      </w:r>
      <w:r>
        <w:rPr>
          <w:color w:val="4A86E8"/>
        </w:rPr>
        <w:t>reflect</w:t>
      </w:r>
      <w:r>
        <w:rPr>
          <w:color w:val="4A86E8"/>
          <w:spacing w:val="-4"/>
        </w:rPr>
        <w:t xml:space="preserve"> </w:t>
      </w:r>
      <w:r>
        <w:rPr>
          <w:color w:val="4A86E8"/>
        </w:rPr>
        <w:t>this</w:t>
      </w:r>
      <w:r>
        <w:rPr>
          <w:color w:val="4A86E8"/>
          <w:spacing w:val="-4"/>
        </w:rPr>
        <w:t xml:space="preserve"> </w:t>
      </w:r>
      <w:r>
        <w:rPr>
          <w:color w:val="4A86E8"/>
          <w:spacing w:val="-2"/>
        </w:rPr>
        <w:t>suggestion.</w:t>
      </w:r>
    </w:p>
    <w:p w14:paraId="4C0A0E55" w14:textId="77777777" w:rsidR="00E211CC" w:rsidRDefault="00E211CC" w:rsidP="00E211CC">
      <w:pPr>
        <w:pStyle w:val="BodyText"/>
        <w:spacing w:before="79"/>
        <w:ind w:left="0"/>
      </w:pPr>
    </w:p>
    <w:p w14:paraId="38D4BFC0" w14:textId="77777777" w:rsidR="00E211CC" w:rsidRDefault="00E211CC" w:rsidP="00E211CC">
      <w:pPr>
        <w:pStyle w:val="ListParagraph"/>
        <w:widowControl w:val="0"/>
        <w:numPr>
          <w:ilvl w:val="0"/>
          <w:numId w:val="4"/>
        </w:numPr>
        <w:tabs>
          <w:tab w:val="left" w:pos="1063"/>
        </w:tabs>
        <w:autoSpaceDE w:val="0"/>
        <w:autoSpaceDN w:val="0"/>
        <w:spacing w:after="0" w:line="273" w:lineRule="auto"/>
        <w:ind w:right="967" w:firstLine="0"/>
        <w:contextualSpacing w:val="0"/>
      </w:pPr>
      <w:r>
        <w:rPr>
          <w:color w:val="222222"/>
        </w:rPr>
        <w:t>L99:</w:t>
      </w:r>
      <w:r>
        <w:rPr>
          <w:color w:val="222222"/>
          <w:spacing w:val="-4"/>
        </w:rPr>
        <w:t xml:space="preserve"> </w:t>
      </w:r>
      <w:r>
        <w:rPr>
          <w:color w:val="222222"/>
        </w:rPr>
        <w:t>"...provide</w:t>
      </w:r>
      <w:r>
        <w:rPr>
          <w:color w:val="222222"/>
          <w:spacing w:val="-4"/>
        </w:rPr>
        <w:t xml:space="preserve"> </w:t>
      </w:r>
      <w:r>
        <w:rPr>
          <w:color w:val="222222"/>
        </w:rPr>
        <w:t>a</w:t>
      </w:r>
      <w:r>
        <w:rPr>
          <w:color w:val="222222"/>
          <w:spacing w:val="-4"/>
        </w:rPr>
        <w:t xml:space="preserve"> </w:t>
      </w:r>
      <w:r>
        <w:rPr>
          <w:color w:val="222222"/>
        </w:rPr>
        <w:t>comprehensive</w:t>
      </w:r>
      <w:r>
        <w:rPr>
          <w:color w:val="222222"/>
          <w:spacing w:val="-4"/>
        </w:rPr>
        <w:t xml:space="preserve"> </w:t>
      </w:r>
      <w:r>
        <w:rPr>
          <w:color w:val="222222"/>
        </w:rPr>
        <w:t>view</w:t>
      </w:r>
      <w:r>
        <w:rPr>
          <w:color w:val="222222"/>
          <w:spacing w:val="-4"/>
        </w:rPr>
        <w:t xml:space="preserve"> </w:t>
      </w:r>
      <w:r>
        <w:rPr>
          <w:color w:val="222222"/>
        </w:rPr>
        <w:t>of</w:t>
      </w:r>
      <w:r>
        <w:rPr>
          <w:color w:val="222222"/>
          <w:spacing w:val="-4"/>
        </w:rPr>
        <w:t xml:space="preserve"> </w:t>
      </w:r>
      <w:r>
        <w:rPr>
          <w:color w:val="222222"/>
        </w:rPr>
        <w:t>the</w:t>
      </w:r>
      <w:r>
        <w:rPr>
          <w:color w:val="222222"/>
          <w:spacing w:val="-4"/>
        </w:rPr>
        <w:t xml:space="preserve"> </w:t>
      </w:r>
      <w:r>
        <w:rPr>
          <w:color w:val="222222"/>
        </w:rPr>
        <w:t>performance</w:t>
      </w:r>
      <w:r>
        <w:rPr>
          <w:color w:val="222222"/>
          <w:spacing w:val="-4"/>
        </w:rPr>
        <w:t xml:space="preserve"> </w:t>
      </w:r>
      <w:r>
        <w:rPr>
          <w:color w:val="222222"/>
        </w:rPr>
        <w:t>of</w:t>
      </w:r>
      <w:r>
        <w:rPr>
          <w:color w:val="222222"/>
          <w:spacing w:val="-4"/>
        </w:rPr>
        <w:t xml:space="preserve"> </w:t>
      </w:r>
      <w:r>
        <w:rPr>
          <w:color w:val="222222"/>
        </w:rPr>
        <w:t>current</w:t>
      </w:r>
      <w:r>
        <w:rPr>
          <w:color w:val="222222"/>
          <w:spacing w:val="-4"/>
        </w:rPr>
        <w:t xml:space="preserve"> </w:t>
      </w:r>
      <w:r>
        <w:rPr>
          <w:color w:val="222222"/>
        </w:rPr>
        <w:t>state-of-the-art</w:t>
      </w:r>
      <w:r>
        <w:rPr>
          <w:color w:val="222222"/>
          <w:spacing w:val="-4"/>
        </w:rPr>
        <w:t xml:space="preserve"> </w:t>
      </w:r>
      <w:r>
        <w:rPr>
          <w:color w:val="222222"/>
        </w:rPr>
        <w:t>genomic deep learning models in CREs" - The evaluation doesn't consider comparison to say MPRA data which means that it's not comprehensive. The authors should therefore remove the "comprehensive" claim.</w:t>
      </w:r>
    </w:p>
    <w:p w14:paraId="54CCFFAA" w14:textId="77777777" w:rsidR="00E211CC" w:rsidRDefault="00E211CC" w:rsidP="00E211CC">
      <w:pPr>
        <w:pStyle w:val="BodyText"/>
        <w:spacing w:before="8"/>
      </w:pPr>
      <w:r>
        <w:rPr>
          <w:color w:val="4A86E8"/>
        </w:rPr>
        <w:t>We</w:t>
      </w:r>
      <w:r>
        <w:rPr>
          <w:color w:val="4A86E8"/>
          <w:spacing w:val="-7"/>
        </w:rPr>
        <w:t xml:space="preserve"> </w:t>
      </w:r>
      <w:r>
        <w:rPr>
          <w:color w:val="4A86E8"/>
        </w:rPr>
        <w:t>have</w:t>
      </w:r>
      <w:r>
        <w:rPr>
          <w:color w:val="4A86E8"/>
          <w:spacing w:val="-4"/>
        </w:rPr>
        <w:t xml:space="preserve"> </w:t>
      </w:r>
      <w:r>
        <w:rPr>
          <w:color w:val="4A86E8"/>
        </w:rPr>
        <w:t>modified</w:t>
      </w:r>
      <w:r>
        <w:rPr>
          <w:color w:val="4A86E8"/>
          <w:spacing w:val="-4"/>
        </w:rPr>
        <w:t xml:space="preserve"> </w:t>
      </w:r>
      <w:r>
        <w:rPr>
          <w:color w:val="4A86E8"/>
        </w:rPr>
        <w:t>the</w:t>
      </w:r>
      <w:r>
        <w:rPr>
          <w:color w:val="4A86E8"/>
          <w:spacing w:val="-4"/>
        </w:rPr>
        <w:t xml:space="preserve"> </w:t>
      </w:r>
      <w:r>
        <w:rPr>
          <w:color w:val="4A86E8"/>
        </w:rPr>
        <w:t>text</w:t>
      </w:r>
      <w:r>
        <w:rPr>
          <w:color w:val="4A86E8"/>
          <w:spacing w:val="-5"/>
        </w:rPr>
        <w:t xml:space="preserve"> </w:t>
      </w:r>
      <w:r>
        <w:rPr>
          <w:color w:val="4A86E8"/>
        </w:rPr>
        <w:t>to</w:t>
      </w:r>
      <w:r>
        <w:rPr>
          <w:color w:val="4A86E8"/>
          <w:spacing w:val="-4"/>
        </w:rPr>
        <w:t xml:space="preserve"> </w:t>
      </w:r>
      <w:r>
        <w:rPr>
          <w:color w:val="4A86E8"/>
        </w:rPr>
        <w:t>reflect</w:t>
      </w:r>
      <w:r>
        <w:rPr>
          <w:color w:val="4A86E8"/>
          <w:spacing w:val="-4"/>
        </w:rPr>
        <w:t xml:space="preserve"> </w:t>
      </w:r>
      <w:r>
        <w:rPr>
          <w:color w:val="4A86E8"/>
        </w:rPr>
        <w:t>this</w:t>
      </w:r>
      <w:r>
        <w:rPr>
          <w:color w:val="4A86E8"/>
          <w:spacing w:val="-4"/>
        </w:rPr>
        <w:t xml:space="preserve"> </w:t>
      </w:r>
      <w:r>
        <w:rPr>
          <w:color w:val="4A86E8"/>
          <w:spacing w:val="-2"/>
        </w:rPr>
        <w:t>suggestion.</w:t>
      </w:r>
    </w:p>
    <w:p w14:paraId="57791192" w14:textId="77777777" w:rsidR="00E211CC" w:rsidRDefault="00E211CC" w:rsidP="00E211CC">
      <w:pPr>
        <w:pStyle w:val="BodyText"/>
        <w:spacing w:before="75"/>
        <w:ind w:left="0"/>
      </w:pPr>
    </w:p>
    <w:p w14:paraId="5AA3EEB2" w14:textId="77777777" w:rsidR="00E211CC" w:rsidRDefault="00E211CC" w:rsidP="00E211CC">
      <w:pPr>
        <w:pStyle w:val="ListParagraph"/>
        <w:widowControl w:val="0"/>
        <w:numPr>
          <w:ilvl w:val="0"/>
          <w:numId w:val="4"/>
        </w:numPr>
        <w:tabs>
          <w:tab w:val="left" w:pos="1063"/>
        </w:tabs>
        <w:autoSpaceDE w:val="0"/>
        <w:autoSpaceDN w:val="0"/>
        <w:spacing w:after="0" w:line="276" w:lineRule="auto"/>
        <w:ind w:right="1012" w:firstLine="0"/>
        <w:contextualSpacing w:val="0"/>
      </w:pPr>
      <w:r>
        <w:rPr>
          <w:color w:val="222222"/>
        </w:rPr>
        <w:t>Fig.</w:t>
      </w:r>
      <w:r>
        <w:rPr>
          <w:color w:val="222222"/>
          <w:spacing w:val="-1"/>
        </w:rPr>
        <w:t xml:space="preserve"> </w:t>
      </w:r>
      <w:r>
        <w:rPr>
          <w:color w:val="222222"/>
        </w:rPr>
        <w:t>2A:</w:t>
      </w:r>
      <w:r>
        <w:rPr>
          <w:color w:val="222222"/>
          <w:spacing w:val="-1"/>
        </w:rPr>
        <w:t xml:space="preserve"> </w:t>
      </w:r>
      <w:r>
        <w:rPr>
          <w:color w:val="222222"/>
        </w:rPr>
        <w:t>The</w:t>
      </w:r>
      <w:r>
        <w:rPr>
          <w:color w:val="222222"/>
          <w:spacing w:val="-1"/>
        </w:rPr>
        <w:t xml:space="preserve"> </w:t>
      </w:r>
      <w:r>
        <w:rPr>
          <w:color w:val="222222"/>
        </w:rPr>
        <w:t>authors</w:t>
      </w:r>
      <w:r>
        <w:rPr>
          <w:color w:val="222222"/>
          <w:spacing w:val="-1"/>
        </w:rPr>
        <w:t xml:space="preserve"> </w:t>
      </w:r>
      <w:r>
        <w:rPr>
          <w:color w:val="222222"/>
        </w:rPr>
        <w:t>should</w:t>
      </w:r>
      <w:r>
        <w:rPr>
          <w:color w:val="222222"/>
          <w:spacing w:val="-1"/>
        </w:rPr>
        <w:t xml:space="preserve"> </w:t>
      </w:r>
      <w:r>
        <w:rPr>
          <w:color w:val="222222"/>
        </w:rPr>
        <w:t>also</w:t>
      </w:r>
      <w:r>
        <w:rPr>
          <w:color w:val="222222"/>
          <w:spacing w:val="-1"/>
        </w:rPr>
        <w:t xml:space="preserve"> </w:t>
      </w:r>
      <w:r>
        <w:rPr>
          <w:color w:val="222222"/>
        </w:rPr>
        <w:t>attempt</w:t>
      </w:r>
      <w:r>
        <w:rPr>
          <w:color w:val="222222"/>
          <w:spacing w:val="-1"/>
        </w:rPr>
        <w:t xml:space="preserve"> </w:t>
      </w:r>
      <w:r>
        <w:rPr>
          <w:color w:val="222222"/>
        </w:rPr>
        <w:t>to</w:t>
      </w:r>
      <w:r>
        <w:rPr>
          <w:color w:val="222222"/>
          <w:spacing w:val="-1"/>
        </w:rPr>
        <w:t xml:space="preserve"> </w:t>
      </w:r>
      <w:r>
        <w:rPr>
          <w:color w:val="222222"/>
        </w:rPr>
        <w:t>add</w:t>
      </w:r>
      <w:r>
        <w:rPr>
          <w:color w:val="222222"/>
          <w:spacing w:val="-1"/>
        </w:rPr>
        <w:t xml:space="preserve"> </w:t>
      </w:r>
      <w:r>
        <w:rPr>
          <w:color w:val="222222"/>
        </w:rPr>
        <w:t>the</w:t>
      </w:r>
      <w:r>
        <w:rPr>
          <w:color w:val="222222"/>
          <w:spacing w:val="-1"/>
        </w:rPr>
        <w:t xml:space="preserve"> </w:t>
      </w:r>
      <w:r>
        <w:rPr>
          <w:color w:val="222222"/>
        </w:rPr>
        <w:t>performance</w:t>
      </w:r>
      <w:r>
        <w:rPr>
          <w:color w:val="222222"/>
          <w:spacing w:val="-1"/>
        </w:rPr>
        <w:t xml:space="preserve"> </w:t>
      </w:r>
      <w:r>
        <w:rPr>
          <w:color w:val="222222"/>
        </w:rPr>
        <w:t>of</w:t>
      </w:r>
      <w:r>
        <w:rPr>
          <w:color w:val="222222"/>
          <w:spacing w:val="-1"/>
        </w:rPr>
        <w:t xml:space="preserve"> </w:t>
      </w:r>
      <w:r>
        <w:rPr>
          <w:color w:val="222222"/>
        </w:rPr>
        <w:t>experimental</w:t>
      </w:r>
      <w:r>
        <w:rPr>
          <w:color w:val="222222"/>
          <w:spacing w:val="-1"/>
        </w:rPr>
        <w:t xml:space="preserve"> </w:t>
      </w:r>
      <w:r>
        <w:rPr>
          <w:color w:val="222222"/>
        </w:rPr>
        <w:t>replicates. Some of the peaks accessible only in a single cell type might be technical artifacts. If experimental</w:t>
      </w:r>
      <w:r>
        <w:rPr>
          <w:color w:val="222222"/>
          <w:spacing w:val="-3"/>
        </w:rPr>
        <w:t xml:space="preserve"> </w:t>
      </w:r>
      <w:r>
        <w:rPr>
          <w:color w:val="222222"/>
        </w:rPr>
        <w:t>replicates</w:t>
      </w:r>
      <w:r>
        <w:rPr>
          <w:color w:val="222222"/>
          <w:spacing w:val="-3"/>
        </w:rPr>
        <w:t xml:space="preserve"> </w:t>
      </w:r>
      <w:r>
        <w:rPr>
          <w:color w:val="222222"/>
        </w:rPr>
        <w:t>are</w:t>
      </w:r>
      <w:r>
        <w:rPr>
          <w:color w:val="222222"/>
          <w:spacing w:val="-3"/>
        </w:rPr>
        <w:t xml:space="preserve"> </w:t>
      </w:r>
      <w:r>
        <w:rPr>
          <w:color w:val="222222"/>
        </w:rPr>
        <w:t>not</w:t>
      </w:r>
      <w:r>
        <w:rPr>
          <w:color w:val="222222"/>
          <w:spacing w:val="-3"/>
        </w:rPr>
        <w:t xml:space="preserve"> </w:t>
      </w:r>
      <w:r>
        <w:rPr>
          <w:color w:val="222222"/>
        </w:rPr>
        <w:t>available,</w:t>
      </w:r>
      <w:r>
        <w:rPr>
          <w:color w:val="222222"/>
          <w:spacing w:val="-3"/>
        </w:rPr>
        <w:t xml:space="preserve"> </w:t>
      </w:r>
      <w:r>
        <w:rPr>
          <w:color w:val="222222"/>
        </w:rPr>
        <w:t>then</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should</w:t>
      </w:r>
      <w:r>
        <w:rPr>
          <w:color w:val="222222"/>
          <w:spacing w:val="-3"/>
        </w:rPr>
        <w:t xml:space="preserve"> </w:t>
      </w:r>
      <w:r>
        <w:rPr>
          <w:color w:val="222222"/>
        </w:rPr>
        <w:t>use</w:t>
      </w:r>
      <w:r>
        <w:rPr>
          <w:color w:val="222222"/>
          <w:spacing w:val="-3"/>
        </w:rPr>
        <w:t xml:space="preserve"> </w:t>
      </w:r>
      <w:r>
        <w:rPr>
          <w:color w:val="222222"/>
        </w:rPr>
        <w:t>the</w:t>
      </w:r>
      <w:r>
        <w:rPr>
          <w:color w:val="222222"/>
          <w:spacing w:val="-3"/>
        </w:rPr>
        <w:t xml:space="preserve"> </w:t>
      </w:r>
      <w:r>
        <w:rPr>
          <w:color w:val="222222"/>
        </w:rPr>
        <w:t>most</w:t>
      </w:r>
      <w:r>
        <w:rPr>
          <w:color w:val="222222"/>
          <w:spacing w:val="-3"/>
        </w:rPr>
        <w:t xml:space="preserve"> </w:t>
      </w:r>
      <w:r>
        <w:rPr>
          <w:color w:val="222222"/>
        </w:rPr>
        <w:t>similar</w:t>
      </w:r>
      <w:r>
        <w:rPr>
          <w:color w:val="222222"/>
          <w:spacing w:val="-3"/>
        </w:rPr>
        <w:t xml:space="preserve"> </w:t>
      </w:r>
      <w:r>
        <w:rPr>
          <w:color w:val="222222"/>
        </w:rPr>
        <w:t>track</w:t>
      </w:r>
      <w:r>
        <w:rPr>
          <w:color w:val="222222"/>
          <w:spacing w:val="-3"/>
        </w:rPr>
        <w:t xml:space="preserve"> </w:t>
      </w:r>
      <w:r>
        <w:rPr>
          <w:color w:val="222222"/>
        </w:rPr>
        <w:t>as a substitute for the experimental replicate.</w:t>
      </w:r>
    </w:p>
    <w:p w14:paraId="5E0908A4" w14:textId="77777777" w:rsidR="00E211CC" w:rsidRDefault="00E211CC" w:rsidP="00E211CC">
      <w:pPr>
        <w:pStyle w:val="BodyText"/>
        <w:spacing w:before="3" w:line="273" w:lineRule="auto"/>
        <w:ind w:right="861"/>
      </w:pPr>
      <w:r>
        <w:rPr>
          <w:color w:val="4A86E8"/>
        </w:rPr>
        <w:t>We</w:t>
      </w:r>
      <w:r>
        <w:rPr>
          <w:color w:val="4A86E8"/>
          <w:spacing w:val="-3"/>
        </w:rPr>
        <w:t xml:space="preserve"> </w:t>
      </w:r>
      <w:r>
        <w:rPr>
          <w:color w:val="4A86E8"/>
        </w:rPr>
        <w:t>have</w:t>
      </w:r>
      <w:r>
        <w:rPr>
          <w:color w:val="4A86E8"/>
          <w:spacing w:val="-3"/>
        </w:rPr>
        <w:t xml:space="preserve"> </w:t>
      </w:r>
      <w:r>
        <w:rPr>
          <w:color w:val="4A86E8"/>
        </w:rPr>
        <w:t>added</w:t>
      </w:r>
      <w:r>
        <w:rPr>
          <w:color w:val="4A86E8"/>
          <w:spacing w:val="-3"/>
        </w:rPr>
        <w:t xml:space="preserve"> </w:t>
      </w:r>
      <w:r>
        <w:rPr>
          <w:color w:val="4A86E8"/>
        </w:rPr>
        <w:t>a</w:t>
      </w:r>
      <w:r>
        <w:rPr>
          <w:color w:val="4A86E8"/>
          <w:spacing w:val="-3"/>
        </w:rPr>
        <w:t xml:space="preserve"> </w:t>
      </w:r>
      <w:r>
        <w:rPr>
          <w:color w:val="4A86E8"/>
        </w:rPr>
        <w:t>supplementary</w:t>
      </w:r>
      <w:r>
        <w:rPr>
          <w:color w:val="4A86E8"/>
          <w:spacing w:val="-3"/>
        </w:rPr>
        <w:t xml:space="preserve"> </w:t>
      </w:r>
      <w:r>
        <w:rPr>
          <w:color w:val="4A86E8"/>
        </w:rPr>
        <w:t>figure</w:t>
      </w:r>
      <w:r>
        <w:rPr>
          <w:color w:val="4A86E8"/>
          <w:spacing w:val="-3"/>
        </w:rPr>
        <w:t xml:space="preserve"> </w:t>
      </w:r>
      <w:r>
        <w:rPr>
          <w:color w:val="4A86E8"/>
        </w:rPr>
        <w:t>(Fig.</w:t>
      </w:r>
      <w:r>
        <w:rPr>
          <w:color w:val="4A86E8"/>
          <w:spacing w:val="-3"/>
        </w:rPr>
        <w:t xml:space="preserve"> </w:t>
      </w:r>
      <w:r>
        <w:rPr>
          <w:color w:val="4A86E8"/>
        </w:rPr>
        <w:t>S3)</w:t>
      </w:r>
      <w:r>
        <w:rPr>
          <w:color w:val="4A86E8"/>
          <w:spacing w:val="-3"/>
        </w:rPr>
        <w:t xml:space="preserve"> </w:t>
      </w:r>
      <w:r>
        <w:rPr>
          <w:color w:val="4A86E8"/>
        </w:rPr>
        <w:t>showing</w:t>
      </w:r>
      <w:r>
        <w:rPr>
          <w:color w:val="4A86E8"/>
          <w:spacing w:val="-3"/>
        </w:rPr>
        <w:t xml:space="preserve"> </w:t>
      </w:r>
      <w:r>
        <w:rPr>
          <w:color w:val="4A86E8"/>
        </w:rPr>
        <w:t>a</w:t>
      </w:r>
      <w:r>
        <w:rPr>
          <w:color w:val="4A86E8"/>
          <w:spacing w:val="-3"/>
        </w:rPr>
        <w:t xml:space="preserve"> </w:t>
      </w:r>
      <w:r>
        <w:rPr>
          <w:color w:val="4A86E8"/>
        </w:rPr>
        <w:t>comparison</w:t>
      </w:r>
      <w:r>
        <w:rPr>
          <w:color w:val="4A86E8"/>
          <w:spacing w:val="-3"/>
        </w:rPr>
        <w:t xml:space="preserve"> </w:t>
      </w:r>
      <w:r>
        <w:rPr>
          <w:color w:val="4A86E8"/>
        </w:rPr>
        <w:t>to</w:t>
      </w:r>
      <w:r>
        <w:rPr>
          <w:color w:val="4A86E8"/>
          <w:spacing w:val="-3"/>
        </w:rPr>
        <w:t xml:space="preserve"> </w:t>
      </w:r>
      <w:r>
        <w:rPr>
          <w:color w:val="4A86E8"/>
        </w:rPr>
        <w:t>the</w:t>
      </w:r>
      <w:r>
        <w:rPr>
          <w:color w:val="4A86E8"/>
          <w:spacing w:val="-3"/>
        </w:rPr>
        <w:t xml:space="preserve"> </w:t>
      </w:r>
      <w:r>
        <w:rPr>
          <w:color w:val="4A86E8"/>
        </w:rPr>
        <w:t>performance</w:t>
      </w:r>
      <w:r>
        <w:rPr>
          <w:color w:val="4A86E8"/>
          <w:spacing w:val="-3"/>
        </w:rPr>
        <w:t xml:space="preserve"> </w:t>
      </w:r>
      <w:r>
        <w:rPr>
          <w:color w:val="4A86E8"/>
        </w:rPr>
        <w:t>of experimental replicates for five of the Enformer accessibility tracks.</w:t>
      </w:r>
    </w:p>
    <w:p w14:paraId="1B9D5D96" w14:textId="77777777" w:rsidR="00E211CC" w:rsidRDefault="00E211CC" w:rsidP="00E211CC">
      <w:pPr>
        <w:pStyle w:val="BodyText"/>
        <w:spacing w:before="44"/>
        <w:ind w:left="0"/>
      </w:pPr>
    </w:p>
    <w:p w14:paraId="7F1C0D71" w14:textId="77777777" w:rsidR="00E211CC" w:rsidRDefault="00E211CC" w:rsidP="00E211CC">
      <w:pPr>
        <w:pStyle w:val="ListParagraph"/>
        <w:widowControl w:val="0"/>
        <w:numPr>
          <w:ilvl w:val="0"/>
          <w:numId w:val="4"/>
        </w:numPr>
        <w:tabs>
          <w:tab w:val="left" w:pos="1063"/>
        </w:tabs>
        <w:autoSpaceDE w:val="0"/>
        <w:autoSpaceDN w:val="0"/>
        <w:spacing w:after="0" w:line="273" w:lineRule="auto"/>
        <w:ind w:right="971" w:firstLine="0"/>
        <w:contextualSpacing w:val="0"/>
      </w:pPr>
      <w:r>
        <w:rPr>
          <w:color w:val="222222"/>
        </w:rPr>
        <w:t>Fig.</w:t>
      </w:r>
      <w:r>
        <w:rPr>
          <w:color w:val="222222"/>
          <w:spacing w:val="-3"/>
        </w:rPr>
        <w:t xml:space="preserve"> </w:t>
      </w:r>
      <w:r>
        <w:rPr>
          <w:color w:val="222222"/>
        </w:rPr>
        <w:t>2A:</w:t>
      </w:r>
      <w:r>
        <w:rPr>
          <w:color w:val="222222"/>
          <w:spacing w:val="-3"/>
        </w:rPr>
        <w:t xml:space="preserve"> </w:t>
      </w:r>
      <w:r>
        <w:rPr>
          <w:color w:val="222222"/>
        </w:rPr>
        <w:t>When</w:t>
      </w:r>
      <w:r>
        <w:rPr>
          <w:color w:val="222222"/>
          <w:spacing w:val="-3"/>
        </w:rPr>
        <w:t xml:space="preserve"> </w:t>
      </w:r>
      <w:r>
        <w:rPr>
          <w:color w:val="222222"/>
        </w:rPr>
        <w:t>quantifying</w:t>
      </w:r>
      <w:r>
        <w:rPr>
          <w:color w:val="222222"/>
          <w:spacing w:val="-3"/>
        </w:rPr>
        <w:t xml:space="preserve"> </w:t>
      </w:r>
      <w:r>
        <w:rPr>
          <w:color w:val="222222"/>
        </w:rPr>
        <w:t>the</w:t>
      </w:r>
      <w:r>
        <w:rPr>
          <w:color w:val="222222"/>
          <w:spacing w:val="-3"/>
        </w:rPr>
        <w:t xml:space="preserve"> </w:t>
      </w:r>
      <w:r>
        <w:rPr>
          <w:color w:val="222222"/>
        </w:rPr>
        <w:t>cell</w:t>
      </w:r>
      <w:r>
        <w:rPr>
          <w:color w:val="222222"/>
          <w:spacing w:val="-3"/>
        </w:rPr>
        <w:t xml:space="preserve"> </w:t>
      </w:r>
      <w:r>
        <w:rPr>
          <w:color w:val="222222"/>
        </w:rPr>
        <w:t>type</w:t>
      </w:r>
      <w:r>
        <w:rPr>
          <w:color w:val="222222"/>
          <w:spacing w:val="-3"/>
        </w:rPr>
        <w:t xml:space="preserve"> </w:t>
      </w:r>
      <w:r>
        <w:rPr>
          <w:color w:val="222222"/>
        </w:rPr>
        <w:t>specificity</w:t>
      </w:r>
      <w:r>
        <w:rPr>
          <w:color w:val="222222"/>
          <w:spacing w:val="-3"/>
        </w:rPr>
        <w:t xml:space="preserve"> </w:t>
      </w:r>
      <w:r>
        <w:rPr>
          <w:color w:val="222222"/>
        </w:rPr>
        <w:t>of</w:t>
      </w:r>
      <w:r>
        <w:rPr>
          <w:color w:val="222222"/>
          <w:spacing w:val="-3"/>
        </w:rPr>
        <w:t xml:space="preserve"> </w:t>
      </w:r>
      <w:r>
        <w:rPr>
          <w:color w:val="222222"/>
        </w:rPr>
        <w:t>predictions,</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should</w:t>
      </w:r>
      <w:r>
        <w:rPr>
          <w:color w:val="222222"/>
          <w:spacing w:val="-3"/>
        </w:rPr>
        <w:t xml:space="preserve"> </w:t>
      </w:r>
      <w:r>
        <w:rPr>
          <w:color w:val="222222"/>
        </w:rPr>
        <w:t>also</w:t>
      </w:r>
      <w:r>
        <w:rPr>
          <w:color w:val="222222"/>
          <w:spacing w:val="-3"/>
        </w:rPr>
        <w:t xml:space="preserve"> </w:t>
      </w:r>
      <w:r>
        <w:rPr>
          <w:color w:val="222222"/>
        </w:rPr>
        <w:t>look at alternative metrics such as precision per CRE for the top N predictions, where N is the number of accessible cell types for that cell type. Note that one should z-score normalize the predictions for each predicted experiment first before doing this comparison. Another relevant</w:t>
      </w:r>
    </w:p>
    <w:p w14:paraId="723CB2F7" w14:textId="77777777" w:rsidR="00E211CC" w:rsidRDefault="00E211CC" w:rsidP="00E211CC">
      <w:pPr>
        <w:spacing w:line="273" w:lineRule="auto"/>
        <w:sectPr w:rsidR="00E211CC" w:rsidSect="00E211CC">
          <w:pgSz w:w="12240" w:h="15840"/>
          <w:pgMar w:top="1440" w:right="580" w:bottom="280" w:left="620" w:header="720" w:footer="720" w:gutter="0"/>
          <w:cols w:space="720"/>
        </w:sectPr>
      </w:pPr>
    </w:p>
    <w:p w14:paraId="1DAAA4F2" w14:textId="77777777" w:rsidR="00E211CC" w:rsidRDefault="00E211CC" w:rsidP="00E211CC">
      <w:pPr>
        <w:pStyle w:val="BodyText"/>
        <w:spacing w:before="80" w:line="278" w:lineRule="auto"/>
        <w:ind w:right="861"/>
      </w:pPr>
      <w:r>
        <w:rPr>
          <w:color w:val="222222"/>
        </w:rPr>
        <w:lastRenderedPageBreak/>
        <w:t>evaluation</w:t>
      </w:r>
      <w:r>
        <w:rPr>
          <w:color w:val="222222"/>
          <w:spacing w:val="-3"/>
        </w:rPr>
        <w:t xml:space="preserve"> </w:t>
      </w:r>
      <w:r>
        <w:rPr>
          <w:color w:val="222222"/>
        </w:rPr>
        <w:t>metric</w:t>
      </w:r>
      <w:r>
        <w:rPr>
          <w:color w:val="222222"/>
          <w:spacing w:val="-3"/>
        </w:rPr>
        <w:t xml:space="preserve"> </w:t>
      </w:r>
      <w:r>
        <w:rPr>
          <w:color w:val="222222"/>
        </w:rPr>
        <w:t>would</w:t>
      </w:r>
      <w:r>
        <w:rPr>
          <w:color w:val="222222"/>
          <w:spacing w:val="-3"/>
        </w:rPr>
        <w:t xml:space="preserve"> </w:t>
      </w:r>
      <w:r>
        <w:rPr>
          <w:color w:val="222222"/>
        </w:rPr>
        <w:t>be</w:t>
      </w:r>
      <w:r>
        <w:rPr>
          <w:color w:val="222222"/>
          <w:spacing w:val="-3"/>
        </w:rPr>
        <w:t xml:space="preserve"> </w:t>
      </w:r>
      <w:r>
        <w:rPr>
          <w:color w:val="222222"/>
        </w:rPr>
        <w:t>to</w:t>
      </w:r>
      <w:r>
        <w:rPr>
          <w:color w:val="222222"/>
          <w:spacing w:val="-3"/>
        </w:rPr>
        <w:t xml:space="preserve"> </w:t>
      </w:r>
      <w:r>
        <w:rPr>
          <w:color w:val="222222"/>
        </w:rPr>
        <w:t>look</w:t>
      </w:r>
      <w:r>
        <w:rPr>
          <w:color w:val="222222"/>
          <w:spacing w:val="-3"/>
        </w:rPr>
        <w:t xml:space="preserve"> </w:t>
      </w:r>
      <w:r>
        <w:rPr>
          <w:color w:val="222222"/>
        </w:rPr>
        <w:t>at</w:t>
      </w:r>
      <w:r>
        <w:rPr>
          <w:color w:val="222222"/>
          <w:spacing w:val="-3"/>
        </w:rPr>
        <w:t xml:space="preserve"> </w:t>
      </w:r>
      <w:r>
        <w:rPr>
          <w:color w:val="222222"/>
        </w:rPr>
        <w:t>how</w:t>
      </w:r>
      <w:r>
        <w:rPr>
          <w:color w:val="222222"/>
          <w:spacing w:val="-3"/>
        </w:rPr>
        <w:t xml:space="preserve"> </w:t>
      </w:r>
      <w:r>
        <w:rPr>
          <w:color w:val="222222"/>
        </w:rPr>
        <w:t>well</w:t>
      </w:r>
      <w:r>
        <w:rPr>
          <w:color w:val="222222"/>
          <w:spacing w:val="-3"/>
        </w:rPr>
        <w:t xml:space="preserve"> </w:t>
      </w:r>
      <w:r>
        <w:rPr>
          <w:color w:val="222222"/>
        </w:rPr>
        <w:t>the</w:t>
      </w:r>
      <w:r>
        <w:rPr>
          <w:color w:val="222222"/>
          <w:spacing w:val="-3"/>
        </w:rPr>
        <w:t xml:space="preserve"> </w:t>
      </w:r>
      <w:r>
        <w:rPr>
          <w:color w:val="222222"/>
        </w:rPr>
        <w:t>models</w:t>
      </w:r>
      <w:r>
        <w:rPr>
          <w:color w:val="222222"/>
          <w:spacing w:val="-3"/>
        </w:rPr>
        <w:t xml:space="preserve"> </w:t>
      </w:r>
      <w:r>
        <w:rPr>
          <w:color w:val="222222"/>
        </w:rPr>
        <w:t>can</w:t>
      </w:r>
      <w:r>
        <w:rPr>
          <w:color w:val="222222"/>
          <w:spacing w:val="-3"/>
        </w:rPr>
        <w:t xml:space="preserve"> </w:t>
      </w:r>
      <w:r>
        <w:rPr>
          <w:color w:val="222222"/>
        </w:rPr>
        <w:t>predict</w:t>
      </w:r>
      <w:r>
        <w:rPr>
          <w:color w:val="222222"/>
          <w:spacing w:val="-3"/>
        </w:rPr>
        <w:t xml:space="preserve"> </w:t>
      </w:r>
      <w:r>
        <w:rPr>
          <w:color w:val="222222"/>
        </w:rPr>
        <w:t>differentially</w:t>
      </w:r>
      <w:r>
        <w:rPr>
          <w:color w:val="222222"/>
          <w:spacing w:val="-3"/>
        </w:rPr>
        <w:t xml:space="preserve"> </w:t>
      </w:r>
      <w:r>
        <w:rPr>
          <w:color w:val="222222"/>
        </w:rPr>
        <w:t>accessible regions given a specific pair of cell types.</w:t>
      </w:r>
    </w:p>
    <w:p w14:paraId="36868B17" w14:textId="77777777" w:rsidR="00E211CC" w:rsidRDefault="00E211CC" w:rsidP="00E211CC">
      <w:pPr>
        <w:pStyle w:val="BodyText"/>
        <w:spacing w:line="276" w:lineRule="auto"/>
        <w:ind w:right="935"/>
      </w:pPr>
      <w:r>
        <w:rPr>
          <w:color w:val="4A86E8"/>
        </w:rPr>
        <w:t>We have added two additional analyses to provide more insight into the cell type specificity of the model predictions. First, we have taken the reviewer’s suggestion to look at the precision per peak for the top N predictions for Enformer (Fig. S1). In general, we find the cell type precision of Enformer’s predictions to be low, although a small fraction of peaks are predicted with high precision, likely corresponding to more ubiquitously accessible peaks. In addition,</w:t>
      </w:r>
      <w:r>
        <w:rPr>
          <w:color w:val="4A86E8"/>
          <w:spacing w:val="-1"/>
        </w:rPr>
        <w:t xml:space="preserve"> </w:t>
      </w:r>
      <w:r>
        <w:rPr>
          <w:color w:val="4A86E8"/>
        </w:rPr>
        <w:t>we have quantified the false negative and false positive rates of the multi-task and single-task models trained on the Loeb, et al. and Calderon, et al. datasets, as suggested by Reviewer #4 (Fig. S14). We find that the multi-task models tend to have higher false positive rates, meaning that they predict peaks to be active in incorrect, or additional, cell types. For both types of models, we also observe that the false negative rate is higher for cell type specific peaks than ubiquitous peaks. We observe a tradeoff between the false positive and false negative rates, with single-task learning generally reducing the false positive rate – consistent with our observation that single-task model predictions are generally less over-correlated between cell types – but slightly increasing the false negative rate, suggesting that some peak predictions may benefit from information sharing across cell types. We believe that these analyses provide additional</w:t>
      </w:r>
      <w:r>
        <w:rPr>
          <w:color w:val="4A86E8"/>
          <w:spacing w:val="-3"/>
        </w:rPr>
        <w:t xml:space="preserve"> </w:t>
      </w:r>
      <w:r>
        <w:rPr>
          <w:color w:val="4A86E8"/>
        </w:rPr>
        <w:t>insight</w:t>
      </w:r>
      <w:r>
        <w:rPr>
          <w:color w:val="4A86E8"/>
          <w:spacing w:val="-3"/>
        </w:rPr>
        <w:t xml:space="preserve"> </w:t>
      </w:r>
      <w:r>
        <w:rPr>
          <w:color w:val="4A86E8"/>
        </w:rPr>
        <w:t>and</w:t>
      </w:r>
      <w:r>
        <w:rPr>
          <w:color w:val="4A86E8"/>
          <w:spacing w:val="-3"/>
        </w:rPr>
        <w:t xml:space="preserve"> </w:t>
      </w:r>
      <w:r>
        <w:rPr>
          <w:color w:val="4A86E8"/>
        </w:rPr>
        <w:t>validation</w:t>
      </w:r>
      <w:r>
        <w:rPr>
          <w:color w:val="4A86E8"/>
          <w:spacing w:val="-3"/>
        </w:rPr>
        <w:t xml:space="preserve"> </w:t>
      </w:r>
      <w:r>
        <w:rPr>
          <w:color w:val="4A86E8"/>
        </w:rPr>
        <w:t>of</w:t>
      </w:r>
      <w:r>
        <w:rPr>
          <w:color w:val="4A86E8"/>
          <w:spacing w:val="-3"/>
        </w:rPr>
        <w:t xml:space="preserve"> </w:t>
      </w:r>
      <w:r>
        <w:rPr>
          <w:color w:val="4A86E8"/>
        </w:rPr>
        <w:t>the</w:t>
      </w:r>
      <w:r>
        <w:rPr>
          <w:color w:val="4A86E8"/>
          <w:spacing w:val="-3"/>
        </w:rPr>
        <w:t xml:space="preserve"> </w:t>
      </w:r>
      <w:r>
        <w:rPr>
          <w:color w:val="4A86E8"/>
        </w:rPr>
        <w:t>poor</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prediction</w:t>
      </w:r>
      <w:r>
        <w:rPr>
          <w:color w:val="4A86E8"/>
          <w:spacing w:val="-3"/>
        </w:rPr>
        <w:t xml:space="preserve"> </w:t>
      </w:r>
      <w:r>
        <w:rPr>
          <w:color w:val="4A86E8"/>
        </w:rPr>
        <w:t>of</w:t>
      </w:r>
      <w:r>
        <w:rPr>
          <w:color w:val="4A86E8"/>
          <w:spacing w:val="-3"/>
        </w:rPr>
        <w:t xml:space="preserve"> </w:t>
      </w:r>
      <w:r>
        <w:rPr>
          <w:color w:val="4A86E8"/>
        </w:rPr>
        <w:t>current</w:t>
      </w:r>
      <w:r>
        <w:rPr>
          <w:color w:val="4A86E8"/>
          <w:spacing w:val="-3"/>
        </w:rPr>
        <w:t xml:space="preserve"> </w:t>
      </w:r>
      <w:r>
        <w:rPr>
          <w:color w:val="4A86E8"/>
        </w:rPr>
        <w:t>genomic</w:t>
      </w:r>
      <w:r>
        <w:rPr>
          <w:color w:val="4A86E8"/>
          <w:spacing w:val="-3"/>
        </w:rPr>
        <w:t xml:space="preserve"> </w:t>
      </w:r>
      <w:r>
        <w:rPr>
          <w:color w:val="4A86E8"/>
        </w:rPr>
        <w:t>deep learning models.</w:t>
      </w:r>
    </w:p>
    <w:p w14:paraId="6292CD84" w14:textId="77777777" w:rsidR="00E211CC" w:rsidRDefault="00E211CC" w:rsidP="00E211CC">
      <w:pPr>
        <w:pStyle w:val="BodyText"/>
        <w:spacing w:before="32"/>
        <w:ind w:left="0"/>
      </w:pPr>
    </w:p>
    <w:p w14:paraId="34E32AD4" w14:textId="77777777" w:rsidR="00E211CC" w:rsidRDefault="00E211CC" w:rsidP="00E211CC">
      <w:pPr>
        <w:pStyle w:val="ListParagraph"/>
        <w:widowControl w:val="0"/>
        <w:numPr>
          <w:ilvl w:val="0"/>
          <w:numId w:val="4"/>
        </w:numPr>
        <w:tabs>
          <w:tab w:val="left" w:pos="1063"/>
        </w:tabs>
        <w:autoSpaceDE w:val="0"/>
        <w:autoSpaceDN w:val="0"/>
        <w:spacing w:after="0" w:line="278" w:lineRule="auto"/>
        <w:ind w:right="1253" w:firstLine="0"/>
        <w:contextualSpacing w:val="0"/>
      </w:pPr>
      <w:r>
        <w:rPr>
          <w:color w:val="222222"/>
        </w:rPr>
        <w:t>Fig.</w:t>
      </w:r>
      <w:r>
        <w:rPr>
          <w:color w:val="222222"/>
          <w:spacing w:val="-3"/>
        </w:rPr>
        <w:t xml:space="preserve"> </w:t>
      </w:r>
      <w:r>
        <w:rPr>
          <w:color w:val="222222"/>
        </w:rPr>
        <w:t>2B:</w:t>
      </w:r>
      <w:r>
        <w:rPr>
          <w:color w:val="222222"/>
          <w:spacing w:val="-3"/>
        </w:rPr>
        <w:t xml:space="preserve"> </w:t>
      </w:r>
      <w:r>
        <w:rPr>
          <w:color w:val="222222"/>
        </w:rPr>
        <w:t>How</w:t>
      </w:r>
      <w:r>
        <w:rPr>
          <w:color w:val="222222"/>
          <w:spacing w:val="-3"/>
        </w:rPr>
        <w:t xml:space="preserve"> </w:t>
      </w:r>
      <w:r>
        <w:rPr>
          <w:color w:val="222222"/>
        </w:rPr>
        <w:t>much</w:t>
      </w:r>
      <w:r>
        <w:rPr>
          <w:color w:val="222222"/>
          <w:spacing w:val="-3"/>
        </w:rPr>
        <w:t xml:space="preserve"> </w:t>
      </w:r>
      <w:r>
        <w:rPr>
          <w:color w:val="222222"/>
        </w:rPr>
        <w:t>of</w:t>
      </w:r>
      <w:r>
        <w:rPr>
          <w:color w:val="222222"/>
          <w:spacing w:val="-3"/>
        </w:rPr>
        <w:t xml:space="preserve"> </w:t>
      </w:r>
      <w:r>
        <w:rPr>
          <w:color w:val="222222"/>
        </w:rPr>
        <w:t>that</w:t>
      </w:r>
      <w:r>
        <w:rPr>
          <w:color w:val="222222"/>
          <w:spacing w:val="-3"/>
        </w:rPr>
        <w:t xml:space="preserve"> </w:t>
      </w:r>
      <w:r>
        <w:rPr>
          <w:color w:val="222222"/>
        </w:rPr>
        <w:t>figure</w:t>
      </w:r>
      <w:r>
        <w:rPr>
          <w:color w:val="222222"/>
          <w:spacing w:val="-3"/>
        </w:rPr>
        <w:t xml:space="preserve"> </w:t>
      </w:r>
      <w:r>
        <w:rPr>
          <w:color w:val="222222"/>
        </w:rPr>
        <w:t>can</w:t>
      </w:r>
      <w:r>
        <w:rPr>
          <w:color w:val="222222"/>
          <w:spacing w:val="-3"/>
        </w:rPr>
        <w:t xml:space="preserve"> </w:t>
      </w:r>
      <w:r>
        <w:rPr>
          <w:color w:val="222222"/>
        </w:rPr>
        <w:t>be</w:t>
      </w:r>
      <w:r>
        <w:rPr>
          <w:color w:val="222222"/>
          <w:spacing w:val="-3"/>
        </w:rPr>
        <w:t xml:space="preserve"> </w:t>
      </w:r>
      <w:r>
        <w:rPr>
          <w:color w:val="222222"/>
        </w:rPr>
        <w:t>explained</w:t>
      </w:r>
      <w:r>
        <w:rPr>
          <w:color w:val="222222"/>
          <w:spacing w:val="-3"/>
        </w:rPr>
        <w:t xml:space="preserve"> </w:t>
      </w:r>
      <w:r>
        <w:rPr>
          <w:color w:val="222222"/>
        </w:rPr>
        <w:t>by</w:t>
      </w:r>
      <w:r>
        <w:rPr>
          <w:color w:val="222222"/>
          <w:spacing w:val="-3"/>
        </w:rPr>
        <w:t xml:space="preserve"> </w:t>
      </w:r>
      <w:r>
        <w:rPr>
          <w:color w:val="222222"/>
        </w:rPr>
        <w:t>distance</w:t>
      </w:r>
      <w:r>
        <w:rPr>
          <w:color w:val="222222"/>
          <w:spacing w:val="-3"/>
        </w:rPr>
        <w:t xml:space="preserve"> </w:t>
      </w:r>
      <w:r>
        <w:rPr>
          <w:color w:val="222222"/>
        </w:rPr>
        <w:t>from</w:t>
      </w:r>
      <w:r>
        <w:rPr>
          <w:color w:val="222222"/>
          <w:spacing w:val="-3"/>
        </w:rPr>
        <w:t xml:space="preserve"> </w:t>
      </w:r>
      <w:r>
        <w:rPr>
          <w:color w:val="222222"/>
        </w:rPr>
        <w:t>TSS</w:t>
      </w:r>
      <w:r>
        <w:rPr>
          <w:color w:val="222222"/>
          <w:spacing w:val="-3"/>
        </w:rPr>
        <w:t xml:space="preserve"> </w:t>
      </w:r>
      <w:r>
        <w:rPr>
          <w:color w:val="222222"/>
        </w:rPr>
        <w:t>or</w:t>
      </w:r>
      <w:r>
        <w:rPr>
          <w:color w:val="222222"/>
          <w:spacing w:val="-3"/>
        </w:rPr>
        <w:t xml:space="preserve"> </w:t>
      </w:r>
      <w:r>
        <w:rPr>
          <w:color w:val="222222"/>
        </w:rPr>
        <w:t>element</w:t>
      </w:r>
      <w:r>
        <w:rPr>
          <w:color w:val="222222"/>
          <w:spacing w:val="-3"/>
        </w:rPr>
        <w:t xml:space="preserve"> </w:t>
      </w:r>
      <w:r>
        <w:rPr>
          <w:color w:val="222222"/>
        </w:rPr>
        <w:t>types (promoter vs enhancer)?</w:t>
      </w:r>
    </w:p>
    <w:p w14:paraId="09EED3BF" w14:textId="77777777" w:rsidR="00E211CC" w:rsidRDefault="00E211CC" w:rsidP="00E211CC">
      <w:pPr>
        <w:pStyle w:val="BodyText"/>
        <w:spacing w:line="276" w:lineRule="auto"/>
        <w:ind w:right="899"/>
      </w:pPr>
      <w:r>
        <w:rPr>
          <w:color w:val="4A86E8"/>
        </w:rPr>
        <w:t>In Supplementary Figure 5, we have plotted the TSS distance distributions (Fig. S5c) and effect size</w:t>
      </w:r>
      <w:r>
        <w:rPr>
          <w:color w:val="4A86E8"/>
          <w:spacing w:val="-2"/>
        </w:rPr>
        <w:t xml:space="preserve"> </w:t>
      </w:r>
      <w:r>
        <w:rPr>
          <w:color w:val="4A86E8"/>
        </w:rPr>
        <w:t>distributions</w:t>
      </w:r>
      <w:r>
        <w:rPr>
          <w:color w:val="4A86E8"/>
          <w:spacing w:val="-2"/>
        </w:rPr>
        <w:t xml:space="preserve"> </w:t>
      </w:r>
      <w:r>
        <w:rPr>
          <w:color w:val="4A86E8"/>
        </w:rPr>
        <w:t>(Fig.</w:t>
      </w:r>
      <w:r>
        <w:rPr>
          <w:color w:val="4A86E8"/>
          <w:spacing w:val="-2"/>
        </w:rPr>
        <w:t xml:space="preserve"> </w:t>
      </w:r>
      <w:r>
        <w:rPr>
          <w:color w:val="4A86E8"/>
        </w:rPr>
        <w:t>S5d)</w:t>
      </w:r>
      <w:r>
        <w:rPr>
          <w:color w:val="4A86E8"/>
          <w:spacing w:val="-2"/>
        </w:rPr>
        <w:t xml:space="preserve"> </w:t>
      </w:r>
      <w:r>
        <w:rPr>
          <w:color w:val="4A86E8"/>
        </w:rPr>
        <w:t>for</w:t>
      </w:r>
      <w:r>
        <w:rPr>
          <w:color w:val="4A86E8"/>
          <w:spacing w:val="-2"/>
        </w:rPr>
        <w:t xml:space="preserve"> </w:t>
      </w:r>
      <w:r>
        <w:rPr>
          <w:color w:val="4A86E8"/>
        </w:rPr>
        <w:t>the</w:t>
      </w:r>
      <w:r>
        <w:rPr>
          <w:color w:val="4A86E8"/>
          <w:spacing w:val="-2"/>
        </w:rPr>
        <w:t xml:space="preserve"> </w:t>
      </w:r>
      <w:r>
        <w:rPr>
          <w:color w:val="4A86E8"/>
        </w:rPr>
        <w:t>eQTLs</w:t>
      </w:r>
      <w:r>
        <w:rPr>
          <w:color w:val="4A86E8"/>
          <w:spacing w:val="-2"/>
        </w:rPr>
        <w:t xml:space="preserve"> </w:t>
      </w:r>
      <w:r>
        <w:rPr>
          <w:color w:val="4A86E8"/>
        </w:rPr>
        <w:t>in</w:t>
      </w:r>
      <w:r>
        <w:rPr>
          <w:color w:val="4A86E8"/>
          <w:spacing w:val="-2"/>
        </w:rPr>
        <w:t xml:space="preserve"> </w:t>
      </w:r>
      <w:r>
        <w:rPr>
          <w:color w:val="4A86E8"/>
        </w:rPr>
        <w:t>each</w:t>
      </w:r>
      <w:r>
        <w:rPr>
          <w:color w:val="4A86E8"/>
          <w:spacing w:val="-2"/>
        </w:rPr>
        <w:t xml:space="preserve"> </w:t>
      </w:r>
      <w:r>
        <w:rPr>
          <w:color w:val="4A86E8"/>
        </w:rPr>
        <w:t>cell</w:t>
      </w:r>
      <w:r>
        <w:rPr>
          <w:color w:val="4A86E8"/>
          <w:spacing w:val="-2"/>
        </w:rPr>
        <w:t xml:space="preserve"> </w:t>
      </w:r>
      <w:r>
        <w:rPr>
          <w:color w:val="4A86E8"/>
        </w:rPr>
        <w:t>type</w:t>
      </w:r>
      <w:r>
        <w:rPr>
          <w:color w:val="4A86E8"/>
          <w:spacing w:val="-2"/>
        </w:rPr>
        <w:t xml:space="preserve"> </w:t>
      </w:r>
      <w:r>
        <w:rPr>
          <w:color w:val="4A86E8"/>
        </w:rPr>
        <w:t>specificity</w:t>
      </w:r>
      <w:r>
        <w:rPr>
          <w:color w:val="4A86E8"/>
          <w:spacing w:val="-2"/>
        </w:rPr>
        <w:t xml:space="preserve"> </w:t>
      </w:r>
      <w:r>
        <w:rPr>
          <w:color w:val="4A86E8"/>
        </w:rPr>
        <w:t>bin.</w:t>
      </w:r>
      <w:r>
        <w:rPr>
          <w:color w:val="4A86E8"/>
          <w:spacing w:val="-2"/>
        </w:rPr>
        <w:t xml:space="preserve"> </w:t>
      </w:r>
      <w:r>
        <w:rPr>
          <w:color w:val="4A86E8"/>
        </w:rPr>
        <w:t>There</w:t>
      </w:r>
      <w:r>
        <w:rPr>
          <w:color w:val="4A86E8"/>
          <w:spacing w:val="-2"/>
        </w:rPr>
        <w:t xml:space="preserve"> </w:t>
      </w:r>
      <w:r>
        <w:rPr>
          <w:color w:val="4A86E8"/>
        </w:rPr>
        <w:t>is</w:t>
      </w:r>
      <w:r>
        <w:rPr>
          <w:color w:val="4A86E8"/>
          <w:spacing w:val="-2"/>
        </w:rPr>
        <w:t xml:space="preserve"> </w:t>
      </w:r>
      <w:r>
        <w:rPr>
          <w:color w:val="4A86E8"/>
        </w:rPr>
        <w:t>a</w:t>
      </w:r>
      <w:r>
        <w:rPr>
          <w:color w:val="4A86E8"/>
          <w:spacing w:val="-2"/>
        </w:rPr>
        <w:t xml:space="preserve"> </w:t>
      </w:r>
      <w:r>
        <w:rPr>
          <w:color w:val="4A86E8"/>
        </w:rPr>
        <w:t>slight</w:t>
      </w:r>
      <w:r>
        <w:rPr>
          <w:color w:val="4A86E8"/>
          <w:spacing w:val="-2"/>
        </w:rPr>
        <w:t xml:space="preserve"> </w:t>
      </w:r>
      <w:r>
        <w:rPr>
          <w:color w:val="4A86E8"/>
        </w:rPr>
        <w:t>trend towards eQTLs in the most cell type specific bin being more distal, which may be related to some of the drop in performance. This drop cannot be explained by distance between the variant and predicted output, however, as we obtained Enformer and Sei predictions for these eQTLs</w:t>
      </w:r>
      <w:r>
        <w:rPr>
          <w:color w:val="4A86E8"/>
          <w:spacing w:val="-3"/>
        </w:rPr>
        <w:t xml:space="preserve"> </w:t>
      </w:r>
      <w:r>
        <w:rPr>
          <w:color w:val="4A86E8"/>
        </w:rPr>
        <w:t>centered</w:t>
      </w:r>
      <w:r>
        <w:rPr>
          <w:color w:val="4A86E8"/>
          <w:spacing w:val="-3"/>
        </w:rPr>
        <w:t xml:space="preserve"> </w:t>
      </w:r>
      <w:r>
        <w:rPr>
          <w:color w:val="4A86E8"/>
        </w:rPr>
        <w:t>at</w:t>
      </w:r>
      <w:r>
        <w:rPr>
          <w:color w:val="4A86E8"/>
          <w:spacing w:val="-3"/>
        </w:rPr>
        <w:t xml:space="preserve"> </w:t>
      </w:r>
      <w:r>
        <w:rPr>
          <w:color w:val="4A86E8"/>
        </w:rPr>
        <w:t>the</w:t>
      </w:r>
      <w:r>
        <w:rPr>
          <w:color w:val="4A86E8"/>
          <w:spacing w:val="-3"/>
        </w:rPr>
        <w:t xml:space="preserve"> </w:t>
      </w:r>
      <w:r>
        <w:rPr>
          <w:color w:val="4A86E8"/>
        </w:rPr>
        <w:t>variant,</w:t>
      </w:r>
      <w:r>
        <w:rPr>
          <w:color w:val="4A86E8"/>
          <w:spacing w:val="-3"/>
        </w:rPr>
        <w:t xml:space="preserve"> </w:t>
      </w:r>
      <w:r>
        <w:rPr>
          <w:color w:val="4A86E8"/>
        </w:rPr>
        <w:t>not</w:t>
      </w:r>
      <w:r>
        <w:rPr>
          <w:color w:val="4A86E8"/>
          <w:spacing w:val="-3"/>
        </w:rPr>
        <w:t xml:space="preserve"> </w:t>
      </w:r>
      <w:r>
        <w:rPr>
          <w:color w:val="4A86E8"/>
        </w:rPr>
        <w:t>at</w:t>
      </w:r>
      <w:r>
        <w:rPr>
          <w:color w:val="4A86E8"/>
          <w:spacing w:val="-3"/>
        </w:rPr>
        <w:t xml:space="preserve"> </w:t>
      </w:r>
      <w:r>
        <w:rPr>
          <w:color w:val="4A86E8"/>
        </w:rPr>
        <w:t>the</w:t>
      </w:r>
      <w:r>
        <w:rPr>
          <w:color w:val="4A86E8"/>
          <w:spacing w:val="-3"/>
        </w:rPr>
        <w:t xml:space="preserve"> </w:t>
      </w:r>
      <w:r>
        <w:rPr>
          <w:color w:val="4A86E8"/>
        </w:rPr>
        <w:t>TSS.</w:t>
      </w:r>
      <w:r>
        <w:rPr>
          <w:color w:val="4A86E8"/>
          <w:spacing w:val="-3"/>
        </w:rPr>
        <w:t xml:space="preserve"> </w:t>
      </w:r>
      <w:r>
        <w:rPr>
          <w:color w:val="4A86E8"/>
        </w:rPr>
        <w:t>Please</w:t>
      </w:r>
      <w:r>
        <w:rPr>
          <w:color w:val="4A86E8"/>
          <w:spacing w:val="-3"/>
        </w:rPr>
        <w:t xml:space="preserve"> </w:t>
      </w:r>
      <w:r>
        <w:rPr>
          <w:color w:val="4A86E8"/>
        </w:rPr>
        <w:t>also</w:t>
      </w:r>
      <w:r>
        <w:rPr>
          <w:color w:val="4A86E8"/>
          <w:spacing w:val="-3"/>
        </w:rPr>
        <w:t xml:space="preserve"> </w:t>
      </w:r>
      <w:r>
        <w:rPr>
          <w:color w:val="4A86E8"/>
        </w:rPr>
        <w:t>see</w:t>
      </w:r>
      <w:r>
        <w:rPr>
          <w:color w:val="4A86E8"/>
          <w:spacing w:val="-3"/>
        </w:rPr>
        <w:t xml:space="preserve"> </w:t>
      </w:r>
      <w:r>
        <w:rPr>
          <w:color w:val="4A86E8"/>
        </w:rPr>
        <w:t>our</w:t>
      </w:r>
      <w:r>
        <w:rPr>
          <w:color w:val="4A86E8"/>
          <w:spacing w:val="-3"/>
        </w:rPr>
        <w:t xml:space="preserve"> </w:t>
      </w:r>
      <w:r>
        <w:rPr>
          <w:color w:val="4A86E8"/>
        </w:rPr>
        <w:t>response</w:t>
      </w:r>
      <w:r>
        <w:rPr>
          <w:color w:val="4A86E8"/>
          <w:spacing w:val="-3"/>
        </w:rPr>
        <w:t xml:space="preserve"> </w:t>
      </w:r>
      <w:r>
        <w:rPr>
          <w:color w:val="4A86E8"/>
        </w:rPr>
        <w:t>below</w:t>
      </w:r>
      <w:r>
        <w:rPr>
          <w:color w:val="4A86E8"/>
          <w:spacing w:val="-3"/>
        </w:rPr>
        <w:t xml:space="preserve"> </w:t>
      </w:r>
      <w:r>
        <w:rPr>
          <w:color w:val="4A86E8"/>
        </w:rPr>
        <w:t>to</w:t>
      </w:r>
      <w:r>
        <w:rPr>
          <w:color w:val="4A86E8"/>
          <w:spacing w:val="-3"/>
        </w:rPr>
        <w:t xml:space="preserve"> </w:t>
      </w:r>
      <w:r>
        <w:rPr>
          <w:color w:val="4A86E8"/>
        </w:rPr>
        <w:t>Reviewer #4, point 6 for discussion of a similar point.</w:t>
      </w:r>
    </w:p>
    <w:p w14:paraId="2A3DF9DD" w14:textId="77777777" w:rsidR="00E211CC" w:rsidRDefault="00E211CC" w:rsidP="00E211CC">
      <w:pPr>
        <w:pStyle w:val="BodyText"/>
        <w:spacing w:before="32"/>
        <w:ind w:left="0"/>
      </w:pPr>
    </w:p>
    <w:p w14:paraId="26A764F5" w14:textId="77777777" w:rsidR="00E211CC" w:rsidRDefault="00E211CC" w:rsidP="00E211CC">
      <w:pPr>
        <w:pStyle w:val="ListParagraph"/>
        <w:widowControl w:val="0"/>
        <w:numPr>
          <w:ilvl w:val="0"/>
          <w:numId w:val="4"/>
        </w:numPr>
        <w:tabs>
          <w:tab w:val="left" w:pos="1063"/>
        </w:tabs>
        <w:autoSpaceDE w:val="0"/>
        <w:autoSpaceDN w:val="0"/>
        <w:spacing w:after="0" w:line="240" w:lineRule="auto"/>
        <w:ind w:left="1063" w:hanging="243"/>
        <w:contextualSpacing w:val="0"/>
      </w:pPr>
      <w:r>
        <w:rPr>
          <w:color w:val="222222"/>
        </w:rPr>
        <w:t>Fig.</w:t>
      </w:r>
      <w:r>
        <w:rPr>
          <w:color w:val="222222"/>
          <w:spacing w:val="-7"/>
        </w:rPr>
        <w:t xml:space="preserve"> </w:t>
      </w:r>
      <w:r>
        <w:rPr>
          <w:color w:val="222222"/>
        </w:rPr>
        <w:t>2C</w:t>
      </w:r>
      <w:r>
        <w:rPr>
          <w:color w:val="222222"/>
          <w:spacing w:val="-4"/>
        </w:rPr>
        <w:t xml:space="preserve"> </w:t>
      </w:r>
      <w:r>
        <w:rPr>
          <w:color w:val="222222"/>
        </w:rPr>
        <w:t>is</w:t>
      </w:r>
      <w:r>
        <w:rPr>
          <w:color w:val="222222"/>
          <w:spacing w:val="-4"/>
        </w:rPr>
        <w:t xml:space="preserve"> </w:t>
      </w:r>
      <w:r>
        <w:rPr>
          <w:color w:val="222222"/>
        </w:rPr>
        <w:t>introduced</w:t>
      </w:r>
      <w:r>
        <w:rPr>
          <w:color w:val="222222"/>
          <w:spacing w:val="-4"/>
        </w:rPr>
        <w:t xml:space="preserve"> </w:t>
      </w:r>
      <w:r>
        <w:rPr>
          <w:color w:val="222222"/>
        </w:rPr>
        <w:t>before</w:t>
      </w:r>
      <w:r>
        <w:rPr>
          <w:color w:val="222222"/>
          <w:spacing w:val="-4"/>
        </w:rPr>
        <w:t xml:space="preserve"> </w:t>
      </w:r>
      <w:r>
        <w:rPr>
          <w:color w:val="222222"/>
        </w:rPr>
        <w:t>Fig.</w:t>
      </w:r>
      <w:r>
        <w:rPr>
          <w:color w:val="222222"/>
          <w:spacing w:val="-4"/>
        </w:rPr>
        <w:t xml:space="preserve"> </w:t>
      </w:r>
      <w:r>
        <w:rPr>
          <w:color w:val="222222"/>
        </w:rPr>
        <w:t>2a</w:t>
      </w:r>
      <w:r>
        <w:rPr>
          <w:color w:val="222222"/>
          <w:spacing w:val="-4"/>
        </w:rPr>
        <w:t xml:space="preserve"> </w:t>
      </w:r>
      <w:r>
        <w:rPr>
          <w:color w:val="222222"/>
        </w:rPr>
        <w:t>(L123</w:t>
      </w:r>
      <w:r>
        <w:rPr>
          <w:color w:val="222222"/>
          <w:spacing w:val="-4"/>
        </w:rPr>
        <w:t xml:space="preserve"> </w:t>
      </w:r>
      <w:r>
        <w:rPr>
          <w:color w:val="222222"/>
        </w:rPr>
        <w:t>vs</w:t>
      </w:r>
      <w:r>
        <w:rPr>
          <w:color w:val="222222"/>
          <w:spacing w:val="-4"/>
        </w:rPr>
        <w:t xml:space="preserve"> </w:t>
      </w:r>
      <w:r>
        <w:rPr>
          <w:color w:val="222222"/>
          <w:spacing w:val="-2"/>
        </w:rPr>
        <w:t>L129)</w:t>
      </w:r>
    </w:p>
    <w:p w14:paraId="7ED8E464" w14:textId="77777777" w:rsidR="00E211CC" w:rsidRDefault="00E211CC" w:rsidP="00E211CC">
      <w:pPr>
        <w:pStyle w:val="BodyText"/>
        <w:spacing w:before="40" w:line="278" w:lineRule="auto"/>
        <w:ind w:right="861"/>
      </w:pPr>
      <w:r>
        <w:rPr>
          <w:color w:val="4A86E8"/>
        </w:rPr>
        <w:t>Thank</w:t>
      </w:r>
      <w:r>
        <w:rPr>
          <w:color w:val="4A86E8"/>
          <w:spacing w:val="-3"/>
        </w:rPr>
        <w:t xml:space="preserve"> </w:t>
      </w:r>
      <w:r>
        <w:rPr>
          <w:color w:val="4A86E8"/>
        </w:rPr>
        <w:t>you</w:t>
      </w:r>
      <w:r>
        <w:rPr>
          <w:color w:val="4A86E8"/>
          <w:spacing w:val="-3"/>
        </w:rPr>
        <w:t xml:space="preserve"> </w:t>
      </w:r>
      <w:r>
        <w:rPr>
          <w:color w:val="4A86E8"/>
        </w:rPr>
        <w:t>for</w:t>
      </w:r>
      <w:r>
        <w:rPr>
          <w:color w:val="4A86E8"/>
          <w:spacing w:val="-3"/>
        </w:rPr>
        <w:t xml:space="preserve"> </w:t>
      </w:r>
      <w:r>
        <w:rPr>
          <w:color w:val="4A86E8"/>
        </w:rPr>
        <w:t>pointing</w:t>
      </w:r>
      <w:r>
        <w:rPr>
          <w:color w:val="4A86E8"/>
          <w:spacing w:val="-3"/>
        </w:rPr>
        <w:t xml:space="preserve"> </w:t>
      </w:r>
      <w:r>
        <w:rPr>
          <w:color w:val="4A86E8"/>
        </w:rPr>
        <w:t>this</w:t>
      </w:r>
      <w:r>
        <w:rPr>
          <w:color w:val="4A86E8"/>
          <w:spacing w:val="-3"/>
        </w:rPr>
        <w:t xml:space="preserve"> </w:t>
      </w:r>
      <w:r>
        <w:rPr>
          <w:color w:val="4A86E8"/>
        </w:rPr>
        <w:t>out.</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modified</w:t>
      </w:r>
      <w:r>
        <w:rPr>
          <w:color w:val="4A86E8"/>
          <w:spacing w:val="-3"/>
        </w:rPr>
        <w:t xml:space="preserve"> </w:t>
      </w:r>
      <w:r>
        <w:rPr>
          <w:color w:val="4A86E8"/>
        </w:rPr>
        <w:t>the</w:t>
      </w:r>
      <w:r>
        <w:rPr>
          <w:color w:val="4A86E8"/>
          <w:spacing w:val="-3"/>
        </w:rPr>
        <w:t xml:space="preserve"> </w:t>
      </w:r>
      <w:r>
        <w:rPr>
          <w:color w:val="4A86E8"/>
        </w:rPr>
        <w:t>order</w:t>
      </w:r>
      <w:r>
        <w:rPr>
          <w:color w:val="4A86E8"/>
          <w:spacing w:val="-3"/>
        </w:rPr>
        <w:t xml:space="preserve"> </w:t>
      </w:r>
      <w:r>
        <w:rPr>
          <w:color w:val="4A86E8"/>
        </w:rPr>
        <w:t>of</w:t>
      </w:r>
      <w:r>
        <w:rPr>
          <w:color w:val="4A86E8"/>
          <w:spacing w:val="-3"/>
        </w:rPr>
        <w:t xml:space="preserve"> </w:t>
      </w:r>
      <w:r>
        <w:rPr>
          <w:color w:val="4A86E8"/>
        </w:rPr>
        <w:t>figure</w:t>
      </w:r>
      <w:r>
        <w:rPr>
          <w:color w:val="4A86E8"/>
          <w:spacing w:val="-3"/>
        </w:rPr>
        <w:t xml:space="preserve"> </w:t>
      </w:r>
      <w:r>
        <w:rPr>
          <w:color w:val="4A86E8"/>
        </w:rPr>
        <w:t>panels</w:t>
      </w:r>
      <w:r>
        <w:rPr>
          <w:color w:val="4A86E8"/>
          <w:spacing w:val="-3"/>
        </w:rPr>
        <w:t xml:space="preserve"> </w:t>
      </w:r>
      <w:r>
        <w:rPr>
          <w:color w:val="4A86E8"/>
        </w:rPr>
        <w:t>to</w:t>
      </w:r>
      <w:r>
        <w:rPr>
          <w:color w:val="4A86E8"/>
          <w:spacing w:val="-3"/>
        </w:rPr>
        <w:t xml:space="preserve"> </w:t>
      </w:r>
      <w:r>
        <w:rPr>
          <w:color w:val="4A86E8"/>
        </w:rPr>
        <w:t>correctly</w:t>
      </w:r>
      <w:r>
        <w:rPr>
          <w:color w:val="4A86E8"/>
          <w:spacing w:val="-3"/>
        </w:rPr>
        <w:t xml:space="preserve"> </w:t>
      </w:r>
      <w:r>
        <w:rPr>
          <w:color w:val="4A86E8"/>
        </w:rPr>
        <w:t>reflect the order they are introduced in the text.</w:t>
      </w:r>
    </w:p>
    <w:p w14:paraId="61BEC4EA" w14:textId="77777777" w:rsidR="00E211CC" w:rsidRDefault="00E211CC" w:rsidP="00E211CC">
      <w:pPr>
        <w:pStyle w:val="BodyText"/>
        <w:spacing w:before="34"/>
        <w:ind w:left="0"/>
      </w:pPr>
    </w:p>
    <w:p w14:paraId="6E95371F" w14:textId="77777777" w:rsidR="00E211CC" w:rsidRDefault="00E211CC" w:rsidP="00E211CC">
      <w:pPr>
        <w:pStyle w:val="ListParagraph"/>
        <w:widowControl w:val="0"/>
        <w:numPr>
          <w:ilvl w:val="0"/>
          <w:numId w:val="4"/>
        </w:numPr>
        <w:tabs>
          <w:tab w:val="left" w:pos="1063"/>
        </w:tabs>
        <w:autoSpaceDE w:val="0"/>
        <w:autoSpaceDN w:val="0"/>
        <w:spacing w:after="0" w:line="276" w:lineRule="auto"/>
        <w:ind w:right="922" w:firstLine="0"/>
        <w:contextualSpacing w:val="0"/>
      </w:pPr>
      <w:r>
        <w:rPr>
          <w:color w:val="222222"/>
        </w:rPr>
        <w:t>Fig.</w:t>
      </w:r>
      <w:r>
        <w:rPr>
          <w:color w:val="222222"/>
          <w:spacing w:val="-3"/>
        </w:rPr>
        <w:t xml:space="preserve"> </w:t>
      </w:r>
      <w:r>
        <w:rPr>
          <w:color w:val="222222"/>
        </w:rPr>
        <w:t>2D</w:t>
      </w:r>
      <w:r>
        <w:rPr>
          <w:color w:val="222222"/>
          <w:spacing w:val="-3"/>
        </w:rPr>
        <w:t xml:space="preserve"> </w:t>
      </w:r>
      <w:r>
        <w:rPr>
          <w:color w:val="222222"/>
        </w:rPr>
        <w:t>should</w:t>
      </w:r>
      <w:r>
        <w:rPr>
          <w:color w:val="222222"/>
          <w:spacing w:val="-3"/>
        </w:rPr>
        <w:t xml:space="preserve"> </w:t>
      </w:r>
      <w:r>
        <w:rPr>
          <w:color w:val="222222"/>
        </w:rPr>
        <w:t>also</w:t>
      </w:r>
      <w:r>
        <w:rPr>
          <w:color w:val="222222"/>
          <w:spacing w:val="-3"/>
        </w:rPr>
        <w:t xml:space="preserve"> </w:t>
      </w:r>
      <w:r>
        <w:rPr>
          <w:color w:val="222222"/>
        </w:rPr>
        <w:t>contain</w:t>
      </w:r>
      <w:r>
        <w:rPr>
          <w:color w:val="222222"/>
          <w:spacing w:val="-3"/>
        </w:rPr>
        <w:t xml:space="preserve"> </w:t>
      </w:r>
      <w:r>
        <w:rPr>
          <w:color w:val="222222"/>
        </w:rPr>
        <w:t>the</w:t>
      </w:r>
      <w:r>
        <w:rPr>
          <w:color w:val="222222"/>
          <w:spacing w:val="-3"/>
        </w:rPr>
        <w:t xml:space="preserve"> </w:t>
      </w:r>
      <w:r>
        <w:rPr>
          <w:color w:val="222222"/>
        </w:rPr>
        <w:t>bar</w:t>
      </w:r>
      <w:r>
        <w:rPr>
          <w:color w:val="222222"/>
          <w:spacing w:val="-3"/>
        </w:rPr>
        <w:t xml:space="preserve"> </w:t>
      </w:r>
      <w:r>
        <w:rPr>
          <w:color w:val="222222"/>
        </w:rPr>
        <w:t>showing</w:t>
      </w:r>
      <w:r>
        <w:rPr>
          <w:color w:val="222222"/>
          <w:spacing w:val="-3"/>
        </w:rPr>
        <w:t xml:space="preserve"> </w:t>
      </w:r>
      <w:r>
        <w:rPr>
          <w:color w:val="222222"/>
        </w:rPr>
        <w:t>the</w:t>
      </w:r>
      <w:r>
        <w:rPr>
          <w:color w:val="222222"/>
          <w:spacing w:val="-3"/>
        </w:rPr>
        <w:t xml:space="preserve"> </w:t>
      </w:r>
      <w:r>
        <w:rPr>
          <w:color w:val="222222"/>
        </w:rPr>
        <w:t>enrichment</w:t>
      </w:r>
      <w:r>
        <w:rPr>
          <w:color w:val="222222"/>
          <w:spacing w:val="-3"/>
        </w:rPr>
        <w:t xml:space="preserve"> </w:t>
      </w:r>
      <w:r>
        <w:rPr>
          <w:color w:val="222222"/>
        </w:rPr>
        <w:t>from</w:t>
      </w:r>
      <w:r>
        <w:rPr>
          <w:color w:val="222222"/>
          <w:spacing w:val="-3"/>
        </w:rPr>
        <w:t xml:space="preserve"> </w:t>
      </w:r>
      <w:r>
        <w:rPr>
          <w:color w:val="222222"/>
        </w:rPr>
        <w:t>2C</w:t>
      </w:r>
      <w:r>
        <w:rPr>
          <w:color w:val="222222"/>
          <w:spacing w:val="-3"/>
        </w:rPr>
        <w:t xml:space="preserve"> </w:t>
      </w:r>
      <w:r>
        <w:rPr>
          <w:color w:val="222222"/>
        </w:rPr>
        <w:t>for</w:t>
      </w:r>
      <w:r>
        <w:rPr>
          <w:color w:val="222222"/>
          <w:spacing w:val="-3"/>
        </w:rPr>
        <w:t xml:space="preserve"> </w:t>
      </w:r>
      <w:r>
        <w:rPr>
          <w:color w:val="222222"/>
        </w:rPr>
        <w:t>easier</w:t>
      </w:r>
      <w:r>
        <w:rPr>
          <w:color w:val="222222"/>
          <w:spacing w:val="-3"/>
        </w:rPr>
        <w:t xml:space="preserve"> </w:t>
      </w:r>
      <w:r>
        <w:rPr>
          <w:color w:val="222222"/>
        </w:rPr>
        <w:t>comparison</w:t>
      </w:r>
      <w:r>
        <w:rPr>
          <w:color w:val="222222"/>
          <w:spacing w:val="-3"/>
        </w:rPr>
        <w:t xml:space="preserve"> </w:t>
      </w:r>
      <w:r>
        <w:rPr>
          <w:color w:val="222222"/>
        </w:rPr>
        <w:t>to all/non-stratified variants using Enformer. Figure legend should also mention 'Low/high Enformer SAD scores'. The authors should also mention that using variants in more cell type specific peaks with high Enformer SAD score are even more highly enriched for trait heritability than variants in cell type specific peaks generally.</w:t>
      </w:r>
    </w:p>
    <w:p w14:paraId="6D70929A" w14:textId="77777777" w:rsidR="00E211CC" w:rsidRDefault="00E211CC" w:rsidP="00E211CC">
      <w:pPr>
        <w:pStyle w:val="BodyText"/>
        <w:spacing w:line="276" w:lineRule="auto"/>
        <w:ind w:right="935"/>
      </w:pPr>
      <w:r>
        <w:rPr>
          <w:color w:val="4A86E8"/>
        </w:rPr>
        <w:t>We have modified Figure 2D and the accompanying figure legend and text for clarity based on the</w:t>
      </w:r>
      <w:r>
        <w:rPr>
          <w:color w:val="4A86E8"/>
          <w:spacing w:val="-3"/>
        </w:rPr>
        <w:t xml:space="preserve"> </w:t>
      </w:r>
      <w:r>
        <w:rPr>
          <w:color w:val="4A86E8"/>
        </w:rPr>
        <w:t>reviewers’</w:t>
      </w:r>
      <w:r>
        <w:rPr>
          <w:color w:val="4A86E8"/>
          <w:spacing w:val="-3"/>
        </w:rPr>
        <w:t xml:space="preserve"> </w:t>
      </w:r>
      <w:r>
        <w:rPr>
          <w:color w:val="4A86E8"/>
        </w:rPr>
        <w:t>suggestions.</w:t>
      </w:r>
      <w:r>
        <w:rPr>
          <w:color w:val="4A86E8"/>
          <w:spacing w:val="-3"/>
        </w:rPr>
        <w:t xml:space="preserve"> </w:t>
      </w:r>
      <w:r>
        <w:rPr>
          <w:color w:val="4A86E8"/>
        </w:rPr>
        <w:t>In</w:t>
      </w:r>
      <w:r>
        <w:rPr>
          <w:color w:val="4A86E8"/>
          <w:spacing w:val="-3"/>
        </w:rPr>
        <w:t xml:space="preserve"> </w:t>
      </w:r>
      <w:r>
        <w:rPr>
          <w:color w:val="4A86E8"/>
        </w:rPr>
        <w:t>particular,</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replaced</w:t>
      </w:r>
      <w:r>
        <w:rPr>
          <w:color w:val="4A86E8"/>
          <w:spacing w:val="-3"/>
        </w:rPr>
        <w:t xml:space="preserve"> </w:t>
      </w:r>
      <w:r>
        <w:rPr>
          <w:color w:val="4A86E8"/>
        </w:rPr>
        <w:t>the</w:t>
      </w:r>
      <w:r>
        <w:rPr>
          <w:color w:val="4A86E8"/>
          <w:spacing w:val="-3"/>
        </w:rPr>
        <w:t xml:space="preserve"> </w:t>
      </w:r>
      <w:r>
        <w:rPr>
          <w:color w:val="4A86E8"/>
        </w:rPr>
        <w:t>bar</w:t>
      </w:r>
      <w:r>
        <w:rPr>
          <w:color w:val="4A86E8"/>
          <w:spacing w:val="-3"/>
        </w:rPr>
        <w:t xml:space="preserve"> </w:t>
      </w:r>
      <w:r>
        <w:rPr>
          <w:color w:val="4A86E8"/>
        </w:rPr>
        <w:t>showing</w:t>
      </w:r>
      <w:r>
        <w:rPr>
          <w:color w:val="4A86E8"/>
          <w:spacing w:val="-3"/>
        </w:rPr>
        <w:t xml:space="preserve"> </w:t>
      </w:r>
      <w:r>
        <w:rPr>
          <w:color w:val="4A86E8"/>
        </w:rPr>
        <w:t>enrichment</w:t>
      </w:r>
      <w:r>
        <w:rPr>
          <w:color w:val="4A86E8"/>
          <w:spacing w:val="-3"/>
        </w:rPr>
        <w:t xml:space="preserve"> </w:t>
      </w:r>
      <w:r>
        <w:rPr>
          <w:color w:val="4A86E8"/>
        </w:rPr>
        <w:t>of</w:t>
      </w:r>
      <w:r>
        <w:rPr>
          <w:color w:val="4A86E8"/>
          <w:spacing w:val="-3"/>
        </w:rPr>
        <w:t xml:space="preserve"> </w:t>
      </w:r>
      <w:r>
        <w:rPr>
          <w:color w:val="4A86E8"/>
        </w:rPr>
        <w:t>‘Low Enformer SAD score’ variants with the bar from Fig. 2C (now Fig. 2A) showing the enrichment of all variants, as we believe this is a more useful comparison which directly shows that the subset</w:t>
      </w:r>
      <w:r>
        <w:rPr>
          <w:color w:val="4A86E8"/>
          <w:spacing w:val="-3"/>
        </w:rPr>
        <w:t xml:space="preserve"> </w:t>
      </w:r>
      <w:r>
        <w:rPr>
          <w:color w:val="4A86E8"/>
        </w:rPr>
        <w:t>of</w:t>
      </w:r>
      <w:r>
        <w:rPr>
          <w:color w:val="4A86E8"/>
          <w:spacing w:val="-3"/>
        </w:rPr>
        <w:t xml:space="preserve"> </w:t>
      </w:r>
      <w:r>
        <w:rPr>
          <w:color w:val="4A86E8"/>
        </w:rPr>
        <w:t>variants</w:t>
      </w:r>
      <w:r>
        <w:rPr>
          <w:color w:val="4A86E8"/>
          <w:spacing w:val="-3"/>
        </w:rPr>
        <w:t xml:space="preserve"> </w:t>
      </w:r>
      <w:r>
        <w:rPr>
          <w:color w:val="4A86E8"/>
        </w:rPr>
        <w:t>with</w:t>
      </w:r>
      <w:r>
        <w:rPr>
          <w:color w:val="4A86E8"/>
          <w:spacing w:val="-3"/>
        </w:rPr>
        <w:t xml:space="preserve"> </w:t>
      </w:r>
      <w:r>
        <w:rPr>
          <w:color w:val="4A86E8"/>
        </w:rPr>
        <w:t>high</w:t>
      </w:r>
      <w:r>
        <w:rPr>
          <w:color w:val="4A86E8"/>
          <w:spacing w:val="-3"/>
        </w:rPr>
        <w:t xml:space="preserve"> </w:t>
      </w:r>
      <w:r>
        <w:rPr>
          <w:color w:val="4A86E8"/>
        </w:rPr>
        <w:t>Enformer</w:t>
      </w:r>
      <w:r>
        <w:rPr>
          <w:color w:val="4A86E8"/>
          <w:spacing w:val="-3"/>
        </w:rPr>
        <w:t xml:space="preserve"> </w:t>
      </w:r>
      <w:r>
        <w:rPr>
          <w:color w:val="4A86E8"/>
        </w:rPr>
        <w:t>SAD</w:t>
      </w:r>
      <w:r>
        <w:rPr>
          <w:color w:val="4A86E8"/>
          <w:spacing w:val="-3"/>
        </w:rPr>
        <w:t xml:space="preserve"> </w:t>
      </w:r>
      <w:r>
        <w:rPr>
          <w:color w:val="4A86E8"/>
        </w:rPr>
        <w:t>scores</w:t>
      </w:r>
      <w:r>
        <w:rPr>
          <w:color w:val="4A86E8"/>
          <w:spacing w:val="-3"/>
        </w:rPr>
        <w:t xml:space="preserve"> </w:t>
      </w:r>
      <w:r>
        <w:rPr>
          <w:color w:val="4A86E8"/>
        </w:rPr>
        <w:t>in</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peaks</w:t>
      </w:r>
      <w:r>
        <w:rPr>
          <w:color w:val="4A86E8"/>
          <w:spacing w:val="-3"/>
        </w:rPr>
        <w:t xml:space="preserve"> </w:t>
      </w:r>
      <w:r>
        <w:rPr>
          <w:color w:val="4A86E8"/>
        </w:rPr>
        <w:t>are</w:t>
      </w:r>
      <w:r>
        <w:rPr>
          <w:color w:val="4A86E8"/>
          <w:spacing w:val="-3"/>
        </w:rPr>
        <w:t xml:space="preserve"> </w:t>
      </w:r>
      <w:r>
        <w:rPr>
          <w:color w:val="4A86E8"/>
        </w:rPr>
        <w:t>more</w:t>
      </w:r>
      <w:r>
        <w:rPr>
          <w:color w:val="4A86E8"/>
          <w:spacing w:val="-3"/>
        </w:rPr>
        <w:t xml:space="preserve"> </w:t>
      </w:r>
      <w:r>
        <w:rPr>
          <w:color w:val="4A86E8"/>
        </w:rPr>
        <w:t>enriched</w:t>
      </w:r>
    </w:p>
    <w:p w14:paraId="12B4FEFB"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44A69F5A" w14:textId="77777777" w:rsidR="00E211CC" w:rsidRDefault="00E211CC" w:rsidP="00E211CC">
      <w:pPr>
        <w:pStyle w:val="BodyText"/>
        <w:spacing w:before="80" w:line="276" w:lineRule="auto"/>
        <w:ind w:right="861"/>
      </w:pPr>
      <w:r>
        <w:rPr>
          <w:color w:val="4A86E8"/>
        </w:rPr>
        <w:lastRenderedPageBreak/>
        <w:t>for</w:t>
      </w:r>
      <w:r>
        <w:rPr>
          <w:color w:val="4A86E8"/>
          <w:spacing w:val="-3"/>
        </w:rPr>
        <w:t xml:space="preserve"> </w:t>
      </w:r>
      <w:r>
        <w:rPr>
          <w:color w:val="4A86E8"/>
        </w:rPr>
        <w:t>trait</w:t>
      </w:r>
      <w:r>
        <w:rPr>
          <w:color w:val="4A86E8"/>
          <w:spacing w:val="-3"/>
        </w:rPr>
        <w:t xml:space="preserve"> </w:t>
      </w:r>
      <w:r>
        <w:rPr>
          <w:color w:val="4A86E8"/>
        </w:rPr>
        <w:t>heritability</w:t>
      </w:r>
      <w:r>
        <w:rPr>
          <w:color w:val="4A86E8"/>
          <w:spacing w:val="-3"/>
        </w:rPr>
        <w:t xml:space="preserve"> </w:t>
      </w:r>
      <w:r>
        <w:rPr>
          <w:color w:val="4A86E8"/>
        </w:rPr>
        <w:t>than</w:t>
      </w:r>
      <w:r>
        <w:rPr>
          <w:color w:val="4A86E8"/>
          <w:spacing w:val="-3"/>
        </w:rPr>
        <w:t xml:space="preserve"> </w:t>
      </w:r>
      <w:r>
        <w:rPr>
          <w:color w:val="4A86E8"/>
        </w:rPr>
        <w:t>all</w:t>
      </w:r>
      <w:r>
        <w:rPr>
          <w:color w:val="4A86E8"/>
          <w:spacing w:val="-3"/>
        </w:rPr>
        <w:t xml:space="preserve"> </w:t>
      </w:r>
      <w:r>
        <w:rPr>
          <w:color w:val="4A86E8"/>
        </w:rPr>
        <w:t>variants</w:t>
      </w:r>
      <w:r>
        <w:rPr>
          <w:color w:val="4A86E8"/>
          <w:spacing w:val="-3"/>
        </w:rPr>
        <w:t xml:space="preserve"> </w:t>
      </w:r>
      <w:r>
        <w:rPr>
          <w:color w:val="4A86E8"/>
        </w:rPr>
        <w:t>in</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peaks.</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also</w:t>
      </w:r>
      <w:r>
        <w:rPr>
          <w:color w:val="4A86E8"/>
          <w:spacing w:val="-3"/>
        </w:rPr>
        <w:t xml:space="preserve"> </w:t>
      </w:r>
      <w:r>
        <w:rPr>
          <w:color w:val="4A86E8"/>
        </w:rPr>
        <w:t>modified</w:t>
      </w:r>
      <w:r>
        <w:rPr>
          <w:color w:val="4A86E8"/>
          <w:spacing w:val="-3"/>
        </w:rPr>
        <w:t xml:space="preserve"> </w:t>
      </w:r>
      <w:r>
        <w:rPr>
          <w:color w:val="4A86E8"/>
        </w:rPr>
        <w:t>the</w:t>
      </w:r>
      <w:r>
        <w:rPr>
          <w:color w:val="4A86E8"/>
          <w:spacing w:val="-3"/>
        </w:rPr>
        <w:t xml:space="preserve"> </w:t>
      </w:r>
      <w:r>
        <w:rPr>
          <w:color w:val="4A86E8"/>
        </w:rPr>
        <w:t xml:space="preserve">figure legend to explicitly mention “high Enformer SNP Accessibility Difference (SAD) scores.” In addition, we have modified the accompanying results text to read: “For the majority of tested traits, we find that variants in cell type specific peaks with high Enformer SAD scores are more </w:t>
      </w:r>
      <w:r>
        <w:rPr>
          <w:strike/>
          <w:color w:val="4A86E8"/>
        </w:rPr>
        <w:t>highly</w:t>
      </w:r>
      <w:r>
        <w:rPr>
          <w:color w:val="4A86E8"/>
        </w:rPr>
        <w:t xml:space="preserve"> enriched for trait heritability </w:t>
      </w:r>
      <w:r>
        <w:rPr>
          <w:b/>
          <w:color w:val="4A86E8"/>
        </w:rPr>
        <w:t>than all variants in cell type specific peaks generally</w:t>
      </w:r>
      <w:r>
        <w:rPr>
          <w:color w:val="4A86E8"/>
        </w:rPr>
        <w:t>.“</w:t>
      </w:r>
    </w:p>
    <w:p w14:paraId="473C1411" w14:textId="77777777" w:rsidR="00E211CC" w:rsidRDefault="00E211CC" w:rsidP="00E211CC">
      <w:pPr>
        <w:pStyle w:val="BodyText"/>
        <w:spacing w:before="39"/>
        <w:ind w:left="0"/>
      </w:pPr>
    </w:p>
    <w:p w14:paraId="66DA97E1" w14:textId="77777777" w:rsidR="00E211CC" w:rsidRDefault="00E211CC" w:rsidP="00E211CC">
      <w:pPr>
        <w:pStyle w:val="ListParagraph"/>
        <w:widowControl w:val="0"/>
        <w:numPr>
          <w:ilvl w:val="0"/>
          <w:numId w:val="4"/>
        </w:numPr>
        <w:tabs>
          <w:tab w:val="left" w:pos="1063"/>
        </w:tabs>
        <w:autoSpaceDE w:val="0"/>
        <w:autoSpaceDN w:val="0"/>
        <w:spacing w:after="0" w:line="240" w:lineRule="auto"/>
        <w:ind w:left="1063" w:hanging="243"/>
        <w:contextualSpacing w:val="0"/>
      </w:pPr>
      <w:r>
        <w:rPr>
          <w:color w:val="222222"/>
        </w:rPr>
        <w:t>L179:</w:t>
      </w:r>
      <w:r>
        <w:rPr>
          <w:color w:val="222222"/>
          <w:spacing w:val="-6"/>
        </w:rPr>
        <w:t xml:space="preserve"> </w:t>
      </w:r>
      <w:r>
        <w:rPr>
          <w:color w:val="222222"/>
        </w:rPr>
        <w:t>"Taken</w:t>
      </w:r>
      <w:r>
        <w:rPr>
          <w:color w:val="222222"/>
          <w:spacing w:val="-6"/>
        </w:rPr>
        <w:t xml:space="preserve"> </w:t>
      </w:r>
      <w:r>
        <w:rPr>
          <w:color w:val="222222"/>
        </w:rPr>
        <w:t>together,</w:t>
      </w:r>
      <w:r>
        <w:rPr>
          <w:color w:val="222222"/>
          <w:spacing w:val="-6"/>
        </w:rPr>
        <w:t xml:space="preserve"> </w:t>
      </w:r>
      <w:r>
        <w:rPr>
          <w:color w:val="222222"/>
        </w:rPr>
        <w:t>…these</w:t>
      </w:r>
      <w:r>
        <w:rPr>
          <w:color w:val="222222"/>
          <w:spacing w:val="-6"/>
        </w:rPr>
        <w:t xml:space="preserve"> </w:t>
      </w:r>
      <w:r>
        <w:rPr>
          <w:color w:val="222222"/>
        </w:rPr>
        <w:t>results</w:t>
      </w:r>
      <w:r>
        <w:rPr>
          <w:color w:val="222222"/>
          <w:spacing w:val="-6"/>
        </w:rPr>
        <w:t xml:space="preserve"> </w:t>
      </w:r>
      <w:r>
        <w:rPr>
          <w:color w:val="222222"/>
        </w:rPr>
        <w:t>indicate…</w:t>
      </w:r>
      <w:r>
        <w:rPr>
          <w:color w:val="222222"/>
          <w:spacing w:val="-6"/>
        </w:rPr>
        <w:t xml:space="preserve"> </w:t>
      </w:r>
      <w:r>
        <w:rPr>
          <w:color w:val="222222"/>
        </w:rPr>
        <w:t>that</w:t>
      </w:r>
      <w:r>
        <w:rPr>
          <w:color w:val="222222"/>
          <w:spacing w:val="-6"/>
        </w:rPr>
        <w:t xml:space="preserve"> </w:t>
      </w:r>
      <w:r>
        <w:rPr>
          <w:color w:val="222222"/>
        </w:rPr>
        <w:t>models</w:t>
      </w:r>
      <w:r>
        <w:rPr>
          <w:color w:val="222222"/>
          <w:spacing w:val="-6"/>
        </w:rPr>
        <w:t xml:space="preserve"> </w:t>
      </w:r>
      <w:r>
        <w:rPr>
          <w:color w:val="222222"/>
        </w:rPr>
        <w:t>have</w:t>
      </w:r>
      <w:r>
        <w:rPr>
          <w:color w:val="222222"/>
          <w:spacing w:val="-6"/>
        </w:rPr>
        <w:t xml:space="preserve"> </w:t>
      </w:r>
      <w:r>
        <w:rPr>
          <w:color w:val="222222"/>
        </w:rPr>
        <w:t>decreased</w:t>
      </w:r>
      <w:r>
        <w:rPr>
          <w:color w:val="222222"/>
          <w:spacing w:val="-6"/>
        </w:rPr>
        <w:t xml:space="preserve"> </w:t>
      </w:r>
      <w:r>
        <w:rPr>
          <w:color w:val="222222"/>
        </w:rPr>
        <w:t>…</w:t>
      </w:r>
      <w:r>
        <w:rPr>
          <w:color w:val="222222"/>
          <w:spacing w:val="-6"/>
        </w:rPr>
        <w:t xml:space="preserve"> </w:t>
      </w:r>
      <w:r>
        <w:rPr>
          <w:color w:val="222222"/>
          <w:spacing w:val="-2"/>
        </w:rPr>
        <w:t>accuracy."</w:t>
      </w:r>
    </w:p>
    <w:p w14:paraId="6B018C6B" w14:textId="77777777" w:rsidR="00E211CC" w:rsidRDefault="00E211CC" w:rsidP="00E211CC">
      <w:pPr>
        <w:pStyle w:val="BodyText"/>
        <w:spacing w:before="35" w:line="276" w:lineRule="auto"/>
        <w:ind w:right="1024"/>
      </w:pPr>
      <w:r>
        <w:rPr>
          <w:color w:val="222222"/>
        </w:rPr>
        <w:t>-&gt;</w:t>
      </w:r>
      <w:r>
        <w:rPr>
          <w:color w:val="222222"/>
          <w:spacing w:val="-3"/>
        </w:rPr>
        <w:t xml:space="preserve"> </w:t>
      </w:r>
      <w:r>
        <w:rPr>
          <w:color w:val="222222"/>
        </w:rPr>
        <w:t>I</w:t>
      </w:r>
      <w:r>
        <w:rPr>
          <w:color w:val="222222"/>
          <w:spacing w:val="-3"/>
        </w:rPr>
        <w:t xml:space="preserve"> </w:t>
      </w:r>
      <w:r>
        <w:rPr>
          <w:color w:val="222222"/>
        </w:rPr>
        <w:t>don't</w:t>
      </w:r>
      <w:r>
        <w:rPr>
          <w:color w:val="222222"/>
          <w:spacing w:val="-3"/>
        </w:rPr>
        <w:t xml:space="preserve"> </w:t>
      </w:r>
      <w:r>
        <w:rPr>
          <w:color w:val="222222"/>
        </w:rPr>
        <w:t>think</w:t>
      </w:r>
      <w:r>
        <w:rPr>
          <w:color w:val="222222"/>
          <w:spacing w:val="-3"/>
        </w:rPr>
        <w:t xml:space="preserve"> </w:t>
      </w:r>
      <w:r>
        <w:rPr>
          <w:color w:val="222222"/>
        </w:rPr>
        <w:t>Fig.</w:t>
      </w:r>
      <w:r>
        <w:rPr>
          <w:color w:val="222222"/>
          <w:spacing w:val="-3"/>
        </w:rPr>
        <w:t xml:space="preserve"> </w:t>
      </w:r>
      <w:r>
        <w:rPr>
          <w:color w:val="222222"/>
        </w:rPr>
        <w:t>2D</w:t>
      </w:r>
      <w:r>
        <w:rPr>
          <w:color w:val="222222"/>
          <w:spacing w:val="-3"/>
        </w:rPr>
        <w:t xml:space="preserve"> </w:t>
      </w:r>
      <w:r>
        <w:rPr>
          <w:color w:val="222222"/>
        </w:rPr>
        <w:t>is</w:t>
      </w:r>
      <w:r>
        <w:rPr>
          <w:color w:val="222222"/>
          <w:spacing w:val="-3"/>
        </w:rPr>
        <w:t xml:space="preserve"> </w:t>
      </w:r>
      <w:r>
        <w:rPr>
          <w:color w:val="222222"/>
        </w:rPr>
        <w:t>showing</w:t>
      </w:r>
      <w:r>
        <w:rPr>
          <w:color w:val="222222"/>
          <w:spacing w:val="-3"/>
        </w:rPr>
        <w:t xml:space="preserve"> </w:t>
      </w:r>
      <w:r>
        <w:rPr>
          <w:color w:val="222222"/>
        </w:rPr>
        <w:t>lower</w:t>
      </w:r>
      <w:r>
        <w:rPr>
          <w:color w:val="222222"/>
          <w:spacing w:val="-3"/>
        </w:rPr>
        <w:t xml:space="preserve"> </w:t>
      </w:r>
      <w:r>
        <w:rPr>
          <w:color w:val="222222"/>
        </w:rPr>
        <w:t>performance</w:t>
      </w:r>
      <w:r>
        <w:rPr>
          <w:color w:val="222222"/>
          <w:spacing w:val="-3"/>
        </w:rPr>
        <w:t xml:space="preserve"> </w:t>
      </w:r>
      <w:r>
        <w:rPr>
          <w:color w:val="222222"/>
        </w:rPr>
        <w:t>in</w:t>
      </w:r>
      <w:r>
        <w:rPr>
          <w:color w:val="222222"/>
          <w:spacing w:val="-3"/>
        </w:rPr>
        <w:t xml:space="preserve"> </w:t>
      </w:r>
      <w:r>
        <w:rPr>
          <w:color w:val="222222"/>
        </w:rPr>
        <w:t>cell</w:t>
      </w:r>
      <w:r>
        <w:rPr>
          <w:color w:val="222222"/>
          <w:spacing w:val="-3"/>
        </w:rPr>
        <w:t xml:space="preserve"> </w:t>
      </w:r>
      <w:r>
        <w:rPr>
          <w:color w:val="222222"/>
        </w:rPr>
        <w:t>type</w:t>
      </w:r>
      <w:r>
        <w:rPr>
          <w:color w:val="222222"/>
          <w:spacing w:val="-3"/>
        </w:rPr>
        <w:t xml:space="preserve"> </w:t>
      </w:r>
      <w:r>
        <w:rPr>
          <w:color w:val="222222"/>
        </w:rPr>
        <w:t>specific</w:t>
      </w:r>
      <w:r>
        <w:rPr>
          <w:color w:val="222222"/>
          <w:spacing w:val="-3"/>
        </w:rPr>
        <w:t xml:space="preserve"> </w:t>
      </w:r>
      <w:r>
        <w:rPr>
          <w:color w:val="222222"/>
        </w:rPr>
        <w:t>CREs.</w:t>
      </w:r>
      <w:r>
        <w:rPr>
          <w:color w:val="222222"/>
          <w:spacing w:val="-3"/>
        </w:rPr>
        <w:t xml:space="preserve"> </w:t>
      </w:r>
      <w:r>
        <w:rPr>
          <w:color w:val="222222"/>
        </w:rPr>
        <w:t>Therefore,</w:t>
      </w:r>
      <w:r>
        <w:rPr>
          <w:color w:val="222222"/>
          <w:spacing w:val="-3"/>
        </w:rPr>
        <w:t xml:space="preserve"> </w:t>
      </w:r>
      <w:r>
        <w:rPr>
          <w:color w:val="222222"/>
        </w:rPr>
        <w:t xml:space="preserve">I would suggest moving the Fig. 2C and D to a separate section with its own conclusion </w:t>
      </w:r>
      <w:r>
        <w:rPr>
          <w:color w:val="222222"/>
          <w:spacing w:val="-2"/>
        </w:rPr>
        <w:t>sentence.</w:t>
      </w:r>
    </w:p>
    <w:p w14:paraId="3574E47A" w14:textId="77777777" w:rsidR="00E211CC" w:rsidRDefault="00E211CC" w:rsidP="00E211CC">
      <w:pPr>
        <w:pStyle w:val="BodyText"/>
        <w:spacing w:before="1" w:line="276" w:lineRule="auto"/>
        <w:ind w:right="861"/>
      </w:pPr>
      <w:r>
        <w:rPr>
          <w:color w:val="4A86E8"/>
        </w:rPr>
        <w:t>We appreciate that this wording was ambiguous and have modified the text to include separate conclusion</w:t>
      </w:r>
      <w:r>
        <w:rPr>
          <w:color w:val="4A86E8"/>
          <w:spacing w:val="-3"/>
        </w:rPr>
        <w:t xml:space="preserve"> </w:t>
      </w:r>
      <w:r>
        <w:rPr>
          <w:color w:val="4A86E8"/>
        </w:rPr>
        <w:t>sentences</w:t>
      </w:r>
      <w:r>
        <w:rPr>
          <w:color w:val="4A86E8"/>
          <w:spacing w:val="-3"/>
        </w:rPr>
        <w:t xml:space="preserve"> </w:t>
      </w:r>
      <w:r>
        <w:rPr>
          <w:color w:val="4A86E8"/>
        </w:rPr>
        <w:t>for</w:t>
      </w:r>
      <w:r>
        <w:rPr>
          <w:color w:val="4A86E8"/>
          <w:spacing w:val="-3"/>
        </w:rPr>
        <w:t xml:space="preserve"> </w:t>
      </w:r>
      <w:r>
        <w:rPr>
          <w:color w:val="4A86E8"/>
        </w:rPr>
        <w:t>the</w:t>
      </w:r>
      <w:r>
        <w:rPr>
          <w:color w:val="4A86E8"/>
          <w:spacing w:val="-3"/>
        </w:rPr>
        <w:t xml:space="preserve"> </w:t>
      </w:r>
      <w:r>
        <w:rPr>
          <w:color w:val="4A86E8"/>
        </w:rPr>
        <w:t>eQTL</w:t>
      </w:r>
      <w:r>
        <w:rPr>
          <w:color w:val="4A86E8"/>
          <w:spacing w:val="-3"/>
        </w:rPr>
        <w:t xml:space="preserve"> </w:t>
      </w:r>
      <w:r>
        <w:rPr>
          <w:color w:val="4A86E8"/>
        </w:rPr>
        <w:t>versus</w:t>
      </w:r>
      <w:r>
        <w:rPr>
          <w:color w:val="4A86E8"/>
          <w:spacing w:val="-3"/>
        </w:rPr>
        <w:t xml:space="preserve"> </w:t>
      </w:r>
      <w:r>
        <w:rPr>
          <w:color w:val="4A86E8"/>
        </w:rPr>
        <w:t>GWAS</w:t>
      </w:r>
      <w:r>
        <w:rPr>
          <w:color w:val="4A86E8"/>
          <w:spacing w:val="-3"/>
        </w:rPr>
        <w:t xml:space="preserve"> </w:t>
      </w:r>
      <w:r>
        <w:rPr>
          <w:color w:val="4A86E8"/>
        </w:rPr>
        <w:t>benchmarks.</w:t>
      </w:r>
      <w:r>
        <w:rPr>
          <w:color w:val="4A86E8"/>
          <w:spacing w:val="-3"/>
        </w:rPr>
        <w:t xml:space="preserve"> </w:t>
      </w:r>
      <w:r>
        <w:rPr>
          <w:color w:val="4A86E8"/>
        </w:rPr>
        <w:t>We</w:t>
      </w:r>
      <w:r>
        <w:rPr>
          <w:color w:val="4A86E8"/>
          <w:spacing w:val="-3"/>
        </w:rPr>
        <w:t xml:space="preserve"> </w:t>
      </w:r>
      <w:r>
        <w:rPr>
          <w:color w:val="4A86E8"/>
        </w:rPr>
        <w:t>agree</w:t>
      </w:r>
      <w:r>
        <w:rPr>
          <w:color w:val="4A86E8"/>
          <w:spacing w:val="-3"/>
        </w:rPr>
        <w:t xml:space="preserve"> </w:t>
      </w:r>
      <w:r>
        <w:rPr>
          <w:color w:val="4A86E8"/>
        </w:rPr>
        <w:t>that</w:t>
      </w:r>
      <w:r>
        <w:rPr>
          <w:color w:val="4A86E8"/>
          <w:spacing w:val="-3"/>
        </w:rPr>
        <w:t xml:space="preserve"> </w:t>
      </w:r>
      <w:r>
        <w:rPr>
          <w:color w:val="4A86E8"/>
        </w:rPr>
        <w:t>the</w:t>
      </w:r>
      <w:r>
        <w:rPr>
          <w:color w:val="4A86E8"/>
          <w:spacing w:val="-3"/>
        </w:rPr>
        <w:t xml:space="preserve"> </w:t>
      </w:r>
      <w:r>
        <w:rPr>
          <w:color w:val="4A86E8"/>
        </w:rPr>
        <w:t>results</w:t>
      </w:r>
      <w:r>
        <w:rPr>
          <w:color w:val="4A86E8"/>
          <w:spacing w:val="-3"/>
        </w:rPr>
        <w:t xml:space="preserve"> </w:t>
      </w:r>
      <w:r>
        <w:rPr>
          <w:color w:val="4A86E8"/>
        </w:rPr>
        <w:t>on</w:t>
      </w:r>
      <w:r>
        <w:rPr>
          <w:color w:val="4A86E8"/>
          <w:spacing w:val="-3"/>
        </w:rPr>
        <w:t xml:space="preserve"> </w:t>
      </w:r>
      <w:r>
        <w:rPr>
          <w:color w:val="4A86E8"/>
        </w:rPr>
        <w:t>the GWAS</w:t>
      </w:r>
      <w:r>
        <w:rPr>
          <w:color w:val="4A86E8"/>
          <w:spacing w:val="-1"/>
        </w:rPr>
        <w:t xml:space="preserve"> </w:t>
      </w:r>
      <w:r>
        <w:rPr>
          <w:color w:val="4A86E8"/>
        </w:rPr>
        <w:t>benchmark</w:t>
      </w:r>
      <w:r>
        <w:rPr>
          <w:color w:val="4A86E8"/>
          <w:spacing w:val="-1"/>
        </w:rPr>
        <w:t xml:space="preserve"> </w:t>
      </w:r>
      <w:r>
        <w:rPr>
          <w:color w:val="4A86E8"/>
        </w:rPr>
        <w:t>in</w:t>
      </w:r>
      <w:r>
        <w:rPr>
          <w:color w:val="4A86E8"/>
          <w:spacing w:val="-1"/>
        </w:rPr>
        <w:t xml:space="preserve"> </w:t>
      </w:r>
      <w:r>
        <w:rPr>
          <w:color w:val="4A86E8"/>
        </w:rPr>
        <w:t>Fig.</w:t>
      </w:r>
      <w:r>
        <w:rPr>
          <w:color w:val="4A86E8"/>
          <w:spacing w:val="-1"/>
        </w:rPr>
        <w:t xml:space="preserve"> </w:t>
      </w:r>
      <w:r>
        <w:rPr>
          <w:color w:val="4A86E8"/>
        </w:rPr>
        <w:t>2D</w:t>
      </w:r>
      <w:r>
        <w:rPr>
          <w:color w:val="4A86E8"/>
          <w:spacing w:val="-1"/>
        </w:rPr>
        <w:t xml:space="preserve"> </w:t>
      </w:r>
      <w:r>
        <w:rPr>
          <w:color w:val="4A86E8"/>
        </w:rPr>
        <w:t>demonstrate</w:t>
      </w:r>
      <w:r>
        <w:rPr>
          <w:color w:val="4A86E8"/>
          <w:spacing w:val="-1"/>
        </w:rPr>
        <w:t xml:space="preserve"> </w:t>
      </w:r>
      <w:r>
        <w:rPr>
          <w:color w:val="4A86E8"/>
        </w:rPr>
        <w:t>that</w:t>
      </w:r>
      <w:r>
        <w:rPr>
          <w:color w:val="4A86E8"/>
          <w:spacing w:val="-1"/>
        </w:rPr>
        <w:t xml:space="preserve"> </w:t>
      </w:r>
      <w:r>
        <w:rPr>
          <w:color w:val="4A86E8"/>
        </w:rPr>
        <w:t>Enformer’s</w:t>
      </w:r>
      <w:r>
        <w:rPr>
          <w:color w:val="4A86E8"/>
          <w:spacing w:val="-1"/>
        </w:rPr>
        <w:t xml:space="preserve"> </w:t>
      </w:r>
      <w:r>
        <w:rPr>
          <w:color w:val="4A86E8"/>
        </w:rPr>
        <w:t>predictions</w:t>
      </w:r>
      <w:r>
        <w:rPr>
          <w:color w:val="4A86E8"/>
          <w:spacing w:val="-1"/>
        </w:rPr>
        <w:t xml:space="preserve"> </w:t>
      </w:r>
      <w:r>
        <w:rPr>
          <w:color w:val="4A86E8"/>
        </w:rPr>
        <w:t>in</w:t>
      </w:r>
      <w:r>
        <w:rPr>
          <w:color w:val="4A86E8"/>
          <w:spacing w:val="-1"/>
        </w:rPr>
        <w:t xml:space="preserve"> </w:t>
      </w:r>
      <w:r>
        <w:rPr>
          <w:color w:val="4A86E8"/>
        </w:rPr>
        <w:t>cell</w:t>
      </w:r>
      <w:r>
        <w:rPr>
          <w:color w:val="4A86E8"/>
          <w:spacing w:val="-1"/>
        </w:rPr>
        <w:t xml:space="preserve"> </w:t>
      </w:r>
      <w:r>
        <w:rPr>
          <w:color w:val="4A86E8"/>
        </w:rPr>
        <w:t>type</w:t>
      </w:r>
      <w:r>
        <w:rPr>
          <w:color w:val="4A86E8"/>
          <w:spacing w:val="-1"/>
        </w:rPr>
        <w:t xml:space="preserve"> </w:t>
      </w:r>
      <w:r>
        <w:rPr>
          <w:color w:val="4A86E8"/>
        </w:rPr>
        <w:t>specific</w:t>
      </w:r>
      <w:r>
        <w:rPr>
          <w:color w:val="4A86E8"/>
          <w:spacing w:val="-1"/>
        </w:rPr>
        <w:t xml:space="preserve"> </w:t>
      </w:r>
      <w:r>
        <w:rPr>
          <w:color w:val="4A86E8"/>
        </w:rPr>
        <w:t>peaks are at least somewhat informative for the task of identifying complex trait-relevant variants. (It is more difficult to draw conclusions about their informativeness in the less cell type specific peaks due to the low overall enrichment of heritability in these peaks for most of the evaluated traits.) We have clarified in the text that the overall takeaway about variant effect prediction performance in cell type specific peaks is somewhat inconclusive, and may depend on the specific task or phenotype of interest.</w:t>
      </w:r>
    </w:p>
    <w:p w14:paraId="606DDCAF" w14:textId="77777777" w:rsidR="00E211CC" w:rsidRDefault="00E211CC" w:rsidP="00E211CC">
      <w:pPr>
        <w:pStyle w:val="BodyText"/>
        <w:spacing w:before="37"/>
        <w:ind w:left="0"/>
      </w:pPr>
    </w:p>
    <w:p w14:paraId="71B80089" w14:textId="77777777" w:rsidR="00E211CC" w:rsidRDefault="00E211CC" w:rsidP="00E211CC">
      <w:pPr>
        <w:pStyle w:val="ListParagraph"/>
        <w:widowControl w:val="0"/>
        <w:numPr>
          <w:ilvl w:val="0"/>
          <w:numId w:val="4"/>
        </w:numPr>
        <w:tabs>
          <w:tab w:val="left" w:pos="1063"/>
        </w:tabs>
        <w:autoSpaceDE w:val="0"/>
        <w:autoSpaceDN w:val="0"/>
        <w:spacing w:before="1" w:after="0" w:line="240" w:lineRule="auto"/>
        <w:ind w:left="1063" w:hanging="243"/>
        <w:contextualSpacing w:val="0"/>
      </w:pPr>
      <w:r>
        <w:rPr>
          <w:color w:val="222222"/>
        </w:rPr>
        <w:t>Fig.</w:t>
      </w:r>
      <w:r>
        <w:rPr>
          <w:color w:val="222222"/>
          <w:spacing w:val="-7"/>
        </w:rPr>
        <w:t xml:space="preserve"> </w:t>
      </w:r>
      <w:r>
        <w:rPr>
          <w:color w:val="222222"/>
        </w:rPr>
        <w:t>S3A</w:t>
      </w:r>
      <w:r>
        <w:rPr>
          <w:color w:val="222222"/>
          <w:spacing w:val="-5"/>
        </w:rPr>
        <w:t xml:space="preserve"> </w:t>
      </w:r>
      <w:r>
        <w:rPr>
          <w:color w:val="222222"/>
        </w:rPr>
        <w:t>y-axis</w:t>
      </w:r>
      <w:r>
        <w:rPr>
          <w:color w:val="222222"/>
          <w:spacing w:val="-4"/>
        </w:rPr>
        <w:t xml:space="preserve"> </w:t>
      </w:r>
      <w:r>
        <w:rPr>
          <w:color w:val="222222"/>
        </w:rPr>
        <w:t>should</w:t>
      </w:r>
      <w:r>
        <w:rPr>
          <w:color w:val="222222"/>
          <w:spacing w:val="-5"/>
        </w:rPr>
        <w:t xml:space="preserve"> </w:t>
      </w:r>
      <w:r>
        <w:rPr>
          <w:color w:val="222222"/>
        </w:rPr>
        <w:t>be</w:t>
      </w:r>
      <w:r>
        <w:rPr>
          <w:color w:val="222222"/>
          <w:spacing w:val="-4"/>
        </w:rPr>
        <w:t xml:space="preserve"> </w:t>
      </w:r>
      <w:r>
        <w:rPr>
          <w:color w:val="222222"/>
        </w:rPr>
        <w:t>shown</w:t>
      </w:r>
      <w:r>
        <w:rPr>
          <w:color w:val="222222"/>
          <w:spacing w:val="-5"/>
        </w:rPr>
        <w:t xml:space="preserve"> </w:t>
      </w:r>
      <w:r>
        <w:rPr>
          <w:color w:val="222222"/>
        </w:rPr>
        <w:t>in</w:t>
      </w:r>
      <w:r>
        <w:rPr>
          <w:color w:val="222222"/>
          <w:spacing w:val="-4"/>
        </w:rPr>
        <w:t xml:space="preserve"> </w:t>
      </w:r>
      <w:r>
        <w:rPr>
          <w:color w:val="222222"/>
        </w:rPr>
        <w:t>log-</w:t>
      </w:r>
      <w:r>
        <w:rPr>
          <w:color w:val="222222"/>
          <w:spacing w:val="-2"/>
        </w:rPr>
        <w:t>scale.</w:t>
      </w:r>
    </w:p>
    <w:p w14:paraId="3AF9753E" w14:textId="77777777" w:rsidR="00E211CC" w:rsidRDefault="00E211CC" w:rsidP="00E211CC">
      <w:pPr>
        <w:pStyle w:val="BodyText"/>
        <w:spacing w:before="39" w:line="273" w:lineRule="auto"/>
        <w:ind w:right="861"/>
      </w:pPr>
      <w:r>
        <w:rPr>
          <w:color w:val="4A86E8"/>
        </w:rPr>
        <w:t>We</w:t>
      </w:r>
      <w:r>
        <w:rPr>
          <w:color w:val="4A86E8"/>
          <w:spacing w:val="-3"/>
        </w:rPr>
        <w:t xml:space="preserve"> </w:t>
      </w:r>
      <w:r>
        <w:rPr>
          <w:color w:val="4A86E8"/>
        </w:rPr>
        <w:t>agree</w:t>
      </w:r>
      <w:r>
        <w:rPr>
          <w:color w:val="4A86E8"/>
          <w:spacing w:val="-3"/>
        </w:rPr>
        <w:t xml:space="preserve"> </w:t>
      </w:r>
      <w:r>
        <w:rPr>
          <w:color w:val="4A86E8"/>
        </w:rPr>
        <w:t>that</w:t>
      </w:r>
      <w:r>
        <w:rPr>
          <w:color w:val="4A86E8"/>
          <w:spacing w:val="-3"/>
        </w:rPr>
        <w:t xml:space="preserve"> </w:t>
      </w:r>
      <w:r>
        <w:rPr>
          <w:color w:val="4A86E8"/>
        </w:rPr>
        <w:t>this</w:t>
      </w:r>
      <w:r>
        <w:rPr>
          <w:color w:val="4A86E8"/>
          <w:spacing w:val="-3"/>
        </w:rPr>
        <w:t xml:space="preserve"> </w:t>
      </w:r>
      <w:r>
        <w:rPr>
          <w:color w:val="4A86E8"/>
        </w:rPr>
        <w:t>y-axis</w:t>
      </w:r>
      <w:r>
        <w:rPr>
          <w:color w:val="4A86E8"/>
          <w:spacing w:val="-3"/>
        </w:rPr>
        <w:t xml:space="preserve"> </w:t>
      </w:r>
      <w:r>
        <w:rPr>
          <w:color w:val="4A86E8"/>
        </w:rPr>
        <w:t>of</w:t>
      </w:r>
      <w:r>
        <w:rPr>
          <w:color w:val="4A86E8"/>
          <w:spacing w:val="-3"/>
        </w:rPr>
        <w:t xml:space="preserve"> </w:t>
      </w:r>
      <w:r>
        <w:rPr>
          <w:color w:val="4A86E8"/>
        </w:rPr>
        <w:t>Fig.</w:t>
      </w:r>
      <w:r>
        <w:rPr>
          <w:color w:val="4A86E8"/>
          <w:spacing w:val="-3"/>
        </w:rPr>
        <w:t xml:space="preserve"> </w:t>
      </w:r>
      <w:r>
        <w:rPr>
          <w:color w:val="4A86E8"/>
        </w:rPr>
        <w:t>S3A</w:t>
      </w:r>
      <w:r>
        <w:rPr>
          <w:color w:val="4A86E8"/>
          <w:spacing w:val="-3"/>
        </w:rPr>
        <w:t xml:space="preserve"> </w:t>
      </w:r>
      <w:r>
        <w:rPr>
          <w:color w:val="4A86E8"/>
        </w:rPr>
        <w:t>(now</w:t>
      </w:r>
      <w:r>
        <w:rPr>
          <w:color w:val="4A86E8"/>
          <w:spacing w:val="-3"/>
        </w:rPr>
        <w:t xml:space="preserve"> </w:t>
      </w:r>
      <w:r>
        <w:rPr>
          <w:color w:val="4A86E8"/>
        </w:rPr>
        <w:t>Fig.</w:t>
      </w:r>
      <w:r>
        <w:rPr>
          <w:color w:val="4A86E8"/>
          <w:spacing w:val="-3"/>
        </w:rPr>
        <w:t xml:space="preserve"> </w:t>
      </w:r>
      <w:r>
        <w:rPr>
          <w:color w:val="4A86E8"/>
        </w:rPr>
        <w:t>S5C)</w:t>
      </w:r>
      <w:r>
        <w:rPr>
          <w:color w:val="4A86E8"/>
          <w:spacing w:val="-3"/>
        </w:rPr>
        <w:t xml:space="preserve"> </w:t>
      </w:r>
      <w:r>
        <w:rPr>
          <w:color w:val="4A86E8"/>
        </w:rPr>
        <w:t>should</w:t>
      </w:r>
      <w:r>
        <w:rPr>
          <w:color w:val="4A86E8"/>
          <w:spacing w:val="-3"/>
        </w:rPr>
        <w:t xml:space="preserve"> </w:t>
      </w:r>
      <w:r>
        <w:rPr>
          <w:color w:val="4A86E8"/>
        </w:rPr>
        <w:t>be</w:t>
      </w:r>
      <w:r>
        <w:rPr>
          <w:color w:val="4A86E8"/>
          <w:spacing w:val="-3"/>
        </w:rPr>
        <w:t xml:space="preserve"> </w:t>
      </w:r>
      <w:r>
        <w:rPr>
          <w:color w:val="4A86E8"/>
        </w:rPr>
        <w:t>shown</w:t>
      </w:r>
      <w:r>
        <w:rPr>
          <w:color w:val="4A86E8"/>
          <w:spacing w:val="-3"/>
        </w:rPr>
        <w:t xml:space="preserve"> </w:t>
      </w:r>
      <w:r>
        <w:rPr>
          <w:color w:val="4A86E8"/>
        </w:rPr>
        <w:t>in</w:t>
      </w:r>
      <w:r>
        <w:rPr>
          <w:color w:val="4A86E8"/>
          <w:spacing w:val="-3"/>
        </w:rPr>
        <w:t xml:space="preserve"> </w:t>
      </w:r>
      <w:r>
        <w:rPr>
          <w:color w:val="4A86E8"/>
        </w:rPr>
        <w:t>log-scale.</w:t>
      </w:r>
      <w:r>
        <w:rPr>
          <w:color w:val="4A86E8"/>
          <w:spacing w:val="-3"/>
        </w:rPr>
        <w:t xml:space="preserve"> </w:t>
      </w:r>
      <w:r>
        <w:rPr>
          <w:color w:val="4A86E8"/>
        </w:rPr>
        <w:t>We</w:t>
      </w:r>
      <w:r>
        <w:rPr>
          <w:color w:val="4A86E8"/>
          <w:spacing w:val="-3"/>
        </w:rPr>
        <w:t xml:space="preserve"> </w:t>
      </w:r>
      <w:r>
        <w:rPr>
          <w:color w:val="4A86E8"/>
        </w:rPr>
        <w:t>have updated the figure accordingly.</w:t>
      </w:r>
    </w:p>
    <w:p w14:paraId="0F138D8A" w14:textId="77777777" w:rsidR="00E211CC" w:rsidRDefault="00E211CC" w:rsidP="00E211CC">
      <w:pPr>
        <w:pStyle w:val="BodyText"/>
        <w:spacing w:before="44"/>
        <w:ind w:left="0"/>
      </w:pPr>
    </w:p>
    <w:p w14:paraId="7C299B94" w14:textId="77777777" w:rsidR="00E211CC" w:rsidRDefault="00E211CC" w:rsidP="00E211CC">
      <w:pPr>
        <w:pStyle w:val="ListParagraph"/>
        <w:widowControl w:val="0"/>
        <w:numPr>
          <w:ilvl w:val="0"/>
          <w:numId w:val="4"/>
        </w:numPr>
        <w:tabs>
          <w:tab w:val="left" w:pos="1185"/>
        </w:tabs>
        <w:autoSpaceDE w:val="0"/>
        <w:autoSpaceDN w:val="0"/>
        <w:spacing w:after="0" w:line="273" w:lineRule="auto"/>
        <w:ind w:right="937" w:firstLine="0"/>
        <w:contextualSpacing w:val="0"/>
      </w:pPr>
      <w:r>
        <w:rPr>
          <w:color w:val="222222"/>
        </w:rPr>
        <w:t>L87:</w:t>
      </w:r>
      <w:r>
        <w:rPr>
          <w:color w:val="222222"/>
          <w:spacing w:val="-3"/>
        </w:rPr>
        <w:t xml:space="preserve"> </w:t>
      </w:r>
      <w:r>
        <w:rPr>
          <w:color w:val="222222"/>
        </w:rPr>
        <w:t>"...we</w:t>
      </w:r>
      <w:r>
        <w:rPr>
          <w:color w:val="222222"/>
          <w:spacing w:val="-3"/>
        </w:rPr>
        <w:t xml:space="preserve"> </w:t>
      </w:r>
      <w:r>
        <w:rPr>
          <w:color w:val="222222"/>
        </w:rPr>
        <w:t>reasoned</w:t>
      </w:r>
      <w:r>
        <w:rPr>
          <w:color w:val="222222"/>
          <w:spacing w:val="-3"/>
        </w:rPr>
        <w:t xml:space="preserve"> </w:t>
      </w:r>
      <w:r>
        <w:rPr>
          <w:color w:val="222222"/>
        </w:rPr>
        <w:t>that</w:t>
      </w:r>
      <w:r>
        <w:rPr>
          <w:color w:val="222222"/>
          <w:spacing w:val="-3"/>
        </w:rPr>
        <w:t xml:space="preserve"> </w:t>
      </w:r>
      <w:r>
        <w:rPr>
          <w:color w:val="222222"/>
        </w:rPr>
        <w:t>negative</w:t>
      </w:r>
      <w:r>
        <w:rPr>
          <w:color w:val="222222"/>
          <w:spacing w:val="-3"/>
        </w:rPr>
        <w:t xml:space="preserve"> </w:t>
      </w:r>
      <w:r>
        <w:rPr>
          <w:color w:val="222222"/>
        </w:rPr>
        <w:t>transfer</w:t>
      </w:r>
      <w:r>
        <w:rPr>
          <w:color w:val="222222"/>
          <w:spacing w:val="-3"/>
        </w:rPr>
        <w:t xml:space="preserve"> </w:t>
      </w:r>
      <w:r>
        <w:rPr>
          <w:color w:val="222222"/>
        </w:rPr>
        <w:t>led</w:t>
      </w:r>
      <w:r>
        <w:rPr>
          <w:color w:val="222222"/>
          <w:spacing w:val="-3"/>
        </w:rPr>
        <w:t xml:space="preserve"> </w:t>
      </w:r>
      <w:r>
        <w:rPr>
          <w:color w:val="222222"/>
        </w:rPr>
        <w:t>to</w:t>
      </w:r>
      <w:r>
        <w:rPr>
          <w:color w:val="222222"/>
          <w:spacing w:val="-3"/>
        </w:rPr>
        <w:t xml:space="preserve"> </w:t>
      </w:r>
      <w:r>
        <w:rPr>
          <w:color w:val="222222"/>
        </w:rPr>
        <w:t>sub-optimal</w:t>
      </w:r>
      <w:r>
        <w:rPr>
          <w:color w:val="222222"/>
          <w:spacing w:val="-3"/>
        </w:rPr>
        <w:t xml:space="preserve"> </w:t>
      </w:r>
      <w:r>
        <w:rPr>
          <w:color w:val="222222"/>
        </w:rPr>
        <w:t>performance":</w:t>
      </w:r>
      <w:r>
        <w:rPr>
          <w:color w:val="222222"/>
          <w:spacing w:val="-3"/>
        </w:rPr>
        <w:t xml:space="preserve"> </w:t>
      </w:r>
      <w:r>
        <w:rPr>
          <w:color w:val="222222"/>
        </w:rPr>
        <w:t>There</w:t>
      </w:r>
      <w:r>
        <w:rPr>
          <w:color w:val="222222"/>
          <w:spacing w:val="-3"/>
        </w:rPr>
        <w:t xml:space="preserve"> </w:t>
      </w:r>
      <w:r>
        <w:rPr>
          <w:color w:val="222222"/>
        </w:rPr>
        <w:t>might</w:t>
      </w:r>
      <w:r>
        <w:rPr>
          <w:color w:val="222222"/>
          <w:spacing w:val="-3"/>
        </w:rPr>
        <w:t xml:space="preserve"> </w:t>
      </w:r>
      <w:r>
        <w:rPr>
          <w:color w:val="222222"/>
        </w:rPr>
        <w:t>be other reasons beyond negative transfer for multi-task models to not be performing as well such as limited capacity. Have the authors carefully re-trained the multi-task vs single-task models while matching for the right model capacity to demonstrate the impact of negative transfer?</w:t>
      </w:r>
    </w:p>
    <w:p w14:paraId="634282A9" w14:textId="77777777" w:rsidR="00E211CC" w:rsidRDefault="00E211CC" w:rsidP="00E211CC">
      <w:pPr>
        <w:pStyle w:val="BodyText"/>
        <w:spacing w:before="8" w:line="278" w:lineRule="auto"/>
        <w:ind w:right="861"/>
      </w:pPr>
      <w:r>
        <w:rPr>
          <w:color w:val="4A86E8"/>
        </w:rPr>
        <w:t>We</w:t>
      </w:r>
      <w:r>
        <w:rPr>
          <w:color w:val="4A86E8"/>
          <w:spacing w:val="-3"/>
        </w:rPr>
        <w:t xml:space="preserve"> </w:t>
      </w:r>
      <w:r>
        <w:rPr>
          <w:color w:val="4A86E8"/>
        </w:rPr>
        <w:t>appreciate</w:t>
      </w:r>
      <w:r>
        <w:rPr>
          <w:color w:val="4A86E8"/>
          <w:spacing w:val="-3"/>
        </w:rPr>
        <w:t xml:space="preserve"> </w:t>
      </w:r>
      <w:r>
        <w:rPr>
          <w:color w:val="4A86E8"/>
        </w:rPr>
        <w:t>this</w:t>
      </w:r>
      <w:r>
        <w:rPr>
          <w:color w:val="4A86E8"/>
          <w:spacing w:val="-3"/>
        </w:rPr>
        <w:t xml:space="preserve"> </w:t>
      </w:r>
      <w:r>
        <w:rPr>
          <w:color w:val="4A86E8"/>
        </w:rPr>
        <w:t>point</w:t>
      </w:r>
      <w:r>
        <w:rPr>
          <w:color w:val="4A86E8"/>
          <w:spacing w:val="-3"/>
        </w:rPr>
        <w:t xml:space="preserve"> </w:t>
      </w:r>
      <w:r>
        <w:rPr>
          <w:color w:val="4A86E8"/>
        </w:rPr>
        <w:t>and</w:t>
      </w:r>
      <w:r>
        <w:rPr>
          <w:color w:val="4A86E8"/>
          <w:spacing w:val="-3"/>
        </w:rPr>
        <w:t xml:space="preserve"> </w:t>
      </w:r>
      <w:r>
        <w:rPr>
          <w:color w:val="4A86E8"/>
        </w:rPr>
        <w:t>have</w:t>
      </w:r>
      <w:r>
        <w:rPr>
          <w:color w:val="4A86E8"/>
          <w:spacing w:val="-3"/>
        </w:rPr>
        <w:t xml:space="preserve"> </w:t>
      </w:r>
      <w:r>
        <w:rPr>
          <w:color w:val="4A86E8"/>
        </w:rPr>
        <w:t>addressed</w:t>
      </w:r>
      <w:r>
        <w:rPr>
          <w:color w:val="4A86E8"/>
          <w:spacing w:val="-3"/>
        </w:rPr>
        <w:t xml:space="preserve"> </w:t>
      </w:r>
      <w:r>
        <w:rPr>
          <w:color w:val="4A86E8"/>
        </w:rPr>
        <w:t>it</w:t>
      </w:r>
      <w:r>
        <w:rPr>
          <w:color w:val="4A86E8"/>
          <w:spacing w:val="-3"/>
        </w:rPr>
        <w:t xml:space="preserve"> </w:t>
      </w:r>
      <w:r>
        <w:rPr>
          <w:color w:val="4A86E8"/>
        </w:rPr>
        <w:t>as</w:t>
      </w:r>
      <w:r>
        <w:rPr>
          <w:color w:val="4A86E8"/>
          <w:spacing w:val="-3"/>
        </w:rPr>
        <w:t xml:space="preserve"> </w:t>
      </w:r>
      <w:r>
        <w:rPr>
          <w:color w:val="4A86E8"/>
        </w:rPr>
        <w:t>part</w:t>
      </w:r>
      <w:r>
        <w:rPr>
          <w:color w:val="4A86E8"/>
          <w:spacing w:val="-3"/>
        </w:rPr>
        <w:t xml:space="preserve"> </w:t>
      </w:r>
      <w:r>
        <w:rPr>
          <w:color w:val="4A86E8"/>
        </w:rPr>
        <w:t>of</w:t>
      </w:r>
      <w:r>
        <w:rPr>
          <w:color w:val="4A86E8"/>
          <w:spacing w:val="-3"/>
        </w:rPr>
        <w:t xml:space="preserve"> </w:t>
      </w:r>
      <w:r>
        <w:rPr>
          <w:color w:val="4A86E8"/>
        </w:rPr>
        <w:t>our</w:t>
      </w:r>
      <w:r>
        <w:rPr>
          <w:color w:val="4A86E8"/>
          <w:spacing w:val="-3"/>
        </w:rPr>
        <w:t xml:space="preserve"> </w:t>
      </w:r>
      <w:r>
        <w:rPr>
          <w:color w:val="4A86E8"/>
        </w:rPr>
        <w:t>response</w:t>
      </w:r>
      <w:r>
        <w:rPr>
          <w:color w:val="4A86E8"/>
          <w:spacing w:val="-3"/>
        </w:rPr>
        <w:t xml:space="preserve"> </w:t>
      </w:r>
      <w:r>
        <w:rPr>
          <w:color w:val="4A86E8"/>
        </w:rPr>
        <w:t>to</w:t>
      </w:r>
      <w:r>
        <w:rPr>
          <w:color w:val="4A86E8"/>
          <w:spacing w:val="-3"/>
        </w:rPr>
        <w:t xml:space="preserve"> </w:t>
      </w:r>
      <w:r>
        <w:rPr>
          <w:color w:val="4A86E8"/>
        </w:rPr>
        <w:t>Major</w:t>
      </w:r>
      <w:r>
        <w:rPr>
          <w:color w:val="4A86E8"/>
          <w:spacing w:val="-3"/>
        </w:rPr>
        <w:t xml:space="preserve"> </w:t>
      </w:r>
      <w:r>
        <w:rPr>
          <w:color w:val="4A86E8"/>
        </w:rPr>
        <w:t>point</w:t>
      </w:r>
      <w:r>
        <w:rPr>
          <w:color w:val="4A86E8"/>
          <w:spacing w:val="-3"/>
        </w:rPr>
        <w:t xml:space="preserve"> </w:t>
      </w:r>
      <w:r>
        <w:rPr>
          <w:color w:val="4A86E8"/>
        </w:rPr>
        <w:t>#5</w:t>
      </w:r>
      <w:r>
        <w:rPr>
          <w:color w:val="4A86E8"/>
          <w:spacing w:val="-3"/>
        </w:rPr>
        <w:t xml:space="preserve"> </w:t>
      </w:r>
      <w:r>
        <w:rPr>
          <w:color w:val="4A86E8"/>
        </w:rPr>
        <w:t>above. We have also removed the specific language about negative transfer on L87.</w:t>
      </w:r>
    </w:p>
    <w:p w14:paraId="099B7E04" w14:textId="77777777" w:rsidR="00E211CC" w:rsidRDefault="00E211CC" w:rsidP="00E211CC">
      <w:pPr>
        <w:pStyle w:val="BodyText"/>
        <w:spacing w:before="34"/>
        <w:ind w:left="0"/>
      </w:pPr>
    </w:p>
    <w:p w14:paraId="2D3E1328" w14:textId="77777777" w:rsidR="00E211CC" w:rsidRDefault="00E211CC" w:rsidP="00E211CC">
      <w:pPr>
        <w:pStyle w:val="ListParagraph"/>
        <w:widowControl w:val="0"/>
        <w:numPr>
          <w:ilvl w:val="0"/>
          <w:numId w:val="4"/>
        </w:numPr>
        <w:tabs>
          <w:tab w:val="left" w:pos="1185"/>
        </w:tabs>
        <w:autoSpaceDE w:val="0"/>
        <w:autoSpaceDN w:val="0"/>
        <w:spacing w:after="0" w:line="278" w:lineRule="auto"/>
        <w:ind w:right="875" w:firstLine="0"/>
        <w:contextualSpacing w:val="0"/>
      </w:pPr>
      <w:r>
        <w:rPr>
          <w:color w:val="222222"/>
        </w:rPr>
        <w:t>Fig.</w:t>
      </w:r>
      <w:r>
        <w:rPr>
          <w:color w:val="222222"/>
          <w:spacing w:val="-3"/>
        </w:rPr>
        <w:t xml:space="preserve"> </w:t>
      </w:r>
      <w:r>
        <w:rPr>
          <w:color w:val="222222"/>
        </w:rPr>
        <w:t>3A:</w:t>
      </w:r>
      <w:r>
        <w:rPr>
          <w:color w:val="222222"/>
          <w:spacing w:val="-3"/>
        </w:rPr>
        <w:t xml:space="preserve"> </w:t>
      </w:r>
      <w:r>
        <w:rPr>
          <w:color w:val="222222"/>
        </w:rPr>
        <w:t>Why</w:t>
      </w:r>
      <w:r>
        <w:rPr>
          <w:color w:val="222222"/>
          <w:spacing w:val="-3"/>
        </w:rPr>
        <w:t xml:space="preserve"> </w:t>
      </w:r>
      <w:r>
        <w:rPr>
          <w:color w:val="222222"/>
        </w:rPr>
        <w:t>is</w:t>
      </w:r>
      <w:r>
        <w:rPr>
          <w:color w:val="222222"/>
          <w:spacing w:val="-3"/>
        </w:rPr>
        <w:t xml:space="preserve"> </w:t>
      </w:r>
      <w:r>
        <w:rPr>
          <w:color w:val="222222"/>
        </w:rPr>
        <w:t>the</w:t>
      </w:r>
      <w:r>
        <w:rPr>
          <w:color w:val="222222"/>
          <w:spacing w:val="-3"/>
        </w:rPr>
        <w:t xml:space="preserve"> </w:t>
      </w:r>
      <w:r>
        <w:rPr>
          <w:color w:val="222222"/>
        </w:rPr>
        <w:t>y-axis</w:t>
      </w:r>
      <w:r>
        <w:rPr>
          <w:color w:val="222222"/>
          <w:spacing w:val="-3"/>
        </w:rPr>
        <w:t xml:space="preserve"> </w:t>
      </w:r>
      <w:r>
        <w:rPr>
          <w:color w:val="222222"/>
        </w:rPr>
        <w:t>in</w:t>
      </w:r>
      <w:r>
        <w:rPr>
          <w:color w:val="222222"/>
          <w:spacing w:val="-3"/>
        </w:rPr>
        <w:t xml:space="preserve"> </w:t>
      </w:r>
      <w:r>
        <w:rPr>
          <w:color w:val="222222"/>
        </w:rPr>
        <w:t>different</w:t>
      </w:r>
      <w:r>
        <w:rPr>
          <w:color w:val="222222"/>
          <w:spacing w:val="-3"/>
        </w:rPr>
        <w:t xml:space="preserve"> </w:t>
      </w:r>
      <w:r>
        <w:rPr>
          <w:color w:val="222222"/>
        </w:rPr>
        <w:t>units</w:t>
      </w:r>
      <w:r>
        <w:rPr>
          <w:color w:val="222222"/>
          <w:spacing w:val="-3"/>
        </w:rPr>
        <w:t xml:space="preserve"> </w:t>
      </w:r>
      <w:r>
        <w:rPr>
          <w:color w:val="222222"/>
        </w:rPr>
        <w:t>(proportion</w:t>
      </w:r>
      <w:r>
        <w:rPr>
          <w:color w:val="222222"/>
          <w:spacing w:val="-3"/>
        </w:rPr>
        <w:t xml:space="preserve"> </w:t>
      </w:r>
      <w:r>
        <w:rPr>
          <w:color w:val="222222"/>
        </w:rPr>
        <w:t>heritability)</w:t>
      </w:r>
      <w:r>
        <w:rPr>
          <w:color w:val="222222"/>
          <w:spacing w:val="-3"/>
        </w:rPr>
        <w:t xml:space="preserve"> </w:t>
      </w:r>
      <w:r>
        <w:rPr>
          <w:color w:val="222222"/>
        </w:rPr>
        <w:t>vs</w:t>
      </w:r>
      <w:r>
        <w:rPr>
          <w:color w:val="222222"/>
          <w:spacing w:val="-3"/>
        </w:rPr>
        <w:t xml:space="preserve"> </w:t>
      </w:r>
      <w:r>
        <w:rPr>
          <w:color w:val="222222"/>
        </w:rPr>
        <w:t>Fig.</w:t>
      </w:r>
      <w:r>
        <w:rPr>
          <w:color w:val="222222"/>
          <w:spacing w:val="-3"/>
        </w:rPr>
        <w:t xml:space="preserve"> </w:t>
      </w:r>
      <w:r>
        <w:rPr>
          <w:color w:val="222222"/>
        </w:rPr>
        <w:t>2C,D</w:t>
      </w:r>
      <w:r>
        <w:rPr>
          <w:color w:val="222222"/>
          <w:spacing w:val="-3"/>
        </w:rPr>
        <w:t xml:space="preserve"> </w:t>
      </w:r>
      <w:r>
        <w:rPr>
          <w:color w:val="222222"/>
        </w:rPr>
        <w:t xml:space="preserve">(enrichment). </w:t>
      </w:r>
      <w:r>
        <w:rPr>
          <w:color w:val="4A86E8"/>
        </w:rPr>
        <w:t>We have updated Figure 3A to report enrichment, to be consistent with Figure 2.</w:t>
      </w:r>
    </w:p>
    <w:p w14:paraId="4171A5BF" w14:textId="77777777" w:rsidR="00E211CC" w:rsidRDefault="00E211CC" w:rsidP="00E211CC">
      <w:pPr>
        <w:pStyle w:val="BodyText"/>
        <w:spacing w:before="34"/>
        <w:ind w:left="0"/>
      </w:pPr>
    </w:p>
    <w:p w14:paraId="3FF05D6A" w14:textId="77777777" w:rsidR="00E211CC" w:rsidRDefault="00E211CC" w:rsidP="00E211CC">
      <w:pPr>
        <w:pStyle w:val="ListParagraph"/>
        <w:widowControl w:val="0"/>
        <w:numPr>
          <w:ilvl w:val="0"/>
          <w:numId w:val="4"/>
        </w:numPr>
        <w:tabs>
          <w:tab w:val="left" w:pos="1185"/>
        </w:tabs>
        <w:autoSpaceDE w:val="0"/>
        <w:autoSpaceDN w:val="0"/>
        <w:spacing w:after="0" w:line="273" w:lineRule="auto"/>
        <w:ind w:right="953" w:firstLine="0"/>
        <w:contextualSpacing w:val="0"/>
      </w:pPr>
      <w:r>
        <w:rPr>
          <w:color w:val="222222"/>
        </w:rPr>
        <w:t>L212:</w:t>
      </w:r>
      <w:r>
        <w:rPr>
          <w:color w:val="222222"/>
          <w:spacing w:val="-3"/>
        </w:rPr>
        <w:t xml:space="preserve"> </w:t>
      </w:r>
      <w:r>
        <w:rPr>
          <w:color w:val="222222"/>
        </w:rPr>
        <w:t>"All</w:t>
      </w:r>
      <w:r>
        <w:rPr>
          <w:color w:val="222222"/>
          <w:spacing w:val="-3"/>
        </w:rPr>
        <w:t xml:space="preserve"> </w:t>
      </w:r>
      <w:r>
        <w:rPr>
          <w:color w:val="222222"/>
        </w:rPr>
        <w:t>models</w:t>
      </w:r>
      <w:r>
        <w:rPr>
          <w:color w:val="222222"/>
          <w:spacing w:val="-4"/>
        </w:rPr>
        <w:t xml:space="preserve"> </w:t>
      </w:r>
      <w:r>
        <w:rPr>
          <w:color w:val="222222"/>
        </w:rPr>
        <w:t>achieve</w:t>
      </w:r>
      <w:r>
        <w:rPr>
          <w:color w:val="222222"/>
          <w:spacing w:val="-3"/>
        </w:rPr>
        <w:t xml:space="preserve"> </w:t>
      </w:r>
      <w:r>
        <w:rPr>
          <w:color w:val="222222"/>
        </w:rPr>
        <w:t>a</w:t>
      </w:r>
      <w:r>
        <w:rPr>
          <w:color w:val="222222"/>
          <w:spacing w:val="-3"/>
        </w:rPr>
        <w:t xml:space="preserve"> </w:t>
      </w:r>
      <w:r>
        <w:rPr>
          <w:color w:val="222222"/>
        </w:rPr>
        <w:t>genome-wide</w:t>
      </w:r>
      <w:r>
        <w:rPr>
          <w:color w:val="222222"/>
          <w:spacing w:val="-4"/>
        </w:rPr>
        <w:t xml:space="preserve"> </w:t>
      </w:r>
      <w:r>
        <w:rPr>
          <w:color w:val="222222"/>
        </w:rPr>
        <w:t>reference</w:t>
      </w:r>
      <w:r>
        <w:rPr>
          <w:color w:val="222222"/>
          <w:spacing w:val="-3"/>
        </w:rPr>
        <w:t xml:space="preserve"> </w:t>
      </w:r>
      <w:r>
        <w:rPr>
          <w:color w:val="222222"/>
        </w:rPr>
        <w:t>accuracy</w:t>
      </w:r>
      <w:r>
        <w:rPr>
          <w:color w:val="222222"/>
          <w:spacing w:val="-3"/>
        </w:rPr>
        <w:t xml:space="preserve"> </w:t>
      </w:r>
      <w:r>
        <w:rPr>
          <w:color w:val="222222"/>
        </w:rPr>
        <w:t>comparable</w:t>
      </w:r>
      <w:r>
        <w:rPr>
          <w:color w:val="222222"/>
          <w:spacing w:val="-4"/>
        </w:rPr>
        <w:t xml:space="preserve"> </w:t>
      </w:r>
      <w:r>
        <w:rPr>
          <w:color w:val="222222"/>
        </w:rPr>
        <w:t>to</w:t>
      </w:r>
      <w:r>
        <w:rPr>
          <w:color w:val="222222"/>
          <w:spacing w:val="-3"/>
        </w:rPr>
        <w:t xml:space="preserve"> </w:t>
      </w:r>
      <w:r>
        <w:rPr>
          <w:color w:val="222222"/>
        </w:rPr>
        <w:t>previous</w:t>
      </w:r>
      <w:r>
        <w:rPr>
          <w:color w:val="222222"/>
          <w:spacing w:val="-3"/>
        </w:rPr>
        <w:t xml:space="preserve"> </w:t>
      </w:r>
      <w:r>
        <w:rPr>
          <w:color w:val="222222"/>
        </w:rPr>
        <w:t>work (Fig. S6, Fig. S7)". Which of the curves in Fig. S6, S7 is showing previous work?</w:t>
      </w:r>
    </w:p>
    <w:p w14:paraId="033C7ADC" w14:textId="77777777" w:rsidR="00E211CC" w:rsidRDefault="00E211CC" w:rsidP="00E211CC">
      <w:pPr>
        <w:pStyle w:val="BodyText"/>
        <w:spacing w:before="4" w:line="276" w:lineRule="auto"/>
        <w:ind w:right="861"/>
      </w:pPr>
      <w:r>
        <w:rPr>
          <w:color w:val="4A86E8"/>
        </w:rPr>
        <w:t>We</w:t>
      </w:r>
      <w:r>
        <w:rPr>
          <w:color w:val="4A86E8"/>
          <w:spacing w:val="-3"/>
        </w:rPr>
        <w:t xml:space="preserve"> </w:t>
      </w:r>
      <w:r>
        <w:rPr>
          <w:color w:val="4A86E8"/>
        </w:rPr>
        <w:t>apologize</w:t>
      </w:r>
      <w:r>
        <w:rPr>
          <w:color w:val="4A86E8"/>
          <w:spacing w:val="-3"/>
        </w:rPr>
        <w:t xml:space="preserve"> </w:t>
      </w:r>
      <w:r>
        <w:rPr>
          <w:color w:val="4A86E8"/>
        </w:rPr>
        <w:t>for</w:t>
      </w:r>
      <w:r>
        <w:rPr>
          <w:color w:val="4A86E8"/>
          <w:spacing w:val="-3"/>
        </w:rPr>
        <w:t xml:space="preserve"> </w:t>
      </w:r>
      <w:r>
        <w:rPr>
          <w:color w:val="4A86E8"/>
        </w:rPr>
        <w:t>the</w:t>
      </w:r>
      <w:r>
        <w:rPr>
          <w:color w:val="4A86E8"/>
          <w:spacing w:val="-3"/>
        </w:rPr>
        <w:t xml:space="preserve"> </w:t>
      </w:r>
      <w:r>
        <w:rPr>
          <w:color w:val="4A86E8"/>
        </w:rPr>
        <w:t>confusing</w:t>
      </w:r>
      <w:r>
        <w:rPr>
          <w:color w:val="4A86E8"/>
          <w:spacing w:val="-3"/>
        </w:rPr>
        <w:t xml:space="preserve"> </w:t>
      </w:r>
      <w:r>
        <w:rPr>
          <w:color w:val="4A86E8"/>
        </w:rPr>
        <w:t>wording,</w:t>
      </w:r>
      <w:r>
        <w:rPr>
          <w:color w:val="4A86E8"/>
          <w:spacing w:val="-3"/>
        </w:rPr>
        <w:t xml:space="preserve"> </w:t>
      </w:r>
      <w:r>
        <w:rPr>
          <w:color w:val="4A86E8"/>
        </w:rPr>
        <w:t>as</w:t>
      </w:r>
      <w:r>
        <w:rPr>
          <w:color w:val="4A86E8"/>
          <w:spacing w:val="-3"/>
        </w:rPr>
        <w:t xml:space="preserve"> </w:t>
      </w:r>
      <w:r>
        <w:rPr>
          <w:color w:val="4A86E8"/>
        </w:rPr>
        <w:t>we</w:t>
      </w:r>
      <w:r>
        <w:rPr>
          <w:color w:val="4A86E8"/>
          <w:spacing w:val="-3"/>
        </w:rPr>
        <w:t xml:space="preserve"> </w:t>
      </w:r>
      <w:r>
        <w:rPr>
          <w:color w:val="4A86E8"/>
        </w:rPr>
        <w:t>did</w:t>
      </w:r>
      <w:r>
        <w:rPr>
          <w:color w:val="4A86E8"/>
          <w:spacing w:val="-3"/>
        </w:rPr>
        <w:t xml:space="preserve"> </w:t>
      </w:r>
      <w:r>
        <w:rPr>
          <w:color w:val="4A86E8"/>
        </w:rPr>
        <w:t>not</w:t>
      </w:r>
      <w:r>
        <w:rPr>
          <w:color w:val="4A86E8"/>
          <w:spacing w:val="-3"/>
        </w:rPr>
        <w:t xml:space="preserve"> </w:t>
      </w:r>
      <w:r>
        <w:rPr>
          <w:color w:val="4A86E8"/>
        </w:rPr>
        <w:t>mean</w:t>
      </w:r>
      <w:r>
        <w:rPr>
          <w:color w:val="4A86E8"/>
          <w:spacing w:val="-3"/>
        </w:rPr>
        <w:t xml:space="preserve"> </w:t>
      </w:r>
      <w:r>
        <w:rPr>
          <w:color w:val="4A86E8"/>
        </w:rPr>
        <w:t>to</w:t>
      </w:r>
      <w:r>
        <w:rPr>
          <w:color w:val="4A86E8"/>
          <w:spacing w:val="-3"/>
        </w:rPr>
        <w:t xml:space="preserve"> </w:t>
      </w:r>
      <w:r>
        <w:rPr>
          <w:color w:val="4A86E8"/>
        </w:rPr>
        <w:t>suggest</w:t>
      </w:r>
      <w:r>
        <w:rPr>
          <w:color w:val="4A86E8"/>
          <w:spacing w:val="-3"/>
        </w:rPr>
        <w:t xml:space="preserve"> </w:t>
      </w:r>
      <w:r>
        <w:rPr>
          <w:color w:val="4A86E8"/>
        </w:rPr>
        <w:t>that</w:t>
      </w:r>
      <w:r>
        <w:rPr>
          <w:color w:val="4A86E8"/>
          <w:spacing w:val="-3"/>
        </w:rPr>
        <w:t xml:space="preserve"> </w:t>
      </w:r>
      <w:r>
        <w:rPr>
          <w:color w:val="4A86E8"/>
        </w:rPr>
        <w:t>Fig.</w:t>
      </w:r>
      <w:r>
        <w:rPr>
          <w:color w:val="4A86E8"/>
          <w:spacing w:val="-3"/>
        </w:rPr>
        <w:t xml:space="preserve"> </w:t>
      </w:r>
      <w:r>
        <w:rPr>
          <w:color w:val="4A86E8"/>
        </w:rPr>
        <w:t>S6</w:t>
      </w:r>
      <w:r>
        <w:rPr>
          <w:color w:val="4A86E8"/>
          <w:spacing w:val="-3"/>
        </w:rPr>
        <w:t xml:space="preserve"> </w:t>
      </w:r>
      <w:r>
        <w:rPr>
          <w:color w:val="4A86E8"/>
        </w:rPr>
        <w:t>and</w:t>
      </w:r>
      <w:r>
        <w:rPr>
          <w:color w:val="4A86E8"/>
          <w:spacing w:val="-3"/>
        </w:rPr>
        <w:t xml:space="preserve"> </w:t>
      </w:r>
      <w:r>
        <w:rPr>
          <w:color w:val="4A86E8"/>
        </w:rPr>
        <w:t>Fig.</w:t>
      </w:r>
      <w:r>
        <w:rPr>
          <w:color w:val="4A86E8"/>
          <w:spacing w:val="-3"/>
        </w:rPr>
        <w:t xml:space="preserve"> </w:t>
      </w:r>
      <w:r>
        <w:rPr>
          <w:color w:val="4A86E8"/>
        </w:rPr>
        <w:t>S7 (now Fig. S11 and S12) contained curves showing the performance of previous work. Rather, the genome-wide accuracies of our models (“all sequences”) reported in those figures are comparable to performance measures reported in previous work. We have updated our text to clarify this point.</w:t>
      </w:r>
    </w:p>
    <w:p w14:paraId="42420B1C" w14:textId="77777777" w:rsidR="00E211CC" w:rsidRDefault="00E211CC" w:rsidP="00E211CC">
      <w:pPr>
        <w:pStyle w:val="BodyText"/>
        <w:spacing w:before="39"/>
        <w:ind w:left="0"/>
      </w:pPr>
    </w:p>
    <w:p w14:paraId="7AB10C0F" w14:textId="77777777" w:rsidR="00E211CC" w:rsidRDefault="00E211CC" w:rsidP="00E211CC">
      <w:pPr>
        <w:pStyle w:val="ListParagraph"/>
        <w:widowControl w:val="0"/>
        <w:numPr>
          <w:ilvl w:val="0"/>
          <w:numId w:val="4"/>
        </w:numPr>
        <w:tabs>
          <w:tab w:val="left" w:pos="1185"/>
        </w:tabs>
        <w:autoSpaceDE w:val="0"/>
        <w:autoSpaceDN w:val="0"/>
        <w:spacing w:after="0" w:line="273" w:lineRule="auto"/>
        <w:ind w:right="1213" w:firstLine="0"/>
        <w:contextualSpacing w:val="0"/>
      </w:pPr>
      <w:r>
        <w:rPr>
          <w:color w:val="222222"/>
        </w:rPr>
        <w:t>Figures</w:t>
      </w:r>
      <w:r>
        <w:rPr>
          <w:color w:val="222222"/>
          <w:spacing w:val="-3"/>
        </w:rPr>
        <w:t xml:space="preserve"> </w:t>
      </w:r>
      <w:r>
        <w:rPr>
          <w:color w:val="222222"/>
        </w:rPr>
        <w:t>S6,</w:t>
      </w:r>
      <w:r>
        <w:rPr>
          <w:color w:val="222222"/>
          <w:spacing w:val="-3"/>
        </w:rPr>
        <w:t xml:space="preserve"> </w:t>
      </w:r>
      <w:r>
        <w:rPr>
          <w:color w:val="222222"/>
        </w:rPr>
        <w:t>S7</w:t>
      </w:r>
      <w:r>
        <w:rPr>
          <w:color w:val="222222"/>
          <w:spacing w:val="-3"/>
        </w:rPr>
        <w:t xml:space="preserve"> </w:t>
      </w:r>
      <w:r>
        <w:rPr>
          <w:color w:val="222222"/>
        </w:rPr>
        <w:t>are</w:t>
      </w:r>
      <w:r>
        <w:rPr>
          <w:color w:val="222222"/>
          <w:spacing w:val="-3"/>
        </w:rPr>
        <w:t xml:space="preserve"> </w:t>
      </w:r>
      <w:r>
        <w:rPr>
          <w:color w:val="222222"/>
        </w:rPr>
        <w:t>introduced</w:t>
      </w:r>
      <w:r>
        <w:rPr>
          <w:color w:val="222222"/>
          <w:spacing w:val="-3"/>
        </w:rPr>
        <w:t xml:space="preserve"> </w:t>
      </w:r>
      <w:r>
        <w:rPr>
          <w:color w:val="222222"/>
        </w:rPr>
        <w:t>before</w:t>
      </w:r>
      <w:r>
        <w:rPr>
          <w:color w:val="222222"/>
          <w:spacing w:val="-3"/>
        </w:rPr>
        <w:t xml:space="preserve"> </w:t>
      </w:r>
      <w:r>
        <w:rPr>
          <w:color w:val="222222"/>
        </w:rPr>
        <w:t>Fig.</w:t>
      </w:r>
      <w:r>
        <w:rPr>
          <w:color w:val="222222"/>
          <w:spacing w:val="-3"/>
        </w:rPr>
        <w:t xml:space="preserve"> </w:t>
      </w:r>
      <w:r>
        <w:rPr>
          <w:color w:val="222222"/>
        </w:rPr>
        <w:t>S4</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text.</w:t>
      </w:r>
      <w:r>
        <w:rPr>
          <w:color w:val="222222"/>
          <w:spacing w:val="-3"/>
        </w:rPr>
        <w:t xml:space="preserve"> </w:t>
      </w:r>
      <w:r>
        <w:rPr>
          <w:color w:val="222222"/>
        </w:rPr>
        <w:t>Also,</w:t>
      </w:r>
      <w:r>
        <w:rPr>
          <w:color w:val="222222"/>
          <w:spacing w:val="-3"/>
        </w:rPr>
        <w:t xml:space="preserve"> </w:t>
      </w:r>
      <w:r>
        <w:rPr>
          <w:color w:val="222222"/>
        </w:rPr>
        <w:t>single-task</w:t>
      </w:r>
      <w:r>
        <w:rPr>
          <w:color w:val="222222"/>
          <w:spacing w:val="-3"/>
        </w:rPr>
        <w:t xml:space="preserve"> </w:t>
      </w:r>
      <w:r>
        <w:rPr>
          <w:color w:val="222222"/>
        </w:rPr>
        <w:t>models</w:t>
      </w:r>
      <w:r>
        <w:rPr>
          <w:color w:val="222222"/>
          <w:spacing w:val="-3"/>
        </w:rPr>
        <w:t xml:space="preserve"> </w:t>
      </w:r>
      <w:r>
        <w:rPr>
          <w:color w:val="222222"/>
        </w:rPr>
        <w:t>haven't been mentioned until then.</w:t>
      </w:r>
    </w:p>
    <w:p w14:paraId="752898F4" w14:textId="77777777" w:rsidR="00E211CC" w:rsidRDefault="00E211CC" w:rsidP="00E211CC">
      <w:pPr>
        <w:spacing w:line="273" w:lineRule="auto"/>
        <w:sectPr w:rsidR="00E211CC" w:rsidSect="00E211CC">
          <w:pgSz w:w="12240" w:h="15840"/>
          <w:pgMar w:top="1360" w:right="580" w:bottom="280" w:left="620" w:header="720" w:footer="720" w:gutter="0"/>
          <w:cols w:space="720"/>
        </w:sectPr>
      </w:pPr>
    </w:p>
    <w:p w14:paraId="3180AC12" w14:textId="77777777" w:rsidR="00E211CC" w:rsidRDefault="00E211CC" w:rsidP="00E211CC">
      <w:pPr>
        <w:pStyle w:val="BodyText"/>
        <w:spacing w:before="80" w:line="276" w:lineRule="auto"/>
        <w:ind w:right="861"/>
      </w:pPr>
      <w:r>
        <w:rPr>
          <w:color w:val="4A86E8"/>
        </w:rPr>
        <w:lastRenderedPageBreak/>
        <w:t>We</w:t>
      </w:r>
      <w:r>
        <w:rPr>
          <w:color w:val="4A86E8"/>
          <w:spacing w:val="-3"/>
        </w:rPr>
        <w:t xml:space="preserve"> </w:t>
      </w:r>
      <w:r>
        <w:rPr>
          <w:color w:val="4A86E8"/>
        </w:rPr>
        <w:t>have</w:t>
      </w:r>
      <w:r>
        <w:rPr>
          <w:color w:val="4A86E8"/>
          <w:spacing w:val="-3"/>
        </w:rPr>
        <w:t xml:space="preserve"> </w:t>
      </w:r>
      <w:r>
        <w:rPr>
          <w:color w:val="4A86E8"/>
        </w:rPr>
        <w:t>updated</w:t>
      </w:r>
      <w:r>
        <w:rPr>
          <w:color w:val="4A86E8"/>
          <w:spacing w:val="-3"/>
        </w:rPr>
        <w:t xml:space="preserve"> </w:t>
      </w:r>
      <w:r>
        <w:rPr>
          <w:color w:val="4A86E8"/>
        </w:rPr>
        <w:t>the</w:t>
      </w:r>
      <w:r>
        <w:rPr>
          <w:color w:val="4A86E8"/>
          <w:spacing w:val="-3"/>
        </w:rPr>
        <w:t xml:space="preserve"> </w:t>
      </w:r>
      <w:r>
        <w:rPr>
          <w:color w:val="4A86E8"/>
        </w:rPr>
        <w:t>text</w:t>
      </w:r>
      <w:r>
        <w:rPr>
          <w:color w:val="4A86E8"/>
          <w:spacing w:val="-3"/>
        </w:rPr>
        <w:t xml:space="preserve"> </w:t>
      </w:r>
      <w:r>
        <w:rPr>
          <w:color w:val="4A86E8"/>
        </w:rPr>
        <w:t>to</w:t>
      </w:r>
      <w:r>
        <w:rPr>
          <w:color w:val="4A86E8"/>
          <w:spacing w:val="-3"/>
        </w:rPr>
        <w:t xml:space="preserve"> </w:t>
      </w:r>
      <w:r>
        <w:rPr>
          <w:color w:val="4A86E8"/>
        </w:rPr>
        <w:t>remove</w:t>
      </w:r>
      <w:r>
        <w:rPr>
          <w:color w:val="4A86E8"/>
          <w:spacing w:val="-3"/>
        </w:rPr>
        <w:t xml:space="preserve"> </w:t>
      </w:r>
      <w:r>
        <w:rPr>
          <w:color w:val="4A86E8"/>
        </w:rPr>
        <w:t>the</w:t>
      </w:r>
      <w:r>
        <w:rPr>
          <w:color w:val="4A86E8"/>
          <w:spacing w:val="-3"/>
        </w:rPr>
        <w:t xml:space="preserve"> </w:t>
      </w:r>
      <w:r>
        <w:rPr>
          <w:color w:val="4A86E8"/>
        </w:rPr>
        <w:t>early</w:t>
      </w:r>
      <w:r>
        <w:rPr>
          <w:color w:val="4A86E8"/>
          <w:spacing w:val="-3"/>
        </w:rPr>
        <w:t xml:space="preserve"> </w:t>
      </w:r>
      <w:r>
        <w:rPr>
          <w:color w:val="4A86E8"/>
        </w:rPr>
        <w:t>reference</w:t>
      </w:r>
      <w:r>
        <w:rPr>
          <w:color w:val="4A86E8"/>
          <w:spacing w:val="-3"/>
        </w:rPr>
        <w:t xml:space="preserve"> </w:t>
      </w:r>
      <w:r>
        <w:rPr>
          <w:color w:val="4A86E8"/>
        </w:rPr>
        <w:t>to</w:t>
      </w:r>
      <w:r>
        <w:rPr>
          <w:color w:val="4A86E8"/>
          <w:spacing w:val="-3"/>
        </w:rPr>
        <w:t xml:space="preserve"> </w:t>
      </w:r>
      <w:r>
        <w:rPr>
          <w:color w:val="4A86E8"/>
        </w:rPr>
        <w:t>Figures</w:t>
      </w:r>
      <w:r>
        <w:rPr>
          <w:color w:val="4A86E8"/>
          <w:spacing w:val="-3"/>
        </w:rPr>
        <w:t xml:space="preserve"> </w:t>
      </w:r>
      <w:r>
        <w:rPr>
          <w:color w:val="4A86E8"/>
        </w:rPr>
        <w:t>S6</w:t>
      </w:r>
      <w:r>
        <w:rPr>
          <w:color w:val="4A86E8"/>
          <w:spacing w:val="-3"/>
        </w:rPr>
        <w:t xml:space="preserve"> </w:t>
      </w:r>
      <w:r>
        <w:rPr>
          <w:color w:val="4A86E8"/>
        </w:rPr>
        <w:t>and</w:t>
      </w:r>
      <w:r>
        <w:rPr>
          <w:color w:val="4A86E8"/>
          <w:spacing w:val="-3"/>
        </w:rPr>
        <w:t xml:space="preserve"> </w:t>
      </w:r>
      <w:r>
        <w:rPr>
          <w:color w:val="4A86E8"/>
        </w:rPr>
        <w:t>S7</w:t>
      </w:r>
      <w:r>
        <w:rPr>
          <w:color w:val="4A86E8"/>
          <w:spacing w:val="-3"/>
        </w:rPr>
        <w:t xml:space="preserve"> </w:t>
      </w:r>
      <w:r>
        <w:rPr>
          <w:color w:val="4A86E8"/>
        </w:rPr>
        <w:t>and</w:t>
      </w:r>
      <w:r>
        <w:rPr>
          <w:color w:val="4A86E8"/>
          <w:spacing w:val="-3"/>
        </w:rPr>
        <w:t xml:space="preserve"> </w:t>
      </w:r>
      <w:r>
        <w:rPr>
          <w:color w:val="4A86E8"/>
        </w:rPr>
        <w:t>have</w:t>
      </w:r>
      <w:r>
        <w:rPr>
          <w:color w:val="4A86E8"/>
          <w:spacing w:val="-3"/>
        </w:rPr>
        <w:t xml:space="preserve"> </w:t>
      </w:r>
      <w:r>
        <w:rPr>
          <w:color w:val="4A86E8"/>
        </w:rPr>
        <w:t>instead referenced a new supplementary table, Supplementary Table 1 (which also more clearly documents the performance of all of our models on each of the peak sets and benchmarks).</w:t>
      </w:r>
    </w:p>
    <w:p w14:paraId="305609E1" w14:textId="77777777" w:rsidR="00E211CC" w:rsidRDefault="00E211CC" w:rsidP="00E211CC">
      <w:pPr>
        <w:pStyle w:val="BodyText"/>
        <w:spacing w:before="35"/>
        <w:ind w:left="0"/>
      </w:pPr>
    </w:p>
    <w:p w14:paraId="6FC5C052" w14:textId="77777777" w:rsidR="00E211CC" w:rsidRDefault="00E211CC" w:rsidP="00E211CC">
      <w:pPr>
        <w:pStyle w:val="ListParagraph"/>
        <w:widowControl w:val="0"/>
        <w:numPr>
          <w:ilvl w:val="0"/>
          <w:numId w:val="4"/>
        </w:numPr>
        <w:tabs>
          <w:tab w:val="left" w:pos="1185"/>
        </w:tabs>
        <w:autoSpaceDE w:val="0"/>
        <w:autoSpaceDN w:val="0"/>
        <w:spacing w:before="1" w:after="0" w:line="240" w:lineRule="auto"/>
        <w:ind w:left="1185" w:hanging="365"/>
        <w:contextualSpacing w:val="0"/>
      </w:pPr>
      <w:r>
        <w:rPr>
          <w:color w:val="222222"/>
        </w:rPr>
        <w:t>L208:</w:t>
      </w:r>
      <w:r>
        <w:rPr>
          <w:color w:val="222222"/>
          <w:spacing w:val="-8"/>
        </w:rPr>
        <w:t xml:space="preserve"> </w:t>
      </w:r>
      <w:r>
        <w:rPr>
          <w:color w:val="222222"/>
        </w:rPr>
        <w:t>Do</w:t>
      </w:r>
      <w:r>
        <w:rPr>
          <w:color w:val="222222"/>
          <w:spacing w:val="-5"/>
        </w:rPr>
        <w:t xml:space="preserve"> </w:t>
      </w:r>
      <w:r>
        <w:rPr>
          <w:color w:val="222222"/>
        </w:rPr>
        <w:t>the</w:t>
      </w:r>
      <w:r>
        <w:rPr>
          <w:color w:val="222222"/>
          <w:spacing w:val="-6"/>
        </w:rPr>
        <w:t xml:space="preserve"> </w:t>
      </w:r>
      <w:r>
        <w:rPr>
          <w:color w:val="222222"/>
        </w:rPr>
        <w:t>authors</w:t>
      </w:r>
      <w:r>
        <w:rPr>
          <w:color w:val="222222"/>
          <w:spacing w:val="-5"/>
        </w:rPr>
        <w:t xml:space="preserve"> </w:t>
      </w:r>
      <w:r>
        <w:rPr>
          <w:color w:val="222222"/>
        </w:rPr>
        <w:t>train</w:t>
      </w:r>
      <w:r>
        <w:rPr>
          <w:color w:val="222222"/>
          <w:spacing w:val="-7"/>
        </w:rPr>
        <w:t xml:space="preserve"> </w:t>
      </w:r>
      <w:r>
        <w:rPr>
          <w:color w:val="222222"/>
        </w:rPr>
        <w:t>only</w:t>
      </w:r>
      <w:r>
        <w:rPr>
          <w:color w:val="222222"/>
          <w:spacing w:val="-5"/>
        </w:rPr>
        <w:t xml:space="preserve"> </w:t>
      </w:r>
      <w:r>
        <w:rPr>
          <w:color w:val="222222"/>
        </w:rPr>
        <w:t>single-task</w:t>
      </w:r>
      <w:r>
        <w:rPr>
          <w:color w:val="222222"/>
          <w:spacing w:val="-6"/>
        </w:rPr>
        <w:t xml:space="preserve"> </w:t>
      </w:r>
      <w:r>
        <w:rPr>
          <w:color w:val="222222"/>
        </w:rPr>
        <w:t>models</w:t>
      </w:r>
      <w:r>
        <w:rPr>
          <w:color w:val="222222"/>
          <w:spacing w:val="-5"/>
        </w:rPr>
        <w:t xml:space="preserve"> </w:t>
      </w:r>
      <w:r>
        <w:rPr>
          <w:color w:val="222222"/>
        </w:rPr>
        <w:t>or</w:t>
      </w:r>
      <w:r>
        <w:rPr>
          <w:color w:val="222222"/>
          <w:spacing w:val="-6"/>
        </w:rPr>
        <w:t xml:space="preserve"> </w:t>
      </w:r>
      <w:r>
        <w:rPr>
          <w:color w:val="222222"/>
        </w:rPr>
        <w:t>multi-task</w:t>
      </w:r>
      <w:r>
        <w:rPr>
          <w:color w:val="222222"/>
          <w:spacing w:val="-5"/>
        </w:rPr>
        <w:t xml:space="preserve"> </w:t>
      </w:r>
      <w:r>
        <w:rPr>
          <w:color w:val="222222"/>
        </w:rPr>
        <w:t>models</w:t>
      </w:r>
      <w:r>
        <w:rPr>
          <w:color w:val="222222"/>
          <w:spacing w:val="-5"/>
        </w:rPr>
        <w:t xml:space="preserve"> </w:t>
      </w:r>
      <w:r>
        <w:rPr>
          <w:color w:val="222222"/>
          <w:spacing w:val="-2"/>
        </w:rPr>
        <w:t>here?</w:t>
      </w:r>
    </w:p>
    <w:p w14:paraId="107003DA" w14:textId="77777777" w:rsidR="00E211CC" w:rsidRDefault="00E211CC" w:rsidP="00E211CC">
      <w:pPr>
        <w:pStyle w:val="BodyText"/>
        <w:spacing w:before="39" w:line="276" w:lineRule="auto"/>
        <w:ind w:right="861"/>
      </w:pPr>
      <w:r>
        <w:rPr>
          <w:color w:val="4A86E8"/>
        </w:rPr>
        <w:t>In the analysis introduced on L208 in the original manuscript, we train only multi-task models. We</w:t>
      </w:r>
      <w:r>
        <w:rPr>
          <w:color w:val="4A86E8"/>
          <w:spacing w:val="-3"/>
        </w:rPr>
        <w:t xml:space="preserve"> </w:t>
      </w:r>
      <w:r>
        <w:rPr>
          <w:color w:val="4A86E8"/>
        </w:rPr>
        <w:t>have</w:t>
      </w:r>
      <w:r>
        <w:rPr>
          <w:color w:val="4A86E8"/>
          <w:spacing w:val="-3"/>
        </w:rPr>
        <w:t xml:space="preserve"> </w:t>
      </w:r>
      <w:r>
        <w:rPr>
          <w:color w:val="4A86E8"/>
        </w:rPr>
        <w:t>added</w:t>
      </w:r>
      <w:r>
        <w:rPr>
          <w:color w:val="4A86E8"/>
          <w:spacing w:val="-3"/>
        </w:rPr>
        <w:t xml:space="preserve"> </w:t>
      </w:r>
      <w:r>
        <w:rPr>
          <w:color w:val="4A86E8"/>
        </w:rPr>
        <w:t>additional</w:t>
      </w:r>
      <w:r>
        <w:rPr>
          <w:color w:val="4A86E8"/>
          <w:spacing w:val="-3"/>
        </w:rPr>
        <w:t xml:space="preserve"> </w:t>
      </w:r>
      <w:r>
        <w:rPr>
          <w:color w:val="4A86E8"/>
        </w:rPr>
        <w:t>text</w:t>
      </w:r>
      <w:r>
        <w:rPr>
          <w:color w:val="4A86E8"/>
          <w:spacing w:val="-3"/>
        </w:rPr>
        <w:t xml:space="preserve"> </w:t>
      </w:r>
      <w:r>
        <w:rPr>
          <w:color w:val="4A86E8"/>
        </w:rPr>
        <w:t>to</w:t>
      </w:r>
      <w:r>
        <w:rPr>
          <w:color w:val="4A86E8"/>
          <w:spacing w:val="-3"/>
        </w:rPr>
        <w:t xml:space="preserve"> </w:t>
      </w:r>
      <w:r>
        <w:rPr>
          <w:color w:val="4A86E8"/>
        </w:rPr>
        <w:t>the</w:t>
      </w:r>
      <w:r>
        <w:rPr>
          <w:color w:val="4A86E8"/>
          <w:spacing w:val="-3"/>
        </w:rPr>
        <w:t xml:space="preserve"> </w:t>
      </w:r>
      <w:r>
        <w:rPr>
          <w:color w:val="4A86E8"/>
        </w:rPr>
        <w:t>introductory</w:t>
      </w:r>
      <w:r>
        <w:rPr>
          <w:color w:val="4A86E8"/>
          <w:spacing w:val="-3"/>
        </w:rPr>
        <w:t xml:space="preserve"> </w:t>
      </w:r>
      <w:r>
        <w:rPr>
          <w:color w:val="4A86E8"/>
        </w:rPr>
        <w:t>sentence</w:t>
      </w:r>
      <w:r>
        <w:rPr>
          <w:color w:val="4A86E8"/>
          <w:spacing w:val="-3"/>
        </w:rPr>
        <w:t xml:space="preserve"> </w:t>
      </w:r>
      <w:r>
        <w:rPr>
          <w:color w:val="4A86E8"/>
        </w:rPr>
        <w:t>of</w:t>
      </w:r>
      <w:r>
        <w:rPr>
          <w:color w:val="4A86E8"/>
          <w:spacing w:val="-3"/>
        </w:rPr>
        <w:t xml:space="preserve"> </w:t>
      </w:r>
      <w:r>
        <w:rPr>
          <w:color w:val="4A86E8"/>
        </w:rPr>
        <w:t>this</w:t>
      </w:r>
      <w:r>
        <w:rPr>
          <w:color w:val="4A86E8"/>
          <w:spacing w:val="-3"/>
        </w:rPr>
        <w:t xml:space="preserve"> </w:t>
      </w:r>
      <w:r>
        <w:rPr>
          <w:color w:val="4A86E8"/>
        </w:rPr>
        <w:t>paragraph</w:t>
      </w:r>
      <w:r>
        <w:rPr>
          <w:color w:val="4A86E8"/>
          <w:spacing w:val="-3"/>
        </w:rPr>
        <w:t xml:space="preserve"> </w:t>
      </w:r>
      <w:r>
        <w:rPr>
          <w:color w:val="4A86E8"/>
        </w:rPr>
        <w:t>(highlighted</w:t>
      </w:r>
      <w:r>
        <w:rPr>
          <w:color w:val="4A86E8"/>
          <w:spacing w:val="-3"/>
        </w:rPr>
        <w:t xml:space="preserve"> </w:t>
      </w:r>
      <w:r>
        <w:rPr>
          <w:color w:val="4A86E8"/>
        </w:rPr>
        <w:t>in</w:t>
      </w:r>
      <w:r>
        <w:rPr>
          <w:color w:val="4A86E8"/>
          <w:spacing w:val="-3"/>
        </w:rPr>
        <w:t xml:space="preserve"> </w:t>
      </w:r>
      <w:r>
        <w:rPr>
          <w:color w:val="4A86E8"/>
        </w:rPr>
        <w:t xml:space="preserve">bold below) to clarify this: “For each dataset, we then train a set of </w:t>
      </w:r>
      <w:r>
        <w:rPr>
          <w:b/>
          <w:color w:val="4A86E8"/>
        </w:rPr>
        <w:t xml:space="preserve">multi-task </w:t>
      </w:r>
      <w:r>
        <w:rPr>
          <w:color w:val="4A86E8"/>
        </w:rPr>
        <w:t xml:space="preserve">convolutional neural networks (CNNs) to map input DNA sequences (1344bp) to continuous measures of chromatin accessibility (normalized ATAC-seq read counts) </w:t>
      </w:r>
      <w:r>
        <w:rPr>
          <w:b/>
          <w:color w:val="4A86E8"/>
        </w:rPr>
        <w:t>in each cell type.</w:t>
      </w:r>
      <w:r>
        <w:rPr>
          <w:color w:val="4A86E8"/>
        </w:rPr>
        <w:t>”</w:t>
      </w:r>
    </w:p>
    <w:p w14:paraId="345071A0" w14:textId="77777777" w:rsidR="00E211CC" w:rsidRDefault="00E211CC" w:rsidP="00E211CC">
      <w:pPr>
        <w:pStyle w:val="BodyText"/>
        <w:spacing w:before="40"/>
        <w:ind w:left="0"/>
      </w:pPr>
    </w:p>
    <w:p w14:paraId="0D23E025" w14:textId="77777777" w:rsidR="00E211CC" w:rsidRDefault="00E211CC" w:rsidP="00E211CC">
      <w:pPr>
        <w:pStyle w:val="ListParagraph"/>
        <w:widowControl w:val="0"/>
        <w:numPr>
          <w:ilvl w:val="0"/>
          <w:numId w:val="4"/>
        </w:numPr>
        <w:tabs>
          <w:tab w:val="left" w:pos="1185"/>
        </w:tabs>
        <w:autoSpaceDE w:val="0"/>
        <w:autoSpaceDN w:val="0"/>
        <w:spacing w:after="0" w:line="273" w:lineRule="auto"/>
        <w:ind w:right="1201" w:firstLine="0"/>
        <w:contextualSpacing w:val="0"/>
      </w:pPr>
      <w:r>
        <w:rPr>
          <w:color w:val="222222"/>
        </w:rPr>
        <w:t>Fig.</w:t>
      </w:r>
      <w:r>
        <w:rPr>
          <w:color w:val="222222"/>
          <w:spacing w:val="-3"/>
        </w:rPr>
        <w:t xml:space="preserve"> </w:t>
      </w:r>
      <w:r>
        <w:rPr>
          <w:color w:val="222222"/>
        </w:rPr>
        <w:t>3:</w:t>
      </w:r>
      <w:r>
        <w:rPr>
          <w:color w:val="222222"/>
          <w:spacing w:val="-3"/>
        </w:rPr>
        <w:t xml:space="preserve"> </w:t>
      </w:r>
      <w:r>
        <w:rPr>
          <w:color w:val="222222"/>
        </w:rPr>
        <w:t>Is</w:t>
      </w:r>
      <w:r>
        <w:rPr>
          <w:color w:val="222222"/>
          <w:spacing w:val="-3"/>
        </w:rPr>
        <w:t xml:space="preserve"> </w:t>
      </w:r>
      <w:r>
        <w:rPr>
          <w:color w:val="222222"/>
        </w:rPr>
        <w:t>the</w:t>
      </w:r>
      <w:r>
        <w:rPr>
          <w:color w:val="222222"/>
          <w:spacing w:val="-3"/>
        </w:rPr>
        <w:t xml:space="preserve"> </w:t>
      </w:r>
      <w:r>
        <w:rPr>
          <w:color w:val="222222"/>
        </w:rPr>
        <w:t>model</w:t>
      </w:r>
      <w:r>
        <w:rPr>
          <w:color w:val="222222"/>
          <w:spacing w:val="-3"/>
        </w:rPr>
        <w:t xml:space="preserve"> </w:t>
      </w:r>
      <w:r>
        <w:rPr>
          <w:color w:val="222222"/>
        </w:rPr>
        <w:t>compared</w:t>
      </w:r>
      <w:r>
        <w:rPr>
          <w:color w:val="222222"/>
          <w:spacing w:val="-3"/>
        </w:rPr>
        <w:t xml:space="preserve"> </w:t>
      </w:r>
      <w:r>
        <w:rPr>
          <w:color w:val="222222"/>
        </w:rPr>
        <w:t>here</w:t>
      </w:r>
      <w:r>
        <w:rPr>
          <w:color w:val="222222"/>
          <w:spacing w:val="-3"/>
        </w:rPr>
        <w:t xml:space="preserve"> </w:t>
      </w:r>
      <w:r>
        <w:rPr>
          <w:color w:val="222222"/>
        </w:rPr>
        <w:t>multi-task</w:t>
      </w:r>
      <w:r>
        <w:rPr>
          <w:color w:val="222222"/>
          <w:spacing w:val="-3"/>
        </w:rPr>
        <w:t xml:space="preserve"> </w:t>
      </w:r>
      <w:r>
        <w:rPr>
          <w:color w:val="222222"/>
        </w:rPr>
        <w:t>or</w:t>
      </w:r>
      <w:r>
        <w:rPr>
          <w:color w:val="222222"/>
          <w:spacing w:val="-3"/>
        </w:rPr>
        <w:t xml:space="preserve"> </w:t>
      </w:r>
      <w:r>
        <w:rPr>
          <w:color w:val="222222"/>
        </w:rPr>
        <w:t>single-task?</w:t>
      </w:r>
      <w:r>
        <w:rPr>
          <w:color w:val="222222"/>
          <w:spacing w:val="-3"/>
        </w:rPr>
        <w:t xml:space="preserve"> </w:t>
      </w:r>
      <w:r>
        <w:rPr>
          <w:color w:val="222222"/>
        </w:rPr>
        <w:t>I've</w:t>
      </w:r>
      <w:r>
        <w:rPr>
          <w:color w:val="222222"/>
          <w:spacing w:val="-3"/>
        </w:rPr>
        <w:t xml:space="preserve"> </w:t>
      </w:r>
      <w:r>
        <w:rPr>
          <w:color w:val="222222"/>
        </w:rPr>
        <w:t>had</w:t>
      </w:r>
      <w:r>
        <w:rPr>
          <w:color w:val="222222"/>
          <w:spacing w:val="-3"/>
        </w:rPr>
        <w:t xml:space="preserve"> </w:t>
      </w:r>
      <w:r>
        <w:rPr>
          <w:color w:val="222222"/>
        </w:rPr>
        <w:t>trouble</w:t>
      </w:r>
      <w:r>
        <w:rPr>
          <w:color w:val="222222"/>
          <w:spacing w:val="-3"/>
        </w:rPr>
        <w:t xml:space="preserve"> </w:t>
      </w:r>
      <w:r>
        <w:rPr>
          <w:color w:val="222222"/>
        </w:rPr>
        <w:t>figuring</w:t>
      </w:r>
      <w:r>
        <w:rPr>
          <w:color w:val="222222"/>
          <w:spacing w:val="-3"/>
        </w:rPr>
        <w:t xml:space="preserve"> </w:t>
      </w:r>
      <w:r>
        <w:rPr>
          <w:color w:val="222222"/>
        </w:rPr>
        <w:t>this out from the figure legend / text.</w:t>
      </w:r>
    </w:p>
    <w:p w14:paraId="345A96D3" w14:textId="77777777" w:rsidR="00E211CC" w:rsidRDefault="00E211CC" w:rsidP="00E211CC">
      <w:pPr>
        <w:pStyle w:val="BodyText"/>
        <w:spacing w:before="4" w:line="276" w:lineRule="auto"/>
        <w:ind w:right="987"/>
      </w:pPr>
      <w:r>
        <w:rPr>
          <w:color w:val="4A86E8"/>
        </w:rPr>
        <w:t>The models compared in Figure 3 are multi-task models for each dataset trained on all cell types</w:t>
      </w:r>
      <w:r>
        <w:rPr>
          <w:color w:val="4A86E8"/>
          <w:spacing w:val="-3"/>
        </w:rPr>
        <w:t xml:space="preserve"> </w:t>
      </w:r>
      <w:r>
        <w:rPr>
          <w:color w:val="4A86E8"/>
        </w:rPr>
        <w:t>in</w:t>
      </w:r>
      <w:r>
        <w:rPr>
          <w:color w:val="4A86E8"/>
          <w:spacing w:val="-3"/>
        </w:rPr>
        <w:t xml:space="preserve"> </w:t>
      </w:r>
      <w:r>
        <w:rPr>
          <w:color w:val="4A86E8"/>
        </w:rPr>
        <w:t>that</w:t>
      </w:r>
      <w:r>
        <w:rPr>
          <w:color w:val="4A86E8"/>
          <w:spacing w:val="-3"/>
        </w:rPr>
        <w:t xml:space="preserve"> </w:t>
      </w:r>
      <w:r>
        <w:rPr>
          <w:color w:val="4A86E8"/>
        </w:rPr>
        <w:t>dataset</w:t>
      </w:r>
      <w:r>
        <w:rPr>
          <w:color w:val="4A86E8"/>
          <w:spacing w:val="-3"/>
        </w:rPr>
        <w:t xml:space="preserve"> </w:t>
      </w:r>
      <w:r>
        <w:rPr>
          <w:color w:val="4A86E8"/>
        </w:rPr>
        <w:t>(i.e.</w:t>
      </w:r>
      <w:r>
        <w:rPr>
          <w:color w:val="4A86E8"/>
          <w:spacing w:val="-3"/>
        </w:rPr>
        <w:t xml:space="preserve"> </w:t>
      </w:r>
      <w:r>
        <w:rPr>
          <w:color w:val="4A86E8"/>
        </w:rPr>
        <w:t>three</w:t>
      </w:r>
      <w:r>
        <w:rPr>
          <w:color w:val="4A86E8"/>
          <w:spacing w:val="-3"/>
        </w:rPr>
        <w:t xml:space="preserve"> </w:t>
      </w:r>
      <w:r>
        <w:rPr>
          <w:color w:val="4A86E8"/>
        </w:rPr>
        <w:t>replicate</w:t>
      </w:r>
      <w:r>
        <w:rPr>
          <w:color w:val="4A86E8"/>
          <w:spacing w:val="-3"/>
        </w:rPr>
        <w:t xml:space="preserve"> </w:t>
      </w:r>
      <w:r>
        <w:rPr>
          <w:color w:val="4A86E8"/>
        </w:rPr>
        <w:t>multi-task</w:t>
      </w:r>
      <w:r>
        <w:rPr>
          <w:color w:val="4A86E8"/>
          <w:spacing w:val="-3"/>
        </w:rPr>
        <w:t xml:space="preserve"> </w:t>
      </w:r>
      <w:r>
        <w:rPr>
          <w:color w:val="4A86E8"/>
        </w:rPr>
        <w:t>models</w:t>
      </w:r>
      <w:r>
        <w:rPr>
          <w:color w:val="4A86E8"/>
          <w:spacing w:val="-3"/>
        </w:rPr>
        <w:t xml:space="preserve"> </w:t>
      </w:r>
      <w:r>
        <w:rPr>
          <w:color w:val="4A86E8"/>
        </w:rPr>
        <w:t>for</w:t>
      </w:r>
      <w:r>
        <w:rPr>
          <w:color w:val="4A86E8"/>
          <w:spacing w:val="-3"/>
        </w:rPr>
        <w:t xml:space="preserve"> </w:t>
      </w:r>
      <w:r>
        <w:rPr>
          <w:color w:val="4A86E8"/>
        </w:rPr>
        <w:t>Loeb,</w:t>
      </w:r>
      <w:r>
        <w:rPr>
          <w:color w:val="4A86E8"/>
          <w:spacing w:val="-3"/>
        </w:rPr>
        <w:t xml:space="preserve"> </w:t>
      </w:r>
      <w:r>
        <w:rPr>
          <w:color w:val="4A86E8"/>
        </w:rPr>
        <w:t>et</w:t>
      </w:r>
      <w:r>
        <w:rPr>
          <w:color w:val="4A86E8"/>
          <w:spacing w:val="-3"/>
        </w:rPr>
        <w:t xml:space="preserve"> </w:t>
      </w:r>
      <w:r>
        <w:rPr>
          <w:color w:val="4A86E8"/>
        </w:rPr>
        <w:t>al.,</w:t>
      </w:r>
      <w:r>
        <w:rPr>
          <w:color w:val="4A86E8"/>
          <w:spacing w:val="-3"/>
        </w:rPr>
        <w:t xml:space="preserve"> </w:t>
      </w:r>
      <w:r>
        <w:rPr>
          <w:color w:val="4A86E8"/>
        </w:rPr>
        <w:t>three</w:t>
      </w:r>
      <w:r>
        <w:rPr>
          <w:color w:val="4A86E8"/>
          <w:spacing w:val="-3"/>
        </w:rPr>
        <w:t xml:space="preserve"> </w:t>
      </w:r>
      <w:r>
        <w:rPr>
          <w:color w:val="4A86E8"/>
        </w:rPr>
        <w:t>replicate</w:t>
      </w:r>
      <w:r>
        <w:rPr>
          <w:color w:val="4A86E8"/>
          <w:spacing w:val="-3"/>
        </w:rPr>
        <w:t xml:space="preserve"> </w:t>
      </w:r>
      <w:r>
        <w:rPr>
          <w:color w:val="4A86E8"/>
        </w:rPr>
        <w:t>multi- task models for Calderon, et al.). We have clarified this in the figure legend and text.</w:t>
      </w:r>
    </w:p>
    <w:p w14:paraId="1258FD03" w14:textId="77777777" w:rsidR="00E211CC" w:rsidRDefault="00E211CC" w:rsidP="00E211CC">
      <w:pPr>
        <w:pStyle w:val="BodyText"/>
        <w:spacing w:before="36"/>
        <w:ind w:left="0"/>
      </w:pPr>
    </w:p>
    <w:p w14:paraId="7AEF2631" w14:textId="77777777" w:rsidR="00E211CC" w:rsidRDefault="00E211CC" w:rsidP="00E211CC">
      <w:pPr>
        <w:pStyle w:val="ListParagraph"/>
        <w:widowControl w:val="0"/>
        <w:numPr>
          <w:ilvl w:val="0"/>
          <w:numId w:val="4"/>
        </w:numPr>
        <w:tabs>
          <w:tab w:val="left" w:pos="1185"/>
        </w:tabs>
        <w:autoSpaceDE w:val="0"/>
        <w:autoSpaceDN w:val="0"/>
        <w:spacing w:after="0" w:line="278" w:lineRule="auto"/>
        <w:ind w:right="1335" w:firstLine="0"/>
        <w:contextualSpacing w:val="0"/>
      </w:pPr>
      <w:r>
        <w:rPr>
          <w:color w:val="222222"/>
        </w:rPr>
        <w:t>Fig.</w:t>
      </w:r>
      <w:r>
        <w:rPr>
          <w:color w:val="222222"/>
          <w:spacing w:val="-3"/>
        </w:rPr>
        <w:t xml:space="preserve"> </w:t>
      </w:r>
      <w:r>
        <w:rPr>
          <w:color w:val="222222"/>
        </w:rPr>
        <w:t>3C</w:t>
      </w:r>
      <w:r>
        <w:rPr>
          <w:color w:val="222222"/>
          <w:spacing w:val="-3"/>
        </w:rPr>
        <w:t xml:space="preserve"> </w:t>
      </w:r>
      <w:r>
        <w:rPr>
          <w:color w:val="222222"/>
        </w:rPr>
        <w:t>vs</w:t>
      </w:r>
      <w:r>
        <w:rPr>
          <w:color w:val="222222"/>
          <w:spacing w:val="-3"/>
        </w:rPr>
        <w:t xml:space="preserve"> </w:t>
      </w:r>
      <w:r>
        <w:rPr>
          <w:color w:val="222222"/>
        </w:rPr>
        <w:t>4A</w:t>
      </w:r>
      <w:r>
        <w:rPr>
          <w:color w:val="222222"/>
          <w:spacing w:val="-3"/>
        </w:rPr>
        <w:t xml:space="preserve"> </w:t>
      </w:r>
      <w:r>
        <w:rPr>
          <w:color w:val="222222"/>
        </w:rPr>
        <w:t>-&gt;</w:t>
      </w:r>
      <w:r>
        <w:rPr>
          <w:color w:val="222222"/>
          <w:spacing w:val="-3"/>
        </w:rPr>
        <w:t xml:space="preserve"> </w:t>
      </w:r>
      <w:r>
        <w:rPr>
          <w:color w:val="222222"/>
        </w:rPr>
        <w:t>consistent</w:t>
      </w:r>
      <w:r>
        <w:rPr>
          <w:color w:val="222222"/>
          <w:spacing w:val="-3"/>
        </w:rPr>
        <w:t xml:space="preserve"> </w:t>
      </w:r>
      <w:r>
        <w:rPr>
          <w:color w:val="222222"/>
        </w:rPr>
        <w:t>colors</w:t>
      </w:r>
      <w:r>
        <w:rPr>
          <w:color w:val="222222"/>
          <w:spacing w:val="-3"/>
        </w:rPr>
        <w:t xml:space="preserve"> </w:t>
      </w:r>
      <w:r>
        <w:rPr>
          <w:color w:val="222222"/>
        </w:rPr>
        <w:t>should</w:t>
      </w:r>
      <w:r>
        <w:rPr>
          <w:color w:val="222222"/>
          <w:spacing w:val="-3"/>
        </w:rPr>
        <w:t xml:space="preserve"> </w:t>
      </w:r>
      <w:r>
        <w:rPr>
          <w:color w:val="222222"/>
        </w:rPr>
        <w:t>be</w:t>
      </w:r>
      <w:r>
        <w:rPr>
          <w:color w:val="222222"/>
          <w:spacing w:val="-3"/>
        </w:rPr>
        <w:t xml:space="preserve"> </w:t>
      </w:r>
      <w:r>
        <w:rPr>
          <w:color w:val="222222"/>
        </w:rPr>
        <w:t>used</w:t>
      </w:r>
      <w:r>
        <w:rPr>
          <w:color w:val="222222"/>
          <w:spacing w:val="-3"/>
        </w:rPr>
        <w:t xml:space="preserve"> </w:t>
      </w:r>
      <w:r>
        <w:rPr>
          <w:color w:val="222222"/>
        </w:rPr>
        <w:t>for</w:t>
      </w:r>
      <w:r>
        <w:rPr>
          <w:color w:val="222222"/>
          <w:spacing w:val="-3"/>
        </w:rPr>
        <w:t xml:space="preserve"> </w:t>
      </w:r>
      <w:r>
        <w:rPr>
          <w:color w:val="222222"/>
        </w:rPr>
        <w:t>multi-task</w:t>
      </w:r>
      <w:r>
        <w:rPr>
          <w:color w:val="222222"/>
          <w:spacing w:val="-3"/>
        </w:rPr>
        <w:t xml:space="preserve"> </w:t>
      </w:r>
      <w:r>
        <w:rPr>
          <w:color w:val="222222"/>
        </w:rPr>
        <w:t>prediction</w:t>
      </w:r>
      <w:r>
        <w:rPr>
          <w:color w:val="222222"/>
          <w:spacing w:val="-3"/>
        </w:rPr>
        <w:t xml:space="preserve"> </w:t>
      </w:r>
      <w:r>
        <w:rPr>
          <w:color w:val="222222"/>
        </w:rPr>
        <w:t>models</w:t>
      </w:r>
      <w:r>
        <w:rPr>
          <w:color w:val="222222"/>
          <w:spacing w:val="-3"/>
        </w:rPr>
        <w:t xml:space="preserve"> </w:t>
      </w:r>
      <w:r>
        <w:rPr>
          <w:color w:val="222222"/>
        </w:rPr>
        <w:t>since they are showing the same performance numbers or?</w:t>
      </w:r>
    </w:p>
    <w:p w14:paraId="4399184B" w14:textId="77777777" w:rsidR="00E211CC" w:rsidRDefault="00E211CC" w:rsidP="00E211CC">
      <w:pPr>
        <w:pStyle w:val="BodyText"/>
        <w:spacing w:after="3" w:line="273" w:lineRule="auto"/>
        <w:ind w:right="861"/>
      </w:pPr>
      <w:r>
        <w:rPr>
          <w:color w:val="4A86E8"/>
        </w:rPr>
        <w:t>We</w:t>
      </w:r>
      <w:r>
        <w:rPr>
          <w:color w:val="4A86E8"/>
          <w:spacing w:val="-3"/>
        </w:rPr>
        <w:t xml:space="preserve"> </w:t>
      </w:r>
      <w:r>
        <w:rPr>
          <w:color w:val="4A86E8"/>
        </w:rPr>
        <w:t>use</w:t>
      </w:r>
      <w:r>
        <w:rPr>
          <w:color w:val="4A86E8"/>
          <w:spacing w:val="-3"/>
        </w:rPr>
        <w:t xml:space="preserve"> </w:t>
      </w:r>
      <w:r>
        <w:rPr>
          <w:color w:val="4A86E8"/>
        </w:rPr>
        <w:t>the</w:t>
      </w:r>
      <w:r>
        <w:rPr>
          <w:color w:val="4A86E8"/>
          <w:spacing w:val="-3"/>
        </w:rPr>
        <w:t xml:space="preserve"> </w:t>
      </w:r>
      <w:r>
        <w:rPr>
          <w:color w:val="4A86E8"/>
        </w:rPr>
        <w:t>following</w:t>
      </w:r>
      <w:r>
        <w:rPr>
          <w:color w:val="4A86E8"/>
          <w:spacing w:val="-3"/>
        </w:rPr>
        <w:t xml:space="preserve"> </w:t>
      </w:r>
      <w:r>
        <w:rPr>
          <w:color w:val="4A86E8"/>
        </w:rPr>
        <w:t>color</w:t>
      </w:r>
      <w:r>
        <w:rPr>
          <w:color w:val="4A86E8"/>
          <w:spacing w:val="-3"/>
        </w:rPr>
        <w:t xml:space="preserve"> </w:t>
      </w:r>
      <w:r>
        <w:rPr>
          <w:color w:val="4A86E8"/>
        </w:rPr>
        <w:t>scheme</w:t>
      </w:r>
      <w:r>
        <w:rPr>
          <w:color w:val="4A86E8"/>
          <w:spacing w:val="-3"/>
        </w:rPr>
        <w:t xml:space="preserve"> </w:t>
      </w:r>
      <w:r>
        <w:rPr>
          <w:color w:val="4A86E8"/>
        </w:rPr>
        <w:t>throughout</w:t>
      </w:r>
      <w:r>
        <w:rPr>
          <w:color w:val="4A86E8"/>
          <w:spacing w:val="-3"/>
        </w:rPr>
        <w:t xml:space="preserve"> </w:t>
      </w:r>
      <w:r>
        <w:rPr>
          <w:color w:val="4A86E8"/>
        </w:rPr>
        <w:t>Fig</w:t>
      </w:r>
      <w:r>
        <w:rPr>
          <w:color w:val="4A86E8"/>
          <w:spacing w:val="-3"/>
        </w:rPr>
        <w:t xml:space="preserve"> </w:t>
      </w:r>
      <w:r>
        <w:rPr>
          <w:color w:val="4A86E8"/>
        </w:rPr>
        <w:t>3C/D</w:t>
      </w:r>
      <w:r>
        <w:rPr>
          <w:color w:val="4A86E8"/>
          <w:spacing w:val="-3"/>
        </w:rPr>
        <w:t xml:space="preserve"> </w:t>
      </w:r>
      <w:r>
        <w:rPr>
          <w:color w:val="4A86E8"/>
        </w:rPr>
        <w:t>and</w:t>
      </w:r>
      <w:r>
        <w:rPr>
          <w:color w:val="4A86E8"/>
          <w:spacing w:val="-3"/>
        </w:rPr>
        <w:t xml:space="preserve"> </w:t>
      </w:r>
      <w:r>
        <w:rPr>
          <w:color w:val="4A86E8"/>
        </w:rPr>
        <w:t>Fig</w:t>
      </w:r>
      <w:r>
        <w:rPr>
          <w:color w:val="4A86E8"/>
          <w:spacing w:val="-3"/>
        </w:rPr>
        <w:t xml:space="preserve"> </w:t>
      </w:r>
      <w:r>
        <w:rPr>
          <w:color w:val="4A86E8"/>
        </w:rPr>
        <w:t>4,</w:t>
      </w:r>
      <w:r>
        <w:rPr>
          <w:color w:val="4A86E8"/>
          <w:spacing w:val="-3"/>
        </w:rPr>
        <w:t xml:space="preserve"> </w:t>
      </w:r>
      <w:r>
        <w:rPr>
          <w:color w:val="4A86E8"/>
        </w:rPr>
        <w:t>as</w:t>
      </w:r>
      <w:r>
        <w:rPr>
          <w:color w:val="4A86E8"/>
          <w:spacing w:val="-3"/>
        </w:rPr>
        <w:t xml:space="preserve"> </w:t>
      </w:r>
      <w:r>
        <w:rPr>
          <w:color w:val="4A86E8"/>
        </w:rPr>
        <w:t>well</w:t>
      </w:r>
      <w:r>
        <w:rPr>
          <w:color w:val="4A86E8"/>
          <w:spacing w:val="-3"/>
        </w:rPr>
        <w:t xml:space="preserve"> </w:t>
      </w:r>
      <w:r>
        <w:rPr>
          <w:color w:val="4A86E8"/>
        </w:rPr>
        <w:t>as</w:t>
      </w:r>
      <w:r>
        <w:rPr>
          <w:color w:val="4A86E8"/>
          <w:spacing w:val="-3"/>
        </w:rPr>
        <w:t xml:space="preserve"> </w:t>
      </w:r>
      <w:r>
        <w:rPr>
          <w:color w:val="4A86E8"/>
        </w:rPr>
        <w:t>the</w:t>
      </w:r>
      <w:r>
        <w:rPr>
          <w:color w:val="4A86E8"/>
          <w:spacing w:val="-3"/>
        </w:rPr>
        <w:t xml:space="preserve"> </w:t>
      </w:r>
      <w:r>
        <w:rPr>
          <w:color w:val="4A86E8"/>
        </w:rPr>
        <w:t>corresponding supplementary figures:</w:t>
      </w:r>
    </w:p>
    <w:tbl>
      <w:tblPr>
        <w:tblW w:w="0" w:type="auto"/>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120"/>
      </w:tblGrid>
      <w:tr w:rsidR="00E211CC" w14:paraId="0A4CC7FE" w14:textId="77777777" w:rsidTr="00C07FC8">
        <w:trPr>
          <w:trHeight w:val="450"/>
        </w:trPr>
        <w:tc>
          <w:tcPr>
            <w:tcW w:w="3120" w:type="dxa"/>
          </w:tcPr>
          <w:p w14:paraId="6345BDB3" w14:textId="77777777" w:rsidR="00E211CC" w:rsidRDefault="00E211CC" w:rsidP="00C07FC8">
            <w:pPr>
              <w:pStyle w:val="TableParagraph"/>
              <w:spacing w:before="0"/>
              <w:ind w:left="0"/>
              <w:rPr>
                <w:rFonts w:ascii="Times New Roman"/>
              </w:rPr>
            </w:pPr>
          </w:p>
        </w:tc>
        <w:tc>
          <w:tcPr>
            <w:tcW w:w="3120" w:type="dxa"/>
          </w:tcPr>
          <w:p w14:paraId="058B6EAC" w14:textId="77777777" w:rsidR="00E211CC" w:rsidRDefault="00E211CC" w:rsidP="00C07FC8">
            <w:pPr>
              <w:pStyle w:val="TableParagraph"/>
            </w:pPr>
            <w:r>
              <w:rPr>
                <w:color w:val="4A86E8"/>
                <w:spacing w:val="-2"/>
              </w:rPr>
              <w:t>Multi-</w:t>
            </w:r>
            <w:r>
              <w:rPr>
                <w:color w:val="4A86E8"/>
                <w:spacing w:val="-4"/>
              </w:rPr>
              <w:t>task</w:t>
            </w:r>
          </w:p>
        </w:tc>
        <w:tc>
          <w:tcPr>
            <w:tcW w:w="3120" w:type="dxa"/>
          </w:tcPr>
          <w:p w14:paraId="51216C83" w14:textId="77777777" w:rsidR="00E211CC" w:rsidRDefault="00E211CC" w:rsidP="00C07FC8">
            <w:pPr>
              <w:pStyle w:val="TableParagraph"/>
            </w:pPr>
            <w:r>
              <w:rPr>
                <w:color w:val="4A86E8"/>
                <w:spacing w:val="-2"/>
              </w:rPr>
              <w:t>Single-</w:t>
            </w:r>
            <w:r>
              <w:rPr>
                <w:color w:val="4A86E8"/>
                <w:spacing w:val="-4"/>
              </w:rPr>
              <w:t>task</w:t>
            </w:r>
          </w:p>
        </w:tc>
      </w:tr>
      <w:tr w:rsidR="00E211CC" w14:paraId="145D3E0E" w14:textId="77777777" w:rsidTr="00C07FC8">
        <w:trPr>
          <w:trHeight w:val="455"/>
        </w:trPr>
        <w:tc>
          <w:tcPr>
            <w:tcW w:w="3120" w:type="dxa"/>
          </w:tcPr>
          <w:p w14:paraId="3EA10C0D" w14:textId="77777777" w:rsidR="00E211CC" w:rsidRDefault="00E211CC" w:rsidP="00C07FC8">
            <w:pPr>
              <w:pStyle w:val="TableParagraph"/>
            </w:pPr>
            <w:r>
              <w:rPr>
                <w:color w:val="4A86E8"/>
              </w:rPr>
              <w:t>Cell</w:t>
            </w:r>
            <w:r>
              <w:rPr>
                <w:color w:val="4A86E8"/>
                <w:spacing w:val="-6"/>
              </w:rPr>
              <w:t xml:space="preserve"> </w:t>
            </w:r>
            <w:r>
              <w:rPr>
                <w:color w:val="4A86E8"/>
              </w:rPr>
              <w:t>type</w:t>
            </w:r>
            <w:r>
              <w:rPr>
                <w:color w:val="4A86E8"/>
                <w:spacing w:val="-5"/>
              </w:rPr>
              <w:t xml:space="preserve"> </w:t>
            </w:r>
            <w:r>
              <w:rPr>
                <w:color w:val="4A86E8"/>
              </w:rPr>
              <w:t>specific</w:t>
            </w:r>
            <w:r>
              <w:rPr>
                <w:color w:val="4A86E8"/>
                <w:spacing w:val="-5"/>
              </w:rPr>
              <w:t xml:space="preserve"> </w:t>
            </w:r>
            <w:r>
              <w:rPr>
                <w:color w:val="4A86E8"/>
                <w:spacing w:val="-2"/>
              </w:rPr>
              <w:t>peaks</w:t>
            </w:r>
          </w:p>
        </w:tc>
        <w:tc>
          <w:tcPr>
            <w:tcW w:w="3120" w:type="dxa"/>
          </w:tcPr>
          <w:p w14:paraId="43583214" w14:textId="77777777" w:rsidR="00E211CC" w:rsidRDefault="00E211CC" w:rsidP="00C07FC8">
            <w:pPr>
              <w:pStyle w:val="TableParagraph"/>
            </w:pPr>
            <w:r>
              <w:rPr>
                <w:color w:val="4A86E8"/>
              </w:rPr>
              <w:t>Dark</w:t>
            </w:r>
            <w:r>
              <w:rPr>
                <w:color w:val="4A86E8"/>
                <w:spacing w:val="-4"/>
              </w:rPr>
              <w:t xml:space="preserve"> blue</w:t>
            </w:r>
          </w:p>
        </w:tc>
        <w:tc>
          <w:tcPr>
            <w:tcW w:w="3120" w:type="dxa"/>
          </w:tcPr>
          <w:p w14:paraId="2985FD90" w14:textId="77777777" w:rsidR="00E211CC" w:rsidRDefault="00E211CC" w:rsidP="00C07FC8">
            <w:pPr>
              <w:pStyle w:val="TableParagraph"/>
            </w:pPr>
            <w:r>
              <w:rPr>
                <w:color w:val="4A86E8"/>
              </w:rPr>
              <w:t>Light</w:t>
            </w:r>
            <w:r>
              <w:rPr>
                <w:color w:val="4A86E8"/>
                <w:spacing w:val="-5"/>
              </w:rPr>
              <w:t xml:space="preserve"> </w:t>
            </w:r>
            <w:r>
              <w:rPr>
                <w:color w:val="4A86E8"/>
                <w:spacing w:val="-4"/>
              </w:rPr>
              <w:t>blue</w:t>
            </w:r>
          </w:p>
        </w:tc>
      </w:tr>
      <w:tr w:rsidR="00E211CC" w14:paraId="427F51ED" w14:textId="77777777" w:rsidTr="00C07FC8">
        <w:trPr>
          <w:trHeight w:val="455"/>
        </w:trPr>
        <w:tc>
          <w:tcPr>
            <w:tcW w:w="3120" w:type="dxa"/>
          </w:tcPr>
          <w:p w14:paraId="5822502A" w14:textId="77777777" w:rsidR="00E211CC" w:rsidRDefault="00E211CC" w:rsidP="00C07FC8">
            <w:pPr>
              <w:pStyle w:val="TableParagraph"/>
            </w:pPr>
            <w:r>
              <w:rPr>
                <w:color w:val="4A86E8"/>
              </w:rPr>
              <w:t>Ubiquitous</w:t>
            </w:r>
            <w:r>
              <w:rPr>
                <w:color w:val="4A86E8"/>
                <w:spacing w:val="-10"/>
              </w:rPr>
              <w:t xml:space="preserve"> </w:t>
            </w:r>
            <w:r>
              <w:rPr>
                <w:color w:val="4A86E8"/>
                <w:spacing w:val="-2"/>
              </w:rPr>
              <w:t>peaks</w:t>
            </w:r>
          </w:p>
        </w:tc>
        <w:tc>
          <w:tcPr>
            <w:tcW w:w="3120" w:type="dxa"/>
          </w:tcPr>
          <w:p w14:paraId="376A3420" w14:textId="77777777" w:rsidR="00E211CC" w:rsidRDefault="00E211CC" w:rsidP="00C07FC8">
            <w:pPr>
              <w:pStyle w:val="TableParagraph"/>
            </w:pPr>
            <w:r>
              <w:rPr>
                <w:color w:val="4A86E8"/>
              </w:rPr>
              <w:t>Dark</w:t>
            </w:r>
            <w:r>
              <w:rPr>
                <w:color w:val="4A86E8"/>
                <w:spacing w:val="-4"/>
              </w:rPr>
              <w:t xml:space="preserve"> </w:t>
            </w:r>
            <w:r>
              <w:rPr>
                <w:color w:val="4A86E8"/>
                <w:spacing w:val="-2"/>
              </w:rPr>
              <w:t>orange</w:t>
            </w:r>
          </w:p>
        </w:tc>
        <w:tc>
          <w:tcPr>
            <w:tcW w:w="3120" w:type="dxa"/>
          </w:tcPr>
          <w:p w14:paraId="005E7370" w14:textId="77777777" w:rsidR="00E211CC" w:rsidRDefault="00E211CC" w:rsidP="00C07FC8">
            <w:pPr>
              <w:pStyle w:val="TableParagraph"/>
            </w:pPr>
            <w:r>
              <w:rPr>
                <w:color w:val="4A86E8"/>
              </w:rPr>
              <w:t>Light</w:t>
            </w:r>
            <w:r>
              <w:rPr>
                <w:color w:val="4A86E8"/>
                <w:spacing w:val="-5"/>
              </w:rPr>
              <w:t xml:space="preserve"> </w:t>
            </w:r>
            <w:r>
              <w:rPr>
                <w:color w:val="4A86E8"/>
                <w:spacing w:val="-2"/>
              </w:rPr>
              <w:t>orange</w:t>
            </w:r>
          </w:p>
        </w:tc>
      </w:tr>
    </w:tbl>
    <w:p w14:paraId="2976BA75" w14:textId="77777777" w:rsidR="00E211CC" w:rsidRDefault="00E211CC" w:rsidP="00E211CC">
      <w:pPr>
        <w:pStyle w:val="BodyText"/>
        <w:spacing w:before="35"/>
        <w:ind w:left="0"/>
      </w:pPr>
    </w:p>
    <w:p w14:paraId="4ADBD5B2" w14:textId="77777777" w:rsidR="00E211CC" w:rsidRDefault="00E211CC" w:rsidP="00E211CC">
      <w:pPr>
        <w:pStyle w:val="ListParagraph"/>
        <w:widowControl w:val="0"/>
        <w:numPr>
          <w:ilvl w:val="0"/>
          <w:numId w:val="4"/>
        </w:numPr>
        <w:tabs>
          <w:tab w:val="left" w:pos="1185"/>
        </w:tabs>
        <w:autoSpaceDE w:val="0"/>
        <w:autoSpaceDN w:val="0"/>
        <w:spacing w:after="0" w:line="276" w:lineRule="auto"/>
        <w:ind w:right="974" w:firstLine="0"/>
        <w:contextualSpacing w:val="0"/>
      </w:pPr>
      <w:r>
        <w:rPr>
          <w:color w:val="222222"/>
        </w:rPr>
        <w:t>L222:</w:t>
      </w:r>
      <w:r>
        <w:rPr>
          <w:color w:val="222222"/>
          <w:spacing w:val="-3"/>
        </w:rPr>
        <w:t xml:space="preserve"> </w:t>
      </w:r>
      <w:r>
        <w:rPr>
          <w:color w:val="222222"/>
        </w:rPr>
        <w:t>"...model</w:t>
      </w:r>
      <w:r>
        <w:rPr>
          <w:color w:val="222222"/>
          <w:spacing w:val="-3"/>
        </w:rPr>
        <w:t xml:space="preserve"> </w:t>
      </w:r>
      <w:r>
        <w:rPr>
          <w:color w:val="222222"/>
        </w:rPr>
        <w:t>trained</w:t>
      </w:r>
      <w:r>
        <w:rPr>
          <w:color w:val="222222"/>
          <w:spacing w:val="-3"/>
        </w:rPr>
        <w:t xml:space="preserve"> </w:t>
      </w:r>
      <w:r>
        <w:rPr>
          <w:color w:val="222222"/>
        </w:rPr>
        <w:t>on</w:t>
      </w:r>
      <w:r>
        <w:rPr>
          <w:color w:val="222222"/>
          <w:spacing w:val="-3"/>
        </w:rPr>
        <w:t xml:space="preserve"> </w:t>
      </w:r>
      <w:r>
        <w:rPr>
          <w:color w:val="222222"/>
        </w:rPr>
        <w:t>related</w:t>
      </w:r>
      <w:r>
        <w:rPr>
          <w:color w:val="222222"/>
          <w:spacing w:val="-3"/>
        </w:rPr>
        <w:t xml:space="preserve"> </w:t>
      </w:r>
      <w:r>
        <w:rPr>
          <w:color w:val="222222"/>
        </w:rPr>
        <w:t>cell</w:t>
      </w:r>
      <w:r>
        <w:rPr>
          <w:color w:val="222222"/>
          <w:spacing w:val="-3"/>
        </w:rPr>
        <w:t xml:space="preserve"> </w:t>
      </w:r>
      <w:r>
        <w:rPr>
          <w:color w:val="222222"/>
        </w:rPr>
        <w:t>types</w:t>
      </w:r>
      <w:r>
        <w:rPr>
          <w:color w:val="222222"/>
          <w:spacing w:val="-3"/>
        </w:rPr>
        <w:t xml:space="preserve"> </w:t>
      </w:r>
      <w:r>
        <w:rPr>
          <w:color w:val="222222"/>
        </w:rPr>
        <w:t>also</w:t>
      </w:r>
      <w:r>
        <w:rPr>
          <w:color w:val="222222"/>
          <w:spacing w:val="-3"/>
        </w:rPr>
        <w:t xml:space="preserve"> </w:t>
      </w:r>
      <w:r>
        <w:rPr>
          <w:color w:val="222222"/>
        </w:rPr>
        <w:t>have</w:t>
      </w:r>
      <w:r>
        <w:rPr>
          <w:color w:val="222222"/>
          <w:spacing w:val="-3"/>
        </w:rPr>
        <w:t xml:space="preserve"> </w:t>
      </w:r>
      <w:r>
        <w:rPr>
          <w:color w:val="222222"/>
        </w:rPr>
        <w:t>decreased</w:t>
      </w:r>
      <w:r>
        <w:rPr>
          <w:color w:val="222222"/>
          <w:spacing w:val="-3"/>
        </w:rPr>
        <w:t xml:space="preserve"> </w:t>
      </w:r>
      <w:r>
        <w:rPr>
          <w:color w:val="222222"/>
        </w:rPr>
        <w:t>performance…"</w:t>
      </w:r>
      <w:r>
        <w:rPr>
          <w:color w:val="222222"/>
          <w:spacing w:val="-4"/>
        </w:rPr>
        <w:t xml:space="preserve"> </w:t>
      </w:r>
      <w:r>
        <w:rPr>
          <w:color w:val="222222"/>
        </w:rPr>
        <w:t>-</w:t>
      </w:r>
      <w:r>
        <w:rPr>
          <w:color w:val="222222"/>
          <w:spacing w:val="-3"/>
        </w:rPr>
        <w:t xml:space="preserve"> </w:t>
      </w:r>
      <w:r>
        <w:rPr>
          <w:color w:val="222222"/>
        </w:rPr>
        <w:t>what</w:t>
      </w:r>
      <w:r>
        <w:rPr>
          <w:color w:val="222222"/>
          <w:spacing w:val="-3"/>
        </w:rPr>
        <w:t xml:space="preserve"> </w:t>
      </w:r>
      <w:r>
        <w:rPr>
          <w:color w:val="222222"/>
        </w:rPr>
        <w:t>do the</w:t>
      </w:r>
      <w:r>
        <w:rPr>
          <w:color w:val="222222"/>
          <w:spacing w:val="-2"/>
        </w:rPr>
        <w:t xml:space="preserve"> </w:t>
      </w:r>
      <w:r>
        <w:rPr>
          <w:color w:val="222222"/>
        </w:rPr>
        <w:t>authors</w:t>
      </w:r>
      <w:r>
        <w:rPr>
          <w:color w:val="222222"/>
          <w:spacing w:val="-2"/>
        </w:rPr>
        <w:t xml:space="preserve"> </w:t>
      </w:r>
      <w:r>
        <w:rPr>
          <w:color w:val="222222"/>
        </w:rPr>
        <w:t>mean</w:t>
      </w:r>
      <w:r>
        <w:rPr>
          <w:color w:val="222222"/>
          <w:spacing w:val="-2"/>
        </w:rPr>
        <w:t xml:space="preserve"> </w:t>
      </w:r>
      <w:r>
        <w:rPr>
          <w:color w:val="222222"/>
        </w:rPr>
        <w:t>by</w:t>
      </w:r>
      <w:r>
        <w:rPr>
          <w:color w:val="222222"/>
          <w:spacing w:val="-2"/>
        </w:rPr>
        <w:t xml:space="preserve"> </w:t>
      </w:r>
      <w:r>
        <w:rPr>
          <w:color w:val="222222"/>
        </w:rPr>
        <w:t>'trained</w:t>
      </w:r>
      <w:r>
        <w:rPr>
          <w:color w:val="222222"/>
          <w:spacing w:val="-2"/>
        </w:rPr>
        <w:t xml:space="preserve"> </w:t>
      </w:r>
      <w:r>
        <w:rPr>
          <w:color w:val="222222"/>
        </w:rPr>
        <w:t>on</w:t>
      </w:r>
      <w:r>
        <w:rPr>
          <w:color w:val="222222"/>
          <w:spacing w:val="-2"/>
        </w:rPr>
        <w:t xml:space="preserve"> </w:t>
      </w:r>
      <w:r>
        <w:rPr>
          <w:color w:val="222222"/>
        </w:rPr>
        <w:t>related</w:t>
      </w:r>
      <w:r>
        <w:rPr>
          <w:color w:val="222222"/>
          <w:spacing w:val="-2"/>
        </w:rPr>
        <w:t xml:space="preserve"> </w:t>
      </w:r>
      <w:r>
        <w:rPr>
          <w:color w:val="222222"/>
        </w:rPr>
        <w:t>cell</w:t>
      </w:r>
      <w:r>
        <w:rPr>
          <w:color w:val="222222"/>
          <w:spacing w:val="-2"/>
        </w:rPr>
        <w:t xml:space="preserve"> </w:t>
      </w:r>
      <w:r>
        <w:rPr>
          <w:color w:val="222222"/>
        </w:rPr>
        <w:t>types'?</w:t>
      </w:r>
      <w:r>
        <w:rPr>
          <w:color w:val="222222"/>
          <w:spacing w:val="-2"/>
        </w:rPr>
        <w:t xml:space="preserve"> </w:t>
      </w:r>
      <w:r>
        <w:rPr>
          <w:color w:val="222222"/>
        </w:rPr>
        <w:t>Weren't</w:t>
      </w:r>
      <w:r>
        <w:rPr>
          <w:color w:val="222222"/>
          <w:spacing w:val="-2"/>
        </w:rPr>
        <w:t xml:space="preserve"> </w:t>
      </w:r>
      <w:r>
        <w:rPr>
          <w:color w:val="222222"/>
        </w:rPr>
        <w:t>the</w:t>
      </w:r>
      <w:r>
        <w:rPr>
          <w:color w:val="222222"/>
          <w:spacing w:val="-2"/>
        </w:rPr>
        <w:t xml:space="preserve"> </w:t>
      </w:r>
      <w:r>
        <w:rPr>
          <w:color w:val="222222"/>
        </w:rPr>
        <w:t>models</w:t>
      </w:r>
      <w:r>
        <w:rPr>
          <w:color w:val="222222"/>
          <w:spacing w:val="-2"/>
        </w:rPr>
        <w:t xml:space="preserve"> </w:t>
      </w:r>
      <w:r>
        <w:rPr>
          <w:color w:val="222222"/>
        </w:rPr>
        <w:t>trained</w:t>
      </w:r>
      <w:r>
        <w:rPr>
          <w:color w:val="222222"/>
          <w:spacing w:val="-2"/>
        </w:rPr>
        <w:t xml:space="preserve"> </w:t>
      </w:r>
      <w:r>
        <w:rPr>
          <w:color w:val="222222"/>
        </w:rPr>
        <w:t>in</w:t>
      </w:r>
      <w:r>
        <w:rPr>
          <w:color w:val="222222"/>
          <w:spacing w:val="-2"/>
        </w:rPr>
        <w:t xml:space="preserve"> </w:t>
      </w:r>
      <w:r>
        <w:rPr>
          <w:color w:val="222222"/>
        </w:rPr>
        <w:t>the</w:t>
      </w:r>
      <w:r>
        <w:rPr>
          <w:color w:val="222222"/>
          <w:spacing w:val="-2"/>
        </w:rPr>
        <w:t xml:space="preserve"> </w:t>
      </w:r>
      <w:r>
        <w:rPr>
          <w:color w:val="222222"/>
        </w:rPr>
        <w:t>same</w:t>
      </w:r>
      <w:r>
        <w:rPr>
          <w:color w:val="222222"/>
          <w:spacing w:val="-2"/>
        </w:rPr>
        <w:t xml:space="preserve"> </w:t>
      </w:r>
      <w:r>
        <w:rPr>
          <w:color w:val="222222"/>
        </w:rPr>
        <w:t>cell type as they are being evaluated on? -&gt; After re-reading the text a few times I realized the text was</w:t>
      </w:r>
      <w:r>
        <w:rPr>
          <w:color w:val="222222"/>
          <w:spacing w:val="-1"/>
        </w:rPr>
        <w:t xml:space="preserve"> </w:t>
      </w:r>
      <w:r>
        <w:rPr>
          <w:color w:val="222222"/>
        </w:rPr>
        <w:t>actually</w:t>
      </w:r>
      <w:r>
        <w:rPr>
          <w:color w:val="222222"/>
          <w:spacing w:val="-1"/>
        </w:rPr>
        <w:t xml:space="preserve"> </w:t>
      </w:r>
      <w:r>
        <w:rPr>
          <w:color w:val="222222"/>
        </w:rPr>
        <w:t>talking</w:t>
      </w:r>
      <w:r>
        <w:rPr>
          <w:color w:val="222222"/>
          <w:spacing w:val="-1"/>
        </w:rPr>
        <w:t xml:space="preserve"> </w:t>
      </w:r>
      <w:r>
        <w:rPr>
          <w:color w:val="222222"/>
        </w:rPr>
        <w:t>about</w:t>
      </w:r>
      <w:r>
        <w:rPr>
          <w:color w:val="222222"/>
          <w:spacing w:val="-1"/>
        </w:rPr>
        <w:t xml:space="preserve"> </w:t>
      </w:r>
      <w:r>
        <w:rPr>
          <w:color w:val="222222"/>
        </w:rPr>
        <w:t>a</w:t>
      </w:r>
      <w:r>
        <w:rPr>
          <w:color w:val="222222"/>
          <w:spacing w:val="-1"/>
        </w:rPr>
        <w:t xml:space="preserve"> </w:t>
      </w:r>
      <w:r>
        <w:rPr>
          <w:color w:val="222222"/>
        </w:rPr>
        <w:t>multi-tasking</w:t>
      </w:r>
      <w:r>
        <w:rPr>
          <w:color w:val="222222"/>
          <w:spacing w:val="-1"/>
        </w:rPr>
        <w:t xml:space="preserve"> </w:t>
      </w:r>
      <w:r>
        <w:rPr>
          <w:color w:val="222222"/>
        </w:rPr>
        <w:t>model.</w:t>
      </w:r>
      <w:r>
        <w:rPr>
          <w:color w:val="222222"/>
          <w:spacing w:val="-1"/>
        </w:rPr>
        <w:t xml:space="preserve"> </w:t>
      </w:r>
      <w:r>
        <w:rPr>
          <w:color w:val="222222"/>
        </w:rPr>
        <w:t>The</w:t>
      </w:r>
      <w:r>
        <w:rPr>
          <w:color w:val="222222"/>
          <w:spacing w:val="-1"/>
        </w:rPr>
        <w:t xml:space="preserve"> </w:t>
      </w:r>
      <w:r>
        <w:rPr>
          <w:color w:val="222222"/>
        </w:rPr>
        <w:t>authors</w:t>
      </w:r>
      <w:r>
        <w:rPr>
          <w:color w:val="222222"/>
          <w:spacing w:val="-1"/>
        </w:rPr>
        <w:t xml:space="preserve"> </w:t>
      </w:r>
      <w:r>
        <w:rPr>
          <w:color w:val="222222"/>
        </w:rPr>
        <w:t>should</w:t>
      </w:r>
      <w:r>
        <w:rPr>
          <w:color w:val="222222"/>
          <w:spacing w:val="-1"/>
        </w:rPr>
        <w:t xml:space="preserve"> </w:t>
      </w:r>
      <w:r>
        <w:rPr>
          <w:color w:val="222222"/>
        </w:rPr>
        <w:t>make</w:t>
      </w:r>
      <w:r>
        <w:rPr>
          <w:color w:val="222222"/>
          <w:spacing w:val="-1"/>
        </w:rPr>
        <w:t xml:space="preserve"> </w:t>
      </w:r>
      <w:r>
        <w:rPr>
          <w:color w:val="222222"/>
        </w:rPr>
        <w:t>that</w:t>
      </w:r>
      <w:r>
        <w:rPr>
          <w:color w:val="222222"/>
          <w:spacing w:val="-1"/>
        </w:rPr>
        <w:t xml:space="preserve"> </w:t>
      </w:r>
      <w:r>
        <w:rPr>
          <w:color w:val="222222"/>
        </w:rPr>
        <w:t>more</w:t>
      </w:r>
      <w:r>
        <w:rPr>
          <w:color w:val="222222"/>
          <w:spacing w:val="-1"/>
        </w:rPr>
        <w:t xml:space="preserve"> </w:t>
      </w:r>
      <w:r>
        <w:rPr>
          <w:color w:val="222222"/>
        </w:rPr>
        <w:t>explicit</w:t>
      </w:r>
      <w:r>
        <w:rPr>
          <w:color w:val="222222"/>
          <w:spacing w:val="-1"/>
        </w:rPr>
        <w:t xml:space="preserve"> </w:t>
      </w:r>
      <w:r>
        <w:rPr>
          <w:color w:val="222222"/>
        </w:rPr>
        <w:t>in the text and include 'multi-task' in the title of this section.</w:t>
      </w:r>
    </w:p>
    <w:p w14:paraId="6EA1FA88" w14:textId="77777777" w:rsidR="00E211CC" w:rsidRDefault="00E211CC" w:rsidP="00E211CC">
      <w:pPr>
        <w:pStyle w:val="BodyText"/>
        <w:spacing w:line="276" w:lineRule="auto"/>
        <w:ind w:right="861"/>
      </w:pPr>
      <w:r>
        <w:rPr>
          <w:color w:val="4A86E8"/>
        </w:rPr>
        <w:t>We apologize for the confusion and have added additional text, as well as changed the title of the relevant section, to make it more clear that the evaluations are being performed on multi- task models trained on closely related cell types (i.e. only kidney cell types or only immune cell types).</w:t>
      </w:r>
      <w:r>
        <w:rPr>
          <w:color w:val="4A86E8"/>
          <w:spacing w:val="-3"/>
        </w:rPr>
        <w:t xml:space="preserve"> </w:t>
      </w:r>
      <w:r>
        <w:rPr>
          <w:color w:val="4A86E8"/>
        </w:rPr>
        <w:t>In</w:t>
      </w:r>
      <w:r>
        <w:rPr>
          <w:color w:val="4A86E8"/>
          <w:spacing w:val="-3"/>
        </w:rPr>
        <w:t xml:space="preserve"> </w:t>
      </w:r>
      <w:r>
        <w:rPr>
          <w:color w:val="4A86E8"/>
        </w:rPr>
        <w:t>particular,</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changed</w:t>
      </w:r>
      <w:r>
        <w:rPr>
          <w:color w:val="4A86E8"/>
          <w:spacing w:val="-3"/>
        </w:rPr>
        <w:t xml:space="preserve"> </w:t>
      </w:r>
      <w:r>
        <w:rPr>
          <w:color w:val="4A86E8"/>
        </w:rPr>
        <w:t>the</w:t>
      </w:r>
      <w:r>
        <w:rPr>
          <w:color w:val="4A86E8"/>
          <w:spacing w:val="-3"/>
        </w:rPr>
        <w:t xml:space="preserve"> </w:t>
      </w:r>
      <w:r>
        <w:rPr>
          <w:color w:val="4A86E8"/>
        </w:rPr>
        <w:t>section</w:t>
      </w:r>
      <w:r>
        <w:rPr>
          <w:color w:val="4A86E8"/>
          <w:spacing w:val="-3"/>
        </w:rPr>
        <w:t xml:space="preserve"> </w:t>
      </w:r>
      <w:r>
        <w:rPr>
          <w:color w:val="4A86E8"/>
        </w:rPr>
        <w:t>title</w:t>
      </w:r>
      <w:r>
        <w:rPr>
          <w:color w:val="4A86E8"/>
          <w:spacing w:val="-3"/>
        </w:rPr>
        <w:t xml:space="preserve"> </w:t>
      </w:r>
      <w:r>
        <w:rPr>
          <w:color w:val="4A86E8"/>
        </w:rPr>
        <w:t>from</w:t>
      </w:r>
      <w:r>
        <w:rPr>
          <w:color w:val="4A86E8"/>
          <w:spacing w:val="-3"/>
        </w:rPr>
        <w:t xml:space="preserve"> </w:t>
      </w:r>
      <w:r>
        <w:rPr>
          <w:color w:val="4A86E8"/>
        </w:rPr>
        <w:t>“Poor</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accessibility prediction on related cell types” to “Multi-task models trained on related cell types exhibit poor cell type specific accessibility prediction.”</w:t>
      </w:r>
    </w:p>
    <w:p w14:paraId="571530AF" w14:textId="77777777" w:rsidR="00E211CC" w:rsidRDefault="00E211CC" w:rsidP="00E211CC">
      <w:pPr>
        <w:pStyle w:val="BodyText"/>
        <w:spacing w:before="41"/>
        <w:ind w:left="0"/>
      </w:pPr>
    </w:p>
    <w:p w14:paraId="62F99E63" w14:textId="77777777" w:rsidR="00E211CC" w:rsidRDefault="00E211CC" w:rsidP="00E211CC">
      <w:pPr>
        <w:pStyle w:val="ListParagraph"/>
        <w:widowControl w:val="0"/>
        <w:numPr>
          <w:ilvl w:val="0"/>
          <w:numId w:val="4"/>
        </w:numPr>
        <w:tabs>
          <w:tab w:val="left" w:pos="1185"/>
        </w:tabs>
        <w:autoSpaceDE w:val="0"/>
        <w:autoSpaceDN w:val="0"/>
        <w:spacing w:after="0" w:line="273" w:lineRule="auto"/>
        <w:ind w:right="1040" w:firstLine="0"/>
        <w:contextualSpacing w:val="0"/>
      </w:pPr>
      <w:r>
        <w:rPr>
          <w:color w:val="222222"/>
        </w:rPr>
        <w:t>Fig.</w:t>
      </w:r>
      <w:r>
        <w:rPr>
          <w:color w:val="222222"/>
          <w:spacing w:val="-3"/>
        </w:rPr>
        <w:t xml:space="preserve"> </w:t>
      </w:r>
      <w:r>
        <w:rPr>
          <w:color w:val="222222"/>
        </w:rPr>
        <w:t>3E,F</w:t>
      </w:r>
      <w:r>
        <w:rPr>
          <w:color w:val="222222"/>
          <w:spacing w:val="-3"/>
        </w:rPr>
        <w:t xml:space="preserve"> </w:t>
      </w:r>
      <w:r>
        <w:rPr>
          <w:color w:val="222222"/>
        </w:rPr>
        <w:t>-&gt;</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should</w:t>
      </w:r>
      <w:r>
        <w:rPr>
          <w:color w:val="222222"/>
          <w:spacing w:val="-3"/>
        </w:rPr>
        <w:t xml:space="preserve"> </w:t>
      </w:r>
      <w:r>
        <w:rPr>
          <w:color w:val="222222"/>
        </w:rPr>
        <w:t>also</w:t>
      </w:r>
      <w:r>
        <w:rPr>
          <w:color w:val="222222"/>
          <w:spacing w:val="-3"/>
        </w:rPr>
        <w:t xml:space="preserve"> </w:t>
      </w:r>
      <w:r>
        <w:rPr>
          <w:color w:val="222222"/>
        </w:rPr>
        <w:t>show</w:t>
      </w:r>
      <w:r>
        <w:rPr>
          <w:color w:val="222222"/>
          <w:spacing w:val="-3"/>
        </w:rPr>
        <w:t xml:space="preserve"> </w:t>
      </w:r>
      <w:r>
        <w:rPr>
          <w:color w:val="222222"/>
        </w:rPr>
        <w:t>the</w:t>
      </w:r>
      <w:r>
        <w:rPr>
          <w:color w:val="222222"/>
          <w:spacing w:val="-3"/>
        </w:rPr>
        <w:t xml:space="preserve"> </w:t>
      </w:r>
      <w:r>
        <w:rPr>
          <w:color w:val="222222"/>
        </w:rPr>
        <w:t>same</w:t>
      </w:r>
      <w:r>
        <w:rPr>
          <w:color w:val="222222"/>
          <w:spacing w:val="-3"/>
        </w:rPr>
        <w:t xml:space="preserve"> </w:t>
      </w:r>
      <w:r>
        <w:rPr>
          <w:color w:val="222222"/>
        </w:rPr>
        <w:t>prediction</w:t>
      </w:r>
      <w:r>
        <w:rPr>
          <w:color w:val="222222"/>
          <w:spacing w:val="-3"/>
        </w:rPr>
        <w:t xml:space="preserve"> </w:t>
      </w:r>
      <w:r>
        <w:rPr>
          <w:color w:val="222222"/>
        </w:rPr>
        <w:t>example</w:t>
      </w:r>
      <w:r>
        <w:rPr>
          <w:color w:val="222222"/>
          <w:spacing w:val="-3"/>
        </w:rPr>
        <w:t xml:space="preserve"> </w:t>
      </w:r>
      <w:r>
        <w:rPr>
          <w:color w:val="222222"/>
        </w:rPr>
        <w:t>for</w:t>
      </w:r>
      <w:r>
        <w:rPr>
          <w:color w:val="222222"/>
          <w:spacing w:val="-3"/>
        </w:rPr>
        <w:t xml:space="preserve"> </w:t>
      </w:r>
      <w:r>
        <w:rPr>
          <w:color w:val="222222"/>
        </w:rPr>
        <w:t>the</w:t>
      </w:r>
      <w:r>
        <w:rPr>
          <w:color w:val="222222"/>
          <w:spacing w:val="-3"/>
        </w:rPr>
        <w:t xml:space="preserve"> </w:t>
      </w:r>
      <w:r>
        <w:rPr>
          <w:color w:val="222222"/>
        </w:rPr>
        <w:t>single-task models discussed in Fig. 4.</w:t>
      </w:r>
    </w:p>
    <w:p w14:paraId="1D3E1CA0" w14:textId="77777777" w:rsidR="00E211CC" w:rsidRDefault="00E211CC" w:rsidP="00E211CC">
      <w:pPr>
        <w:pStyle w:val="BodyText"/>
        <w:spacing w:before="4"/>
      </w:pPr>
      <w:r>
        <w:rPr>
          <w:color w:val="4A86E8"/>
        </w:rPr>
        <w:t>We</w:t>
      </w:r>
      <w:r>
        <w:rPr>
          <w:color w:val="4A86E8"/>
          <w:spacing w:val="-7"/>
        </w:rPr>
        <w:t xml:space="preserve"> </w:t>
      </w:r>
      <w:r>
        <w:rPr>
          <w:color w:val="4A86E8"/>
        </w:rPr>
        <w:t>have</w:t>
      </w:r>
      <w:r>
        <w:rPr>
          <w:color w:val="4A86E8"/>
          <w:spacing w:val="-5"/>
        </w:rPr>
        <w:t xml:space="preserve"> </w:t>
      </w:r>
      <w:r>
        <w:rPr>
          <w:color w:val="4A86E8"/>
        </w:rPr>
        <w:t>added</w:t>
      </w:r>
      <w:r>
        <w:rPr>
          <w:color w:val="4A86E8"/>
          <w:spacing w:val="-5"/>
        </w:rPr>
        <w:t xml:space="preserve"> </w:t>
      </w:r>
      <w:r>
        <w:rPr>
          <w:color w:val="4A86E8"/>
        </w:rPr>
        <w:t>the</w:t>
      </w:r>
      <w:r>
        <w:rPr>
          <w:color w:val="4A86E8"/>
          <w:spacing w:val="-5"/>
        </w:rPr>
        <w:t xml:space="preserve"> </w:t>
      </w:r>
      <w:r>
        <w:rPr>
          <w:color w:val="4A86E8"/>
        </w:rPr>
        <w:t>same</w:t>
      </w:r>
      <w:r>
        <w:rPr>
          <w:color w:val="4A86E8"/>
          <w:spacing w:val="-5"/>
        </w:rPr>
        <w:t xml:space="preserve"> </w:t>
      </w:r>
      <w:r>
        <w:rPr>
          <w:color w:val="4A86E8"/>
        </w:rPr>
        <w:t>prediction</w:t>
      </w:r>
      <w:r>
        <w:rPr>
          <w:color w:val="4A86E8"/>
          <w:spacing w:val="-5"/>
        </w:rPr>
        <w:t xml:space="preserve"> </w:t>
      </w:r>
      <w:r>
        <w:rPr>
          <w:color w:val="4A86E8"/>
        </w:rPr>
        <w:t>example</w:t>
      </w:r>
      <w:r>
        <w:rPr>
          <w:color w:val="4A86E8"/>
          <w:spacing w:val="-5"/>
        </w:rPr>
        <w:t xml:space="preserve"> </w:t>
      </w:r>
      <w:r>
        <w:rPr>
          <w:color w:val="4A86E8"/>
        </w:rPr>
        <w:t>for</w:t>
      </w:r>
      <w:r>
        <w:rPr>
          <w:color w:val="4A86E8"/>
          <w:spacing w:val="-5"/>
        </w:rPr>
        <w:t xml:space="preserve"> </w:t>
      </w:r>
      <w:r>
        <w:rPr>
          <w:color w:val="4A86E8"/>
        </w:rPr>
        <w:t>the</w:t>
      </w:r>
      <w:r>
        <w:rPr>
          <w:color w:val="4A86E8"/>
          <w:spacing w:val="-5"/>
        </w:rPr>
        <w:t xml:space="preserve"> </w:t>
      </w:r>
      <w:r>
        <w:rPr>
          <w:color w:val="4A86E8"/>
        </w:rPr>
        <w:t>single-task</w:t>
      </w:r>
      <w:r>
        <w:rPr>
          <w:color w:val="4A86E8"/>
          <w:spacing w:val="-5"/>
        </w:rPr>
        <w:t xml:space="preserve"> </w:t>
      </w:r>
      <w:r>
        <w:rPr>
          <w:color w:val="4A86E8"/>
        </w:rPr>
        <w:t>models</w:t>
      </w:r>
      <w:r>
        <w:rPr>
          <w:color w:val="4A86E8"/>
          <w:spacing w:val="-5"/>
        </w:rPr>
        <w:t xml:space="preserve"> </w:t>
      </w:r>
      <w:r>
        <w:rPr>
          <w:color w:val="4A86E8"/>
        </w:rPr>
        <w:t>as</w:t>
      </w:r>
      <w:r>
        <w:rPr>
          <w:color w:val="4A86E8"/>
          <w:spacing w:val="-5"/>
        </w:rPr>
        <w:t xml:space="preserve"> </w:t>
      </w:r>
      <w:r>
        <w:rPr>
          <w:color w:val="4A86E8"/>
        </w:rPr>
        <w:t>Fig.</w:t>
      </w:r>
      <w:r>
        <w:rPr>
          <w:color w:val="4A86E8"/>
          <w:spacing w:val="-4"/>
        </w:rPr>
        <w:t xml:space="preserve"> S18.</w:t>
      </w:r>
    </w:p>
    <w:p w14:paraId="72DCE5BD" w14:textId="77777777" w:rsidR="00E211CC" w:rsidRDefault="00E211CC" w:rsidP="00E211CC">
      <w:pPr>
        <w:sectPr w:rsidR="00E211CC" w:rsidSect="00E211CC">
          <w:pgSz w:w="12240" w:h="15840"/>
          <w:pgMar w:top="1360" w:right="580" w:bottom="280" w:left="620" w:header="720" w:footer="720" w:gutter="0"/>
          <w:cols w:space="720"/>
        </w:sectPr>
      </w:pPr>
    </w:p>
    <w:p w14:paraId="1F6665AB" w14:textId="77777777" w:rsidR="00E211CC" w:rsidRDefault="00E211CC" w:rsidP="00E211CC">
      <w:pPr>
        <w:pStyle w:val="ListParagraph"/>
        <w:widowControl w:val="0"/>
        <w:numPr>
          <w:ilvl w:val="0"/>
          <w:numId w:val="4"/>
        </w:numPr>
        <w:tabs>
          <w:tab w:val="left" w:pos="1185"/>
        </w:tabs>
        <w:autoSpaceDE w:val="0"/>
        <w:autoSpaceDN w:val="0"/>
        <w:spacing w:before="80" w:after="0" w:line="278" w:lineRule="auto"/>
        <w:ind w:right="1326" w:firstLine="0"/>
        <w:contextualSpacing w:val="0"/>
      </w:pPr>
      <w:r>
        <w:rPr>
          <w:color w:val="222222"/>
        </w:rPr>
        <w:lastRenderedPageBreak/>
        <w:t>Fig.</w:t>
      </w:r>
      <w:r>
        <w:rPr>
          <w:color w:val="222222"/>
          <w:spacing w:val="-3"/>
        </w:rPr>
        <w:t xml:space="preserve"> </w:t>
      </w:r>
      <w:r>
        <w:rPr>
          <w:color w:val="222222"/>
        </w:rPr>
        <w:t>S6,</w:t>
      </w:r>
      <w:r>
        <w:rPr>
          <w:color w:val="222222"/>
          <w:spacing w:val="-3"/>
        </w:rPr>
        <w:t xml:space="preserve"> </w:t>
      </w:r>
      <w:r>
        <w:rPr>
          <w:color w:val="222222"/>
        </w:rPr>
        <w:t>S7</w:t>
      </w:r>
      <w:r>
        <w:rPr>
          <w:color w:val="222222"/>
          <w:spacing w:val="-3"/>
        </w:rPr>
        <w:t xml:space="preserve"> </w:t>
      </w:r>
      <w:r>
        <w:rPr>
          <w:color w:val="222222"/>
        </w:rPr>
        <w:t>are</w:t>
      </w:r>
      <w:r>
        <w:rPr>
          <w:color w:val="222222"/>
          <w:spacing w:val="-3"/>
        </w:rPr>
        <w:t xml:space="preserve"> </w:t>
      </w:r>
      <w:r>
        <w:rPr>
          <w:color w:val="222222"/>
        </w:rPr>
        <w:t>very</w:t>
      </w:r>
      <w:r>
        <w:rPr>
          <w:color w:val="222222"/>
          <w:spacing w:val="-3"/>
        </w:rPr>
        <w:t xml:space="preserve"> </w:t>
      </w:r>
      <w:r>
        <w:rPr>
          <w:color w:val="222222"/>
        </w:rPr>
        <w:t>difficult</w:t>
      </w:r>
      <w:r>
        <w:rPr>
          <w:color w:val="222222"/>
          <w:spacing w:val="-3"/>
        </w:rPr>
        <w:t xml:space="preserve"> </w:t>
      </w:r>
      <w:r>
        <w:rPr>
          <w:color w:val="222222"/>
        </w:rPr>
        <w:t>to</w:t>
      </w:r>
      <w:r>
        <w:rPr>
          <w:color w:val="222222"/>
          <w:spacing w:val="-3"/>
        </w:rPr>
        <w:t xml:space="preserve"> </w:t>
      </w:r>
      <w:r>
        <w:rPr>
          <w:color w:val="222222"/>
        </w:rPr>
        <w:t>read.</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should</w:t>
      </w:r>
      <w:r>
        <w:rPr>
          <w:color w:val="222222"/>
          <w:spacing w:val="-3"/>
        </w:rPr>
        <w:t xml:space="preserve"> </w:t>
      </w:r>
      <w:r>
        <w:rPr>
          <w:color w:val="222222"/>
        </w:rPr>
        <w:t>consider</w:t>
      </w:r>
      <w:r>
        <w:rPr>
          <w:color w:val="222222"/>
          <w:spacing w:val="-3"/>
        </w:rPr>
        <w:t xml:space="preserve"> </w:t>
      </w:r>
      <w:r>
        <w:rPr>
          <w:color w:val="222222"/>
        </w:rPr>
        <w:t>splitting</w:t>
      </w:r>
      <w:r>
        <w:rPr>
          <w:color w:val="222222"/>
          <w:spacing w:val="-3"/>
        </w:rPr>
        <w:t xml:space="preserve"> </w:t>
      </w:r>
      <w:r>
        <w:rPr>
          <w:color w:val="222222"/>
        </w:rPr>
        <w:t>these</w:t>
      </w:r>
      <w:r>
        <w:rPr>
          <w:color w:val="222222"/>
          <w:spacing w:val="-3"/>
        </w:rPr>
        <w:t xml:space="preserve"> </w:t>
      </w:r>
      <w:r>
        <w:rPr>
          <w:color w:val="222222"/>
        </w:rPr>
        <w:t>out</w:t>
      </w:r>
      <w:r>
        <w:rPr>
          <w:color w:val="222222"/>
          <w:spacing w:val="-3"/>
        </w:rPr>
        <w:t xml:space="preserve"> </w:t>
      </w:r>
      <w:r>
        <w:rPr>
          <w:color w:val="222222"/>
        </w:rPr>
        <w:t>into multiple panels.</w:t>
      </w:r>
    </w:p>
    <w:p w14:paraId="36571B14" w14:textId="77777777" w:rsidR="00E211CC" w:rsidRDefault="00E211CC" w:rsidP="00E211CC">
      <w:pPr>
        <w:pStyle w:val="BodyText"/>
        <w:spacing w:line="276" w:lineRule="auto"/>
        <w:ind w:right="861"/>
      </w:pPr>
      <w:r>
        <w:rPr>
          <w:color w:val="4A86E8"/>
        </w:rPr>
        <w:t>We</w:t>
      </w:r>
      <w:r>
        <w:rPr>
          <w:color w:val="4A86E8"/>
          <w:spacing w:val="-2"/>
        </w:rPr>
        <w:t xml:space="preserve"> </w:t>
      </w:r>
      <w:r>
        <w:rPr>
          <w:color w:val="4A86E8"/>
        </w:rPr>
        <w:t>have</w:t>
      </w:r>
      <w:r>
        <w:rPr>
          <w:color w:val="4A86E8"/>
          <w:spacing w:val="-2"/>
        </w:rPr>
        <w:t xml:space="preserve"> </w:t>
      </w:r>
      <w:r>
        <w:rPr>
          <w:color w:val="4A86E8"/>
        </w:rPr>
        <w:t>updated</w:t>
      </w:r>
      <w:r>
        <w:rPr>
          <w:color w:val="4A86E8"/>
          <w:spacing w:val="-2"/>
        </w:rPr>
        <w:t xml:space="preserve"> </w:t>
      </w:r>
      <w:r>
        <w:rPr>
          <w:color w:val="4A86E8"/>
        </w:rPr>
        <w:t>the</w:t>
      </w:r>
      <w:r>
        <w:rPr>
          <w:color w:val="4A86E8"/>
          <w:spacing w:val="-2"/>
        </w:rPr>
        <w:t xml:space="preserve"> </w:t>
      </w:r>
      <w:r>
        <w:rPr>
          <w:color w:val="4A86E8"/>
        </w:rPr>
        <w:t>formatting</w:t>
      </w:r>
      <w:r>
        <w:rPr>
          <w:color w:val="4A86E8"/>
          <w:spacing w:val="-2"/>
        </w:rPr>
        <w:t xml:space="preserve"> </w:t>
      </w:r>
      <w:r>
        <w:rPr>
          <w:color w:val="4A86E8"/>
        </w:rPr>
        <w:t>of</w:t>
      </w:r>
      <w:r>
        <w:rPr>
          <w:color w:val="4A86E8"/>
          <w:spacing w:val="-2"/>
        </w:rPr>
        <w:t xml:space="preserve"> </w:t>
      </w:r>
      <w:r>
        <w:rPr>
          <w:color w:val="4A86E8"/>
        </w:rPr>
        <w:t>Figures</w:t>
      </w:r>
      <w:r>
        <w:rPr>
          <w:color w:val="4A86E8"/>
          <w:spacing w:val="-2"/>
        </w:rPr>
        <w:t xml:space="preserve"> </w:t>
      </w:r>
      <w:r>
        <w:rPr>
          <w:color w:val="4A86E8"/>
        </w:rPr>
        <w:t>S6</w:t>
      </w:r>
      <w:r>
        <w:rPr>
          <w:color w:val="4A86E8"/>
          <w:spacing w:val="-2"/>
        </w:rPr>
        <w:t xml:space="preserve"> </w:t>
      </w:r>
      <w:r>
        <w:rPr>
          <w:color w:val="4A86E8"/>
        </w:rPr>
        <w:t>and</w:t>
      </w:r>
      <w:r>
        <w:rPr>
          <w:color w:val="4A86E8"/>
          <w:spacing w:val="-2"/>
        </w:rPr>
        <w:t xml:space="preserve"> </w:t>
      </w:r>
      <w:r>
        <w:rPr>
          <w:color w:val="4A86E8"/>
        </w:rPr>
        <w:t>S7</w:t>
      </w:r>
      <w:r>
        <w:rPr>
          <w:color w:val="4A86E8"/>
          <w:spacing w:val="-2"/>
        </w:rPr>
        <w:t xml:space="preserve"> </w:t>
      </w:r>
      <w:r>
        <w:rPr>
          <w:color w:val="4A86E8"/>
        </w:rPr>
        <w:t>(now</w:t>
      </w:r>
      <w:r>
        <w:rPr>
          <w:color w:val="4A86E8"/>
          <w:spacing w:val="-2"/>
        </w:rPr>
        <w:t xml:space="preserve"> </w:t>
      </w:r>
      <w:r>
        <w:rPr>
          <w:color w:val="4A86E8"/>
        </w:rPr>
        <w:t>Figures</w:t>
      </w:r>
      <w:r>
        <w:rPr>
          <w:color w:val="4A86E8"/>
          <w:spacing w:val="-2"/>
        </w:rPr>
        <w:t xml:space="preserve"> </w:t>
      </w:r>
      <w:r>
        <w:rPr>
          <w:color w:val="4A86E8"/>
        </w:rPr>
        <w:t>S11</w:t>
      </w:r>
      <w:r>
        <w:rPr>
          <w:color w:val="4A86E8"/>
          <w:spacing w:val="-2"/>
        </w:rPr>
        <w:t xml:space="preserve"> </w:t>
      </w:r>
      <w:r>
        <w:rPr>
          <w:color w:val="4A86E8"/>
        </w:rPr>
        <w:t>and</w:t>
      </w:r>
      <w:r>
        <w:rPr>
          <w:color w:val="4A86E8"/>
          <w:spacing w:val="-2"/>
        </w:rPr>
        <w:t xml:space="preserve"> </w:t>
      </w:r>
      <w:r>
        <w:rPr>
          <w:color w:val="4A86E8"/>
        </w:rPr>
        <w:t>S12)</w:t>
      </w:r>
      <w:r>
        <w:rPr>
          <w:color w:val="4A86E8"/>
          <w:spacing w:val="-2"/>
        </w:rPr>
        <w:t xml:space="preserve"> </w:t>
      </w:r>
      <w:r>
        <w:rPr>
          <w:color w:val="4A86E8"/>
        </w:rPr>
        <w:t>for</w:t>
      </w:r>
      <w:r>
        <w:rPr>
          <w:color w:val="4A86E8"/>
          <w:spacing w:val="-2"/>
        </w:rPr>
        <w:t xml:space="preserve"> </w:t>
      </w:r>
      <w:r>
        <w:rPr>
          <w:color w:val="4A86E8"/>
        </w:rPr>
        <w:t>clarity.</w:t>
      </w:r>
      <w:r>
        <w:rPr>
          <w:color w:val="4A86E8"/>
          <w:spacing w:val="-2"/>
        </w:rPr>
        <w:t xml:space="preserve"> </w:t>
      </w:r>
      <w:r>
        <w:rPr>
          <w:color w:val="4A86E8"/>
        </w:rPr>
        <w:t>In particular, we have taken the reviewer’s suggestion and split out the results for each set of evaluation regions – cell type specific peaks, ubiquitous peaks, and all sequences – into separate</w:t>
      </w:r>
      <w:r>
        <w:rPr>
          <w:color w:val="4A86E8"/>
          <w:spacing w:val="-3"/>
        </w:rPr>
        <w:t xml:space="preserve"> </w:t>
      </w:r>
      <w:r>
        <w:rPr>
          <w:color w:val="4A86E8"/>
        </w:rPr>
        <w:t>figure</w:t>
      </w:r>
      <w:r>
        <w:rPr>
          <w:color w:val="4A86E8"/>
          <w:spacing w:val="-3"/>
        </w:rPr>
        <w:t xml:space="preserve"> </w:t>
      </w:r>
      <w:r>
        <w:rPr>
          <w:color w:val="4A86E8"/>
        </w:rPr>
        <w:t>panels.</w:t>
      </w:r>
      <w:r>
        <w:rPr>
          <w:color w:val="4A86E8"/>
          <w:spacing w:val="-3"/>
        </w:rPr>
        <w:t xml:space="preserve"> </w:t>
      </w:r>
      <w:r>
        <w:rPr>
          <w:color w:val="4A86E8"/>
        </w:rPr>
        <w:t>In</w:t>
      </w:r>
      <w:r>
        <w:rPr>
          <w:color w:val="4A86E8"/>
          <w:spacing w:val="-3"/>
        </w:rPr>
        <w:t xml:space="preserve"> </w:t>
      </w:r>
      <w:r>
        <w:rPr>
          <w:color w:val="4A86E8"/>
        </w:rPr>
        <w:t>addition,</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used</w:t>
      </w:r>
      <w:r>
        <w:rPr>
          <w:color w:val="4A86E8"/>
          <w:spacing w:val="-3"/>
        </w:rPr>
        <w:t xml:space="preserve"> </w:t>
      </w:r>
      <w:r>
        <w:rPr>
          <w:color w:val="4A86E8"/>
        </w:rPr>
        <w:t>different</w:t>
      </w:r>
      <w:r>
        <w:rPr>
          <w:color w:val="4A86E8"/>
          <w:spacing w:val="-3"/>
        </w:rPr>
        <w:t xml:space="preserve"> </w:t>
      </w:r>
      <w:r>
        <w:rPr>
          <w:color w:val="4A86E8"/>
        </w:rPr>
        <w:t>ticks</w:t>
      </w:r>
      <w:r>
        <w:rPr>
          <w:color w:val="4A86E8"/>
          <w:spacing w:val="-3"/>
        </w:rPr>
        <w:t xml:space="preserve"> </w:t>
      </w:r>
      <w:r>
        <w:rPr>
          <w:color w:val="4A86E8"/>
        </w:rPr>
        <w:t>to</w:t>
      </w:r>
      <w:r>
        <w:rPr>
          <w:color w:val="4A86E8"/>
          <w:spacing w:val="-3"/>
        </w:rPr>
        <w:t xml:space="preserve"> </w:t>
      </w:r>
      <w:r>
        <w:rPr>
          <w:color w:val="4A86E8"/>
        </w:rPr>
        <w:t>denote</w:t>
      </w:r>
      <w:r>
        <w:rPr>
          <w:color w:val="4A86E8"/>
          <w:spacing w:val="-3"/>
        </w:rPr>
        <w:t xml:space="preserve"> </w:t>
      </w:r>
      <w:r>
        <w:rPr>
          <w:color w:val="4A86E8"/>
        </w:rPr>
        <w:t>single-task</w:t>
      </w:r>
      <w:r>
        <w:rPr>
          <w:color w:val="4A86E8"/>
          <w:spacing w:val="-3"/>
        </w:rPr>
        <w:t xml:space="preserve"> </w:t>
      </w:r>
      <w:r>
        <w:rPr>
          <w:color w:val="4A86E8"/>
        </w:rPr>
        <w:t>and</w:t>
      </w:r>
      <w:r>
        <w:rPr>
          <w:color w:val="4A86E8"/>
          <w:spacing w:val="-3"/>
        </w:rPr>
        <w:t xml:space="preserve"> </w:t>
      </w:r>
      <w:r>
        <w:rPr>
          <w:color w:val="4A86E8"/>
        </w:rPr>
        <w:t>multi- task models to limit redundancy in the figure legend, as suggested by another reviewer.</w:t>
      </w:r>
    </w:p>
    <w:p w14:paraId="46B68C75"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64373533" w14:textId="77777777" w:rsidR="00E211CC" w:rsidRDefault="00E211CC" w:rsidP="00E211CC">
      <w:pPr>
        <w:pStyle w:val="Heading1"/>
      </w:pPr>
      <w:r>
        <w:lastRenderedPageBreak/>
        <w:t>Reviewer</w:t>
      </w:r>
      <w:r>
        <w:rPr>
          <w:spacing w:val="-8"/>
        </w:rPr>
        <w:t xml:space="preserve"> </w:t>
      </w:r>
      <w:r>
        <w:rPr>
          <w:spacing w:val="-5"/>
        </w:rPr>
        <w:t>#3:</w:t>
      </w:r>
    </w:p>
    <w:p w14:paraId="3500D76B" w14:textId="77777777" w:rsidR="00E211CC" w:rsidRDefault="00E211CC" w:rsidP="00E211CC">
      <w:pPr>
        <w:pStyle w:val="BodyText"/>
        <w:spacing w:before="116" w:line="276" w:lineRule="auto"/>
        <w:ind w:right="1024"/>
      </w:pPr>
      <w:r>
        <w:rPr>
          <w:color w:val="222222"/>
        </w:rPr>
        <w:t>In</w:t>
      </w:r>
      <w:r>
        <w:rPr>
          <w:color w:val="222222"/>
          <w:spacing w:val="-4"/>
        </w:rPr>
        <w:t xml:space="preserve"> </w:t>
      </w:r>
      <w:r>
        <w:rPr>
          <w:color w:val="222222"/>
        </w:rPr>
        <w:t>this</w:t>
      </w:r>
      <w:r>
        <w:rPr>
          <w:color w:val="222222"/>
          <w:spacing w:val="-4"/>
        </w:rPr>
        <w:t xml:space="preserve"> </w:t>
      </w:r>
      <w:r>
        <w:rPr>
          <w:color w:val="222222"/>
        </w:rPr>
        <w:t>manuscript,</w:t>
      </w:r>
      <w:r>
        <w:rPr>
          <w:color w:val="222222"/>
          <w:spacing w:val="-4"/>
        </w:rPr>
        <w:t xml:space="preserve"> </w:t>
      </w:r>
      <w:r>
        <w:rPr>
          <w:color w:val="222222"/>
        </w:rPr>
        <w:t>the</w:t>
      </w:r>
      <w:r>
        <w:rPr>
          <w:color w:val="222222"/>
          <w:spacing w:val="-4"/>
        </w:rPr>
        <w:t xml:space="preserve"> </w:t>
      </w:r>
      <w:r>
        <w:rPr>
          <w:color w:val="222222"/>
        </w:rPr>
        <w:t>authors</w:t>
      </w:r>
      <w:r>
        <w:rPr>
          <w:color w:val="222222"/>
          <w:spacing w:val="-4"/>
        </w:rPr>
        <w:t xml:space="preserve"> </w:t>
      </w:r>
      <w:r>
        <w:rPr>
          <w:color w:val="222222"/>
        </w:rPr>
        <w:t>identified</w:t>
      </w:r>
      <w:r>
        <w:rPr>
          <w:color w:val="222222"/>
          <w:spacing w:val="-4"/>
        </w:rPr>
        <w:t xml:space="preserve"> </w:t>
      </w:r>
      <w:r>
        <w:rPr>
          <w:color w:val="222222"/>
        </w:rPr>
        <w:t>a</w:t>
      </w:r>
      <w:r>
        <w:rPr>
          <w:color w:val="222222"/>
          <w:spacing w:val="-4"/>
        </w:rPr>
        <w:t xml:space="preserve"> </w:t>
      </w:r>
      <w:r>
        <w:rPr>
          <w:color w:val="222222"/>
        </w:rPr>
        <w:t>limitation</w:t>
      </w:r>
      <w:r>
        <w:rPr>
          <w:color w:val="222222"/>
          <w:spacing w:val="-4"/>
        </w:rPr>
        <w:t xml:space="preserve"> </w:t>
      </w:r>
      <w:r>
        <w:rPr>
          <w:color w:val="222222"/>
        </w:rPr>
        <w:t>in</w:t>
      </w:r>
      <w:r>
        <w:rPr>
          <w:color w:val="222222"/>
          <w:spacing w:val="-4"/>
        </w:rPr>
        <w:t xml:space="preserve"> </w:t>
      </w:r>
      <w:r>
        <w:rPr>
          <w:color w:val="222222"/>
        </w:rPr>
        <w:t>current</w:t>
      </w:r>
      <w:r>
        <w:rPr>
          <w:color w:val="222222"/>
          <w:spacing w:val="-4"/>
        </w:rPr>
        <w:t xml:space="preserve"> </w:t>
      </w:r>
      <w:r>
        <w:rPr>
          <w:color w:val="222222"/>
        </w:rPr>
        <w:t>genomic</w:t>
      </w:r>
      <w:r>
        <w:rPr>
          <w:color w:val="222222"/>
          <w:spacing w:val="-4"/>
        </w:rPr>
        <w:t xml:space="preserve"> </w:t>
      </w:r>
      <w:r>
        <w:rPr>
          <w:color w:val="222222"/>
        </w:rPr>
        <w:t>deep</w:t>
      </w:r>
      <w:r>
        <w:rPr>
          <w:color w:val="222222"/>
          <w:spacing w:val="-4"/>
        </w:rPr>
        <w:t xml:space="preserve"> </w:t>
      </w:r>
      <w:r>
        <w:rPr>
          <w:color w:val="222222"/>
        </w:rPr>
        <w:t>learning</w:t>
      </w:r>
      <w:r>
        <w:rPr>
          <w:color w:val="222222"/>
          <w:spacing w:val="-4"/>
        </w:rPr>
        <w:t xml:space="preserve"> </w:t>
      </w:r>
      <w:r>
        <w:rPr>
          <w:color w:val="222222"/>
        </w:rPr>
        <w:t xml:space="preserve">models: the accuracy of these models decreases in cell type-specific CREs. This includes both prediction accuracy for the reference sequence and for variant effects. The authors then compare single-task models to multi-task models and report an improvement in cell-type- specific CRE predictions. Overall, this is a useful benchmark study that contributes to our understanding of genomic deep learning model performance. However, I have the following </w:t>
      </w:r>
      <w:r>
        <w:rPr>
          <w:color w:val="222222"/>
          <w:spacing w:val="-2"/>
        </w:rPr>
        <w:t>concerns:</w:t>
      </w:r>
    </w:p>
    <w:p w14:paraId="7C55014E" w14:textId="77777777" w:rsidR="00E211CC" w:rsidRDefault="00E211CC" w:rsidP="00E211CC">
      <w:pPr>
        <w:pStyle w:val="BodyText"/>
        <w:spacing w:before="39"/>
        <w:ind w:left="0"/>
      </w:pPr>
    </w:p>
    <w:p w14:paraId="641FFA94" w14:textId="77777777" w:rsidR="00E211CC" w:rsidRDefault="00E211CC" w:rsidP="00E211CC">
      <w:pPr>
        <w:pStyle w:val="BodyText"/>
      </w:pPr>
      <w:r>
        <w:rPr>
          <w:color w:val="222222"/>
        </w:rPr>
        <w:t>Major</w:t>
      </w:r>
      <w:r>
        <w:rPr>
          <w:color w:val="222222"/>
          <w:spacing w:val="-5"/>
        </w:rPr>
        <w:t xml:space="preserve"> </w:t>
      </w:r>
      <w:r>
        <w:rPr>
          <w:color w:val="222222"/>
          <w:spacing w:val="-2"/>
        </w:rPr>
        <w:t>points:</w:t>
      </w:r>
    </w:p>
    <w:p w14:paraId="39DCF9AD" w14:textId="77777777" w:rsidR="00E211CC" w:rsidRDefault="00E211CC" w:rsidP="00E211CC">
      <w:pPr>
        <w:pStyle w:val="BodyText"/>
        <w:spacing w:before="75"/>
        <w:ind w:left="0"/>
      </w:pPr>
    </w:p>
    <w:p w14:paraId="6D6329A0" w14:textId="77777777" w:rsidR="00E211CC" w:rsidRDefault="00E211CC" w:rsidP="00E211CC">
      <w:pPr>
        <w:pStyle w:val="ListParagraph"/>
        <w:widowControl w:val="0"/>
        <w:numPr>
          <w:ilvl w:val="0"/>
          <w:numId w:val="3"/>
        </w:numPr>
        <w:tabs>
          <w:tab w:val="left" w:pos="1063"/>
        </w:tabs>
        <w:autoSpaceDE w:val="0"/>
        <w:autoSpaceDN w:val="0"/>
        <w:spacing w:after="0" w:line="276" w:lineRule="auto"/>
        <w:ind w:right="925" w:firstLine="0"/>
        <w:contextualSpacing w:val="0"/>
      </w:pPr>
      <w:r>
        <w:rPr>
          <w:color w:val="222222"/>
        </w:rPr>
        <w:t>The authors observed an over-correlation between model predictions for different cell types compared to experimental measurements. While it is plausible that this over-correlation is partially due to model bias, another potential source of over-correlation is experimental measurement</w:t>
      </w:r>
      <w:r>
        <w:rPr>
          <w:color w:val="222222"/>
          <w:spacing w:val="-4"/>
        </w:rPr>
        <w:t xml:space="preserve"> </w:t>
      </w:r>
      <w:r>
        <w:rPr>
          <w:color w:val="222222"/>
        </w:rPr>
        <w:t>noise.</w:t>
      </w:r>
      <w:r>
        <w:rPr>
          <w:color w:val="222222"/>
          <w:spacing w:val="-4"/>
        </w:rPr>
        <w:t xml:space="preserve"> </w:t>
      </w:r>
      <w:r>
        <w:rPr>
          <w:color w:val="222222"/>
        </w:rPr>
        <w:t>With</w:t>
      </w:r>
      <w:r>
        <w:rPr>
          <w:color w:val="222222"/>
          <w:spacing w:val="-4"/>
        </w:rPr>
        <w:t xml:space="preserve"> </w:t>
      </w:r>
      <w:r>
        <w:rPr>
          <w:color w:val="222222"/>
        </w:rPr>
        <w:t>noisy</w:t>
      </w:r>
      <w:r>
        <w:rPr>
          <w:color w:val="222222"/>
          <w:spacing w:val="-4"/>
        </w:rPr>
        <w:t xml:space="preserve"> </w:t>
      </w:r>
      <w:r>
        <w:rPr>
          <w:color w:val="222222"/>
        </w:rPr>
        <w:t>experimental</w:t>
      </w:r>
      <w:r>
        <w:rPr>
          <w:color w:val="222222"/>
          <w:spacing w:val="-4"/>
        </w:rPr>
        <w:t xml:space="preserve"> </w:t>
      </w:r>
      <w:r>
        <w:rPr>
          <w:color w:val="222222"/>
        </w:rPr>
        <w:t>measurements,</w:t>
      </w:r>
      <w:r>
        <w:rPr>
          <w:color w:val="222222"/>
          <w:spacing w:val="-4"/>
        </w:rPr>
        <w:t xml:space="preserve"> </w:t>
      </w:r>
      <w:r>
        <w:rPr>
          <w:color w:val="222222"/>
        </w:rPr>
        <w:t>the</w:t>
      </w:r>
      <w:r>
        <w:rPr>
          <w:color w:val="222222"/>
          <w:spacing w:val="-4"/>
        </w:rPr>
        <w:t xml:space="preserve"> </w:t>
      </w:r>
      <w:r>
        <w:rPr>
          <w:color w:val="222222"/>
        </w:rPr>
        <w:t>correlation</w:t>
      </w:r>
      <w:r>
        <w:rPr>
          <w:color w:val="222222"/>
          <w:spacing w:val="-4"/>
        </w:rPr>
        <w:t xml:space="preserve"> </w:t>
      </w:r>
      <w:r>
        <w:rPr>
          <w:color w:val="222222"/>
        </w:rPr>
        <w:t>between</w:t>
      </w:r>
      <w:r>
        <w:rPr>
          <w:color w:val="222222"/>
          <w:spacing w:val="-4"/>
        </w:rPr>
        <w:t xml:space="preserve"> </w:t>
      </w:r>
      <w:r>
        <w:rPr>
          <w:color w:val="222222"/>
        </w:rPr>
        <w:t>cell</w:t>
      </w:r>
      <w:r>
        <w:rPr>
          <w:color w:val="222222"/>
          <w:spacing w:val="-4"/>
        </w:rPr>
        <w:t xml:space="preserve"> </w:t>
      </w:r>
      <w:r>
        <w:rPr>
          <w:color w:val="222222"/>
        </w:rPr>
        <w:t>types is expected to be lower than between predictions, even if the predictions are unbiased. Therefore, over-correlation should not be simply considered as a bias of the models. The effect of experimental noise should ideally be taken into account in the analysis.</w:t>
      </w:r>
    </w:p>
    <w:p w14:paraId="1040DFC8" w14:textId="77777777" w:rsidR="00E211CC" w:rsidRDefault="00E211CC" w:rsidP="00E211CC">
      <w:pPr>
        <w:pStyle w:val="BodyText"/>
        <w:spacing w:before="38"/>
        <w:ind w:left="0"/>
      </w:pPr>
    </w:p>
    <w:p w14:paraId="23D5AA7D" w14:textId="77777777" w:rsidR="00E211CC" w:rsidRDefault="00E211CC" w:rsidP="00E211CC">
      <w:pPr>
        <w:pStyle w:val="BodyText"/>
        <w:spacing w:line="276" w:lineRule="auto"/>
        <w:ind w:right="923"/>
      </w:pPr>
      <w:r>
        <w:rPr>
          <w:color w:val="4A86E8"/>
        </w:rPr>
        <w:t>We agree that measurement noise contributes to under-correlation between experimental measurements and thus to apparent over-correlation between model predictions when compared to experimental measurements. However, measurement noise does not appear to explain the extent of over-correlation that we observe for the model predictions between different cell types. In particular, we use the correlation between experimental measurements from different individuals (for the same cell type) to provide an approximate measure of experimental measurement noise, since both the Loeb, et al. and Calderon, et al. datasets contain data from multiple individuals. Because this cross-individual correlation encompasses both biological and experimental sources of variability, it represents an upper bound on experimental noise. We have added these data as a supplementary figure (Fig. S10). Although a coarse approximation, the gap between the cross-individual correlations and a perfect correlation of 1 can be used to estimate the amount of apparent over-correlation in model predictions that may be due to measurement noise. For example, for Loop of Henle cells, we observe a median cross-individual correlation in cell type specific peaks of approximately 0.65 (Fig.</w:t>
      </w:r>
      <w:r>
        <w:rPr>
          <w:color w:val="4A86E8"/>
          <w:spacing w:val="-3"/>
        </w:rPr>
        <w:t xml:space="preserve"> </w:t>
      </w:r>
      <w:r>
        <w:rPr>
          <w:color w:val="4A86E8"/>
        </w:rPr>
        <w:t>S10),</w:t>
      </w:r>
      <w:r>
        <w:rPr>
          <w:color w:val="4A86E8"/>
          <w:spacing w:val="-3"/>
        </w:rPr>
        <w:t xml:space="preserve"> </w:t>
      </w:r>
      <w:r>
        <w:rPr>
          <w:color w:val="4A86E8"/>
        </w:rPr>
        <w:t>suggesting</w:t>
      </w:r>
      <w:r>
        <w:rPr>
          <w:color w:val="4A86E8"/>
          <w:spacing w:val="-3"/>
        </w:rPr>
        <w:t xml:space="preserve"> </w:t>
      </w:r>
      <w:r>
        <w:rPr>
          <w:color w:val="4A86E8"/>
        </w:rPr>
        <w:t>that</w:t>
      </w:r>
      <w:r>
        <w:rPr>
          <w:color w:val="4A86E8"/>
          <w:spacing w:val="-3"/>
        </w:rPr>
        <w:t xml:space="preserve"> </w:t>
      </w:r>
      <w:r>
        <w:rPr>
          <w:color w:val="4A86E8"/>
        </w:rPr>
        <w:t>a</w:t>
      </w:r>
      <w:r>
        <w:rPr>
          <w:color w:val="4A86E8"/>
          <w:spacing w:val="-3"/>
        </w:rPr>
        <w:t xml:space="preserve"> </w:t>
      </w:r>
      <w:r>
        <w:rPr>
          <w:color w:val="4A86E8"/>
        </w:rPr>
        <w:t>maximum</w:t>
      </w:r>
      <w:r>
        <w:rPr>
          <w:color w:val="4A86E8"/>
          <w:spacing w:val="-3"/>
        </w:rPr>
        <w:t xml:space="preserve"> </w:t>
      </w:r>
      <w:r>
        <w:rPr>
          <w:color w:val="4A86E8"/>
        </w:rPr>
        <w:t>of</w:t>
      </w:r>
      <w:r>
        <w:rPr>
          <w:color w:val="4A86E8"/>
          <w:spacing w:val="-3"/>
        </w:rPr>
        <w:t xml:space="preserve"> </w:t>
      </w:r>
      <w:r>
        <w:rPr>
          <w:color w:val="4A86E8"/>
        </w:rPr>
        <w:t>0.35</w:t>
      </w:r>
      <w:r>
        <w:rPr>
          <w:color w:val="4A86E8"/>
          <w:spacing w:val="-3"/>
        </w:rPr>
        <w:t xml:space="preserve"> </w:t>
      </w:r>
      <w:r>
        <w:rPr>
          <w:color w:val="4A86E8"/>
        </w:rPr>
        <w:t>of</w:t>
      </w:r>
      <w:r>
        <w:rPr>
          <w:color w:val="4A86E8"/>
          <w:spacing w:val="-3"/>
        </w:rPr>
        <w:t xml:space="preserve"> </w:t>
      </w:r>
      <w:r>
        <w:rPr>
          <w:color w:val="4A86E8"/>
        </w:rPr>
        <w:t>the</w:t>
      </w:r>
      <w:r>
        <w:rPr>
          <w:color w:val="4A86E8"/>
          <w:spacing w:val="-3"/>
        </w:rPr>
        <w:t xml:space="preserve"> </w:t>
      </w:r>
      <w:r>
        <w:rPr>
          <w:color w:val="4A86E8"/>
        </w:rPr>
        <w:t>gap</w:t>
      </w:r>
      <w:r>
        <w:rPr>
          <w:color w:val="4A86E8"/>
          <w:spacing w:val="-3"/>
        </w:rPr>
        <w:t xml:space="preserve"> </w:t>
      </w:r>
      <w:r>
        <w:rPr>
          <w:color w:val="4A86E8"/>
        </w:rPr>
        <w:t>between</w:t>
      </w:r>
      <w:r>
        <w:rPr>
          <w:color w:val="4A86E8"/>
          <w:spacing w:val="-3"/>
        </w:rPr>
        <w:t xml:space="preserve"> </w:t>
      </w:r>
      <w:r>
        <w:rPr>
          <w:color w:val="4A86E8"/>
        </w:rPr>
        <w:t>measurement</w:t>
      </w:r>
      <w:r>
        <w:rPr>
          <w:color w:val="4A86E8"/>
          <w:spacing w:val="-3"/>
        </w:rPr>
        <w:t xml:space="preserve"> </w:t>
      </w:r>
      <w:r>
        <w:rPr>
          <w:color w:val="4A86E8"/>
        </w:rPr>
        <w:t>and</w:t>
      </w:r>
      <w:r>
        <w:rPr>
          <w:color w:val="4A86E8"/>
          <w:spacing w:val="-3"/>
        </w:rPr>
        <w:t xml:space="preserve"> </w:t>
      </w:r>
      <w:r>
        <w:rPr>
          <w:color w:val="4A86E8"/>
        </w:rPr>
        <w:t>prediction correlation may be attributable to measurement noise. For the multi-task model, the median correlation in measurements between cell types is approximately 0.15 while the median correlation in predictions between cell types is approximately 0.85 (Fig. 4B). Therefore, after taking into account the role of measurement noise, the multi-task model predictions are still considerably over-correlated relative to experimental measurements.</w:t>
      </w:r>
    </w:p>
    <w:p w14:paraId="56FA450A" w14:textId="77777777" w:rsidR="00E211CC" w:rsidRDefault="00E211CC" w:rsidP="00E211CC">
      <w:pPr>
        <w:pStyle w:val="BodyText"/>
        <w:spacing w:before="39"/>
        <w:ind w:left="0"/>
      </w:pPr>
    </w:p>
    <w:p w14:paraId="5A378359" w14:textId="77777777" w:rsidR="00E211CC" w:rsidRDefault="00E211CC" w:rsidP="00E211CC">
      <w:pPr>
        <w:pStyle w:val="ListParagraph"/>
        <w:widowControl w:val="0"/>
        <w:numPr>
          <w:ilvl w:val="0"/>
          <w:numId w:val="3"/>
        </w:numPr>
        <w:tabs>
          <w:tab w:val="left" w:pos="1063"/>
        </w:tabs>
        <w:autoSpaceDE w:val="0"/>
        <w:autoSpaceDN w:val="0"/>
        <w:spacing w:after="0" w:line="276" w:lineRule="auto"/>
        <w:ind w:right="875" w:firstLine="0"/>
        <w:contextualSpacing w:val="0"/>
      </w:pPr>
      <w:r>
        <w:rPr>
          <w:color w:val="222222"/>
        </w:rPr>
        <w:t>The comparison between single-task and multi-task models is informative, but the results are not entirely conclusive in my opinion. The improvement of single-task models in cell type- specific CRE predictions is mild and inconsistent across all cell types. Additionally, the effect on variant</w:t>
      </w:r>
      <w:r>
        <w:rPr>
          <w:color w:val="222222"/>
          <w:spacing w:val="-3"/>
        </w:rPr>
        <w:t xml:space="preserve"> </w:t>
      </w:r>
      <w:r>
        <w:rPr>
          <w:color w:val="222222"/>
        </w:rPr>
        <w:t>effect</w:t>
      </w:r>
      <w:r>
        <w:rPr>
          <w:color w:val="222222"/>
          <w:spacing w:val="-3"/>
        </w:rPr>
        <w:t xml:space="preserve"> </w:t>
      </w:r>
      <w:r>
        <w:rPr>
          <w:color w:val="222222"/>
        </w:rPr>
        <w:t>prediction</w:t>
      </w:r>
      <w:r>
        <w:rPr>
          <w:color w:val="222222"/>
          <w:spacing w:val="-3"/>
        </w:rPr>
        <w:t xml:space="preserve"> </w:t>
      </w:r>
      <w:r>
        <w:rPr>
          <w:color w:val="222222"/>
        </w:rPr>
        <w:t>in</w:t>
      </w:r>
      <w:r>
        <w:rPr>
          <w:color w:val="222222"/>
          <w:spacing w:val="-3"/>
        </w:rPr>
        <w:t xml:space="preserve"> </w:t>
      </w:r>
      <w:r>
        <w:rPr>
          <w:color w:val="222222"/>
        </w:rPr>
        <w:t>cell</w:t>
      </w:r>
      <w:r>
        <w:rPr>
          <w:color w:val="222222"/>
          <w:spacing w:val="-3"/>
        </w:rPr>
        <w:t xml:space="preserve"> </w:t>
      </w:r>
      <w:r>
        <w:rPr>
          <w:color w:val="222222"/>
        </w:rPr>
        <w:t>type-specific</w:t>
      </w:r>
      <w:r>
        <w:rPr>
          <w:color w:val="222222"/>
          <w:spacing w:val="-3"/>
        </w:rPr>
        <w:t xml:space="preserve"> </w:t>
      </w:r>
      <w:r>
        <w:rPr>
          <w:color w:val="222222"/>
        </w:rPr>
        <w:t>CREs</w:t>
      </w:r>
      <w:r>
        <w:rPr>
          <w:color w:val="222222"/>
          <w:spacing w:val="-3"/>
        </w:rPr>
        <w:t xml:space="preserve"> </w:t>
      </w:r>
      <w:r>
        <w:rPr>
          <w:color w:val="222222"/>
        </w:rPr>
        <w:t>is</w:t>
      </w:r>
      <w:r>
        <w:rPr>
          <w:color w:val="222222"/>
          <w:spacing w:val="-3"/>
        </w:rPr>
        <w:t xml:space="preserve"> </w:t>
      </w:r>
      <w:r>
        <w:rPr>
          <w:color w:val="222222"/>
        </w:rPr>
        <w:t>mixed,</w:t>
      </w:r>
      <w:r>
        <w:rPr>
          <w:color w:val="222222"/>
          <w:spacing w:val="-3"/>
        </w:rPr>
        <w:t xml:space="preserve"> </w:t>
      </w:r>
      <w:r>
        <w:rPr>
          <w:color w:val="222222"/>
        </w:rPr>
        <w:t>as</w:t>
      </w:r>
      <w:r>
        <w:rPr>
          <w:color w:val="222222"/>
          <w:spacing w:val="-3"/>
        </w:rPr>
        <w:t xml:space="preserve"> </w:t>
      </w:r>
      <w:r>
        <w:rPr>
          <w:color w:val="222222"/>
        </w:rPr>
        <w:t>shown</w:t>
      </w:r>
      <w:r>
        <w:rPr>
          <w:color w:val="222222"/>
          <w:spacing w:val="-3"/>
        </w:rPr>
        <w:t xml:space="preserve"> </w:t>
      </w:r>
      <w:r>
        <w:rPr>
          <w:color w:val="222222"/>
        </w:rPr>
        <w:t>in</w:t>
      </w:r>
      <w:r>
        <w:rPr>
          <w:color w:val="222222"/>
          <w:spacing w:val="-3"/>
        </w:rPr>
        <w:t xml:space="preserve"> </w:t>
      </w:r>
      <w:r>
        <w:rPr>
          <w:color w:val="222222"/>
        </w:rPr>
        <w:t>Figs.</w:t>
      </w:r>
      <w:r>
        <w:rPr>
          <w:color w:val="222222"/>
          <w:spacing w:val="-3"/>
        </w:rPr>
        <w:t xml:space="preserve"> </w:t>
      </w:r>
      <w:r>
        <w:rPr>
          <w:color w:val="222222"/>
        </w:rPr>
        <w:t>S6b</w:t>
      </w:r>
      <w:r>
        <w:rPr>
          <w:color w:val="222222"/>
          <w:spacing w:val="-3"/>
        </w:rPr>
        <w:t xml:space="preserve"> </w:t>
      </w:r>
      <w:r>
        <w:rPr>
          <w:color w:val="222222"/>
        </w:rPr>
        <w:t>and</w:t>
      </w:r>
      <w:r>
        <w:rPr>
          <w:color w:val="222222"/>
          <w:spacing w:val="-3"/>
        </w:rPr>
        <w:t xml:space="preserve"> </w:t>
      </w:r>
      <w:r>
        <w:rPr>
          <w:color w:val="222222"/>
        </w:rPr>
        <w:t>S7b.</w:t>
      </w:r>
      <w:r>
        <w:rPr>
          <w:color w:val="222222"/>
          <w:spacing w:val="-3"/>
        </w:rPr>
        <w:t xml:space="preserve"> </w:t>
      </w:r>
      <w:r>
        <w:rPr>
          <w:color w:val="222222"/>
        </w:rPr>
        <w:t>The</w:t>
      </w:r>
    </w:p>
    <w:p w14:paraId="1EB6CAB2"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658ACE93" w14:textId="77777777" w:rsidR="00E211CC" w:rsidRDefault="00E211CC" w:rsidP="00E211CC">
      <w:pPr>
        <w:pStyle w:val="BodyText"/>
        <w:spacing w:before="80" w:line="276" w:lineRule="auto"/>
        <w:ind w:right="987"/>
      </w:pPr>
      <w:r>
        <w:rPr>
          <w:color w:val="222222"/>
        </w:rPr>
        <w:lastRenderedPageBreak/>
        <w:t>performance of single-task models on ubiquitous peaks seems to be similar or slightly worse overall. Although the single-task model demonstrates a partial reduction in over-correlation compared to the multi-task model, it is unclear whether this reduction is an improvement or a result of increased variance across single-task models. Moreover, the influence of the number of</w:t>
      </w:r>
      <w:r>
        <w:rPr>
          <w:color w:val="222222"/>
          <w:spacing w:val="-3"/>
        </w:rPr>
        <w:t xml:space="preserve"> </w:t>
      </w:r>
      <w:r>
        <w:rPr>
          <w:color w:val="222222"/>
        </w:rPr>
        <w:t>parameters</w:t>
      </w:r>
      <w:r>
        <w:rPr>
          <w:color w:val="222222"/>
          <w:spacing w:val="-3"/>
        </w:rPr>
        <w:t xml:space="preserve"> </w:t>
      </w:r>
      <w:r>
        <w:rPr>
          <w:color w:val="222222"/>
        </w:rPr>
        <w:t>on</w:t>
      </w:r>
      <w:r>
        <w:rPr>
          <w:color w:val="222222"/>
          <w:spacing w:val="-3"/>
        </w:rPr>
        <w:t xml:space="preserve"> </w:t>
      </w:r>
      <w:r>
        <w:rPr>
          <w:color w:val="222222"/>
        </w:rPr>
        <w:t>the</w:t>
      </w:r>
      <w:r>
        <w:rPr>
          <w:color w:val="222222"/>
          <w:spacing w:val="-3"/>
        </w:rPr>
        <w:t xml:space="preserve"> </w:t>
      </w:r>
      <w:r>
        <w:rPr>
          <w:color w:val="222222"/>
        </w:rPr>
        <w:t>results</w:t>
      </w:r>
      <w:r>
        <w:rPr>
          <w:color w:val="222222"/>
          <w:spacing w:val="-3"/>
        </w:rPr>
        <w:t xml:space="preserve"> </w:t>
      </w:r>
      <w:r>
        <w:rPr>
          <w:color w:val="222222"/>
        </w:rPr>
        <w:t>warrants</w:t>
      </w:r>
      <w:r>
        <w:rPr>
          <w:color w:val="222222"/>
          <w:spacing w:val="-3"/>
        </w:rPr>
        <w:t xml:space="preserve"> </w:t>
      </w:r>
      <w:r>
        <w:rPr>
          <w:color w:val="222222"/>
        </w:rPr>
        <w:t>investigation.</w:t>
      </w:r>
      <w:r>
        <w:rPr>
          <w:color w:val="222222"/>
          <w:spacing w:val="-3"/>
        </w:rPr>
        <w:t xml:space="preserve"> </w:t>
      </w:r>
      <w:r>
        <w:rPr>
          <w:color w:val="222222"/>
        </w:rPr>
        <w:t>It</w:t>
      </w:r>
      <w:r>
        <w:rPr>
          <w:color w:val="222222"/>
          <w:spacing w:val="-3"/>
        </w:rPr>
        <w:t xml:space="preserve"> </w:t>
      </w:r>
      <w:r>
        <w:rPr>
          <w:color w:val="222222"/>
        </w:rPr>
        <w:t>might</w:t>
      </w:r>
      <w:r>
        <w:rPr>
          <w:color w:val="222222"/>
          <w:spacing w:val="-3"/>
        </w:rPr>
        <w:t xml:space="preserve"> </w:t>
      </w:r>
      <w:r>
        <w:rPr>
          <w:color w:val="222222"/>
        </w:rPr>
        <w:t>be</w:t>
      </w:r>
      <w:r>
        <w:rPr>
          <w:color w:val="222222"/>
          <w:spacing w:val="-3"/>
        </w:rPr>
        <w:t xml:space="preserve"> </w:t>
      </w:r>
      <w:r>
        <w:rPr>
          <w:color w:val="222222"/>
        </w:rPr>
        <w:t>worthwhile</w:t>
      </w:r>
      <w:r>
        <w:rPr>
          <w:color w:val="222222"/>
          <w:spacing w:val="-3"/>
        </w:rPr>
        <w:t xml:space="preserve"> </w:t>
      </w:r>
      <w:r>
        <w:rPr>
          <w:color w:val="222222"/>
        </w:rPr>
        <w:t>to</w:t>
      </w:r>
      <w:r>
        <w:rPr>
          <w:color w:val="222222"/>
          <w:spacing w:val="-3"/>
        </w:rPr>
        <w:t xml:space="preserve"> </w:t>
      </w:r>
      <w:r>
        <w:rPr>
          <w:color w:val="222222"/>
        </w:rPr>
        <w:t>explore</w:t>
      </w:r>
      <w:r>
        <w:rPr>
          <w:color w:val="222222"/>
          <w:spacing w:val="-3"/>
        </w:rPr>
        <w:t xml:space="preserve"> </w:t>
      </w:r>
      <w:r>
        <w:rPr>
          <w:color w:val="222222"/>
        </w:rPr>
        <w:t xml:space="preserve">scenarios where the sum of all single-task model parameters is equal to that of the multi-task model, and where each individual single-task model has the same number of parameters as the multi-task </w:t>
      </w:r>
      <w:r>
        <w:rPr>
          <w:color w:val="222222"/>
          <w:spacing w:val="-2"/>
        </w:rPr>
        <w:t>model.</w:t>
      </w:r>
    </w:p>
    <w:p w14:paraId="1923DB49" w14:textId="77777777" w:rsidR="00E211CC" w:rsidRDefault="00E211CC" w:rsidP="00E211CC">
      <w:pPr>
        <w:pStyle w:val="BodyText"/>
        <w:spacing w:before="35"/>
        <w:ind w:left="0"/>
      </w:pPr>
    </w:p>
    <w:p w14:paraId="0FA038FE" w14:textId="77777777" w:rsidR="00E211CC" w:rsidRDefault="00E211CC" w:rsidP="00E211CC">
      <w:pPr>
        <w:pStyle w:val="BodyText"/>
        <w:spacing w:line="276" w:lineRule="auto"/>
        <w:ind w:right="861"/>
      </w:pPr>
      <w:r>
        <w:rPr>
          <w:color w:val="4A86E8"/>
        </w:rPr>
        <w:t>We</w:t>
      </w:r>
      <w:r>
        <w:rPr>
          <w:color w:val="4A86E8"/>
          <w:spacing w:val="-3"/>
        </w:rPr>
        <w:t xml:space="preserve"> </w:t>
      </w:r>
      <w:r>
        <w:rPr>
          <w:color w:val="4A86E8"/>
        </w:rPr>
        <w:t>agree</w:t>
      </w:r>
      <w:r>
        <w:rPr>
          <w:color w:val="4A86E8"/>
          <w:spacing w:val="-3"/>
        </w:rPr>
        <w:t xml:space="preserve"> </w:t>
      </w:r>
      <w:r>
        <w:rPr>
          <w:color w:val="4A86E8"/>
        </w:rPr>
        <w:t>with</w:t>
      </w:r>
      <w:r>
        <w:rPr>
          <w:color w:val="4A86E8"/>
          <w:spacing w:val="-3"/>
        </w:rPr>
        <w:t xml:space="preserve"> </w:t>
      </w:r>
      <w:r>
        <w:rPr>
          <w:color w:val="4A86E8"/>
        </w:rPr>
        <w:t>the</w:t>
      </w:r>
      <w:r>
        <w:rPr>
          <w:color w:val="4A86E8"/>
          <w:spacing w:val="-3"/>
        </w:rPr>
        <w:t xml:space="preserve"> </w:t>
      </w:r>
      <w:r>
        <w:rPr>
          <w:color w:val="4A86E8"/>
        </w:rPr>
        <w:t>reviewer</w:t>
      </w:r>
      <w:r>
        <w:rPr>
          <w:color w:val="4A86E8"/>
          <w:spacing w:val="-3"/>
        </w:rPr>
        <w:t xml:space="preserve"> </w:t>
      </w:r>
      <w:r>
        <w:rPr>
          <w:color w:val="4A86E8"/>
        </w:rPr>
        <w:t>that</w:t>
      </w:r>
      <w:r>
        <w:rPr>
          <w:color w:val="4A86E8"/>
          <w:spacing w:val="-3"/>
        </w:rPr>
        <w:t xml:space="preserve"> </w:t>
      </w:r>
      <w:r>
        <w:rPr>
          <w:color w:val="4A86E8"/>
        </w:rPr>
        <w:t>these</w:t>
      </w:r>
      <w:r>
        <w:rPr>
          <w:color w:val="4A86E8"/>
          <w:spacing w:val="-3"/>
        </w:rPr>
        <w:t xml:space="preserve"> </w:t>
      </w:r>
      <w:r>
        <w:rPr>
          <w:color w:val="4A86E8"/>
        </w:rPr>
        <w:t>are</w:t>
      </w:r>
      <w:r>
        <w:rPr>
          <w:color w:val="4A86E8"/>
          <w:spacing w:val="-3"/>
        </w:rPr>
        <w:t xml:space="preserve"> </w:t>
      </w:r>
      <w:r>
        <w:rPr>
          <w:color w:val="4A86E8"/>
        </w:rPr>
        <w:t>important</w:t>
      </w:r>
      <w:r>
        <w:rPr>
          <w:color w:val="4A86E8"/>
          <w:spacing w:val="-3"/>
        </w:rPr>
        <w:t xml:space="preserve"> </w:t>
      </w:r>
      <w:r>
        <w:rPr>
          <w:color w:val="4A86E8"/>
        </w:rPr>
        <w:t>considerations</w:t>
      </w:r>
      <w:r>
        <w:rPr>
          <w:color w:val="4A86E8"/>
          <w:spacing w:val="-3"/>
        </w:rPr>
        <w:t xml:space="preserve"> </w:t>
      </w:r>
      <w:r>
        <w:rPr>
          <w:color w:val="4A86E8"/>
        </w:rPr>
        <w:t>in</w:t>
      </w:r>
      <w:r>
        <w:rPr>
          <w:color w:val="4A86E8"/>
          <w:spacing w:val="-3"/>
        </w:rPr>
        <w:t xml:space="preserve"> </w:t>
      </w:r>
      <w:r>
        <w:rPr>
          <w:color w:val="4A86E8"/>
        </w:rPr>
        <w:t>fairly</w:t>
      </w:r>
      <w:r>
        <w:rPr>
          <w:color w:val="4A86E8"/>
          <w:spacing w:val="-3"/>
        </w:rPr>
        <w:t xml:space="preserve"> </w:t>
      </w:r>
      <w:r>
        <w:rPr>
          <w:color w:val="4A86E8"/>
        </w:rPr>
        <w:t>evaluating</w:t>
      </w:r>
      <w:r>
        <w:rPr>
          <w:color w:val="4A86E8"/>
          <w:spacing w:val="-3"/>
        </w:rPr>
        <w:t xml:space="preserve"> </w:t>
      </w:r>
      <w:r>
        <w:rPr>
          <w:color w:val="4A86E8"/>
        </w:rPr>
        <w:t>the</w:t>
      </w:r>
      <w:r>
        <w:rPr>
          <w:color w:val="4A86E8"/>
          <w:spacing w:val="-3"/>
        </w:rPr>
        <w:t xml:space="preserve"> </w:t>
      </w:r>
      <w:r>
        <w:rPr>
          <w:color w:val="4A86E8"/>
        </w:rPr>
        <w:t>multi- task versus single-task modeling paradigm. In response to this suggestion and a similar suggestion from Reviewer #2, we have added an experiment to help disentangle the respective roles of increased model capacity versus negative transfer in the performance improvements seen for single-task models (new Fig. S15 and new comparisons in Fig. 4 and Fig. S9). Please see the above response to Reviewer #2, comment 5 for more details. Briefly, these new results provide evidence that the benefit we observe from single-task models may largely be due to increased</w:t>
      </w:r>
      <w:r>
        <w:rPr>
          <w:color w:val="4A86E8"/>
          <w:spacing w:val="-3"/>
        </w:rPr>
        <w:t xml:space="preserve"> </w:t>
      </w:r>
      <w:r>
        <w:rPr>
          <w:color w:val="4A86E8"/>
        </w:rPr>
        <w:t>model</w:t>
      </w:r>
      <w:r>
        <w:rPr>
          <w:color w:val="4A86E8"/>
          <w:spacing w:val="-3"/>
        </w:rPr>
        <w:t xml:space="preserve"> </w:t>
      </w:r>
      <w:r>
        <w:rPr>
          <w:color w:val="4A86E8"/>
        </w:rPr>
        <w:t>capacity,</w:t>
      </w:r>
      <w:r>
        <w:rPr>
          <w:color w:val="4A86E8"/>
          <w:spacing w:val="-3"/>
        </w:rPr>
        <w:t xml:space="preserve"> </w:t>
      </w:r>
      <w:r>
        <w:rPr>
          <w:color w:val="4A86E8"/>
        </w:rPr>
        <w:t>and</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modified</w:t>
      </w:r>
      <w:r>
        <w:rPr>
          <w:color w:val="4A86E8"/>
          <w:spacing w:val="-3"/>
        </w:rPr>
        <w:t xml:space="preserve"> </w:t>
      </w:r>
      <w:r>
        <w:rPr>
          <w:color w:val="4A86E8"/>
        </w:rPr>
        <w:t>the</w:t>
      </w:r>
      <w:r>
        <w:rPr>
          <w:color w:val="4A86E8"/>
          <w:spacing w:val="-3"/>
        </w:rPr>
        <w:t xml:space="preserve"> </w:t>
      </w:r>
      <w:r>
        <w:rPr>
          <w:color w:val="4A86E8"/>
        </w:rPr>
        <w:t>conclusions</w:t>
      </w:r>
      <w:r>
        <w:rPr>
          <w:color w:val="4A86E8"/>
          <w:spacing w:val="-3"/>
        </w:rPr>
        <w:t xml:space="preserve"> </w:t>
      </w:r>
      <w:r>
        <w:rPr>
          <w:color w:val="4A86E8"/>
        </w:rPr>
        <w:t>to</w:t>
      </w:r>
      <w:r>
        <w:rPr>
          <w:color w:val="4A86E8"/>
          <w:spacing w:val="-3"/>
        </w:rPr>
        <w:t xml:space="preserve"> </w:t>
      </w:r>
      <w:r>
        <w:rPr>
          <w:color w:val="4A86E8"/>
        </w:rPr>
        <w:t>more</w:t>
      </w:r>
      <w:r>
        <w:rPr>
          <w:color w:val="4A86E8"/>
          <w:spacing w:val="-3"/>
        </w:rPr>
        <w:t xml:space="preserve"> </w:t>
      </w:r>
      <w:r>
        <w:rPr>
          <w:color w:val="4A86E8"/>
        </w:rPr>
        <w:t>generally</w:t>
      </w:r>
      <w:r>
        <w:rPr>
          <w:color w:val="4A86E8"/>
          <w:spacing w:val="-3"/>
        </w:rPr>
        <w:t xml:space="preserve"> </w:t>
      </w:r>
      <w:r>
        <w:rPr>
          <w:color w:val="4A86E8"/>
        </w:rPr>
        <w:t>recommend increasing model capacity to improve cell type specific performance.</w:t>
      </w:r>
    </w:p>
    <w:p w14:paraId="10B727F7" w14:textId="77777777" w:rsidR="00E211CC" w:rsidRDefault="00E211CC" w:rsidP="00E211CC">
      <w:pPr>
        <w:pStyle w:val="BodyText"/>
        <w:spacing w:before="42"/>
        <w:ind w:left="0"/>
      </w:pPr>
    </w:p>
    <w:p w14:paraId="5D84F157" w14:textId="77777777" w:rsidR="00E211CC" w:rsidRDefault="00E211CC" w:rsidP="00E211CC">
      <w:pPr>
        <w:pStyle w:val="BodyText"/>
        <w:spacing w:before="1" w:line="276" w:lineRule="auto"/>
        <w:ind w:right="899"/>
      </w:pPr>
      <w:r>
        <w:rPr>
          <w:color w:val="4A86E8"/>
        </w:rPr>
        <w:t>In addition, we agree with the reviewer’s observation that for variant effect prediction in particular, the effect of single-task models is inconsistent. To more accurately reflect these results,</w:t>
      </w:r>
      <w:r>
        <w:rPr>
          <w:color w:val="4A86E8"/>
          <w:spacing w:val="-4"/>
        </w:rPr>
        <w:t xml:space="preserve"> </w:t>
      </w:r>
      <w:r>
        <w:rPr>
          <w:color w:val="4A86E8"/>
        </w:rPr>
        <w:t>especially</w:t>
      </w:r>
      <w:r>
        <w:rPr>
          <w:color w:val="4A86E8"/>
          <w:spacing w:val="-4"/>
        </w:rPr>
        <w:t xml:space="preserve"> </w:t>
      </w:r>
      <w:r>
        <w:rPr>
          <w:color w:val="4A86E8"/>
        </w:rPr>
        <w:t>because</w:t>
      </w:r>
      <w:r>
        <w:rPr>
          <w:color w:val="4A86E8"/>
          <w:spacing w:val="-4"/>
        </w:rPr>
        <w:t xml:space="preserve"> </w:t>
      </w:r>
      <w:r>
        <w:rPr>
          <w:color w:val="4A86E8"/>
        </w:rPr>
        <w:t>variant</w:t>
      </w:r>
      <w:r>
        <w:rPr>
          <w:color w:val="4A86E8"/>
          <w:spacing w:val="-4"/>
        </w:rPr>
        <w:t xml:space="preserve"> </w:t>
      </w:r>
      <w:r>
        <w:rPr>
          <w:color w:val="4A86E8"/>
        </w:rPr>
        <w:t>effect</w:t>
      </w:r>
      <w:r>
        <w:rPr>
          <w:color w:val="4A86E8"/>
          <w:spacing w:val="-4"/>
        </w:rPr>
        <w:t xml:space="preserve"> </w:t>
      </w:r>
      <w:r>
        <w:rPr>
          <w:color w:val="4A86E8"/>
        </w:rPr>
        <w:t>prediction</w:t>
      </w:r>
      <w:r>
        <w:rPr>
          <w:color w:val="4A86E8"/>
          <w:spacing w:val="-4"/>
        </w:rPr>
        <w:t xml:space="preserve"> </w:t>
      </w:r>
      <w:r>
        <w:rPr>
          <w:color w:val="4A86E8"/>
        </w:rPr>
        <w:t>is</w:t>
      </w:r>
      <w:r>
        <w:rPr>
          <w:color w:val="4A86E8"/>
          <w:spacing w:val="-4"/>
        </w:rPr>
        <w:t xml:space="preserve"> </w:t>
      </w:r>
      <w:r>
        <w:rPr>
          <w:color w:val="4A86E8"/>
        </w:rPr>
        <w:t>an</w:t>
      </w:r>
      <w:r>
        <w:rPr>
          <w:color w:val="4A86E8"/>
          <w:spacing w:val="-4"/>
        </w:rPr>
        <w:t xml:space="preserve"> </w:t>
      </w:r>
      <w:r>
        <w:rPr>
          <w:color w:val="4A86E8"/>
        </w:rPr>
        <w:t>important</w:t>
      </w:r>
      <w:r>
        <w:rPr>
          <w:color w:val="4A86E8"/>
          <w:spacing w:val="-4"/>
        </w:rPr>
        <w:t xml:space="preserve"> </w:t>
      </w:r>
      <w:r>
        <w:rPr>
          <w:color w:val="4A86E8"/>
        </w:rPr>
        <w:t>downstream</w:t>
      </w:r>
      <w:r>
        <w:rPr>
          <w:color w:val="4A86E8"/>
          <w:spacing w:val="-4"/>
        </w:rPr>
        <w:t xml:space="preserve"> </w:t>
      </w:r>
      <w:r>
        <w:rPr>
          <w:color w:val="4A86E8"/>
        </w:rPr>
        <w:t>task</w:t>
      </w:r>
      <w:r>
        <w:rPr>
          <w:color w:val="4A86E8"/>
          <w:spacing w:val="-4"/>
        </w:rPr>
        <w:t xml:space="preserve"> </w:t>
      </w:r>
      <w:r>
        <w:rPr>
          <w:color w:val="4A86E8"/>
        </w:rPr>
        <w:t>for</w:t>
      </w:r>
      <w:r>
        <w:rPr>
          <w:color w:val="4A86E8"/>
          <w:spacing w:val="-4"/>
        </w:rPr>
        <w:t xml:space="preserve"> </w:t>
      </w:r>
      <w:r>
        <w:rPr>
          <w:color w:val="4A86E8"/>
        </w:rPr>
        <w:t>these models, we have modified the conclusions to more clearly convey our findings that improvements in cell type specific peak “reference accuracy” do not always translate to improvements in variant effect prediction. We believe that exploring potential reasons for the lack of correlated improvements in these two metrics is an interesting area for future work.</w:t>
      </w:r>
    </w:p>
    <w:p w14:paraId="502B82CD" w14:textId="77777777" w:rsidR="00E211CC" w:rsidRDefault="00E211CC" w:rsidP="00E211CC">
      <w:pPr>
        <w:pStyle w:val="BodyText"/>
        <w:spacing w:before="33"/>
        <w:ind w:left="0"/>
      </w:pPr>
    </w:p>
    <w:p w14:paraId="3045D767" w14:textId="77777777" w:rsidR="00E211CC" w:rsidRDefault="00E211CC" w:rsidP="00E211CC">
      <w:pPr>
        <w:pStyle w:val="BodyText"/>
      </w:pPr>
      <w:r>
        <w:rPr>
          <w:color w:val="222222"/>
        </w:rPr>
        <w:t>Minor</w:t>
      </w:r>
      <w:r>
        <w:rPr>
          <w:color w:val="222222"/>
          <w:spacing w:val="-5"/>
        </w:rPr>
        <w:t xml:space="preserve"> </w:t>
      </w:r>
      <w:r>
        <w:rPr>
          <w:color w:val="222222"/>
          <w:spacing w:val="-2"/>
        </w:rPr>
        <w:t>points:</w:t>
      </w:r>
    </w:p>
    <w:p w14:paraId="02655799" w14:textId="77777777" w:rsidR="00E211CC" w:rsidRDefault="00E211CC" w:rsidP="00E211CC">
      <w:pPr>
        <w:pStyle w:val="BodyText"/>
        <w:spacing w:before="80"/>
        <w:ind w:left="0"/>
      </w:pPr>
    </w:p>
    <w:p w14:paraId="04DE3F82" w14:textId="77777777" w:rsidR="00E211CC" w:rsidRDefault="00E211CC" w:rsidP="00E211CC">
      <w:pPr>
        <w:pStyle w:val="ListParagraph"/>
        <w:widowControl w:val="0"/>
        <w:numPr>
          <w:ilvl w:val="0"/>
          <w:numId w:val="2"/>
        </w:numPr>
        <w:tabs>
          <w:tab w:val="left" w:pos="1063"/>
        </w:tabs>
        <w:autoSpaceDE w:val="0"/>
        <w:autoSpaceDN w:val="0"/>
        <w:spacing w:after="0" w:line="273" w:lineRule="auto"/>
        <w:ind w:right="1227" w:firstLine="0"/>
        <w:contextualSpacing w:val="0"/>
      </w:pPr>
      <w:r>
        <w:rPr>
          <w:color w:val="222222"/>
        </w:rPr>
        <w:t>The</w:t>
      </w:r>
      <w:r>
        <w:rPr>
          <w:color w:val="222222"/>
          <w:spacing w:val="-2"/>
        </w:rPr>
        <w:t xml:space="preserve"> </w:t>
      </w:r>
      <w:r>
        <w:rPr>
          <w:color w:val="222222"/>
        </w:rPr>
        <w:t>figure</w:t>
      </w:r>
      <w:r>
        <w:rPr>
          <w:color w:val="222222"/>
          <w:spacing w:val="-2"/>
        </w:rPr>
        <w:t xml:space="preserve"> </w:t>
      </w:r>
      <w:r>
        <w:rPr>
          <w:color w:val="222222"/>
        </w:rPr>
        <w:t>panels</w:t>
      </w:r>
      <w:r>
        <w:rPr>
          <w:color w:val="222222"/>
          <w:spacing w:val="-2"/>
        </w:rPr>
        <w:t xml:space="preserve"> </w:t>
      </w:r>
      <w:r>
        <w:rPr>
          <w:color w:val="222222"/>
        </w:rPr>
        <w:t>are</w:t>
      </w:r>
      <w:r>
        <w:rPr>
          <w:color w:val="222222"/>
          <w:spacing w:val="-2"/>
        </w:rPr>
        <w:t xml:space="preserve"> </w:t>
      </w:r>
      <w:r>
        <w:rPr>
          <w:color w:val="222222"/>
        </w:rPr>
        <w:t>not</w:t>
      </w:r>
      <w:r>
        <w:rPr>
          <w:color w:val="222222"/>
          <w:spacing w:val="-2"/>
        </w:rPr>
        <w:t xml:space="preserve"> </w:t>
      </w:r>
      <w:r>
        <w:rPr>
          <w:color w:val="222222"/>
        </w:rPr>
        <w:t>ordered</w:t>
      </w:r>
      <w:r>
        <w:rPr>
          <w:color w:val="222222"/>
          <w:spacing w:val="-2"/>
        </w:rPr>
        <w:t xml:space="preserve"> </w:t>
      </w:r>
      <w:r>
        <w:rPr>
          <w:color w:val="222222"/>
        </w:rPr>
        <w:t>in</w:t>
      </w:r>
      <w:r>
        <w:rPr>
          <w:color w:val="222222"/>
          <w:spacing w:val="-2"/>
        </w:rPr>
        <w:t xml:space="preserve"> </w:t>
      </w:r>
      <w:r>
        <w:rPr>
          <w:color w:val="222222"/>
        </w:rPr>
        <w:t>the</w:t>
      </w:r>
      <w:r>
        <w:rPr>
          <w:color w:val="222222"/>
          <w:spacing w:val="-2"/>
        </w:rPr>
        <w:t xml:space="preserve"> </w:t>
      </w:r>
      <w:r>
        <w:rPr>
          <w:color w:val="222222"/>
        </w:rPr>
        <w:t>same</w:t>
      </w:r>
      <w:r>
        <w:rPr>
          <w:color w:val="222222"/>
          <w:spacing w:val="-2"/>
        </w:rPr>
        <w:t xml:space="preserve"> </w:t>
      </w:r>
      <w:r>
        <w:rPr>
          <w:color w:val="222222"/>
        </w:rPr>
        <w:t>order</w:t>
      </w:r>
      <w:r>
        <w:rPr>
          <w:color w:val="222222"/>
          <w:spacing w:val="-3"/>
        </w:rPr>
        <w:t xml:space="preserve"> </w:t>
      </w:r>
      <w:r>
        <w:rPr>
          <w:color w:val="222222"/>
        </w:rPr>
        <w:t>as</w:t>
      </w:r>
      <w:r>
        <w:rPr>
          <w:color w:val="222222"/>
          <w:spacing w:val="-2"/>
        </w:rPr>
        <w:t xml:space="preserve"> </w:t>
      </w:r>
      <w:r>
        <w:rPr>
          <w:color w:val="222222"/>
        </w:rPr>
        <w:t>they</w:t>
      </w:r>
      <w:r>
        <w:rPr>
          <w:color w:val="222222"/>
          <w:spacing w:val="-2"/>
        </w:rPr>
        <w:t xml:space="preserve"> </w:t>
      </w:r>
      <w:r>
        <w:rPr>
          <w:color w:val="222222"/>
        </w:rPr>
        <w:t>are</w:t>
      </w:r>
      <w:r>
        <w:rPr>
          <w:color w:val="222222"/>
          <w:spacing w:val="-2"/>
        </w:rPr>
        <w:t xml:space="preserve"> </w:t>
      </w:r>
      <w:r>
        <w:rPr>
          <w:color w:val="222222"/>
        </w:rPr>
        <w:t>mentioned</w:t>
      </w:r>
      <w:r>
        <w:rPr>
          <w:color w:val="222222"/>
          <w:spacing w:val="-2"/>
        </w:rPr>
        <w:t xml:space="preserve"> </w:t>
      </w:r>
      <w:r>
        <w:rPr>
          <w:color w:val="222222"/>
        </w:rPr>
        <w:t>in</w:t>
      </w:r>
      <w:r>
        <w:rPr>
          <w:color w:val="222222"/>
          <w:spacing w:val="-2"/>
        </w:rPr>
        <w:t xml:space="preserve"> </w:t>
      </w:r>
      <w:r>
        <w:rPr>
          <w:color w:val="222222"/>
        </w:rPr>
        <w:t>the</w:t>
      </w:r>
      <w:r>
        <w:rPr>
          <w:color w:val="222222"/>
          <w:spacing w:val="-2"/>
        </w:rPr>
        <w:t xml:space="preserve"> </w:t>
      </w:r>
      <w:r>
        <w:rPr>
          <w:color w:val="222222"/>
        </w:rPr>
        <w:t>text.</w:t>
      </w:r>
      <w:r>
        <w:rPr>
          <w:color w:val="222222"/>
          <w:spacing w:val="-2"/>
        </w:rPr>
        <w:t xml:space="preserve"> </w:t>
      </w:r>
      <w:r>
        <w:rPr>
          <w:color w:val="222222"/>
        </w:rPr>
        <w:t>For example, Figure 2c is referenced before Figure 2a in the text.</w:t>
      </w:r>
    </w:p>
    <w:p w14:paraId="5D37172C" w14:textId="77777777" w:rsidR="00E211CC" w:rsidRDefault="00E211CC" w:rsidP="00E211CC">
      <w:pPr>
        <w:pStyle w:val="BodyText"/>
        <w:spacing w:before="4" w:line="278" w:lineRule="auto"/>
        <w:ind w:right="899"/>
      </w:pPr>
      <w:r>
        <w:rPr>
          <w:color w:val="4A86E8"/>
        </w:rPr>
        <w:t>Thank</w:t>
      </w:r>
      <w:r>
        <w:rPr>
          <w:color w:val="4A86E8"/>
          <w:spacing w:val="-2"/>
        </w:rPr>
        <w:t xml:space="preserve"> </w:t>
      </w:r>
      <w:r>
        <w:rPr>
          <w:color w:val="4A86E8"/>
        </w:rPr>
        <w:t>you</w:t>
      </w:r>
      <w:r>
        <w:rPr>
          <w:color w:val="4A86E8"/>
          <w:spacing w:val="-2"/>
        </w:rPr>
        <w:t xml:space="preserve"> </w:t>
      </w:r>
      <w:r>
        <w:rPr>
          <w:color w:val="4A86E8"/>
        </w:rPr>
        <w:t>for</w:t>
      </w:r>
      <w:r>
        <w:rPr>
          <w:color w:val="4A86E8"/>
          <w:spacing w:val="-2"/>
        </w:rPr>
        <w:t xml:space="preserve"> </w:t>
      </w:r>
      <w:r>
        <w:rPr>
          <w:color w:val="4A86E8"/>
        </w:rPr>
        <w:t>pointing</w:t>
      </w:r>
      <w:r>
        <w:rPr>
          <w:color w:val="4A86E8"/>
          <w:spacing w:val="-2"/>
        </w:rPr>
        <w:t xml:space="preserve"> </w:t>
      </w:r>
      <w:r>
        <w:rPr>
          <w:color w:val="4A86E8"/>
        </w:rPr>
        <w:t>this</w:t>
      </w:r>
      <w:r>
        <w:rPr>
          <w:color w:val="4A86E8"/>
          <w:spacing w:val="-2"/>
        </w:rPr>
        <w:t xml:space="preserve"> </w:t>
      </w:r>
      <w:r>
        <w:rPr>
          <w:color w:val="4A86E8"/>
        </w:rPr>
        <w:t>out;</w:t>
      </w:r>
      <w:r>
        <w:rPr>
          <w:color w:val="4A86E8"/>
          <w:spacing w:val="-2"/>
        </w:rPr>
        <w:t xml:space="preserve"> </w:t>
      </w:r>
      <w:r>
        <w:rPr>
          <w:color w:val="4A86E8"/>
        </w:rPr>
        <w:t>we</w:t>
      </w:r>
      <w:r>
        <w:rPr>
          <w:color w:val="4A86E8"/>
          <w:spacing w:val="-2"/>
        </w:rPr>
        <w:t xml:space="preserve"> </w:t>
      </w:r>
      <w:r>
        <w:rPr>
          <w:color w:val="4A86E8"/>
        </w:rPr>
        <w:t>have</w:t>
      </w:r>
      <w:r>
        <w:rPr>
          <w:color w:val="4A86E8"/>
          <w:spacing w:val="-2"/>
        </w:rPr>
        <w:t xml:space="preserve"> </w:t>
      </w:r>
      <w:r>
        <w:rPr>
          <w:color w:val="4A86E8"/>
        </w:rPr>
        <w:t>corrected</w:t>
      </w:r>
      <w:r>
        <w:rPr>
          <w:color w:val="4A86E8"/>
          <w:spacing w:val="-2"/>
        </w:rPr>
        <w:t xml:space="preserve"> </w:t>
      </w:r>
      <w:r>
        <w:rPr>
          <w:color w:val="4A86E8"/>
        </w:rPr>
        <w:t>the</w:t>
      </w:r>
      <w:r>
        <w:rPr>
          <w:color w:val="4A86E8"/>
          <w:spacing w:val="-2"/>
        </w:rPr>
        <w:t xml:space="preserve"> </w:t>
      </w:r>
      <w:r>
        <w:rPr>
          <w:color w:val="4A86E8"/>
        </w:rPr>
        <w:t>order</w:t>
      </w:r>
      <w:r>
        <w:rPr>
          <w:color w:val="4A86E8"/>
          <w:spacing w:val="-2"/>
        </w:rPr>
        <w:t xml:space="preserve"> </w:t>
      </w:r>
      <w:r>
        <w:rPr>
          <w:color w:val="4A86E8"/>
        </w:rPr>
        <w:t>of</w:t>
      </w:r>
      <w:r>
        <w:rPr>
          <w:color w:val="4A86E8"/>
          <w:spacing w:val="-2"/>
        </w:rPr>
        <w:t xml:space="preserve"> </w:t>
      </w:r>
      <w:r>
        <w:rPr>
          <w:color w:val="4A86E8"/>
        </w:rPr>
        <w:t>figure</w:t>
      </w:r>
      <w:r>
        <w:rPr>
          <w:color w:val="4A86E8"/>
          <w:spacing w:val="-2"/>
        </w:rPr>
        <w:t xml:space="preserve"> </w:t>
      </w:r>
      <w:r>
        <w:rPr>
          <w:color w:val="4A86E8"/>
        </w:rPr>
        <w:t>panels</w:t>
      </w:r>
      <w:r>
        <w:rPr>
          <w:color w:val="4A86E8"/>
          <w:spacing w:val="-2"/>
        </w:rPr>
        <w:t xml:space="preserve"> </w:t>
      </w:r>
      <w:r>
        <w:rPr>
          <w:color w:val="4A86E8"/>
        </w:rPr>
        <w:t>to</w:t>
      </w:r>
      <w:r>
        <w:rPr>
          <w:color w:val="4A86E8"/>
          <w:spacing w:val="-2"/>
        </w:rPr>
        <w:t xml:space="preserve"> </w:t>
      </w:r>
      <w:r>
        <w:rPr>
          <w:color w:val="4A86E8"/>
        </w:rPr>
        <w:t>reflect</w:t>
      </w:r>
      <w:r>
        <w:rPr>
          <w:color w:val="4A86E8"/>
          <w:spacing w:val="-2"/>
        </w:rPr>
        <w:t xml:space="preserve"> </w:t>
      </w:r>
      <w:r>
        <w:rPr>
          <w:color w:val="4A86E8"/>
        </w:rPr>
        <w:t>the</w:t>
      </w:r>
      <w:r>
        <w:rPr>
          <w:color w:val="4A86E8"/>
          <w:spacing w:val="-2"/>
        </w:rPr>
        <w:t xml:space="preserve"> </w:t>
      </w:r>
      <w:r>
        <w:rPr>
          <w:color w:val="4A86E8"/>
        </w:rPr>
        <w:t>order in which they are mentioned in the text.</w:t>
      </w:r>
    </w:p>
    <w:p w14:paraId="2580E59E" w14:textId="77777777" w:rsidR="00E211CC" w:rsidRDefault="00E211CC" w:rsidP="00E211CC">
      <w:pPr>
        <w:pStyle w:val="BodyText"/>
        <w:spacing w:before="34"/>
        <w:ind w:left="0"/>
      </w:pPr>
    </w:p>
    <w:p w14:paraId="5CF5A581" w14:textId="77777777" w:rsidR="00E211CC" w:rsidRDefault="00E211CC" w:rsidP="00E211CC">
      <w:pPr>
        <w:pStyle w:val="ListParagraph"/>
        <w:widowControl w:val="0"/>
        <w:numPr>
          <w:ilvl w:val="0"/>
          <w:numId w:val="2"/>
        </w:numPr>
        <w:tabs>
          <w:tab w:val="left" w:pos="1063"/>
        </w:tabs>
        <w:autoSpaceDE w:val="0"/>
        <w:autoSpaceDN w:val="0"/>
        <w:spacing w:after="0" w:line="273" w:lineRule="auto"/>
        <w:ind w:right="1388" w:firstLine="0"/>
        <w:contextualSpacing w:val="0"/>
      </w:pPr>
      <w:r>
        <w:rPr>
          <w:color w:val="222222"/>
        </w:rPr>
        <w:t>One</w:t>
      </w:r>
      <w:r>
        <w:rPr>
          <w:color w:val="222222"/>
          <w:spacing w:val="-3"/>
        </w:rPr>
        <w:t xml:space="preserve"> </w:t>
      </w:r>
      <w:r>
        <w:rPr>
          <w:color w:val="222222"/>
        </w:rPr>
        <w:t>of</w:t>
      </w:r>
      <w:r>
        <w:rPr>
          <w:color w:val="222222"/>
          <w:spacing w:val="-3"/>
        </w:rPr>
        <w:t xml:space="preserve"> </w:t>
      </w:r>
      <w:r>
        <w:rPr>
          <w:color w:val="222222"/>
        </w:rPr>
        <w:t>the</w:t>
      </w:r>
      <w:r>
        <w:rPr>
          <w:color w:val="222222"/>
          <w:spacing w:val="-3"/>
        </w:rPr>
        <w:t xml:space="preserve"> </w:t>
      </w:r>
      <w:r>
        <w:rPr>
          <w:color w:val="222222"/>
        </w:rPr>
        <w:t>two</w:t>
      </w:r>
      <w:r>
        <w:rPr>
          <w:color w:val="222222"/>
          <w:spacing w:val="-3"/>
        </w:rPr>
        <w:t xml:space="preserve"> </w:t>
      </w:r>
      <w:r>
        <w:rPr>
          <w:color w:val="222222"/>
        </w:rPr>
        <w:t>datasets</w:t>
      </w:r>
      <w:r>
        <w:rPr>
          <w:color w:val="222222"/>
          <w:spacing w:val="-3"/>
        </w:rPr>
        <w:t xml:space="preserve"> </w:t>
      </w:r>
      <w:r>
        <w:rPr>
          <w:color w:val="222222"/>
        </w:rPr>
        <w:t>primarily</w:t>
      </w:r>
      <w:r>
        <w:rPr>
          <w:color w:val="222222"/>
          <w:spacing w:val="-3"/>
        </w:rPr>
        <w:t xml:space="preserve"> </w:t>
      </w:r>
      <w:r>
        <w:rPr>
          <w:color w:val="222222"/>
        </w:rPr>
        <w:t>used</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experiments</w:t>
      </w:r>
      <w:r>
        <w:rPr>
          <w:color w:val="222222"/>
          <w:spacing w:val="-3"/>
        </w:rPr>
        <w:t xml:space="preserve"> </w:t>
      </w:r>
      <w:r>
        <w:rPr>
          <w:color w:val="222222"/>
        </w:rPr>
        <w:t>(Loeb</w:t>
      </w:r>
      <w:r>
        <w:rPr>
          <w:color w:val="222222"/>
          <w:spacing w:val="-3"/>
        </w:rPr>
        <w:t xml:space="preserve"> </w:t>
      </w:r>
      <w:r>
        <w:rPr>
          <w:color w:val="222222"/>
        </w:rPr>
        <w:t>et</w:t>
      </w:r>
      <w:r>
        <w:rPr>
          <w:color w:val="222222"/>
          <w:spacing w:val="-3"/>
        </w:rPr>
        <w:t xml:space="preserve"> </w:t>
      </w:r>
      <w:r>
        <w:rPr>
          <w:color w:val="222222"/>
        </w:rPr>
        <w:t>al.)</w:t>
      </w:r>
      <w:r>
        <w:rPr>
          <w:color w:val="222222"/>
          <w:spacing w:val="-3"/>
        </w:rPr>
        <w:t xml:space="preserve"> </w:t>
      </w:r>
      <w:r>
        <w:rPr>
          <w:color w:val="222222"/>
        </w:rPr>
        <w:t>is</w:t>
      </w:r>
      <w:r>
        <w:rPr>
          <w:color w:val="222222"/>
          <w:spacing w:val="-3"/>
        </w:rPr>
        <w:t xml:space="preserve"> </w:t>
      </w:r>
      <w:r>
        <w:rPr>
          <w:color w:val="222222"/>
        </w:rPr>
        <w:t>not</w:t>
      </w:r>
      <w:r>
        <w:rPr>
          <w:color w:val="222222"/>
          <w:spacing w:val="-3"/>
        </w:rPr>
        <w:t xml:space="preserve"> </w:t>
      </w:r>
      <w:r>
        <w:rPr>
          <w:color w:val="222222"/>
        </w:rPr>
        <w:t>yet</w:t>
      </w:r>
      <w:r>
        <w:rPr>
          <w:color w:val="222222"/>
          <w:spacing w:val="-5"/>
        </w:rPr>
        <w:t xml:space="preserve"> </w:t>
      </w:r>
      <w:r>
        <w:rPr>
          <w:color w:val="222222"/>
        </w:rPr>
        <w:t xml:space="preserve">publicly </w:t>
      </w:r>
      <w:r>
        <w:rPr>
          <w:color w:val="222222"/>
          <w:spacing w:val="-2"/>
        </w:rPr>
        <w:t>available.</w:t>
      </w:r>
    </w:p>
    <w:p w14:paraId="56DB2E2A" w14:textId="77777777" w:rsidR="00E211CC" w:rsidRDefault="00E211CC" w:rsidP="00E211CC">
      <w:pPr>
        <w:pStyle w:val="BodyText"/>
        <w:spacing w:before="4" w:line="278" w:lineRule="auto"/>
        <w:ind w:right="1024"/>
      </w:pPr>
      <w:r>
        <w:rPr>
          <w:color w:val="4A86E8"/>
        </w:rPr>
        <w:t>The</w:t>
      </w:r>
      <w:r>
        <w:rPr>
          <w:color w:val="4A86E8"/>
          <w:spacing w:val="-2"/>
        </w:rPr>
        <w:t xml:space="preserve"> </w:t>
      </w:r>
      <w:r>
        <w:rPr>
          <w:color w:val="4A86E8"/>
        </w:rPr>
        <w:t>Loeb</w:t>
      </w:r>
      <w:r>
        <w:rPr>
          <w:color w:val="4A86E8"/>
          <w:spacing w:val="-2"/>
        </w:rPr>
        <w:t xml:space="preserve"> </w:t>
      </w:r>
      <w:r>
        <w:rPr>
          <w:color w:val="4A86E8"/>
        </w:rPr>
        <w:t>et</w:t>
      </w:r>
      <w:r>
        <w:rPr>
          <w:color w:val="4A86E8"/>
          <w:spacing w:val="-2"/>
        </w:rPr>
        <w:t xml:space="preserve"> </w:t>
      </w:r>
      <w:r>
        <w:rPr>
          <w:color w:val="4A86E8"/>
        </w:rPr>
        <w:t>al.</w:t>
      </w:r>
      <w:r>
        <w:rPr>
          <w:color w:val="4A86E8"/>
          <w:spacing w:val="-2"/>
        </w:rPr>
        <w:t xml:space="preserve"> </w:t>
      </w:r>
      <w:r>
        <w:rPr>
          <w:color w:val="4A86E8"/>
        </w:rPr>
        <w:t>data</w:t>
      </w:r>
      <w:r>
        <w:rPr>
          <w:color w:val="4A86E8"/>
          <w:spacing w:val="-2"/>
        </w:rPr>
        <w:t xml:space="preserve"> </w:t>
      </w:r>
      <w:r>
        <w:rPr>
          <w:color w:val="4A86E8"/>
        </w:rPr>
        <w:t>have</w:t>
      </w:r>
      <w:r>
        <w:rPr>
          <w:color w:val="4A86E8"/>
          <w:spacing w:val="-2"/>
        </w:rPr>
        <w:t xml:space="preserve"> </w:t>
      </w:r>
      <w:r>
        <w:rPr>
          <w:color w:val="4A86E8"/>
        </w:rPr>
        <w:t>been</w:t>
      </w:r>
      <w:r>
        <w:rPr>
          <w:color w:val="4A86E8"/>
          <w:spacing w:val="-2"/>
        </w:rPr>
        <w:t xml:space="preserve"> </w:t>
      </w:r>
      <w:r>
        <w:rPr>
          <w:color w:val="4A86E8"/>
        </w:rPr>
        <w:t>deposited</w:t>
      </w:r>
      <w:r>
        <w:rPr>
          <w:color w:val="4A86E8"/>
          <w:spacing w:val="-2"/>
        </w:rPr>
        <w:t xml:space="preserve"> </w:t>
      </w:r>
      <w:r>
        <w:rPr>
          <w:color w:val="4A86E8"/>
        </w:rPr>
        <w:t>to</w:t>
      </w:r>
      <w:r>
        <w:rPr>
          <w:color w:val="4A86E8"/>
          <w:spacing w:val="-2"/>
        </w:rPr>
        <w:t xml:space="preserve"> </w:t>
      </w:r>
      <w:r>
        <w:rPr>
          <w:color w:val="4A86E8"/>
        </w:rPr>
        <w:t>GEO,</w:t>
      </w:r>
      <w:r>
        <w:rPr>
          <w:color w:val="4A86E8"/>
          <w:spacing w:val="-2"/>
        </w:rPr>
        <w:t xml:space="preserve"> </w:t>
      </w:r>
      <w:r>
        <w:rPr>
          <w:color w:val="4A86E8"/>
        </w:rPr>
        <w:t>and</w:t>
      </w:r>
      <w:r>
        <w:rPr>
          <w:color w:val="4A86E8"/>
          <w:spacing w:val="-2"/>
        </w:rPr>
        <w:t xml:space="preserve"> </w:t>
      </w:r>
      <w:r>
        <w:rPr>
          <w:color w:val="4A86E8"/>
        </w:rPr>
        <w:t>we</w:t>
      </w:r>
      <w:r>
        <w:rPr>
          <w:color w:val="4A86E8"/>
          <w:spacing w:val="-2"/>
        </w:rPr>
        <w:t xml:space="preserve"> </w:t>
      </w:r>
      <w:r>
        <w:rPr>
          <w:color w:val="4A86E8"/>
        </w:rPr>
        <w:t>will</w:t>
      </w:r>
      <w:r>
        <w:rPr>
          <w:color w:val="4A86E8"/>
          <w:spacing w:val="-2"/>
        </w:rPr>
        <w:t xml:space="preserve"> </w:t>
      </w:r>
      <w:r>
        <w:rPr>
          <w:color w:val="4A86E8"/>
        </w:rPr>
        <w:t>share</w:t>
      </w:r>
      <w:r>
        <w:rPr>
          <w:color w:val="4A86E8"/>
          <w:spacing w:val="-2"/>
        </w:rPr>
        <w:t xml:space="preserve"> </w:t>
      </w:r>
      <w:r>
        <w:rPr>
          <w:color w:val="4A86E8"/>
        </w:rPr>
        <w:t>the</w:t>
      </w:r>
      <w:r>
        <w:rPr>
          <w:color w:val="4A86E8"/>
          <w:spacing w:val="-2"/>
        </w:rPr>
        <w:t xml:space="preserve"> </w:t>
      </w:r>
      <w:r>
        <w:rPr>
          <w:color w:val="4A86E8"/>
        </w:rPr>
        <w:t>link</w:t>
      </w:r>
      <w:r>
        <w:rPr>
          <w:color w:val="4A86E8"/>
          <w:spacing w:val="-2"/>
        </w:rPr>
        <w:t xml:space="preserve"> </w:t>
      </w:r>
      <w:r>
        <w:rPr>
          <w:color w:val="4A86E8"/>
        </w:rPr>
        <w:t>to</w:t>
      </w:r>
      <w:r>
        <w:rPr>
          <w:color w:val="4A86E8"/>
          <w:spacing w:val="-2"/>
        </w:rPr>
        <w:t xml:space="preserve"> </w:t>
      </w:r>
      <w:r>
        <w:rPr>
          <w:color w:val="4A86E8"/>
        </w:rPr>
        <w:t>the</w:t>
      </w:r>
      <w:r>
        <w:rPr>
          <w:color w:val="4A86E8"/>
          <w:spacing w:val="-2"/>
        </w:rPr>
        <w:t xml:space="preserve"> </w:t>
      </w:r>
      <w:r>
        <w:rPr>
          <w:color w:val="4A86E8"/>
        </w:rPr>
        <w:t>data</w:t>
      </w:r>
      <w:r>
        <w:rPr>
          <w:color w:val="4A86E8"/>
          <w:spacing w:val="-2"/>
        </w:rPr>
        <w:t xml:space="preserve"> </w:t>
      </w:r>
      <w:r>
        <w:rPr>
          <w:color w:val="4A86E8"/>
        </w:rPr>
        <w:t>on GEO as soon as it is available (within 5 days of GEO submission).</w:t>
      </w:r>
    </w:p>
    <w:p w14:paraId="3186D51B" w14:textId="77777777" w:rsidR="00E211CC" w:rsidRDefault="00E211CC" w:rsidP="00E211CC">
      <w:pPr>
        <w:pStyle w:val="BodyText"/>
        <w:spacing w:before="33"/>
        <w:ind w:left="0"/>
      </w:pPr>
    </w:p>
    <w:p w14:paraId="1CAA2A1A" w14:textId="77777777" w:rsidR="00E211CC" w:rsidRDefault="00E211CC" w:rsidP="00E211CC">
      <w:pPr>
        <w:pStyle w:val="ListParagraph"/>
        <w:widowControl w:val="0"/>
        <w:numPr>
          <w:ilvl w:val="0"/>
          <w:numId w:val="2"/>
        </w:numPr>
        <w:tabs>
          <w:tab w:val="left" w:pos="1063"/>
        </w:tabs>
        <w:autoSpaceDE w:val="0"/>
        <w:autoSpaceDN w:val="0"/>
        <w:spacing w:after="0" w:line="240" w:lineRule="auto"/>
        <w:ind w:left="1063" w:hanging="243"/>
        <w:contextualSpacing w:val="0"/>
      </w:pPr>
      <w:r>
        <w:rPr>
          <w:color w:val="222222"/>
        </w:rPr>
        <w:t>The</w:t>
      </w:r>
      <w:r>
        <w:rPr>
          <w:color w:val="222222"/>
          <w:spacing w:val="-6"/>
        </w:rPr>
        <w:t xml:space="preserve"> </w:t>
      </w:r>
      <w:r>
        <w:rPr>
          <w:color w:val="222222"/>
        </w:rPr>
        <w:t>models</w:t>
      </w:r>
      <w:r>
        <w:rPr>
          <w:color w:val="222222"/>
          <w:spacing w:val="-4"/>
        </w:rPr>
        <w:t xml:space="preserve"> </w:t>
      </w:r>
      <w:r>
        <w:rPr>
          <w:color w:val="222222"/>
        </w:rPr>
        <w:t>trained</w:t>
      </w:r>
      <w:r>
        <w:rPr>
          <w:color w:val="222222"/>
          <w:spacing w:val="-4"/>
        </w:rPr>
        <w:t xml:space="preserve"> </w:t>
      </w:r>
      <w:r>
        <w:rPr>
          <w:color w:val="222222"/>
        </w:rPr>
        <w:t>on</w:t>
      </w:r>
      <w:r>
        <w:rPr>
          <w:color w:val="222222"/>
          <w:spacing w:val="-4"/>
        </w:rPr>
        <w:t xml:space="preserve"> </w:t>
      </w:r>
      <w:r>
        <w:rPr>
          <w:color w:val="222222"/>
        </w:rPr>
        <w:t>Calderon</w:t>
      </w:r>
      <w:r>
        <w:rPr>
          <w:color w:val="222222"/>
          <w:spacing w:val="-3"/>
        </w:rPr>
        <w:t xml:space="preserve"> </w:t>
      </w:r>
      <w:r>
        <w:rPr>
          <w:color w:val="222222"/>
        </w:rPr>
        <w:t>et</w:t>
      </w:r>
      <w:r>
        <w:rPr>
          <w:color w:val="222222"/>
          <w:spacing w:val="-4"/>
        </w:rPr>
        <w:t xml:space="preserve"> </w:t>
      </w:r>
      <w:r>
        <w:rPr>
          <w:color w:val="222222"/>
        </w:rPr>
        <w:t>al.</w:t>
      </w:r>
      <w:r>
        <w:rPr>
          <w:color w:val="222222"/>
          <w:spacing w:val="-4"/>
        </w:rPr>
        <w:t xml:space="preserve"> </w:t>
      </w:r>
      <w:r>
        <w:rPr>
          <w:color w:val="222222"/>
        </w:rPr>
        <w:t>and</w:t>
      </w:r>
      <w:r>
        <w:rPr>
          <w:color w:val="222222"/>
          <w:spacing w:val="-4"/>
        </w:rPr>
        <w:t xml:space="preserve"> </w:t>
      </w:r>
      <w:r>
        <w:rPr>
          <w:color w:val="222222"/>
        </w:rPr>
        <w:t>Loeb</w:t>
      </w:r>
      <w:r>
        <w:rPr>
          <w:color w:val="222222"/>
          <w:spacing w:val="-3"/>
        </w:rPr>
        <w:t xml:space="preserve"> </w:t>
      </w:r>
      <w:r>
        <w:rPr>
          <w:color w:val="222222"/>
        </w:rPr>
        <w:t>et</w:t>
      </w:r>
      <w:r>
        <w:rPr>
          <w:color w:val="222222"/>
          <w:spacing w:val="-4"/>
        </w:rPr>
        <w:t xml:space="preserve"> </w:t>
      </w:r>
      <w:r>
        <w:rPr>
          <w:color w:val="222222"/>
        </w:rPr>
        <w:t>al.</w:t>
      </w:r>
      <w:r>
        <w:rPr>
          <w:color w:val="222222"/>
          <w:spacing w:val="-4"/>
        </w:rPr>
        <w:t xml:space="preserve"> </w:t>
      </w:r>
      <w:r>
        <w:rPr>
          <w:color w:val="222222"/>
        </w:rPr>
        <w:t>are</w:t>
      </w:r>
      <w:r>
        <w:rPr>
          <w:color w:val="222222"/>
          <w:spacing w:val="-4"/>
        </w:rPr>
        <w:t xml:space="preserve"> </w:t>
      </w:r>
      <w:r>
        <w:rPr>
          <w:color w:val="222222"/>
        </w:rPr>
        <w:t>not</w:t>
      </w:r>
      <w:r>
        <w:rPr>
          <w:color w:val="222222"/>
          <w:spacing w:val="-3"/>
        </w:rPr>
        <w:t xml:space="preserve"> </w:t>
      </w:r>
      <w:r>
        <w:rPr>
          <w:color w:val="222222"/>
          <w:spacing w:val="-2"/>
        </w:rPr>
        <w:t>available.</w:t>
      </w:r>
    </w:p>
    <w:p w14:paraId="471DF140" w14:textId="77777777" w:rsidR="00E211CC" w:rsidRDefault="00E211CC" w:rsidP="00E211CC">
      <w:pPr>
        <w:pStyle w:val="BodyText"/>
        <w:spacing w:before="36" w:line="278" w:lineRule="auto"/>
        <w:ind w:right="1024"/>
      </w:pPr>
      <w:r>
        <w:rPr>
          <w:color w:val="4A86E8"/>
        </w:rPr>
        <w:t>We</w:t>
      </w:r>
      <w:r>
        <w:rPr>
          <w:color w:val="4A86E8"/>
          <w:spacing w:val="-3"/>
        </w:rPr>
        <w:t xml:space="preserve"> </w:t>
      </w:r>
      <w:r>
        <w:rPr>
          <w:color w:val="4A86E8"/>
        </w:rPr>
        <w:t>have</w:t>
      </w:r>
      <w:r>
        <w:rPr>
          <w:color w:val="4A86E8"/>
          <w:spacing w:val="-3"/>
        </w:rPr>
        <w:t xml:space="preserve"> </w:t>
      </w:r>
      <w:r>
        <w:rPr>
          <w:color w:val="4A86E8"/>
        </w:rPr>
        <w:t>now</w:t>
      </w:r>
      <w:r>
        <w:rPr>
          <w:color w:val="4A86E8"/>
          <w:spacing w:val="-3"/>
        </w:rPr>
        <w:t xml:space="preserve"> </w:t>
      </w:r>
      <w:r>
        <w:rPr>
          <w:color w:val="4A86E8"/>
        </w:rPr>
        <w:t>uploaded</w:t>
      </w:r>
      <w:r>
        <w:rPr>
          <w:color w:val="4A86E8"/>
          <w:spacing w:val="-3"/>
        </w:rPr>
        <w:t xml:space="preserve"> </w:t>
      </w:r>
      <w:r>
        <w:rPr>
          <w:color w:val="4A86E8"/>
        </w:rPr>
        <w:t>the</w:t>
      </w:r>
      <w:r>
        <w:rPr>
          <w:color w:val="4A86E8"/>
          <w:spacing w:val="-3"/>
        </w:rPr>
        <w:t xml:space="preserve"> </w:t>
      </w:r>
      <w:r>
        <w:rPr>
          <w:color w:val="4A86E8"/>
        </w:rPr>
        <w:t>models</w:t>
      </w:r>
      <w:r>
        <w:rPr>
          <w:color w:val="4A86E8"/>
          <w:spacing w:val="-3"/>
        </w:rPr>
        <w:t xml:space="preserve"> </w:t>
      </w:r>
      <w:r>
        <w:rPr>
          <w:color w:val="4A86E8"/>
        </w:rPr>
        <w:t>trained</w:t>
      </w:r>
      <w:r>
        <w:rPr>
          <w:color w:val="4A86E8"/>
          <w:spacing w:val="-3"/>
        </w:rPr>
        <w:t xml:space="preserve"> </w:t>
      </w:r>
      <w:r>
        <w:rPr>
          <w:color w:val="4A86E8"/>
        </w:rPr>
        <w:t>on</w:t>
      </w:r>
      <w:r>
        <w:rPr>
          <w:color w:val="4A86E8"/>
          <w:spacing w:val="-3"/>
        </w:rPr>
        <w:t xml:space="preserve"> </w:t>
      </w:r>
      <w:r>
        <w:rPr>
          <w:color w:val="4A86E8"/>
        </w:rPr>
        <w:t>the</w:t>
      </w:r>
      <w:r>
        <w:rPr>
          <w:color w:val="4A86E8"/>
          <w:spacing w:val="-3"/>
        </w:rPr>
        <w:t xml:space="preserve"> </w:t>
      </w:r>
      <w:r>
        <w:rPr>
          <w:color w:val="4A86E8"/>
        </w:rPr>
        <w:t>Calderon</w:t>
      </w:r>
      <w:r>
        <w:rPr>
          <w:color w:val="4A86E8"/>
          <w:spacing w:val="-3"/>
        </w:rPr>
        <w:t xml:space="preserve"> </w:t>
      </w:r>
      <w:r>
        <w:rPr>
          <w:color w:val="4A86E8"/>
        </w:rPr>
        <w:t>et</w:t>
      </w:r>
      <w:r>
        <w:rPr>
          <w:color w:val="4A86E8"/>
          <w:spacing w:val="-3"/>
        </w:rPr>
        <w:t xml:space="preserve"> </w:t>
      </w:r>
      <w:r>
        <w:rPr>
          <w:color w:val="4A86E8"/>
        </w:rPr>
        <w:t>al.</w:t>
      </w:r>
      <w:r>
        <w:rPr>
          <w:color w:val="4A86E8"/>
          <w:spacing w:val="-3"/>
        </w:rPr>
        <w:t xml:space="preserve"> </w:t>
      </w:r>
      <w:r>
        <w:rPr>
          <w:color w:val="4A86E8"/>
        </w:rPr>
        <w:t>and</w:t>
      </w:r>
      <w:r>
        <w:rPr>
          <w:color w:val="4A86E8"/>
          <w:spacing w:val="-3"/>
        </w:rPr>
        <w:t xml:space="preserve"> </w:t>
      </w:r>
      <w:r>
        <w:rPr>
          <w:color w:val="4A86E8"/>
        </w:rPr>
        <w:t>Loeb</w:t>
      </w:r>
      <w:r>
        <w:rPr>
          <w:color w:val="4A86E8"/>
          <w:spacing w:val="-3"/>
        </w:rPr>
        <w:t xml:space="preserve"> </w:t>
      </w:r>
      <w:r>
        <w:rPr>
          <w:color w:val="4A86E8"/>
        </w:rPr>
        <w:t>et</w:t>
      </w:r>
      <w:r>
        <w:rPr>
          <w:color w:val="4A86E8"/>
          <w:spacing w:val="-3"/>
        </w:rPr>
        <w:t xml:space="preserve"> </w:t>
      </w:r>
      <w:r>
        <w:rPr>
          <w:color w:val="4A86E8"/>
        </w:rPr>
        <w:t>al.</w:t>
      </w:r>
      <w:r>
        <w:rPr>
          <w:color w:val="4A86E8"/>
          <w:spacing w:val="-3"/>
        </w:rPr>
        <w:t xml:space="preserve"> </w:t>
      </w:r>
      <w:r>
        <w:rPr>
          <w:color w:val="4A86E8"/>
        </w:rPr>
        <w:t>data</w:t>
      </w:r>
      <w:r>
        <w:rPr>
          <w:color w:val="4A86E8"/>
          <w:spacing w:val="-3"/>
        </w:rPr>
        <w:t xml:space="preserve"> </w:t>
      </w:r>
      <w:r>
        <w:rPr>
          <w:color w:val="4A86E8"/>
        </w:rPr>
        <w:t>to Zenodo (10.5281/zenodo.10729956).</w:t>
      </w:r>
    </w:p>
    <w:p w14:paraId="62BCFADE" w14:textId="77777777" w:rsidR="00E211CC" w:rsidRDefault="00E211CC" w:rsidP="00E211CC">
      <w:pPr>
        <w:spacing w:line="278" w:lineRule="auto"/>
        <w:sectPr w:rsidR="00E211CC" w:rsidSect="00E211CC">
          <w:pgSz w:w="12240" w:h="15840"/>
          <w:pgMar w:top="1360" w:right="580" w:bottom="280" w:left="620" w:header="720" w:footer="720" w:gutter="0"/>
          <w:cols w:space="720"/>
        </w:sectPr>
      </w:pPr>
    </w:p>
    <w:p w14:paraId="06F0EF98" w14:textId="77777777" w:rsidR="00E211CC" w:rsidRDefault="00E211CC" w:rsidP="00E211CC">
      <w:pPr>
        <w:pStyle w:val="Heading1"/>
      </w:pPr>
      <w:r>
        <w:lastRenderedPageBreak/>
        <w:t>Reviewer</w:t>
      </w:r>
      <w:r>
        <w:rPr>
          <w:spacing w:val="-8"/>
        </w:rPr>
        <w:t xml:space="preserve"> </w:t>
      </w:r>
      <w:r>
        <w:rPr>
          <w:spacing w:val="-5"/>
        </w:rPr>
        <w:t>#4:</w:t>
      </w:r>
    </w:p>
    <w:p w14:paraId="64243EA2" w14:textId="77777777" w:rsidR="00E211CC" w:rsidRDefault="00E211CC" w:rsidP="00E211CC">
      <w:pPr>
        <w:pStyle w:val="BodyText"/>
        <w:spacing w:before="116" w:line="278" w:lineRule="auto"/>
        <w:ind w:right="861"/>
      </w:pPr>
      <w:r>
        <w:rPr>
          <w:color w:val="222222"/>
        </w:rPr>
        <w:t>Review:</w:t>
      </w:r>
      <w:r>
        <w:rPr>
          <w:color w:val="222222"/>
          <w:spacing w:val="-3"/>
        </w:rPr>
        <w:t xml:space="preserve"> </w:t>
      </w:r>
      <w:r>
        <w:rPr>
          <w:color w:val="222222"/>
        </w:rPr>
        <w:t>Current</w:t>
      </w:r>
      <w:r>
        <w:rPr>
          <w:color w:val="222222"/>
          <w:spacing w:val="-3"/>
        </w:rPr>
        <w:t xml:space="preserve"> </w:t>
      </w:r>
      <w:r>
        <w:rPr>
          <w:color w:val="222222"/>
        </w:rPr>
        <w:t>genomic</w:t>
      </w:r>
      <w:r>
        <w:rPr>
          <w:color w:val="222222"/>
          <w:spacing w:val="-3"/>
        </w:rPr>
        <w:t xml:space="preserve"> </w:t>
      </w:r>
      <w:r>
        <w:rPr>
          <w:color w:val="222222"/>
        </w:rPr>
        <w:t>deep</w:t>
      </w:r>
      <w:r>
        <w:rPr>
          <w:color w:val="222222"/>
          <w:spacing w:val="-3"/>
        </w:rPr>
        <w:t xml:space="preserve"> </w:t>
      </w:r>
      <w:r>
        <w:rPr>
          <w:color w:val="222222"/>
        </w:rPr>
        <w:t>learning</w:t>
      </w:r>
      <w:r>
        <w:rPr>
          <w:color w:val="222222"/>
          <w:spacing w:val="-3"/>
        </w:rPr>
        <w:t xml:space="preserve"> </w:t>
      </w:r>
      <w:r>
        <w:rPr>
          <w:color w:val="222222"/>
        </w:rPr>
        <w:t>models</w:t>
      </w:r>
      <w:r>
        <w:rPr>
          <w:color w:val="222222"/>
          <w:spacing w:val="-3"/>
        </w:rPr>
        <w:t xml:space="preserve"> </w:t>
      </w:r>
      <w:r>
        <w:rPr>
          <w:color w:val="222222"/>
        </w:rPr>
        <w:t>display</w:t>
      </w:r>
      <w:r>
        <w:rPr>
          <w:color w:val="222222"/>
          <w:spacing w:val="-3"/>
        </w:rPr>
        <w:t xml:space="preserve"> </w:t>
      </w:r>
      <w:r>
        <w:rPr>
          <w:color w:val="222222"/>
        </w:rPr>
        <w:t>decreased</w:t>
      </w:r>
      <w:r>
        <w:rPr>
          <w:color w:val="222222"/>
          <w:spacing w:val="-3"/>
        </w:rPr>
        <w:t xml:space="preserve"> </w:t>
      </w:r>
      <w:r>
        <w:rPr>
          <w:color w:val="222222"/>
        </w:rPr>
        <w:t>performance</w:t>
      </w:r>
      <w:r>
        <w:rPr>
          <w:color w:val="222222"/>
          <w:spacing w:val="-3"/>
        </w:rPr>
        <w:t xml:space="preserve"> </w:t>
      </w:r>
      <w:r>
        <w:rPr>
          <w:color w:val="222222"/>
        </w:rPr>
        <w:t>in</w:t>
      </w:r>
      <w:r>
        <w:rPr>
          <w:color w:val="222222"/>
          <w:spacing w:val="-3"/>
        </w:rPr>
        <w:t xml:space="preserve"> </w:t>
      </w:r>
      <w:r>
        <w:rPr>
          <w:color w:val="222222"/>
        </w:rPr>
        <w:t>cell</w:t>
      </w:r>
      <w:r>
        <w:rPr>
          <w:color w:val="222222"/>
          <w:spacing w:val="-3"/>
        </w:rPr>
        <w:t xml:space="preserve"> </w:t>
      </w:r>
      <w:r>
        <w:rPr>
          <w:color w:val="222222"/>
        </w:rPr>
        <w:t>type specific cis regulatory elements</w:t>
      </w:r>
    </w:p>
    <w:p w14:paraId="5D83B154" w14:textId="77777777" w:rsidR="00E211CC" w:rsidRDefault="00E211CC" w:rsidP="00E211CC">
      <w:pPr>
        <w:pStyle w:val="BodyText"/>
        <w:spacing w:before="34"/>
        <w:ind w:left="0"/>
      </w:pPr>
    </w:p>
    <w:p w14:paraId="2036D39C" w14:textId="77777777" w:rsidR="00E211CC" w:rsidRDefault="00E211CC" w:rsidP="00E211CC">
      <w:pPr>
        <w:pStyle w:val="BodyText"/>
        <w:spacing w:line="276" w:lineRule="auto"/>
        <w:ind w:right="861"/>
      </w:pPr>
      <w:r>
        <w:rPr>
          <w:color w:val="222222"/>
        </w:rPr>
        <w:t>The manuscript's premise is that DNA sequence-based multi-task deep learning (DL) predictors generally focus on genome-wide accuracy. However since disease heritability is enriched in CREs,</w:t>
      </w:r>
      <w:r>
        <w:rPr>
          <w:color w:val="222222"/>
          <w:spacing w:val="-3"/>
        </w:rPr>
        <w:t xml:space="preserve"> </w:t>
      </w:r>
      <w:r>
        <w:rPr>
          <w:color w:val="222222"/>
        </w:rPr>
        <w:t>it</w:t>
      </w:r>
      <w:r>
        <w:rPr>
          <w:color w:val="222222"/>
          <w:spacing w:val="-3"/>
        </w:rPr>
        <w:t xml:space="preserve"> </w:t>
      </w:r>
      <w:r>
        <w:rPr>
          <w:color w:val="222222"/>
        </w:rPr>
        <w:t>is</w:t>
      </w:r>
      <w:r>
        <w:rPr>
          <w:color w:val="222222"/>
          <w:spacing w:val="-3"/>
        </w:rPr>
        <w:t xml:space="preserve"> </w:t>
      </w:r>
      <w:r>
        <w:rPr>
          <w:color w:val="222222"/>
        </w:rPr>
        <w:t>important</w:t>
      </w:r>
      <w:r>
        <w:rPr>
          <w:color w:val="222222"/>
          <w:spacing w:val="-3"/>
        </w:rPr>
        <w:t xml:space="preserve"> </w:t>
      </w:r>
      <w:r>
        <w:rPr>
          <w:color w:val="222222"/>
        </w:rPr>
        <w:t>to</w:t>
      </w:r>
      <w:r>
        <w:rPr>
          <w:color w:val="222222"/>
          <w:spacing w:val="-3"/>
        </w:rPr>
        <w:t xml:space="preserve"> </w:t>
      </w:r>
      <w:r>
        <w:rPr>
          <w:color w:val="222222"/>
        </w:rPr>
        <w:t>assess</w:t>
      </w:r>
      <w:r>
        <w:rPr>
          <w:color w:val="222222"/>
          <w:spacing w:val="-3"/>
        </w:rPr>
        <w:t xml:space="preserve"> </w:t>
      </w:r>
      <w:r>
        <w:rPr>
          <w:color w:val="222222"/>
        </w:rPr>
        <w:t>whether</w:t>
      </w:r>
      <w:r>
        <w:rPr>
          <w:color w:val="222222"/>
          <w:spacing w:val="-3"/>
        </w:rPr>
        <w:t xml:space="preserve"> </w:t>
      </w:r>
      <w:r>
        <w:rPr>
          <w:color w:val="222222"/>
        </w:rPr>
        <w:t>these</w:t>
      </w:r>
      <w:r>
        <w:rPr>
          <w:color w:val="222222"/>
          <w:spacing w:val="-3"/>
        </w:rPr>
        <w:t xml:space="preserve"> </w:t>
      </w:r>
      <w:r>
        <w:rPr>
          <w:color w:val="222222"/>
        </w:rPr>
        <w:t>models</w:t>
      </w:r>
      <w:r>
        <w:rPr>
          <w:color w:val="222222"/>
          <w:spacing w:val="-3"/>
        </w:rPr>
        <w:t xml:space="preserve"> </w:t>
      </w:r>
      <w:r>
        <w:rPr>
          <w:color w:val="222222"/>
        </w:rPr>
        <w:t>are</w:t>
      </w:r>
      <w:r>
        <w:rPr>
          <w:color w:val="222222"/>
          <w:spacing w:val="-3"/>
        </w:rPr>
        <w:t xml:space="preserve"> </w:t>
      </w:r>
      <w:r>
        <w:rPr>
          <w:color w:val="222222"/>
        </w:rPr>
        <w:t>equally</w:t>
      </w:r>
      <w:r>
        <w:rPr>
          <w:color w:val="222222"/>
          <w:spacing w:val="-3"/>
        </w:rPr>
        <w:t xml:space="preserve"> </w:t>
      </w:r>
      <w:r>
        <w:rPr>
          <w:color w:val="222222"/>
        </w:rPr>
        <w:t>accurate</w:t>
      </w:r>
      <w:r>
        <w:rPr>
          <w:color w:val="222222"/>
          <w:spacing w:val="-3"/>
        </w:rPr>
        <w:t xml:space="preserve"> </w:t>
      </w:r>
      <w:r>
        <w:rPr>
          <w:color w:val="222222"/>
        </w:rPr>
        <w:t>in</w:t>
      </w:r>
      <w:r>
        <w:rPr>
          <w:color w:val="222222"/>
          <w:spacing w:val="-3"/>
        </w:rPr>
        <w:t xml:space="preserve"> </w:t>
      </w:r>
      <w:r>
        <w:rPr>
          <w:color w:val="222222"/>
        </w:rPr>
        <w:t>CREs</w:t>
      </w:r>
      <w:r>
        <w:rPr>
          <w:color w:val="222222"/>
          <w:spacing w:val="-3"/>
        </w:rPr>
        <w:t xml:space="preserve"> </w:t>
      </w:r>
      <w:r>
        <w:rPr>
          <w:color w:val="222222"/>
        </w:rPr>
        <w:t>with</w:t>
      </w:r>
      <w:r>
        <w:rPr>
          <w:color w:val="222222"/>
          <w:spacing w:val="-3"/>
        </w:rPr>
        <w:t xml:space="preserve"> </w:t>
      </w:r>
      <w:r>
        <w:rPr>
          <w:color w:val="222222"/>
        </w:rPr>
        <w:t>varying degrees of cell-type specificity. Here, the authors assess the performance of two multitask models (Sei and Enformer) at predicting cell-type specific accessibility and conclude that both models display decreased performance over cell-type specific CREs when compared to shared</w:t>
      </w:r>
    </w:p>
    <w:p w14:paraId="7260D751" w14:textId="77777777" w:rsidR="00E211CC" w:rsidRDefault="00E211CC" w:rsidP="00E211CC">
      <w:pPr>
        <w:pStyle w:val="BodyText"/>
        <w:spacing w:before="2"/>
      </w:pPr>
      <w:r>
        <w:rPr>
          <w:color w:val="222222"/>
        </w:rPr>
        <w:t>/</w:t>
      </w:r>
      <w:r>
        <w:rPr>
          <w:color w:val="222222"/>
          <w:spacing w:val="-6"/>
        </w:rPr>
        <w:t xml:space="preserve"> </w:t>
      </w:r>
      <w:r>
        <w:rPr>
          <w:color w:val="222222"/>
        </w:rPr>
        <w:t>ubiquitous</w:t>
      </w:r>
      <w:r>
        <w:rPr>
          <w:color w:val="222222"/>
          <w:spacing w:val="-5"/>
        </w:rPr>
        <w:t xml:space="preserve"> </w:t>
      </w:r>
      <w:r>
        <w:rPr>
          <w:color w:val="222222"/>
          <w:spacing w:val="-2"/>
        </w:rPr>
        <w:t>CREs.</w:t>
      </w:r>
    </w:p>
    <w:p w14:paraId="083141DB" w14:textId="77777777" w:rsidR="00E211CC" w:rsidRDefault="00E211CC" w:rsidP="00E211CC">
      <w:pPr>
        <w:pStyle w:val="BodyText"/>
        <w:spacing w:before="74"/>
        <w:ind w:left="0"/>
      </w:pPr>
    </w:p>
    <w:p w14:paraId="64B812BF" w14:textId="77777777" w:rsidR="00E211CC" w:rsidRDefault="00E211CC" w:rsidP="00E211CC">
      <w:pPr>
        <w:pStyle w:val="BodyText"/>
        <w:spacing w:before="1" w:line="276" w:lineRule="auto"/>
        <w:ind w:right="861"/>
      </w:pPr>
      <w:r>
        <w:rPr>
          <w:color w:val="222222"/>
        </w:rPr>
        <w:t>This is an interesting perspective and I believe that this an important assessment to perform as we begin utilizing sequence-based DL models to evaluate genetic variation. However, in its current</w:t>
      </w:r>
      <w:r>
        <w:rPr>
          <w:color w:val="222222"/>
          <w:spacing w:val="-3"/>
        </w:rPr>
        <w:t xml:space="preserve"> </w:t>
      </w:r>
      <w:r>
        <w:rPr>
          <w:color w:val="222222"/>
        </w:rPr>
        <w:t>form,</w:t>
      </w:r>
      <w:r>
        <w:rPr>
          <w:color w:val="222222"/>
          <w:spacing w:val="-3"/>
        </w:rPr>
        <w:t xml:space="preserve"> </w:t>
      </w:r>
      <w:r>
        <w:rPr>
          <w:color w:val="222222"/>
        </w:rPr>
        <w:t>the</w:t>
      </w:r>
      <w:r>
        <w:rPr>
          <w:color w:val="222222"/>
          <w:spacing w:val="-3"/>
        </w:rPr>
        <w:t xml:space="preserve"> </w:t>
      </w:r>
      <w:r>
        <w:rPr>
          <w:color w:val="222222"/>
        </w:rPr>
        <w:t>evidence</w:t>
      </w:r>
      <w:r>
        <w:rPr>
          <w:color w:val="222222"/>
          <w:spacing w:val="-3"/>
        </w:rPr>
        <w:t xml:space="preserve"> </w:t>
      </w:r>
      <w:r>
        <w:rPr>
          <w:color w:val="222222"/>
        </w:rPr>
        <w:t>provided</w:t>
      </w:r>
      <w:r>
        <w:rPr>
          <w:color w:val="222222"/>
          <w:spacing w:val="-3"/>
        </w:rPr>
        <w:t xml:space="preserve"> </w:t>
      </w:r>
      <w:r>
        <w:rPr>
          <w:color w:val="222222"/>
        </w:rPr>
        <w:t>in</w:t>
      </w:r>
      <w:r>
        <w:rPr>
          <w:color w:val="222222"/>
          <w:spacing w:val="-3"/>
        </w:rPr>
        <w:t xml:space="preserve"> </w:t>
      </w:r>
      <w:r>
        <w:rPr>
          <w:color w:val="222222"/>
        </w:rPr>
        <w:t>order</w:t>
      </w:r>
      <w:r>
        <w:rPr>
          <w:color w:val="222222"/>
          <w:spacing w:val="-3"/>
        </w:rPr>
        <w:t xml:space="preserve"> </w:t>
      </w:r>
      <w:r>
        <w:rPr>
          <w:color w:val="222222"/>
        </w:rPr>
        <w:t>to</w:t>
      </w:r>
      <w:r>
        <w:rPr>
          <w:color w:val="222222"/>
          <w:spacing w:val="-3"/>
        </w:rPr>
        <w:t xml:space="preserve"> </w:t>
      </w:r>
      <w:r>
        <w:rPr>
          <w:color w:val="222222"/>
        </w:rPr>
        <w:t>reach</w:t>
      </w:r>
      <w:r>
        <w:rPr>
          <w:color w:val="222222"/>
          <w:spacing w:val="-3"/>
        </w:rPr>
        <w:t xml:space="preserve"> </w:t>
      </w:r>
      <w:r>
        <w:rPr>
          <w:color w:val="222222"/>
        </w:rPr>
        <w:t>the</w:t>
      </w:r>
      <w:r>
        <w:rPr>
          <w:color w:val="222222"/>
          <w:spacing w:val="-3"/>
        </w:rPr>
        <w:t xml:space="preserve"> </w:t>
      </w:r>
      <w:r>
        <w:rPr>
          <w:color w:val="222222"/>
        </w:rPr>
        <w:t>stated</w:t>
      </w:r>
      <w:r>
        <w:rPr>
          <w:color w:val="222222"/>
          <w:spacing w:val="-3"/>
        </w:rPr>
        <w:t xml:space="preserve"> </w:t>
      </w:r>
      <w:r>
        <w:rPr>
          <w:color w:val="222222"/>
        </w:rPr>
        <w:t>conclusions</w:t>
      </w:r>
      <w:r>
        <w:rPr>
          <w:color w:val="222222"/>
          <w:spacing w:val="-3"/>
        </w:rPr>
        <w:t xml:space="preserve"> </w:t>
      </w:r>
      <w:r>
        <w:rPr>
          <w:color w:val="222222"/>
        </w:rPr>
        <w:t>is</w:t>
      </w:r>
      <w:r>
        <w:rPr>
          <w:color w:val="222222"/>
          <w:spacing w:val="-3"/>
        </w:rPr>
        <w:t xml:space="preserve"> </w:t>
      </w:r>
      <w:r>
        <w:rPr>
          <w:color w:val="222222"/>
        </w:rPr>
        <w:t>insufficient</w:t>
      </w:r>
      <w:r>
        <w:rPr>
          <w:color w:val="222222"/>
          <w:spacing w:val="-3"/>
        </w:rPr>
        <w:t xml:space="preserve"> </w:t>
      </w:r>
      <w:r>
        <w:rPr>
          <w:color w:val="222222"/>
        </w:rPr>
        <w:t>and</w:t>
      </w:r>
      <w:r>
        <w:rPr>
          <w:color w:val="222222"/>
          <w:spacing w:val="-3"/>
        </w:rPr>
        <w:t xml:space="preserve"> </w:t>
      </w:r>
      <w:r>
        <w:rPr>
          <w:color w:val="222222"/>
        </w:rPr>
        <w:t>a more complete analysis would make this research more useful.</w:t>
      </w:r>
    </w:p>
    <w:p w14:paraId="04B41F54" w14:textId="77777777" w:rsidR="00E211CC" w:rsidRDefault="00E211CC" w:rsidP="00E211CC">
      <w:pPr>
        <w:pStyle w:val="BodyText"/>
        <w:spacing w:before="37"/>
        <w:ind w:left="0"/>
      </w:pPr>
    </w:p>
    <w:p w14:paraId="0D228940" w14:textId="77777777" w:rsidR="00E211CC" w:rsidRDefault="00E211CC" w:rsidP="00E211CC">
      <w:pPr>
        <w:pStyle w:val="BodyText"/>
      </w:pPr>
      <w:r>
        <w:rPr>
          <w:color w:val="222222"/>
          <w:spacing w:val="-2"/>
        </w:rPr>
        <w:t>Concerns:</w:t>
      </w:r>
    </w:p>
    <w:p w14:paraId="00F8046A" w14:textId="77777777" w:rsidR="00E211CC" w:rsidRDefault="00E211CC" w:rsidP="00E211CC">
      <w:pPr>
        <w:pStyle w:val="BodyText"/>
        <w:spacing w:before="75"/>
        <w:ind w:left="0"/>
      </w:pPr>
    </w:p>
    <w:p w14:paraId="45CE17C5" w14:textId="77777777" w:rsidR="00E211CC" w:rsidRDefault="00E211CC" w:rsidP="00E211CC">
      <w:pPr>
        <w:pStyle w:val="ListParagraph"/>
        <w:widowControl w:val="0"/>
        <w:numPr>
          <w:ilvl w:val="0"/>
          <w:numId w:val="1"/>
        </w:numPr>
        <w:tabs>
          <w:tab w:val="left" w:pos="1063"/>
        </w:tabs>
        <w:autoSpaceDE w:val="0"/>
        <w:autoSpaceDN w:val="0"/>
        <w:spacing w:after="0" w:line="276" w:lineRule="auto"/>
        <w:ind w:right="873" w:firstLine="0"/>
        <w:contextualSpacing w:val="0"/>
      </w:pPr>
      <w:r>
        <w:rPr>
          <w:color w:val="222222"/>
        </w:rPr>
        <w:t>The first major claim in the paper is that cell-type specific accessibility peaks are more enriched for heritability when compared to shared CREs ( Fig. 2C, D). This conclusion is based on stratified LD score regression (S-LDSC) which partitions heritability given a set of annotations. The authors perform S-LDSC by including the baseline LD annotation set. The baseline LD annotations contain several annotations that would overlap extensively with shared CRE features but not cell-type specific CREs - such as FANTOM 5 enhancers, promoters etc. Since the heritability estimates provided by S-LDSC are conditional estimates, it is unclear whether the decreased heritability in shared CREs is an artifact driven by the inclusion of other annotations marking these regions. Performing S-LDSC without conditioning on noncoding baseline</w:t>
      </w:r>
      <w:r>
        <w:rPr>
          <w:color w:val="222222"/>
          <w:spacing w:val="-4"/>
        </w:rPr>
        <w:t xml:space="preserve"> </w:t>
      </w:r>
      <w:r>
        <w:rPr>
          <w:color w:val="222222"/>
        </w:rPr>
        <w:t>annotations</w:t>
      </w:r>
      <w:r>
        <w:rPr>
          <w:color w:val="222222"/>
          <w:spacing w:val="-4"/>
        </w:rPr>
        <w:t xml:space="preserve"> </w:t>
      </w:r>
      <w:r>
        <w:rPr>
          <w:color w:val="222222"/>
        </w:rPr>
        <w:t>would</w:t>
      </w:r>
      <w:r>
        <w:rPr>
          <w:color w:val="222222"/>
          <w:spacing w:val="-4"/>
        </w:rPr>
        <w:t xml:space="preserve"> </w:t>
      </w:r>
      <w:r>
        <w:rPr>
          <w:color w:val="222222"/>
        </w:rPr>
        <w:t>provide</w:t>
      </w:r>
      <w:r>
        <w:rPr>
          <w:color w:val="222222"/>
          <w:spacing w:val="-4"/>
        </w:rPr>
        <w:t xml:space="preserve"> </w:t>
      </w:r>
      <w:r>
        <w:rPr>
          <w:color w:val="222222"/>
        </w:rPr>
        <w:t>an</w:t>
      </w:r>
      <w:r>
        <w:rPr>
          <w:color w:val="222222"/>
          <w:spacing w:val="-4"/>
        </w:rPr>
        <w:t xml:space="preserve"> </w:t>
      </w:r>
      <w:r>
        <w:rPr>
          <w:color w:val="222222"/>
        </w:rPr>
        <w:t>unbiased</w:t>
      </w:r>
      <w:r>
        <w:rPr>
          <w:color w:val="222222"/>
          <w:spacing w:val="-4"/>
        </w:rPr>
        <w:t xml:space="preserve"> </w:t>
      </w:r>
      <w:r>
        <w:rPr>
          <w:color w:val="222222"/>
        </w:rPr>
        <w:t>estimate</w:t>
      </w:r>
      <w:r>
        <w:rPr>
          <w:color w:val="222222"/>
          <w:spacing w:val="-4"/>
        </w:rPr>
        <w:t xml:space="preserve"> </w:t>
      </w:r>
      <w:r>
        <w:rPr>
          <w:color w:val="222222"/>
        </w:rPr>
        <w:t>of</w:t>
      </w:r>
      <w:r>
        <w:rPr>
          <w:color w:val="222222"/>
          <w:spacing w:val="-4"/>
        </w:rPr>
        <w:t xml:space="preserve"> </w:t>
      </w:r>
      <w:r>
        <w:rPr>
          <w:color w:val="222222"/>
        </w:rPr>
        <w:t>heritability</w:t>
      </w:r>
      <w:r>
        <w:rPr>
          <w:color w:val="222222"/>
          <w:spacing w:val="-4"/>
        </w:rPr>
        <w:t xml:space="preserve"> </w:t>
      </w:r>
      <w:r>
        <w:rPr>
          <w:color w:val="222222"/>
        </w:rPr>
        <w:t>enrichment</w:t>
      </w:r>
      <w:r>
        <w:rPr>
          <w:color w:val="222222"/>
          <w:spacing w:val="-4"/>
        </w:rPr>
        <w:t xml:space="preserve"> </w:t>
      </w:r>
      <w:r>
        <w:rPr>
          <w:color w:val="222222"/>
        </w:rPr>
        <w:t>in</w:t>
      </w:r>
      <w:r>
        <w:rPr>
          <w:color w:val="222222"/>
          <w:spacing w:val="-4"/>
        </w:rPr>
        <w:t xml:space="preserve"> </w:t>
      </w:r>
      <w:r>
        <w:rPr>
          <w:color w:val="222222"/>
        </w:rPr>
        <w:t>shared</w:t>
      </w:r>
      <w:r>
        <w:rPr>
          <w:color w:val="222222"/>
          <w:spacing w:val="-4"/>
        </w:rPr>
        <w:t xml:space="preserve"> </w:t>
      </w:r>
      <w:r>
        <w:rPr>
          <w:color w:val="222222"/>
        </w:rPr>
        <w:t>vs. cell-type specific CREs.</w:t>
      </w:r>
    </w:p>
    <w:p w14:paraId="0E72C26D" w14:textId="77777777" w:rsidR="00E211CC" w:rsidRDefault="00E211CC" w:rsidP="00E211CC">
      <w:pPr>
        <w:pStyle w:val="BodyText"/>
        <w:spacing w:before="41"/>
        <w:ind w:left="0"/>
      </w:pPr>
    </w:p>
    <w:p w14:paraId="63999714" w14:textId="77777777" w:rsidR="00E211CC" w:rsidRDefault="00E211CC" w:rsidP="00E211CC">
      <w:pPr>
        <w:pStyle w:val="BodyText"/>
        <w:spacing w:line="276" w:lineRule="auto"/>
        <w:ind w:right="861"/>
      </w:pPr>
      <w:r>
        <w:rPr>
          <w:color w:val="4A86E8"/>
        </w:rPr>
        <w:t>We appreciate this point and have performed a comparison of S-LDSC conditioned on the full set of baseline annotations (as originally reported in the paper) to S-LDSC after removing all baseline annotations corresponding to promoter and enhancer marks from the conditioning. When not conditioned on promoter/enhancer baseline annotations, the relative enrichment of heritability</w:t>
      </w:r>
      <w:r>
        <w:rPr>
          <w:color w:val="4A86E8"/>
          <w:spacing w:val="-3"/>
        </w:rPr>
        <w:t xml:space="preserve"> </w:t>
      </w:r>
      <w:r>
        <w:rPr>
          <w:color w:val="4A86E8"/>
        </w:rPr>
        <w:t>in</w:t>
      </w:r>
      <w:r>
        <w:rPr>
          <w:color w:val="4A86E8"/>
          <w:spacing w:val="-3"/>
        </w:rPr>
        <w:t xml:space="preserve"> </w:t>
      </w:r>
      <w:r>
        <w:rPr>
          <w:color w:val="4A86E8"/>
        </w:rPr>
        <w:t>accessibility</w:t>
      </w:r>
      <w:r>
        <w:rPr>
          <w:color w:val="4A86E8"/>
          <w:spacing w:val="-3"/>
        </w:rPr>
        <w:t xml:space="preserve"> </w:t>
      </w:r>
      <w:r>
        <w:rPr>
          <w:color w:val="4A86E8"/>
        </w:rPr>
        <w:t>peaks</w:t>
      </w:r>
      <w:r>
        <w:rPr>
          <w:color w:val="4A86E8"/>
          <w:spacing w:val="-3"/>
        </w:rPr>
        <w:t xml:space="preserve"> </w:t>
      </w:r>
      <w:r>
        <w:rPr>
          <w:color w:val="4A86E8"/>
        </w:rPr>
        <w:t>with</w:t>
      </w:r>
      <w:r>
        <w:rPr>
          <w:color w:val="4A86E8"/>
          <w:spacing w:val="-3"/>
        </w:rPr>
        <w:t xml:space="preserve"> </w:t>
      </w:r>
      <w:r>
        <w:rPr>
          <w:color w:val="4A86E8"/>
        </w:rPr>
        <w:t>high</w:t>
      </w:r>
      <w:r>
        <w:rPr>
          <w:color w:val="4A86E8"/>
          <w:spacing w:val="-3"/>
        </w:rPr>
        <w:t xml:space="preserve"> </w:t>
      </w:r>
      <w:r>
        <w:rPr>
          <w:color w:val="4A86E8"/>
        </w:rPr>
        <w:t>versus</w:t>
      </w:r>
      <w:r>
        <w:rPr>
          <w:color w:val="4A86E8"/>
          <w:spacing w:val="-3"/>
        </w:rPr>
        <w:t xml:space="preserve"> </w:t>
      </w:r>
      <w:r>
        <w:rPr>
          <w:color w:val="4A86E8"/>
        </w:rPr>
        <w:t>low</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specificity</w:t>
      </w:r>
      <w:r>
        <w:rPr>
          <w:color w:val="4A86E8"/>
          <w:spacing w:val="-3"/>
        </w:rPr>
        <w:t xml:space="preserve"> </w:t>
      </w:r>
      <w:r>
        <w:rPr>
          <w:color w:val="4A86E8"/>
        </w:rPr>
        <w:t>decreases</w:t>
      </w:r>
      <w:r>
        <w:rPr>
          <w:color w:val="4A86E8"/>
          <w:spacing w:val="-3"/>
        </w:rPr>
        <w:t xml:space="preserve"> </w:t>
      </w:r>
      <w:r>
        <w:rPr>
          <w:color w:val="4A86E8"/>
        </w:rPr>
        <w:t>slightly</w:t>
      </w:r>
      <w:r>
        <w:rPr>
          <w:color w:val="4A86E8"/>
          <w:spacing w:val="-3"/>
        </w:rPr>
        <w:t xml:space="preserve"> </w:t>
      </w:r>
      <w:r>
        <w:rPr>
          <w:color w:val="4A86E8"/>
        </w:rPr>
        <w:t>(see figures below), illustrating the reviewer’s point that conditioning on these baseline annotations biases the enrichment comparison between the two peak sets. However, even when not conditioning on promoter/enhancer baseline annotations, we observe that peaks with high cell type specificity are more enriched for trait heritability than peaks with low cell type specificity.</w:t>
      </w:r>
    </w:p>
    <w:p w14:paraId="1645BF0C" w14:textId="77777777" w:rsidR="00E211CC" w:rsidRDefault="00E211CC" w:rsidP="00E211CC">
      <w:pPr>
        <w:pStyle w:val="BodyText"/>
        <w:spacing w:line="276" w:lineRule="auto"/>
        <w:ind w:right="861"/>
      </w:pPr>
      <w:r>
        <w:rPr>
          <w:color w:val="4A86E8"/>
        </w:rPr>
        <w:t>We have updated the relevant figures in the manuscript to show enrichment results that are not conditioned</w:t>
      </w:r>
      <w:r>
        <w:rPr>
          <w:color w:val="4A86E8"/>
          <w:spacing w:val="-4"/>
        </w:rPr>
        <w:t xml:space="preserve"> </w:t>
      </w:r>
      <w:r>
        <w:rPr>
          <w:color w:val="4A86E8"/>
        </w:rPr>
        <w:t>on</w:t>
      </w:r>
      <w:r>
        <w:rPr>
          <w:color w:val="4A86E8"/>
          <w:spacing w:val="-4"/>
        </w:rPr>
        <w:t xml:space="preserve"> </w:t>
      </w:r>
      <w:r>
        <w:rPr>
          <w:color w:val="4A86E8"/>
        </w:rPr>
        <w:t>promoter/enhancer</w:t>
      </w:r>
      <w:r>
        <w:rPr>
          <w:color w:val="4A86E8"/>
          <w:spacing w:val="-4"/>
        </w:rPr>
        <w:t xml:space="preserve"> </w:t>
      </w:r>
      <w:r>
        <w:rPr>
          <w:color w:val="4A86E8"/>
        </w:rPr>
        <w:t>baseline</w:t>
      </w:r>
      <w:r>
        <w:rPr>
          <w:color w:val="4A86E8"/>
          <w:spacing w:val="-4"/>
        </w:rPr>
        <w:t xml:space="preserve"> </w:t>
      </w:r>
      <w:r>
        <w:rPr>
          <w:color w:val="4A86E8"/>
        </w:rPr>
        <w:t>annotations,</w:t>
      </w:r>
      <w:r>
        <w:rPr>
          <w:color w:val="4A86E8"/>
          <w:spacing w:val="-4"/>
        </w:rPr>
        <w:t xml:space="preserve"> </w:t>
      </w:r>
      <w:r>
        <w:rPr>
          <w:color w:val="4A86E8"/>
        </w:rPr>
        <w:t>to</w:t>
      </w:r>
      <w:r>
        <w:rPr>
          <w:color w:val="4A86E8"/>
          <w:spacing w:val="-4"/>
        </w:rPr>
        <w:t xml:space="preserve"> </w:t>
      </w:r>
      <w:r>
        <w:rPr>
          <w:color w:val="4A86E8"/>
        </w:rPr>
        <w:t>provide</w:t>
      </w:r>
      <w:r>
        <w:rPr>
          <w:color w:val="4A86E8"/>
          <w:spacing w:val="-4"/>
        </w:rPr>
        <w:t xml:space="preserve"> </w:t>
      </w:r>
      <w:r>
        <w:rPr>
          <w:color w:val="4A86E8"/>
        </w:rPr>
        <w:t>a</w:t>
      </w:r>
      <w:r>
        <w:rPr>
          <w:color w:val="4A86E8"/>
          <w:spacing w:val="-4"/>
        </w:rPr>
        <w:t xml:space="preserve"> </w:t>
      </w:r>
      <w:r>
        <w:rPr>
          <w:color w:val="4A86E8"/>
        </w:rPr>
        <w:t>more</w:t>
      </w:r>
      <w:r>
        <w:rPr>
          <w:color w:val="4A86E8"/>
          <w:spacing w:val="-4"/>
        </w:rPr>
        <w:t xml:space="preserve"> </w:t>
      </w:r>
      <w:r>
        <w:rPr>
          <w:color w:val="4A86E8"/>
        </w:rPr>
        <w:t>unbiased</w:t>
      </w:r>
      <w:r>
        <w:rPr>
          <w:color w:val="4A86E8"/>
          <w:spacing w:val="-4"/>
        </w:rPr>
        <w:t xml:space="preserve"> </w:t>
      </w:r>
      <w:r>
        <w:rPr>
          <w:color w:val="4A86E8"/>
        </w:rPr>
        <w:t>estimate</w:t>
      </w:r>
      <w:r>
        <w:rPr>
          <w:color w:val="4A86E8"/>
          <w:spacing w:val="-4"/>
        </w:rPr>
        <w:t xml:space="preserve"> </w:t>
      </w:r>
      <w:r>
        <w:rPr>
          <w:color w:val="4A86E8"/>
        </w:rPr>
        <w:t>of the relative heritability enrichment in shared vs. cell type specific peaks.</w:t>
      </w:r>
    </w:p>
    <w:p w14:paraId="0CBEEE9A"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13D4491D" w14:textId="77777777" w:rsidR="00E211CC" w:rsidRDefault="00E211CC" w:rsidP="00E211CC">
      <w:pPr>
        <w:pStyle w:val="BodyText"/>
        <w:spacing w:before="80"/>
      </w:pPr>
      <w:r>
        <w:rPr>
          <w:color w:val="4A86E8"/>
        </w:rPr>
        <w:lastRenderedPageBreak/>
        <w:t>S-LDSC</w:t>
      </w:r>
      <w:r>
        <w:rPr>
          <w:color w:val="4A86E8"/>
          <w:spacing w:val="-6"/>
        </w:rPr>
        <w:t xml:space="preserve"> </w:t>
      </w:r>
      <w:r>
        <w:rPr>
          <w:color w:val="4A86E8"/>
        </w:rPr>
        <w:t>conditioned</w:t>
      </w:r>
      <w:r>
        <w:rPr>
          <w:color w:val="4A86E8"/>
          <w:spacing w:val="-6"/>
        </w:rPr>
        <w:t xml:space="preserve"> </w:t>
      </w:r>
      <w:r>
        <w:rPr>
          <w:color w:val="4A86E8"/>
        </w:rPr>
        <w:t>on</w:t>
      </w:r>
      <w:r>
        <w:rPr>
          <w:color w:val="4A86E8"/>
          <w:spacing w:val="-6"/>
        </w:rPr>
        <w:t xml:space="preserve"> </w:t>
      </w:r>
      <w:r>
        <w:rPr>
          <w:color w:val="4A86E8"/>
        </w:rPr>
        <w:t>all</w:t>
      </w:r>
      <w:r>
        <w:rPr>
          <w:color w:val="4A86E8"/>
          <w:spacing w:val="-6"/>
        </w:rPr>
        <w:t xml:space="preserve"> </w:t>
      </w:r>
      <w:r>
        <w:rPr>
          <w:color w:val="4A86E8"/>
        </w:rPr>
        <w:t>baseline</w:t>
      </w:r>
      <w:r>
        <w:rPr>
          <w:color w:val="4A86E8"/>
          <w:spacing w:val="-6"/>
        </w:rPr>
        <w:t xml:space="preserve"> </w:t>
      </w:r>
      <w:r>
        <w:rPr>
          <w:color w:val="4A86E8"/>
          <w:spacing w:val="-2"/>
        </w:rPr>
        <w:t>annotations:</w:t>
      </w:r>
    </w:p>
    <w:p w14:paraId="520595BB" w14:textId="77777777" w:rsidR="00E211CC" w:rsidRDefault="00E211CC" w:rsidP="00E211CC">
      <w:pPr>
        <w:pStyle w:val="BodyText"/>
        <w:spacing w:before="9"/>
        <w:ind w:left="0"/>
        <w:rPr>
          <w:sz w:val="4"/>
        </w:rPr>
      </w:pPr>
      <w:r>
        <w:rPr>
          <w:noProof/>
        </w:rPr>
        <w:drawing>
          <wp:anchor distT="0" distB="0" distL="0" distR="0" simplePos="0" relativeHeight="251660288" behindDoc="1" locked="0" layoutInCell="1" allowOverlap="1" wp14:anchorId="2EAD54AF" wp14:editId="26E17AF0">
            <wp:simplePos x="0" y="0"/>
            <wp:positionH relativeFrom="page">
              <wp:posOffset>969540</wp:posOffset>
            </wp:positionH>
            <wp:positionV relativeFrom="paragraph">
              <wp:posOffset>50230</wp:posOffset>
            </wp:positionV>
            <wp:extent cx="5746351" cy="1254442"/>
            <wp:effectExtent l="0" t="0" r="0" b="0"/>
            <wp:wrapTopAndBottom/>
            <wp:docPr id="7" name="Image 7" descr="A graph of a number of column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graph of a number of columns&#10;&#10;Description automatically generated with medium confidence"/>
                    <pic:cNvPicPr/>
                  </pic:nvPicPr>
                  <pic:blipFill>
                    <a:blip r:embed="rId10" cstate="print"/>
                    <a:stretch>
                      <a:fillRect/>
                    </a:stretch>
                  </pic:blipFill>
                  <pic:spPr>
                    <a:xfrm>
                      <a:off x="0" y="0"/>
                      <a:ext cx="5746351" cy="1254442"/>
                    </a:xfrm>
                    <a:prstGeom prst="rect">
                      <a:avLst/>
                    </a:prstGeom>
                  </pic:spPr>
                </pic:pic>
              </a:graphicData>
            </a:graphic>
          </wp:anchor>
        </w:drawing>
      </w:r>
    </w:p>
    <w:p w14:paraId="3B4E099D" w14:textId="77777777" w:rsidR="00E211CC" w:rsidRDefault="00E211CC" w:rsidP="00E211CC">
      <w:pPr>
        <w:pStyle w:val="BodyText"/>
        <w:spacing w:before="159"/>
      </w:pPr>
      <w:r>
        <w:rPr>
          <w:color w:val="4A86E8"/>
        </w:rPr>
        <w:t>S-LDSC</w:t>
      </w:r>
      <w:r>
        <w:rPr>
          <w:color w:val="4A86E8"/>
          <w:spacing w:val="-8"/>
        </w:rPr>
        <w:t xml:space="preserve"> </w:t>
      </w:r>
      <w:r>
        <w:rPr>
          <w:color w:val="4A86E8"/>
        </w:rPr>
        <w:t>not</w:t>
      </w:r>
      <w:r>
        <w:rPr>
          <w:color w:val="4A86E8"/>
          <w:spacing w:val="-8"/>
        </w:rPr>
        <w:t xml:space="preserve"> </w:t>
      </w:r>
      <w:r>
        <w:rPr>
          <w:color w:val="4A86E8"/>
        </w:rPr>
        <w:t>conditioned</w:t>
      </w:r>
      <w:r>
        <w:rPr>
          <w:color w:val="4A86E8"/>
          <w:spacing w:val="-8"/>
        </w:rPr>
        <w:t xml:space="preserve"> </w:t>
      </w:r>
      <w:r>
        <w:rPr>
          <w:color w:val="4A86E8"/>
        </w:rPr>
        <w:t>on</w:t>
      </w:r>
      <w:r>
        <w:rPr>
          <w:color w:val="4A86E8"/>
          <w:spacing w:val="-8"/>
        </w:rPr>
        <w:t xml:space="preserve"> </w:t>
      </w:r>
      <w:r>
        <w:rPr>
          <w:color w:val="4A86E8"/>
        </w:rPr>
        <w:t>promoter/enhancer</w:t>
      </w:r>
      <w:r>
        <w:rPr>
          <w:color w:val="4A86E8"/>
          <w:spacing w:val="-8"/>
        </w:rPr>
        <w:t xml:space="preserve"> </w:t>
      </w:r>
      <w:r>
        <w:rPr>
          <w:color w:val="4A86E8"/>
        </w:rPr>
        <w:t>baseline</w:t>
      </w:r>
      <w:r>
        <w:rPr>
          <w:color w:val="4A86E8"/>
          <w:spacing w:val="-7"/>
        </w:rPr>
        <w:t xml:space="preserve"> </w:t>
      </w:r>
      <w:r>
        <w:rPr>
          <w:color w:val="4A86E8"/>
          <w:spacing w:val="-2"/>
        </w:rPr>
        <w:t>annotations:</w:t>
      </w:r>
    </w:p>
    <w:p w14:paraId="3BD3AE57" w14:textId="77777777" w:rsidR="00E211CC" w:rsidRDefault="00E211CC" w:rsidP="00E211CC">
      <w:pPr>
        <w:pStyle w:val="BodyText"/>
        <w:spacing w:before="11"/>
        <w:ind w:left="0"/>
        <w:rPr>
          <w:sz w:val="4"/>
        </w:rPr>
      </w:pPr>
      <w:r>
        <w:rPr>
          <w:noProof/>
        </w:rPr>
        <w:drawing>
          <wp:anchor distT="0" distB="0" distL="0" distR="0" simplePos="0" relativeHeight="251661312" behindDoc="1" locked="0" layoutInCell="1" allowOverlap="1" wp14:anchorId="0E21B059" wp14:editId="333602F5">
            <wp:simplePos x="0" y="0"/>
            <wp:positionH relativeFrom="page">
              <wp:posOffset>969540</wp:posOffset>
            </wp:positionH>
            <wp:positionV relativeFrom="paragraph">
              <wp:posOffset>51687</wp:posOffset>
            </wp:positionV>
            <wp:extent cx="5746351" cy="1254442"/>
            <wp:effectExtent l="0" t="0" r="0" b="0"/>
            <wp:wrapTopAndBottom/>
            <wp:docPr id="8" name="Image 8" descr="A graph of a number of column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graph of a number of columns&#10;&#10;Description automatically generated with medium confidence"/>
                    <pic:cNvPicPr/>
                  </pic:nvPicPr>
                  <pic:blipFill>
                    <a:blip r:embed="rId11" cstate="print"/>
                    <a:stretch>
                      <a:fillRect/>
                    </a:stretch>
                  </pic:blipFill>
                  <pic:spPr>
                    <a:xfrm>
                      <a:off x="0" y="0"/>
                      <a:ext cx="5746351" cy="1254442"/>
                    </a:xfrm>
                    <a:prstGeom prst="rect">
                      <a:avLst/>
                    </a:prstGeom>
                  </pic:spPr>
                </pic:pic>
              </a:graphicData>
            </a:graphic>
          </wp:anchor>
        </w:drawing>
      </w:r>
    </w:p>
    <w:p w14:paraId="42D4256F" w14:textId="77777777" w:rsidR="00E211CC" w:rsidRDefault="00E211CC" w:rsidP="00E211CC">
      <w:pPr>
        <w:pStyle w:val="BodyText"/>
        <w:spacing w:before="197"/>
        <w:ind w:left="0"/>
      </w:pPr>
    </w:p>
    <w:p w14:paraId="5FACE764" w14:textId="77777777" w:rsidR="00E211CC" w:rsidRDefault="00E211CC" w:rsidP="00E211CC">
      <w:pPr>
        <w:pStyle w:val="ListParagraph"/>
        <w:widowControl w:val="0"/>
        <w:numPr>
          <w:ilvl w:val="0"/>
          <w:numId w:val="1"/>
        </w:numPr>
        <w:tabs>
          <w:tab w:val="left" w:pos="1063"/>
        </w:tabs>
        <w:autoSpaceDE w:val="0"/>
        <w:autoSpaceDN w:val="0"/>
        <w:spacing w:before="1" w:after="0" w:line="276" w:lineRule="auto"/>
        <w:ind w:right="1423" w:firstLine="0"/>
        <w:contextualSpacing w:val="0"/>
      </w:pPr>
      <w:r>
        <w:rPr>
          <w:color w:val="222222"/>
        </w:rPr>
        <w:t>In Fig. 2D, loci are divided into "high" vs. "low" magnitude Enformer variant scores and heritability enrichment is computed for each category. How is a threshold chosen to divide predictions into categories? Computing statistical significance &amp; computing heritability enrichment</w:t>
      </w:r>
      <w:r>
        <w:rPr>
          <w:color w:val="222222"/>
          <w:spacing w:val="-4"/>
        </w:rPr>
        <w:t xml:space="preserve"> </w:t>
      </w:r>
      <w:r>
        <w:rPr>
          <w:color w:val="222222"/>
        </w:rPr>
        <w:t>for</w:t>
      </w:r>
      <w:r>
        <w:rPr>
          <w:color w:val="222222"/>
          <w:spacing w:val="-4"/>
        </w:rPr>
        <w:t xml:space="preserve"> </w:t>
      </w:r>
      <w:r>
        <w:rPr>
          <w:color w:val="222222"/>
        </w:rPr>
        <w:t>significant</w:t>
      </w:r>
      <w:r>
        <w:rPr>
          <w:color w:val="222222"/>
          <w:spacing w:val="-4"/>
        </w:rPr>
        <w:t xml:space="preserve"> </w:t>
      </w:r>
      <w:r>
        <w:rPr>
          <w:color w:val="222222"/>
        </w:rPr>
        <w:t>vs.</w:t>
      </w:r>
      <w:r>
        <w:rPr>
          <w:color w:val="222222"/>
          <w:spacing w:val="-4"/>
        </w:rPr>
        <w:t xml:space="preserve"> </w:t>
      </w:r>
      <w:r>
        <w:rPr>
          <w:color w:val="222222"/>
        </w:rPr>
        <w:t>non-significant</w:t>
      </w:r>
      <w:r>
        <w:rPr>
          <w:color w:val="222222"/>
          <w:spacing w:val="-4"/>
        </w:rPr>
        <w:t xml:space="preserve"> </w:t>
      </w:r>
      <w:r>
        <w:rPr>
          <w:color w:val="222222"/>
        </w:rPr>
        <w:t>variant</w:t>
      </w:r>
      <w:r>
        <w:rPr>
          <w:color w:val="222222"/>
          <w:spacing w:val="-4"/>
        </w:rPr>
        <w:t xml:space="preserve"> </w:t>
      </w:r>
      <w:r>
        <w:rPr>
          <w:color w:val="222222"/>
        </w:rPr>
        <w:t>effects</w:t>
      </w:r>
      <w:r>
        <w:rPr>
          <w:color w:val="222222"/>
          <w:spacing w:val="-4"/>
        </w:rPr>
        <w:t xml:space="preserve"> </w:t>
      </w:r>
      <w:r>
        <w:rPr>
          <w:color w:val="222222"/>
        </w:rPr>
        <w:t>would</w:t>
      </w:r>
      <w:r>
        <w:rPr>
          <w:color w:val="222222"/>
          <w:spacing w:val="-4"/>
        </w:rPr>
        <w:t xml:space="preserve"> </w:t>
      </w:r>
      <w:r>
        <w:rPr>
          <w:color w:val="222222"/>
        </w:rPr>
        <w:t>be</w:t>
      </w:r>
      <w:r>
        <w:rPr>
          <w:color w:val="222222"/>
          <w:spacing w:val="-4"/>
        </w:rPr>
        <w:t xml:space="preserve"> </w:t>
      </w:r>
      <w:r>
        <w:rPr>
          <w:color w:val="222222"/>
        </w:rPr>
        <w:t>more</w:t>
      </w:r>
      <w:r>
        <w:rPr>
          <w:color w:val="222222"/>
          <w:spacing w:val="-4"/>
        </w:rPr>
        <w:t xml:space="preserve"> </w:t>
      </w:r>
      <w:r>
        <w:rPr>
          <w:color w:val="222222"/>
        </w:rPr>
        <w:t>convincing</w:t>
      </w:r>
      <w:r>
        <w:rPr>
          <w:color w:val="222222"/>
          <w:spacing w:val="-4"/>
        </w:rPr>
        <w:t xml:space="preserve"> </w:t>
      </w:r>
      <w:r>
        <w:rPr>
          <w:color w:val="222222"/>
        </w:rPr>
        <w:t>than using a single threshold to categorize variant effects.</w:t>
      </w:r>
    </w:p>
    <w:p w14:paraId="0735DFE4" w14:textId="77777777" w:rsidR="00E211CC" w:rsidRDefault="00E211CC" w:rsidP="00E211CC">
      <w:pPr>
        <w:pStyle w:val="BodyText"/>
        <w:spacing w:before="39"/>
        <w:ind w:left="0"/>
      </w:pPr>
    </w:p>
    <w:p w14:paraId="38DAEB45" w14:textId="77777777" w:rsidR="00E211CC" w:rsidRDefault="00E211CC" w:rsidP="00E211CC">
      <w:pPr>
        <w:pStyle w:val="BodyText"/>
        <w:spacing w:line="276" w:lineRule="auto"/>
        <w:ind w:right="882"/>
      </w:pPr>
      <w:r>
        <w:rPr>
          <w:color w:val="4A86E8"/>
        </w:rPr>
        <w:t>In the main figure, we use the median Enformer variant score as the threshold to divide variants into “high” vs. “low” scores, as more stringent thresholds reduce the number of variants and the size of the annotation set for S-LDSC, increasing the standard error of the enrichment estimates.</w:t>
      </w:r>
      <w:r>
        <w:rPr>
          <w:color w:val="4A86E8"/>
          <w:spacing w:val="-3"/>
        </w:rPr>
        <w:t xml:space="preserve"> </w:t>
      </w:r>
      <w:r>
        <w:rPr>
          <w:color w:val="4A86E8"/>
        </w:rPr>
        <w:t>To</w:t>
      </w:r>
      <w:r>
        <w:rPr>
          <w:color w:val="4A86E8"/>
          <w:spacing w:val="-3"/>
        </w:rPr>
        <w:t xml:space="preserve"> </w:t>
      </w:r>
      <w:r>
        <w:rPr>
          <w:color w:val="4A86E8"/>
        </w:rPr>
        <w:t>address</w:t>
      </w:r>
      <w:r>
        <w:rPr>
          <w:color w:val="4A86E8"/>
          <w:spacing w:val="-3"/>
        </w:rPr>
        <w:t xml:space="preserve"> </w:t>
      </w:r>
      <w:r>
        <w:rPr>
          <w:color w:val="4A86E8"/>
        </w:rPr>
        <w:t>the</w:t>
      </w:r>
      <w:r>
        <w:rPr>
          <w:color w:val="4A86E8"/>
          <w:spacing w:val="-3"/>
        </w:rPr>
        <w:t xml:space="preserve"> </w:t>
      </w:r>
      <w:r>
        <w:rPr>
          <w:color w:val="4A86E8"/>
        </w:rPr>
        <w:t>reviewer’s</w:t>
      </w:r>
      <w:r>
        <w:rPr>
          <w:color w:val="4A86E8"/>
          <w:spacing w:val="-3"/>
        </w:rPr>
        <w:t xml:space="preserve"> </w:t>
      </w:r>
      <w:r>
        <w:rPr>
          <w:color w:val="4A86E8"/>
        </w:rPr>
        <w:t>concerns,</w:t>
      </w:r>
      <w:r>
        <w:rPr>
          <w:color w:val="4A86E8"/>
          <w:spacing w:val="-3"/>
        </w:rPr>
        <w:t xml:space="preserve"> </w:t>
      </w:r>
      <w:r>
        <w:rPr>
          <w:color w:val="4A86E8"/>
        </w:rPr>
        <w:t>we</w:t>
      </w:r>
      <w:r>
        <w:rPr>
          <w:color w:val="4A86E8"/>
          <w:spacing w:val="-3"/>
        </w:rPr>
        <w:t xml:space="preserve"> </w:t>
      </w:r>
      <w:r>
        <w:rPr>
          <w:color w:val="4A86E8"/>
        </w:rPr>
        <w:t>vary</w:t>
      </w:r>
      <w:r>
        <w:rPr>
          <w:color w:val="4A86E8"/>
          <w:spacing w:val="-3"/>
        </w:rPr>
        <w:t xml:space="preserve"> </w:t>
      </w:r>
      <w:r>
        <w:rPr>
          <w:color w:val="4A86E8"/>
        </w:rPr>
        <w:t>our</w:t>
      </w:r>
      <w:r>
        <w:rPr>
          <w:color w:val="4A86E8"/>
          <w:spacing w:val="-3"/>
        </w:rPr>
        <w:t xml:space="preserve"> </w:t>
      </w:r>
      <w:r>
        <w:rPr>
          <w:color w:val="4A86E8"/>
        </w:rPr>
        <w:t>choice</w:t>
      </w:r>
      <w:r>
        <w:rPr>
          <w:color w:val="4A86E8"/>
          <w:spacing w:val="-3"/>
        </w:rPr>
        <w:t xml:space="preserve"> </w:t>
      </w:r>
      <w:r>
        <w:rPr>
          <w:color w:val="4A86E8"/>
        </w:rPr>
        <w:t>of</w:t>
      </w:r>
      <w:r>
        <w:rPr>
          <w:color w:val="4A86E8"/>
          <w:spacing w:val="-3"/>
        </w:rPr>
        <w:t xml:space="preserve"> </w:t>
      </w:r>
      <w:r>
        <w:rPr>
          <w:color w:val="4A86E8"/>
        </w:rPr>
        <w:t>threshold</w:t>
      </w:r>
      <w:r>
        <w:rPr>
          <w:color w:val="4A86E8"/>
          <w:spacing w:val="-3"/>
        </w:rPr>
        <w:t xml:space="preserve"> </w:t>
      </w:r>
      <w:r>
        <w:rPr>
          <w:color w:val="4A86E8"/>
        </w:rPr>
        <w:t>and</w:t>
      </w:r>
      <w:r>
        <w:rPr>
          <w:color w:val="4A86E8"/>
          <w:spacing w:val="-3"/>
        </w:rPr>
        <w:t xml:space="preserve"> </w:t>
      </w:r>
      <w:r>
        <w:rPr>
          <w:color w:val="4A86E8"/>
        </w:rPr>
        <w:t>find</w:t>
      </w:r>
      <w:r>
        <w:rPr>
          <w:color w:val="4A86E8"/>
          <w:spacing w:val="-3"/>
        </w:rPr>
        <w:t xml:space="preserve"> </w:t>
      </w:r>
      <w:r>
        <w:rPr>
          <w:color w:val="4A86E8"/>
        </w:rPr>
        <w:t>that</w:t>
      </w:r>
      <w:r>
        <w:rPr>
          <w:color w:val="4A86E8"/>
          <w:spacing w:val="-3"/>
        </w:rPr>
        <w:t xml:space="preserve"> </w:t>
      </w:r>
      <w:r>
        <w:rPr>
          <w:color w:val="4A86E8"/>
        </w:rPr>
        <w:t>the increase in heritability enrichment observed for “high” Enformer SAD score variants is largely consistent when using more stringent thresholds. (Note that we do not compute the statistical significance of a given score threshold because Enformer’s variant scores don’t contain any uncertainty or confidence estimates.) In Fig. S6 of the revised manuscript, we show a replicate of our enrichment analysis using the top 10% of Enformer SAD scores (compared to the top 50% used in Fig. 2D). Note that with this choice of threshold, the standard error of the S-LDSC enrichment estimates becomes quite large, so we still use the 50% threshold in the main figure. Also note that in response to a comment from Reviewer #2, we have replaced the bar showing enrichment of ‘Low Enformer SAD score’ variants with the bar from Fig. 2A (previously Fig. 2C) showing the enrichment of all variants, as we believe this is a more useful comparison which directly shows that the subset of variants with high Enformer SAD scores in cell type specific peaks are more enriched for trait heritability than all variants in cell type specific peaks.</w:t>
      </w:r>
    </w:p>
    <w:p w14:paraId="41808DCF" w14:textId="77777777" w:rsidR="00E211CC" w:rsidRDefault="00E211CC" w:rsidP="00E211CC">
      <w:pPr>
        <w:pStyle w:val="BodyText"/>
        <w:spacing w:before="36"/>
        <w:ind w:left="0"/>
      </w:pPr>
    </w:p>
    <w:p w14:paraId="7BCD0C92" w14:textId="77777777" w:rsidR="00E211CC" w:rsidRDefault="00E211CC" w:rsidP="00E211CC">
      <w:pPr>
        <w:pStyle w:val="ListParagraph"/>
        <w:widowControl w:val="0"/>
        <w:numPr>
          <w:ilvl w:val="0"/>
          <w:numId w:val="1"/>
        </w:numPr>
        <w:tabs>
          <w:tab w:val="left" w:pos="1063"/>
        </w:tabs>
        <w:autoSpaceDE w:val="0"/>
        <w:autoSpaceDN w:val="0"/>
        <w:spacing w:after="0" w:line="278" w:lineRule="auto"/>
        <w:ind w:right="1411" w:firstLine="0"/>
        <w:contextualSpacing w:val="0"/>
      </w:pPr>
      <w:r>
        <w:rPr>
          <w:color w:val="222222"/>
        </w:rPr>
        <w:t>In Fig. 3A, the author's measure the proportion of heritability within cell-type specific vs. shared</w:t>
      </w:r>
      <w:r>
        <w:rPr>
          <w:color w:val="222222"/>
          <w:spacing w:val="-3"/>
        </w:rPr>
        <w:t xml:space="preserve"> </w:t>
      </w:r>
      <w:r>
        <w:rPr>
          <w:color w:val="222222"/>
        </w:rPr>
        <w:t>CREs</w:t>
      </w:r>
      <w:r>
        <w:rPr>
          <w:color w:val="222222"/>
          <w:spacing w:val="-3"/>
        </w:rPr>
        <w:t xml:space="preserve"> </w:t>
      </w:r>
      <w:r>
        <w:rPr>
          <w:color w:val="222222"/>
        </w:rPr>
        <w:t>for</w:t>
      </w:r>
      <w:r>
        <w:rPr>
          <w:color w:val="222222"/>
          <w:spacing w:val="-3"/>
        </w:rPr>
        <w:t xml:space="preserve"> </w:t>
      </w:r>
      <w:r>
        <w:rPr>
          <w:color w:val="222222"/>
        </w:rPr>
        <w:t>the</w:t>
      </w:r>
      <w:r>
        <w:rPr>
          <w:color w:val="222222"/>
          <w:spacing w:val="-3"/>
        </w:rPr>
        <w:t xml:space="preserve"> </w:t>
      </w:r>
      <w:r>
        <w:rPr>
          <w:color w:val="222222"/>
        </w:rPr>
        <w:t>two</w:t>
      </w:r>
      <w:r>
        <w:rPr>
          <w:color w:val="222222"/>
          <w:spacing w:val="-3"/>
        </w:rPr>
        <w:t xml:space="preserve"> </w:t>
      </w:r>
      <w:r>
        <w:rPr>
          <w:color w:val="222222"/>
        </w:rPr>
        <w:t>ATAC-seq</w:t>
      </w:r>
      <w:r>
        <w:rPr>
          <w:color w:val="222222"/>
          <w:spacing w:val="-3"/>
        </w:rPr>
        <w:t xml:space="preserve"> </w:t>
      </w:r>
      <w:r>
        <w:rPr>
          <w:color w:val="222222"/>
        </w:rPr>
        <w:t>datasets.</w:t>
      </w:r>
      <w:r>
        <w:rPr>
          <w:color w:val="222222"/>
          <w:spacing w:val="-3"/>
        </w:rPr>
        <w:t xml:space="preserve"> </w:t>
      </w:r>
      <w:r>
        <w:rPr>
          <w:color w:val="222222"/>
        </w:rPr>
        <w:t>However,</w:t>
      </w:r>
      <w:r>
        <w:rPr>
          <w:color w:val="222222"/>
          <w:spacing w:val="-3"/>
        </w:rPr>
        <w:t xml:space="preserve"> </w:t>
      </w:r>
      <w:r>
        <w:rPr>
          <w:color w:val="222222"/>
        </w:rPr>
        <w:t>the</w:t>
      </w:r>
      <w:r>
        <w:rPr>
          <w:color w:val="222222"/>
          <w:spacing w:val="-3"/>
        </w:rPr>
        <w:t xml:space="preserve"> </w:t>
      </w:r>
      <w:r>
        <w:rPr>
          <w:color w:val="222222"/>
        </w:rPr>
        <w:t>proportion</w:t>
      </w:r>
      <w:r>
        <w:rPr>
          <w:color w:val="222222"/>
          <w:spacing w:val="-3"/>
        </w:rPr>
        <w:t xml:space="preserve"> </w:t>
      </w:r>
      <w:r>
        <w:rPr>
          <w:color w:val="222222"/>
        </w:rPr>
        <w:t>of</w:t>
      </w:r>
      <w:r>
        <w:rPr>
          <w:color w:val="222222"/>
          <w:spacing w:val="-3"/>
        </w:rPr>
        <w:t xml:space="preserve"> </w:t>
      </w:r>
      <w:r>
        <w:rPr>
          <w:color w:val="222222"/>
        </w:rPr>
        <w:t>heritability</w:t>
      </w:r>
      <w:r>
        <w:rPr>
          <w:color w:val="222222"/>
          <w:spacing w:val="-3"/>
        </w:rPr>
        <w:t xml:space="preserve"> </w:t>
      </w:r>
      <w:r>
        <w:rPr>
          <w:color w:val="222222"/>
        </w:rPr>
        <w:t>will</w:t>
      </w:r>
      <w:r>
        <w:rPr>
          <w:color w:val="222222"/>
          <w:spacing w:val="-3"/>
        </w:rPr>
        <w:t xml:space="preserve"> </w:t>
      </w:r>
      <w:r>
        <w:rPr>
          <w:color w:val="222222"/>
        </w:rPr>
        <w:t>be higher for a category if it contains a greater proportion of SNPs. It would be nice to see</w:t>
      </w:r>
    </w:p>
    <w:p w14:paraId="04683D18" w14:textId="77777777" w:rsidR="00E211CC" w:rsidRDefault="00E211CC" w:rsidP="00E211CC">
      <w:pPr>
        <w:spacing w:line="278" w:lineRule="auto"/>
        <w:sectPr w:rsidR="00E211CC" w:rsidSect="00E211CC">
          <w:pgSz w:w="12240" w:h="15840"/>
          <w:pgMar w:top="1360" w:right="580" w:bottom="280" w:left="620" w:header="720" w:footer="720" w:gutter="0"/>
          <w:cols w:space="720"/>
        </w:sectPr>
      </w:pPr>
    </w:p>
    <w:p w14:paraId="2DFC8588" w14:textId="77777777" w:rsidR="00E211CC" w:rsidRDefault="00E211CC" w:rsidP="00E211CC">
      <w:pPr>
        <w:pStyle w:val="BodyText"/>
        <w:spacing w:before="80" w:line="278" w:lineRule="auto"/>
        <w:ind w:right="861"/>
      </w:pPr>
      <w:r>
        <w:rPr>
          <w:color w:val="222222"/>
        </w:rPr>
        <w:lastRenderedPageBreak/>
        <w:t>heritability</w:t>
      </w:r>
      <w:r>
        <w:rPr>
          <w:color w:val="222222"/>
          <w:spacing w:val="-4"/>
        </w:rPr>
        <w:t xml:space="preserve"> </w:t>
      </w:r>
      <w:r>
        <w:rPr>
          <w:color w:val="222222"/>
        </w:rPr>
        <w:t>enrichment</w:t>
      </w:r>
      <w:r>
        <w:rPr>
          <w:color w:val="222222"/>
          <w:spacing w:val="-4"/>
        </w:rPr>
        <w:t xml:space="preserve"> </w:t>
      </w:r>
      <w:r>
        <w:rPr>
          <w:color w:val="222222"/>
        </w:rPr>
        <w:t>reported</w:t>
      </w:r>
      <w:r>
        <w:rPr>
          <w:color w:val="222222"/>
          <w:spacing w:val="-4"/>
        </w:rPr>
        <w:t xml:space="preserve"> </w:t>
      </w:r>
      <w:r>
        <w:rPr>
          <w:color w:val="222222"/>
        </w:rPr>
        <w:t>here</w:t>
      </w:r>
      <w:r>
        <w:rPr>
          <w:color w:val="222222"/>
          <w:spacing w:val="-4"/>
        </w:rPr>
        <w:t xml:space="preserve"> </w:t>
      </w:r>
      <w:r>
        <w:rPr>
          <w:color w:val="222222"/>
        </w:rPr>
        <w:t>(controlling</w:t>
      </w:r>
      <w:r>
        <w:rPr>
          <w:color w:val="222222"/>
          <w:spacing w:val="-4"/>
        </w:rPr>
        <w:t xml:space="preserve"> </w:t>
      </w:r>
      <w:r>
        <w:rPr>
          <w:color w:val="222222"/>
        </w:rPr>
        <w:t>for</w:t>
      </w:r>
      <w:r>
        <w:rPr>
          <w:color w:val="222222"/>
          <w:spacing w:val="-4"/>
        </w:rPr>
        <w:t xml:space="preserve"> </w:t>
      </w:r>
      <w:r>
        <w:rPr>
          <w:color w:val="222222"/>
        </w:rPr>
        <w:t>number</w:t>
      </w:r>
      <w:r>
        <w:rPr>
          <w:color w:val="222222"/>
          <w:spacing w:val="-4"/>
        </w:rPr>
        <w:t xml:space="preserve"> </w:t>
      </w:r>
      <w:r>
        <w:rPr>
          <w:color w:val="222222"/>
        </w:rPr>
        <w:t>of</w:t>
      </w:r>
      <w:r>
        <w:rPr>
          <w:color w:val="222222"/>
          <w:spacing w:val="-4"/>
        </w:rPr>
        <w:t xml:space="preserve"> </w:t>
      </w:r>
      <w:r>
        <w:rPr>
          <w:color w:val="222222"/>
        </w:rPr>
        <w:t>SNPs</w:t>
      </w:r>
      <w:r>
        <w:rPr>
          <w:color w:val="222222"/>
          <w:spacing w:val="-4"/>
        </w:rPr>
        <w:t xml:space="preserve"> </w:t>
      </w:r>
      <w:r>
        <w:rPr>
          <w:color w:val="222222"/>
        </w:rPr>
        <w:t>in</w:t>
      </w:r>
      <w:r>
        <w:rPr>
          <w:color w:val="222222"/>
          <w:spacing w:val="-4"/>
        </w:rPr>
        <w:t xml:space="preserve"> </w:t>
      </w:r>
      <w:r>
        <w:rPr>
          <w:color w:val="222222"/>
        </w:rPr>
        <w:t>annotation).</w:t>
      </w:r>
      <w:r>
        <w:rPr>
          <w:color w:val="222222"/>
          <w:spacing w:val="-4"/>
        </w:rPr>
        <w:t xml:space="preserve"> </w:t>
      </w:r>
      <w:r>
        <w:rPr>
          <w:color w:val="222222"/>
        </w:rPr>
        <w:t>This</w:t>
      </w:r>
      <w:r>
        <w:rPr>
          <w:color w:val="222222"/>
          <w:spacing w:val="-4"/>
        </w:rPr>
        <w:t xml:space="preserve"> </w:t>
      </w:r>
      <w:r>
        <w:rPr>
          <w:color w:val="222222"/>
        </w:rPr>
        <w:t>would also be consistent with Fig. 2C, which already reports heritability enrichment.</w:t>
      </w:r>
    </w:p>
    <w:p w14:paraId="4B9B74A4" w14:textId="77777777" w:rsidR="00E211CC" w:rsidRDefault="00E211CC" w:rsidP="00E211CC">
      <w:pPr>
        <w:pStyle w:val="BodyText"/>
        <w:spacing w:before="33"/>
        <w:ind w:left="0"/>
      </w:pPr>
    </w:p>
    <w:p w14:paraId="25D6A74C" w14:textId="77777777" w:rsidR="00E211CC" w:rsidRDefault="00E211CC" w:rsidP="00E211CC">
      <w:pPr>
        <w:pStyle w:val="BodyText"/>
      </w:pPr>
      <w:r>
        <w:rPr>
          <w:color w:val="4A86E8"/>
        </w:rPr>
        <w:t>We</w:t>
      </w:r>
      <w:r>
        <w:rPr>
          <w:color w:val="4A86E8"/>
          <w:spacing w:val="-6"/>
        </w:rPr>
        <w:t xml:space="preserve"> </w:t>
      </w:r>
      <w:r>
        <w:rPr>
          <w:color w:val="4A86E8"/>
        </w:rPr>
        <w:t>have</w:t>
      </w:r>
      <w:r>
        <w:rPr>
          <w:color w:val="4A86E8"/>
          <w:spacing w:val="-5"/>
        </w:rPr>
        <w:t xml:space="preserve"> </w:t>
      </w:r>
      <w:r>
        <w:rPr>
          <w:color w:val="4A86E8"/>
        </w:rPr>
        <w:t>updated</w:t>
      </w:r>
      <w:r>
        <w:rPr>
          <w:color w:val="4A86E8"/>
          <w:spacing w:val="-6"/>
        </w:rPr>
        <w:t xml:space="preserve"> </w:t>
      </w:r>
      <w:r>
        <w:rPr>
          <w:color w:val="4A86E8"/>
        </w:rPr>
        <w:t>Fig.</w:t>
      </w:r>
      <w:r>
        <w:rPr>
          <w:color w:val="4A86E8"/>
          <w:spacing w:val="-5"/>
        </w:rPr>
        <w:t xml:space="preserve"> </w:t>
      </w:r>
      <w:r>
        <w:rPr>
          <w:color w:val="4A86E8"/>
        </w:rPr>
        <w:t>3A</w:t>
      </w:r>
      <w:r>
        <w:rPr>
          <w:color w:val="4A86E8"/>
          <w:spacing w:val="-5"/>
        </w:rPr>
        <w:t xml:space="preserve"> </w:t>
      </w:r>
      <w:r>
        <w:rPr>
          <w:color w:val="4A86E8"/>
        </w:rPr>
        <w:t>to</w:t>
      </w:r>
      <w:r>
        <w:rPr>
          <w:color w:val="4A86E8"/>
          <w:spacing w:val="-6"/>
        </w:rPr>
        <w:t xml:space="preserve"> </w:t>
      </w:r>
      <w:r>
        <w:rPr>
          <w:color w:val="4A86E8"/>
        </w:rPr>
        <w:t>report</w:t>
      </w:r>
      <w:r>
        <w:rPr>
          <w:color w:val="4A86E8"/>
          <w:spacing w:val="-5"/>
        </w:rPr>
        <w:t xml:space="preserve"> </w:t>
      </w:r>
      <w:r>
        <w:rPr>
          <w:color w:val="4A86E8"/>
        </w:rPr>
        <w:t>heritability</w:t>
      </w:r>
      <w:r>
        <w:rPr>
          <w:color w:val="4A86E8"/>
          <w:spacing w:val="-6"/>
        </w:rPr>
        <w:t xml:space="preserve"> </w:t>
      </w:r>
      <w:r>
        <w:rPr>
          <w:color w:val="4A86E8"/>
        </w:rPr>
        <w:t>enrichment</w:t>
      </w:r>
      <w:r>
        <w:rPr>
          <w:color w:val="4A86E8"/>
          <w:spacing w:val="-5"/>
        </w:rPr>
        <w:t xml:space="preserve"> </w:t>
      </w:r>
      <w:r>
        <w:rPr>
          <w:color w:val="4A86E8"/>
        </w:rPr>
        <w:t>instead</w:t>
      </w:r>
      <w:r>
        <w:rPr>
          <w:color w:val="4A86E8"/>
          <w:spacing w:val="-5"/>
        </w:rPr>
        <w:t xml:space="preserve"> </w:t>
      </w:r>
      <w:r>
        <w:rPr>
          <w:color w:val="4A86E8"/>
        </w:rPr>
        <w:t>of</w:t>
      </w:r>
      <w:r>
        <w:rPr>
          <w:color w:val="4A86E8"/>
          <w:spacing w:val="-6"/>
        </w:rPr>
        <w:t xml:space="preserve"> </w:t>
      </w:r>
      <w:r>
        <w:rPr>
          <w:color w:val="4A86E8"/>
        </w:rPr>
        <w:t>proportion</w:t>
      </w:r>
      <w:r>
        <w:rPr>
          <w:color w:val="4A86E8"/>
          <w:spacing w:val="-5"/>
        </w:rPr>
        <w:t xml:space="preserve"> </w:t>
      </w:r>
      <w:r>
        <w:rPr>
          <w:color w:val="4A86E8"/>
        </w:rPr>
        <w:t>of</w:t>
      </w:r>
      <w:r>
        <w:rPr>
          <w:color w:val="4A86E8"/>
          <w:spacing w:val="-5"/>
        </w:rPr>
        <w:t xml:space="preserve"> </w:t>
      </w:r>
      <w:r>
        <w:rPr>
          <w:color w:val="4A86E8"/>
          <w:spacing w:val="-2"/>
        </w:rPr>
        <w:t>heritability.</w:t>
      </w:r>
    </w:p>
    <w:p w14:paraId="36DCE1C8" w14:textId="77777777" w:rsidR="00E211CC" w:rsidRDefault="00E211CC" w:rsidP="00E211CC">
      <w:pPr>
        <w:pStyle w:val="BodyText"/>
        <w:spacing w:before="75"/>
        <w:ind w:left="0"/>
      </w:pPr>
    </w:p>
    <w:p w14:paraId="52CE80F5" w14:textId="77777777" w:rsidR="00E211CC" w:rsidRDefault="00E211CC" w:rsidP="00E211CC">
      <w:pPr>
        <w:pStyle w:val="ListParagraph"/>
        <w:widowControl w:val="0"/>
        <w:numPr>
          <w:ilvl w:val="0"/>
          <w:numId w:val="1"/>
        </w:numPr>
        <w:tabs>
          <w:tab w:val="left" w:pos="1063"/>
        </w:tabs>
        <w:autoSpaceDE w:val="0"/>
        <w:autoSpaceDN w:val="0"/>
        <w:spacing w:after="0" w:line="276" w:lineRule="auto"/>
        <w:ind w:right="926" w:firstLine="0"/>
        <w:contextualSpacing w:val="0"/>
      </w:pPr>
      <w:r>
        <w:rPr>
          <w:color w:val="222222"/>
        </w:rPr>
        <w:t>In Fig. 3C, accuracies over cell-type specific CREs are reported for 4 and 3 cell-types from the</w:t>
      </w:r>
      <w:r>
        <w:rPr>
          <w:color w:val="222222"/>
          <w:spacing w:val="-3"/>
        </w:rPr>
        <w:t xml:space="preserve"> </w:t>
      </w:r>
      <w:r>
        <w:rPr>
          <w:color w:val="222222"/>
        </w:rPr>
        <w:t>Loeb</w:t>
      </w:r>
      <w:r>
        <w:rPr>
          <w:color w:val="222222"/>
          <w:spacing w:val="-3"/>
        </w:rPr>
        <w:t xml:space="preserve"> </w:t>
      </w:r>
      <w:r>
        <w:rPr>
          <w:color w:val="222222"/>
        </w:rPr>
        <w:t>at</w:t>
      </w:r>
      <w:r>
        <w:rPr>
          <w:color w:val="222222"/>
          <w:spacing w:val="-3"/>
        </w:rPr>
        <w:t xml:space="preserve"> </w:t>
      </w:r>
      <w:r>
        <w:rPr>
          <w:color w:val="222222"/>
        </w:rPr>
        <w:t>al.</w:t>
      </w:r>
      <w:r>
        <w:rPr>
          <w:color w:val="222222"/>
          <w:spacing w:val="-3"/>
        </w:rPr>
        <w:t xml:space="preserve"> </w:t>
      </w:r>
      <w:r>
        <w:rPr>
          <w:color w:val="222222"/>
        </w:rPr>
        <w:t>and</w:t>
      </w:r>
      <w:r>
        <w:rPr>
          <w:color w:val="222222"/>
          <w:spacing w:val="-3"/>
        </w:rPr>
        <w:t xml:space="preserve"> </w:t>
      </w:r>
      <w:r>
        <w:rPr>
          <w:color w:val="222222"/>
        </w:rPr>
        <w:t>Calderon</w:t>
      </w:r>
      <w:r>
        <w:rPr>
          <w:color w:val="222222"/>
          <w:spacing w:val="-3"/>
        </w:rPr>
        <w:t xml:space="preserve"> </w:t>
      </w:r>
      <w:r>
        <w:rPr>
          <w:color w:val="222222"/>
        </w:rPr>
        <w:t>et</w:t>
      </w:r>
      <w:r>
        <w:rPr>
          <w:color w:val="222222"/>
          <w:spacing w:val="-3"/>
        </w:rPr>
        <w:t xml:space="preserve"> </w:t>
      </w:r>
      <w:r>
        <w:rPr>
          <w:color w:val="222222"/>
        </w:rPr>
        <w:t>al.</w:t>
      </w:r>
      <w:r>
        <w:rPr>
          <w:color w:val="222222"/>
          <w:spacing w:val="-3"/>
        </w:rPr>
        <w:t xml:space="preserve"> </w:t>
      </w:r>
      <w:r>
        <w:rPr>
          <w:color w:val="222222"/>
        </w:rPr>
        <w:t>datasets</w:t>
      </w:r>
      <w:r>
        <w:rPr>
          <w:color w:val="222222"/>
          <w:spacing w:val="-3"/>
        </w:rPr>
        <w:t xml:space="preserve"> </w:t>
      </w:r>
      <w:r>
        <w:rPr>
          <w:color w:val="222222"/>
        </w:rPr>
        <w:t>shown.</w:t>
      </w:r>
      <w:r>
        <w:rPr>
          <w:color w:val="222222"/>
          <w:spacing w:val="-3"/>
        </w:rPr>
        <w:t xml:space="preserve"> </w:t>
      </w:r>
      <w:r>
        <w:rPr>
          <w:color w:val="222222"/>
        </w:rPr>
        <w:t>For</w:t>
      </w:r>
      <w:r>
        <w:rPr>
          <w:color w:val="222222"/>
          <w:spacing w:val="-3"/>
        </w:rPr>
        <w:t xml:space="preserve"> </w:t>
      </w:r>
      <w:r>
        <w:rPr>
          <w:color w:val="222222"/>
        </w:rPr>
        <w:t>a</w:t>
      </w:r>
      <w:r>
        <w:rPr>
          <w:color w:val="222222"/>
          <w:spacing w:val="-3"/>
        </w:rPr>
        <w:t xml:space="preserve"> </w:t>
      </w:r>
      <w:r>
        <w:rPr>
          <w:color w:val="222222"/>
        </w:rPr>
        <w:t>more</w:t>
      </w:r>
      <w:r>
        <w:rPr>
          <w:color w:val="222222"/>
          <w:spacing w:val="-3"/>
        </w:rPr>
        <w:t xml:space="preserve"> </w:t>
      </w:r>
      <w:r>
        <w:rPr>
          <w:color w:val="222222"/>
        </w:rPr>
        <w:t>complete</w:t>
      </w:r>
      <w:r>
        <w:rPr>
          <w:color w:val="222222"/>
          <w:spacing w:val="-3"/>
        </w:rPr>
        <w:t xml:space="preserve"> </w:t>
      </w:r>
      <w:r>
        <w:rPr>
          <w:color w:val="222222"/>
        </w:rPr>
        <w:t>evaluation,</w:t>
      </w:r>
      <w:r>
        <w:rPr>
          <w:color w:val="222222"/>
          <w:spacing w:val="-3"/>
        </w:rPr>
        <w:t xml:space="preserve"> </w:t>
      </w:r>
      <w:r>
        <w:rPr>
          <w:color w:val="222222"/>
        </w:rPr>
        <w:t>it</w:t>
      </w:r>
      <w:r>
        <w:rPr>
          <w:color w:val="222222"/>
          <w:spacing w:val="-3"/>
        </w:rPr>
        <w:t xml:space="preserve"> </w:t>
      </w:r>
      <w:r>
        <w:rPr>
          <w:color w:val="222222"/>
        </w:rPr>
        <w:t>would</w:t>
      </w:r>
      <w:r>
        <w:rPr>
          <w:color w:val="222222"/>
          <w:spacing w:val="-3"/>
        </w:rPr>
        <w:t xml:space="preserve"> </w:t>
      </w:r>
      <w:r>
        <w:rPr>
          <w:color w:val="222222"/>
        </w:rPr>
        <w:t>be nice to see the results for all cell-types, this could be added to supplementary figures.</w:t>
      </w:r>
    </w:p>
    <w:p w14:paraId="573625E6" w14:textId="77777777" w:rsidR="00E211CC" w:rsidRDefault="00E211CC" w:rsidP="00E211CC">
      <w:pPr>
        <w:pStyle w:val="BodyText"/>
        <w:spacing w:before="36"/>
        <w:ind w:left="0"/>
      </w:pPr>
    </w:p>
    <w:p w14:paraId="5358BBCD" w14:textId="77777777" w:rsidR="00E211CC" w:rsidRDefault="00E211CC" w:rsidP="00E211CC">
      <w:pPr>
        <w:pStyle w:val="BodyText"/>
      </w:pPr>
      <w:r>
        <w:rPr>
          <w:color w:val="4A86E8"/>
        </w:rPr>
        <w:t>We</w:t>
      </w:r>
      <w:r>
        <w:rPr>
          <w:color w:val="4A86E8"/>
          <w:spacing w:val="-7"/>
        </w:rPr>
        <w:t xml:space="preserve"> </w:t>
      </w:r>
      <w:r>
        <w:rPr>
          <w:color w:val="4A86E8"/>
        </w:rPr>
        <w:t>have</w:t>
      </w:r>
      <w:r>
        <w:rPr>
          <w:color w:val="4A86E8"/>
          <w:spacing w:val="-5"/>
        </w:rPr>
        <w:t xml:space="preserve"> </w:t>
      </w:r>
      <w:r>
        <w:rPr>
          <w:color w:val="4A86E8"/>
        </w:rPr>
        <w:t>added</w:t>
      </w:r>
      <w:r>
        <w:rPr>
          <w:color w:val="4A86E8"/>
          <w:spacing w:val="-4"/>
        </w:rPr>
        <w:t xml:space="preserve"> </w:t>
      </w:r>
      <w:r>
        <w:rPr>
          <w:color w:val="4A86E8"/>
        </w:rPr>
        <w:t>the</w:t>
      </w:r>
      <w:r>
        <w:rPr>
          <w:color w:val="4A86E8"/>
          <w:spacing w:val="-5"/>
        </w:rPr>
        <w:t xml:space="preserve"> </w:t>
      </w:r>
      <w:r>
        <w:rPr>
          <w:color w:val="4A86E8"/>
        </w:rPr>
        <w:t>results</w:t>
      </w:r>
      <w:r>
        <w:rPr>
          <w:color w:val="4A86E8"/>
          <w:spacing w:val="-5"/>
        </w:rPr>
        <w:t xml:space="preserve"> </w:t>
      </w:r>
      <w:r>
        <w:rPr>
          <w:color w:val="4A86E8"/>
        </w:rPr>
        <w:t>for</w:t>
      </w:r>
      <w:r>
        <w:rPr>
          <w:color w:val="4A86E8"/>
          <w:spacing w:val="-4"/>
        </w:rPr>
        <w:t xml:space="preserve"> </w:t>
      </w:r>
      <w:r>
        <w:rPr>
          <w:color w:val="4A86E8"/>
        </w:rPr>
        <w:t>all</w:t>
      </w:r>
      <w:r>
        <w:rPr>
          <w:color w:val="4A86E8"/>
          <w:spacing w:val="-5"/>
        </w:rPr>
        <w:t xml:space="preserve"> </w:t>
      </w:r>
      <w:r>
        <w:rPr>
          <w:color w:val="4A86E8"/>
        </w:rPr>
        <w:t>cell</w:t>
      </w:r>
      <w:r>
        <w:rPr>
          <w:color w:val="4A86E8"/>
          <w:spacing w:val="-5"/>
        </w:rPr>
        <w:t xml:space="preserve"> </w:t>
      </w:r>
      <w:r>
        <w:rPr>
          <w:color w:val="4A86E8"/>
        </w:rPr>
        <w:t>types</w:t>
      </w:r>
      <w:r>
        <w:rPr>
          <w:color w:val="4A86E8"/>
          <w:spacing w:val="-4"/>
        </w:rPr>
        <w:t xml:space="preserve"> </w:t>
      </w:r>
      <w:r>
        <w:rPr>
          <w:color w:val="4A86E8"/>
        </w:rPr>
        <w:t>in</w:t>
      </w:r>
      <w:r>
        <w:rPr>
          <w:color w:val="4A86E8"/>
          <w:spacing w:val="-5"/>
        </w:rPr>
        <w:t xml:space="preserve"> </w:t>
      </w:r>
      <w:r>
        <w:rPr>
          <w:color w:val="4A86E8"/>
        </w:rPr>
        <w:t>Supplementary</w:t>
      </w:r>
      <w:r>
        <w:rPr>
          <w:color w:val="4A86E8"/>
          <w:spacing w:val="-5"/>
        </w:rPr>
        <w:t xml:space="preserve"> </w:t>
      </w:r>
      <w:r>
        <w:rPr>
          <w:color w:val="4A86E8"/>
        </w:rPr>
        <w:t>Table</w:t>
      </w:r>
      <w:r>
        <w:rPr>
          <w:color w:val="4A86E8"/>
          <w:spacing w:val="-4"/>
        </w:rPr>
        <w:t xml:space="preserve"> </w:t>
      </w:r>
      <w:r>
        <w:rPr>
          <w:color w:val="4A86E8"/>
          <w:spacing w:val="-5"/>
        </w:rPr>
        <w:t>1.</w:t>
      </w:r>
    </w:p>
    <w:p w14:paraId="0E2979BF" w14:textId="77777777" w:rsidR="00E211CC" w:rsidRDefault="00E211CC" w:rsidP="00E211CC">
      <w:pPr>
        <w:pStyle w:val="BodyText"/>
        <w:spacing w:before="80"/>
        <w:ind w:left="0"/>
      </w:pPr>
    </w:p>
    <w:p w14:paraId="683058CB" w14:textId="77777777" w:rsidR="00E211CC" w:rsidRDefault="00E211CC" w:rsidP="00E211CC">
      <w:pPr>
        <w:pStyle w:val="ListParagraph"/>
        <w:widowControl w:val="0"/>
        <w:numPr>
          <w:ilvl w:val="0"/>
          <w:numId w:val="1"/>
        </w:numPr>
        <w:tabs>
          <w:tab w:val="left" w:pos="1063"/>
        </w:tabs>
        <w:autoSpaceDE w:val="0"/>
        <w:autoSpaceDN w:val="0"/>
        <w:spacing w:after="0" w:line="276" w:lineRule="auto"/>
        <w:ind w:right="861" w:firstLine="0"/>
        <w:contextualSpacing w:val="0"/>
      </w:pPr>
      <w:r>
        <w:rPr>
          <w:color w:val="222222"/>
        </w:rPr>
        <w:t>Figure</w:t>
      </w:r>
      <w:r>
        <w:rPr>
          <w:color w:val="222222"/>
          <w:spacing w:val="-3"/>
        </w:rPr>
        <w:t xml:space="preserve"> </w:t>
      </w:r>
      <w:r>
        <w:rPr>
          <w:color w:val="222222"/>
        </w:rPr>
        <w:t>3D:</w:t>
      </w:r>
      <w:r>
        <w:rPr>
          <w:color w:val="222222"/>
          <w:spacing w:val="-3"/>
        </w:rPr>
        <w:t xml:space="preserve"> </w:t>
      </w:r>
      <w:r>
        <w:rPr>
          <w:color w:val="222222"/>
        </w:rPr>
        <w:t>While</w:t>
      </w:r>
      <w:r>
        <w:rPr>
          <w:color w:val="222222"/>
          <w:spacing w:val="-3"/>
        </w:rPr>
        <w:t xml:space="preserve"> </w:t>
      </w:r>
      <w:r>
        <w:rPr>
          <w:color w:val="222222"/>
        </w:rPr>
        <w:t>assessing</w:t>
      </w:r>
      <w:r>
        <w:rPr>
          <w:color w:val="222222"/>
          <w:spacing w:val="-3"/>
        </w:rPr>
        <w:t xml:space="preserve"> </w:t>
      </w:r>
      <w:r>
        <w:rPr>
          <w:color w:val="222222"/>
        </w:rPr>
        <w:t>prediction</w:t>
      </w:r>
      <w:r>
        <w:rPr>
          <w:color w:val="222222"/>
          <w:spacing w:val="-3"/>
        </w:rPr>
        <w:t xml:space="preserve"> </w:t>
      </w:r>
      <w:r>
        <w:rPr>
          <w:color w:val="222222"/>
        </w:rPr>
        <w:t>uncertainty,</w:t>
      </w:r>
      <w:r>
        <w:rPr>
          <w:color w:val="222222"/>
          <w:spacing w:val="-3"/>
        </w:rPr>
        <w:t xml:space="preserve"> </w:t>
      </w:r>
      <w:r>
        <w:rPr>
          <w:color w:val="222222"/>
        </w:rPr>
        <w:t>is</w:t>
      </w:r>
      <w:r>
        <w:rPr>
          <w:color w:val="222222"/>
          <w:spacing w:val="-3"/>
        </w:rPr>
        <w:t xml:space="preserve"> </w:t>
      </w:r>
      <w:r>
        <w:rPr>
          <w:color w:val="222222"/>
        </w:rPr>
        <w:t>the</w:t>
      </w:r>
      <w:r>
        <w:rPr>
          <w:color w:val="222222"/>
          <w:spacing w:val="-3"/>
        </w:rPr>
        <w:t xml:space="preserve"> </w:t>
      </w:r>
      <w:r>
        <w:rPr>
          <w:color w:val="222222"/>
        </w:rPr>
        <w:t>coefficient</w:t>
      </w:r>
      <w:r>
        <w:rPr>
          <w:color w:val="222222"/>
          <w:spacing w:val="-3"/>
        </w:rPr>
        <w:t xml:space="preserve"> </w:t>
      </w:r>
      <w:r>
        <w:rPr>
          <w:color w:val="222222"/>
        </w:rPr>
        <w:t>of</w:t>
      </w:r>
      <w:r>
        <w:rPr>
          <w:color w:val="222222"/>
          <w:spacing w:val="-3"/>
        </w:rPr>
        <w:t xml:space="preserve"> </w:t>
      </w:r>
      <w:r>
        <w:rPr>
          <w:color w:val="222222"/>
        </w:rPr>
        <w:t>variation</w:t>
      </w:r>
      <w:r>
        <w:rPr>
          <w:color w:val="222222"/>
          <w:spacing w:val="-3"/>
        </w:rPr>
        <w:t xml:space="preserve"> </w:t>
      </w:r>
      <w:r>
        <w:rPr>
          <w:color w:val="222222"/>
        </w:rPr>
        <w:t>(uncertainty</w:t>
      </w:r>
      <w:r>
        <w:rPr>
          <w:color w:val="222222"/>
          <w:spacing w:val="-3"/>
        </w:rPr>
        <w:t xml:space="preserve"> </w:t>
      </w:r>
      <w:r>
        <w:rPr>
          <w:color w:val="222222"/>
        </w:rPr>
        <w:t>in prediction) significantly different between cell-type specific vs. shared CREs, especially in the Calderon et al. set?</w:t>
      </w:r>
    </w:p>
    <w:p w14:paraId="21CB5DBB" w14:textId="77777777" w:rsidR="00E211CC" w:rsidRDefault="00E211CC" w:rsidP="00E211CC">
      <w:pPr>
        <w:pStyle w:val="BodyText"/>
        <w:spacing w:before="35"/>
        <w:ind w:left="0"/>
      </w:pPr>
    </w:p>
    <w:p w14:paraId="11D79DB0" w14:textId="77777777" w:rsidR="00E211CC" w:rsidRDefault="00E211CC" w:rsidP="00E211CC">
      <w:pPr>
        <w:pStyle w:val="BodyText"/>
        <w:spacing w:before="1" w:line="276" w:lineRule="auto"/>
        <w:ind w:right="1024"/>
      </w:pPr>
      <w:r>
        <w:rPr>
          <w:color w:val="4A86E8"/>
        </w:rPr>
        <w:t>We</w:t>
      </w:r>
      <w:r>
        <w:rPr>
          <w:color w:val="4A86E8"/>
          <w:spacing w:val="-3"/>
        </w:rPr>
        <w:t xml:space="preserve"> </w:t>
      </w:r>
      <w:r>
        <w:rPr>
          <w:color w:val="4A86E8"/>
        </w:rPr>
        <w:t>find</w:t>
      </w:r>
      <w:r>
        <w:rPr>
          <w:color w:val="4A86E8"/>
          <w:spacing w:val="-3"/>
        </w:rPr>
        <w:t xml:space="preserve"> </w:t>
      </w:r>
      <w:r>
        <w:rPr>
          <w:color w:val="4A86E8"/>
        </w:rPr>
        <w:t>that</w:t>
      </w:r>
      <w:r>
        <w:rPr>
          <w:color w:val="4A86E8"/>
          <w:spacing w:val="-3"/>
        </w:rPr>
        <w:t xml:space="preserve"> </w:t>
      </w:r>
      <w:r>
        <w:rPr>
          <w:color w:val="4A86E8"/>
        </w:rPr>
        <w:t>the</w:t>
      </w:r>
      <w:r>
        <w:rPr>
          <w:color w:val="4A86E8"/>
          <w:spacing w:val="-3"/>
        </w:rPr>
        <w:t xml:space="preserve"> </w:t>
      </w:r>
      <w:r>
        <w:rPr>
          <w:color w:val="4A86E8"/>
        </w:rPr>
        <w:t>coefficient</w:t>
      </w:r>
      <w:r>
        <w:rPr>
          <w:color w:val="4A86E8"/>
          <w:spacing w:val="-3"/>
        </w:rPr>
        <w:t xml:space="preserve"> </w:t>
      </w:r>
      <w:r>
        <w:rPr>
          <w:color w:val="4A86E8"/>
        </w:rPr>
        <w:t>of</w:t>
      </w:r>
      <w:r>
        <w:rPr>
          <w:color w:val="4A86E8"/>
          <w:spacing w:val="-3"/>
        </w:rPr>
        <w:t xml:space="preserve"> </w:t>
      </w:r>
      <w:r>
        <w:rPr>
          <w:color w:val="4A86E8"/>
        </w:rPr>
        <w:t>variation</w:t>
      </w:r>
      <w:r>
        <w:rPr>
          <w:color w:val="4A86E8"/>
          <w:spacing w:val="-3"/>
        </w:rPr>
        <w:t xml:space="preserve"> </w:t>
      </w:r>
      <w:r>
        <w:rPr>
          <w:color w:val="4A86E8"/>
        </w:rPr>
        <w:t>is</w:t>
      </w:r>
      <w:r>
        <w:rPr>
          <w:color w:val="4A86E8"/>
          <w:spacing w:val="-3"/>
        </w:rPr>
        <w:t xml:space="preserve"> </w:t>
      </w:r>
      <w:r>
        <w:rPr>
          <w:color w:val="4A86E8"/>
        </w:rPr>
        <w:t>significantly</w:t>
      </w:r>
      <w:r>
        <w:rPr>
          <w:color w:val="4A86E8"/>
          <w:spacing w:val="-3"/>
        </w:rPr>
        <w:t xml:space="preserve"> </w:t>
      </w:r>
      <w:r>
        <w:rPr>
          <w:color w:val="4A86E8"/>
        </w:rPr>
        <w:t>different</w:t>
      </w:r>
      <w:r>
        <w:rPr>
          <w:color w:val="4A86E8"/>
          <w:spacing w:val="-3"/>
        </w:rPr>
        <w:t xml:space="preserve"> </w:t>
      </w:r>
      <w:r>
        <w:rPr>
          <w:color w:val="4A86E8"/>
        </w:rPr>
        <w:t>between</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and shared peaks for both datasets (under a one-sided Mann-Whitney U test, FDR &lt; 0.05). We have updated the figure to display statistical significance.</w:t>
      </w:r>
    </w:p>
    <w:p w14:paraId="17C918BF" w14:textId="77777777" w:rsidR="00E211CC" w:rsidRDefault="00E211CC" w:rsidP="00E211CC">
      <w:pPr>
        <w:pStyle w:val="BodyText"/>
        <w:spacing w:before="40"/>
        <w:ind w:left="0"/>
      </w:pPr>
    </w:p>
    <w:p w14:paraId="18C70685" w14:textId="77777777" w:rsidR="00E211CC" w:rsidRDefault="00E211CC" w:rsidP="00E211CC">
      <w:pPr>
        <w:pStyle w:val="ListParagraph"/>
        <w:widowControl w:val="0"/>
        <w:numPr>
          <w:ilvl w:val="0"/>
          <w:numId w:val="1"/>
        </w:numPr>
        <w:tabs>
          <w:tab w:val="left" w:pos="1063"/>
        </w:tabs>
        <w:autoSpaceDE w:val="0"/>
        <w:autoSpaceDN w:val="0"/>
        <w:spacing w:after="0" w:line="276" w:lineRule="auto"/>
        <w:ind w:right="865" w:firstLine="0"/>
        <w:contextualSpacing w:val="0"/>
      </w:pPr>
      <w:r>
        <w:rPr>
          <w:color w:val="222222"/>
        </w:rPr>
        <w:t>The regulatory grammar at TSSs is distinct from that at distal enhancers - is the model's ability</w:t>
      </w:r>
      <w:r>
        <w:rPr>
          <w:color w:val="222222"/>
          <w:spacing w:val="-3"/>
        </w:rPr>
        <w:t xml:space="preserve"> </w:t>
      </w:r>
      <w:r>
        <w:rPr>
          <w:color w:val="222222"/>
        </w:rPr>
        <w:t>to</w:t>
      </w:r>
      <w:r>
        <w:rPr>
          <w:color w:val="222222"/>
          <w:spacing w:val="-3"/>
        </w:rPr>
        <w:t xml:space="preserve"> </w:t>
      </w:r>
      <w:r>
        <w:rPr>
          <w:color w:val="222222"/>
        </w:rPr>
        <w:t>learn</w:t>
      </w:r>
      <w:r>
        <w:rPr>
          <w:color w:val="222222"/>
          <w:spacing w:val="-3"/>
        </w:rPr>
        <w:t xml:space="preserve"> </w:t>
      </w:r>
      <w:r>
        <w:rPr>
          <w:color w:val="222222"/>
        </w:rPr>
        <w:t>cell-type</w:t>
      </w:r>
      <w:r>
        <w:rPr>
          <w:color w:val="222222"/>
          <w:spacing w:val="-3"/>
        </w:rPr>
        <w:t xml:space="preserve"> </w:t>
      </w:r>
      <w:r>
        <w:rPr>
          <w:color w:val="222222"/>
        </w:rPr>
        <w:t>specificity</w:t>
      </w:r>
      <w:r>
        <w:rPr>
          <w:color w:val="222222"/>
          <w:spacing w:val="-3"/>
        </w:rPr>
        <w:t xml:space="preserve"> </w:t>
      </w:r>
      <w:r>
        <w:rPr>
          <w:color w:val="222222"/>
        </w:rPr>
        <w:t>dependent</w:t>
      </w:r>
      <w:r>
        <w:rPr>
          <w:color w:val="222222"/>
          <w:spacing w:val="-3"/>
        </w:rPr>
        <w:t xml:space="preserve"> </w:t>
      </w:r>
      <w:r>
        <w:rPr>
          <w:color w:val="222222"/>
        </w:rPr>
        <w:t>on</w:t>
      </w:r>
      <w:r>
        <w:rPr>
          <w:color w:val="222222"/>
          <w:spacing w:val="-3"/>
        </w:rPr>
        <w:t xml:space="preserve"> </w:t>
      </w:r>
      <w:r>
        <w:rPr>
          <w:color w:val="222222"/>
        </w:rPr>
        <w:t>whether</w:t>
      </w:r>
      <w:r>
        <w:rPr>
          <w:color w:val="222222"/>
          <w:spacing w:val="-3"/>
        </w:rPr>
        <w:t xml:space="preserve"> </w:t>
      </w:r>
      <w:r>
        <w:rPr>
          <w:color w:val="222222"/>
        </w:rPr>
        <w:t>the</w:t>
      </w:r>
      <w:r>
        <w:rPr>
          <w:color w:val="222222"/>
          <w:spacing w:val="-3"/>
        </w:rPr>
        <w:t xml:space="preserve"> </w:t>
      </w:r>
      <w:r>
        <w:rPr>
          <w:color w:val="222222"/>
        </w:rPr>
        <w:t>CRE</w:t>
      </w:r>
      <w:r>
        <w:rPr>
          <w:color w:val="222222"/>
          <w:spacing w:val="-3"/>
        </w:rPr>
        <w:t xml:space="preserve"> </w:t>
      </w:r>
      <w:r>
        <w:rPr>
          <w:color w:val="222222"/>
        </w:rPr>
        <w:t>is</w:t>
      </w:r>
      <w:r>
        <w:rPr>
          <w:color w:val="222222"/>
          <w:spacing w:val="-3"/>
        </w:rPr>
        <w:t xml:space="preserve"> </w:t>
      </w:r>
      <w:r>
        <w:rPr>
          <w:color w:val="222222"/>
        </w:rPr>
        <w:t>a</w:t>
      </w:r>
      <w:r>
        <w:rPr>
          <w:color w:val="222222"/>
          <w:spacing w:val="-3"/>
        </w:rPr>
        <w:t xml:space="preserve"> </w:t>
      </w:r>
      <w:r>
        <w:rPr>
          <w:color w:val="222222"/>
        </w:rPr>
        <w:t>proximal</w:t>
      </w:r>
      <w:r>
        <w:rPr>
          <w:color w:val="222222"/>
          <w:spacing w:val="-3"/>
        </w:rPr>
        <w:t xml:space="preserve"> </w:t>
      </w:r>
      <w:r>
        <w:rPr>
          <w:color w:val="222222"/>
        </w:rPr>
        <w:t>element</w:t>
      </w:r>
      <w:r>
        <w:rPr>
          <w:color w:val="222222"/>
          <w:spacing w:val="-3"/>
        </w:rPr>
        <w:t xml:space="preserve"> </w:t>
      </w:r>
      <w:r>
        <w:rPr>
          <w:color w:val="222222"/>
        </w:rPr>
        <w:t>such</w:t>
      </w:r>
      <w:r>
        <w:rPr>
          <w:color w:val="222222"/>
          <w:spacing w:val="-3"/>
        </w:rPr>
        <w:t xml:space="preserve"> </w:t>
      </w:r>
      <w:r>
        <w:rPr>
          <w:color w:val="222222"/>
        </w:rPr>
        <w:t>as a TSS or distal enhancer?</w:t>
      </w:r>
    </w:p>
    <w:p w14:paraId="2651D976" w14:textId="77777777" w:rsidR="00E211CC" w:rsidRDefault="00E211CC" w:rsidP="00E211CC">
      <w:pPr>
        <w:pStyle w:val="BodyText"/>
        <w:spacing w:before="36"/>
        <w:ind w:left="0"/>
      </w:pPr>
    </w:p>
    <w:p w14:paraId="2D103FBD" w14:textId="77777777" w:rsidR="00E211CC" w:rsidRDefault="00E211CC" w:rsidP="00E211CC">
      <w:pPr>
        <w:pStyle w:val="BodyText"/>
        <w:spacing w:line="276" w:lineRule="auto"/>
        <w:ind w:right="858"/>
      </w:pPr>
      <w:r>
        <w:rPr>
          <w:color w:val="4A86E8"/>
        </w:rPr>
        <w:t>We agree with this important point and have added a supplementary figure (Fig. S4) in which</w:t>
      </w:r>
      <w:r>
        <w:rPr>
          <w:color w:val="4A86E8"/>
          <w:spacing w:val="40"/>
        </w:rPr>
        <w:t xml:space="preserve"> </w:t>
      </w:r>
      <w:r>
        <w:rPr>
          <w:color w:val="4A86E8"/>
        </w:rPr>
        <w:t>we</w:t>
      </w:r>
      <w:r>
        <w:rPr>
          <w:color w:val="4A86E8"/>
          <w:spacing w:val="-3"/>
        </w:rPr>
        <w:t xml:space="preserve"> </w:t>
      </w:r>
      <w:r>
        <w:rPr>
          <w:color w:val="4A86E8"/>
        </w:rPr>
        <w:t>stratified</w:t>
      </w:r>
      <w:r>
        <w:rPr>
          <w:color w:val="4A86E8"/>
          <w:spacing w:val="-3"/>
        </w:rPr>
        <w:t xml:space="preserve"> </w:t>
      </w:r>
      <w:r>
        <w:rPr>
          <w:color w:val="4A86E8"/>
        </w:rPr>
        <w:t>peaks</w:t>
      </w:r>
      <w:r>
        <w:rPr>
          <w:color w:val="4A86E8"/>
          <w:spacing w:val="-3"/>
        </w:rPr>
        <w:t xml:space="preserve"> </w:t>
      </w:r>
      <w:r>
        <w:rPr>
          <w:color w:val="4A86E8"/>
        </w:rPr>
        <w:t>into</w:t>
      </w:r>
      <w:r>
        <w:rPr>
          <w:color w:val="4A86E8"/>
          <w:spacing w:val="-3"/>
        </w:rPr>
        <w:t xml:space="preserve"> </w:t>
      </w:r>
      <w:r>
        <w:rPr>
          <w:color w:val="4A86E8"/>
        </w:rPr>
        <w:t>three</w:t>
      </w:r>
      <w:r>
        <w:rPr>
          <w:color w:val="4A86E8"/>
          <w:spacing w:val="-3"/>
        </w:rPr>
        <w:t xml:space="preserve"> </w:t>
      </w:r>
      <w:r>
        <w:rPr>
          <w:color w:val="4A86E8"/>
        </w:rPr>
        <w:t>equally</w:t>
      </w:r>
      <w:r>
        <w:rPr>
          <w:color w:val="4A86E8"/>
          <w:spacing w:val="-3"/>
        </w:rPr>
        <w:t xml:space="preserve"> </w:t>
      </w:r>
      <w:r>
        <w:rPr>
          <w:color w:val="4A86E8"/>
        </w:rPr>
        <w:t>sized</w:t>
      </w:r>
      <w:r>
        <w:rPr>
          <w:color w:val="4A86E8"/>
          <w:spacing w:val="-3"/>
        </w:rPr>
        <w:t xml:space="preserve"> </w:t>
      </w:r>
      <w:r>
        <w:rPr>
          <w:color w:val="4A86E8"/>
        </w:rPr>
        <w:t>TSS</w:t>
      </w:r>
      <w:r>
        <w:rPr>
          <w:color w:val="4A86E8"/>
          <w:spacing w:val="-3"/>
        </w:rPr>
        <w:t xml:space="preserve"> </w:t>
      </w:r>
      <w:r>
        <w:rPr>
          <w:color w:val="4A86E8"/>
        </w:rPr>
        <w:t>distance</w:t>
      </w:r>
      <w:r>
        <w:rPr>
          <w:color w:val="4A86E8"/>
          <w:spacing w:val="-3"/>
        </w:rPr>
        <w:t xml:space="preserve"> </w:t>
      </w:r>
      <w:r>
        <w:rPr>
          <w:color w:val="4A86E8"/>
        </w:rPr>
        <w:t>bins</w:t>
      </w:r>
      <w:r>
        <w:rPr>
          <w:color w:val="4A86E8"/>
          <w:spacing w:val="-3"/>
        </w:rPr>
        <w:t xml:space="preserve"> </w:t>
      </w:r>
      <w:r>
        <w:rPr>
          <w:color w:val="4A86E8"/>
        </w:rPr>
        <w:t>and</w:t>
      </w:r>
      <w:r>
        <w:rPr>
          <w:color w:val="4A86E8"/>
          <w:spacing w:val="-3"/>
        </w:rPr>
        <w:t xml:space="preserve"> </w:t>
      </w:r>
      <w:r>
        <w:rPr>
          <w:color w:val="4A86E8"/>
        </w:rPr>
        <w:t>looked</w:t>
      </w:r>
      <w:r>
        <w:rPr>
          <w:color w:val="4A86E8"/>
          <w:spacing w:val="-3"/>
        </w:rPr>
        <w:t xml:space="preserve"> </w:t>
      </w:r>
      <w:r>
        <w:rPr>
          <w:color w:val="4A86E8"/>
        </w:rPr>
        <w:t>at</w:t>
      </w:r>
      <w:r>
        <w:rPr>
          <w:color w:val="4A86E8"/>
          <w:spacing w:val="-3"/>
        </w:rPr>
        <w:t xml:space="preserve"> </w:t>
      </w:r>
      <w:r>
        <w:rPr>
          <w:color w:val="4A86E8"/>
        </w:rPr>
        <w:t>performance</w:t>
      </w:r>
      <w:r>
        <w:rPr>
          <w:color w:val="4A86E8"/>
          <w:spacing w:val="-3"/>
        </w:rPr>
        <w:t xml:space="preserve"> </w:t>
      </w:r>
      <w:r>
        <w:rPr>
          <w:color w:val="4A86E8"/>
        </w:rPr>
        <w:t>across all peaks, as well as within each cell type specificity bin. We find that across all peaks, there is a slight decrease in performance for more distal peaks compared to more proximal peaks (Fig.</w:t>
      </w:r>
    </w:p>
    <w:p w14:paraId="6369EE27" w14:textId="77777777" w:rsidR="00E211CC" w:rsidRDefault="00E211CC" w:rsidP="00E211CC">
      <w:pPr>
        <w:pStyle w:val="BodyText"/>
        <w:spacing w:line="276" w:lineRule="auto"/>
        <w:ind w:right="861"/>
      </w:pPr>
      <w:r>
        <w:rPr>
          <w:color w:val="4A86E8"/>
        </w:rPr>
        <w:t>S4a).</w:t>
      </w:r>
      <w:r>
        <w:rPr>
          <w:color w:val="4A86E8"/>
          <w:spacing w:val="-3"/>
        </w:rPr>
        <w:t xml:space="preserve"> </w:t>
      </w:r>
      <w:r>
        <w:rPr>
          <w:color w:val="4A86E8"/>
        </w:rPr>
        <w:t>Importantly,</w:t>
      </w:r>
      <w:r>
        <w:rPr>
          <w:color w:val="4A86E8"/>
          <w:spacing w:val="-3"/>
        </w:rPr>
        <w:t xml:space="preserve"> </w:t>
      </w:r>
      <w:r>
        <w:rPr>
          <w:color w:val="4A86E8"/>
        </w:rPr>
        <w:t>however,</w:t>
      </w:r>
      <w:r>
        <w:rPr>
          <w:color w:val="4A86E8"/>
          <w:spacing w:val="-3"/>
        </w:rPr>
        <w:t xml:space="preserve"> </w:t>
      </w:r>
      <w:r>
        <w:rPr>
          <w:color w:val="4A86E8"/>
        </w:rPr>
        <w:t>the</w:t>
      </w:r>
      <w:r>
        <w:rPr>
          <w:color w:val="4A86E8"/>
          <w:spacing w:val="-3"/>
        </w:rPr>
        <w:t xml:space="preserve"> </w:t>
      </w:r>
      <w:r>
        <w:rPr>
          <w:color w:val="4A86E8"/>
        </w:rPr>
        <w:t>trend</w:t>
      </w:r>
      <w:r>
        <w:rPr>
          <w:color w:val="4A86E8"/>
          <w:spacing w:val="-3"/>
        </w:rPr>
        <w:t xml:space="preserve"> </w:t>
      </w:r>
      <w:r>
        <w:rPr>
          <w:color w:val="4A86E8"/>
        </w:rPr>
        <w:t>of</w:t>
      </w:r>
      <w:r>
        <w:rPr>
          <w:color w:val="4A86E8"/>
          <w:spacing w:val="-3"/>
        </w:rPr>
        <w:t xml:space="preserve"> </w:t>
      </w:r>
      <w:r>
        <w:rPr>
          <w:color w:val="4A86E8"/>
        </w:rPr>
        <w:t>decreased</w:t>
      </w:r>
      <w:r>
        <w:rPr>
          <w:color w:val="4A86E8"/>
          <w:spacing w:val="-3"/>
        </w:rPr>
        <w:t xml:space="preserve"> </w:t>
      </w:r>
      <w:r>
        <w:rPr>
          <w:color w:val="4A86E8"/>
        </w:rPr>
        <w:t>performance</w:t>
      </w:r>
      <w:r>
        <w:rPr>
          <w:color w:val="4A86E8"/>
          <w:spacing w:val="-3"/>
        </w:rPr>
        <w:t xml:space="preserve"> </w:t>
      </w:r>
      <w:r>
        <w:rPr>
          <w:color w:val="4A86E8"/>
        </w:rPr>
        <w:t>in</w:t>
      </w:r>
      <w:r>
        <w:rPr>
          <w:color w:val="4A86E8"/>
          <w:spacing w:val="-3"/>
        </w:rPr>
        <w:t xml:space="preserve"> </w:t>
      </w:r>
      <w:r>
        <w:rPr>
          <w:color w:val="4A86E8"/>
        </w:rPr>
        <w:t>more</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peaks seems to be independent of TSS distance, as model predictions in the most cell type specific peaks are similarly poor regardless of whether the peaks are proximal or distal (Fig. S4a). We also show the proportion of sequences in each cell type specificity bin that are in each TSS distance bin (Fig. S4b). Unsurprisingly, the most cell type specific peaks are more skewed towards distal sequences, which explains some of the difference in overall performance at different TSS distances.</w:t>
      </w:r>
    </w:p>
    <w:p w14:paraId="71E24CB8" w14:textId="77777777" w:rsidR="00E211CC" w:rsidRDefault="00E211CC" w:rsidP="00E211CC">
      <w:pPr>
        <w:pStyle w:val="BodyText"/>
        <w:spacing w:before="36"/>
        <w:ind w:left="0"/>
      </w:pPr>
    </w:p>
    <w:p w14:paraId="11A62708" w14:textId="77777777" w:rsidR="00E211CC" w:rsidRDefault="00E211CC" w:rsidP="00E211CC">
      <w:pPr>
        <w:pStyle w:val="ListParagraph"/>
        <w:widowControl w:val="0"/>
        <w:numPr>
          <w:ilvl w:val="0"/>
          <w:numId w:val="1"/>
        </w:numPr>
        <w:tabs>
          <w:tab w:val="left" w:pos="1063"/>
        </w:tabs>
        <w:autoSpaceDE w:val="0"/>
        <w:autoSpaceDN w:val="0"/>
        <w:spacing w:before="1" w:after="0" w:line="278" w:lineRule="auto"/>
        <w:ind w:right="1045" w:firstLine="0"/>
        <w:contextualSpacing w:val="0"/>
      </w:pPr>
      <w:r>
        <w:rPr>
          <w:color w:val="222222"/>
        </w:rPr>
        <w:t>For specific peaks which are mis-predicted, are false negatives or false positives the problem?</w:t>
      </w:r>
      <w:r>
        <w:rPr>
          <w:color w:val="222222"/>
          <w:spacing w:val="-3"/>
        </w:rPr>
        <w:t xml:space="preserve"> </w:t>
      </w:r>
      <w:r>
        <w:rPr>
          <w:color w:val="222222"/>
        </w:rPr>
        <w:t>If</w:t>
      </w:r>
      <w:r>
        <w:rPr>
          <w:color w:val="222222"/>
          <w:spacing w:val="-3"/>
        </w:rPr>
        <w:t xml:space="preserve"> </w:t>
      </w:r>
      <w:r>
        <w:rPr>
          <w:color w:val="222222"/>
        </w:rPr>
        <w:t>these</w:t>
      </w:r>
      <w:r>
        <w:rPr>
          <w:color w:val="222222"/>
          <w:spacing w:val="-3"/>
        </w:rPr>
        <w:t xml:space="preserve"> </w:t>
      </w:r>
      <w:r>
        <w:rPr>
          <w:color w:val="222222"/>
        </w:rPr>
        <w:t>peaks</w:t>
      </w:r>
      <w:r>
        <w:rPr>
          <w:color w:val="222222"/>
          <w:spacing w:val="-3"/>
        </w:rPr>
        <w:t xml:space="preserve"> </w:t>
      </w:r>
      <w:r>
        <w:rPr>
          <w:color w:val="222222"/>
        </w:rPr>
        <w:t>are</w:t>
      </w:r>
      <w:r>
        <w:rPr>
          <w:color w:val="222222"/>
          <w:spacing w:val="-3"/>
        </w:rPr>
        <w:t xml:space="preserve"> </w:t>
      </w:r>
      <w:r>
        <w:rPr>
          <w:color w:val="222222"/>
        </w:rPr>
        <w:t>false</w:t>
      </w:r>
      <w:r>
        <w:rPr>
          <w:color w:val="222222"/>
          <w:spacing w:val="-3"/>
        </w:rPr>
        <w:t xml:space="preserve"> </w:t>
      </w:r>
      <w:r>
        <w:rPr>
          <w:color w:val="222222"/>
        </w:rPr>
        <w:t>positives,</w:t>
      </w:r>
      <w:r>
        <w:rPr>
          <w:color w:val="222222"/>
          <w:spacing w:val="-3"/>
        </w:rPr>
        <w:t xml:space="preserve"> </w:t>
      </w:r>
      <w:r>
        <w:rPr>
          <w:color w:val="222222"/>
        </w:rPr>
        <w:t>what</w:t>
      </w:r>
      <w:r>
        <w:rPr>
          <w:color w:val="222222"/>
          <w:spacing w:val="-3"/>
        </w:rPr>
        <w:t xml:space="preserve"> </w:t>
      </w:r>
      <w:r>
        <w:rPr>
          <w:color w:val="222222"/>
        </w:rPr>
        <w:t>motifs</w:t>
      </w:r>
      <w:r>
        <w:rPr>
          <w:color w:val="222222"/>
          <w:spacing w:val="-3"/>
        </w:rPr>
        <w:t xml:space="preserve"> </w:t>
      </w:r>
      <w:r>
        <w:rPr>
          <w:color w:val="222222"/>
        </w:rPr>
        <w:t>are</w:t>
      </w:r>
      <w:r>
        <w:rPr>
          <w:color w:val="222222"/>
          <w:spacing w:val="-3"/>
        </w:rPr>
        <w:t xml:space="preserve"> </w:t>
      </w:r>
      <w:r>
        <w:rPr>
          <w:color w:val="222222"/>
        </w:rPr>
        <w:t>driving</w:t>
      </w:r>
      <w:r>
        <w:rPr>
          <w:color w:val="222222"/>
          <w:spacing w:val="-3"/>
        </w:rPr>
        <w:t xml:space="preserve"> </w:t>
      </w:r>
      <w:r>
        <w:rPr>
          <w:color w:val="222222"/>
        </w:rPr>
        <w:t>the</w:t>
      </w:r>
      <w:r>
        <w:rPr>
          <w:color w:val="222222"/>
          <w:spacing w:val="-3"/>
        </w:rPr>
        <w:t xml:space="preserve"> </w:t>
      </w:r>
      <w:r>
        <w:rPr>
          <w:color w:val="222222"/>
        </w:rPr>
        <w:t>predictions?</w:t>
      </w:r>
      <w:r>
        <w:rPr>
          <w:color w:val="222222"/>
          <w:spacing w:val="-3"/>
        </w:rPr>
        <w:t xml:space="preserve"> </w:t>
      </w:r>
      <w:r>
        <w:rPr>
          <w:color w:val="222222"/>
        </w:rPr>
        <w:t>To</w:t>
      </w:r>
      <w:r>
        <w:rPr>
          <w:color w:val="222222"/>
          <w:spacing w:val="-3"/>
        </w:rPr>
        <w:t xml:space="preserve"> </w:t>
      </w:r>
      <w:r>
        <w:rPr>
          <w:color w:val="222222"/>
        </w:rPr>
        <w:t>assess this, analyzing model attributions would be useful.</w:t>
      </w:r>
    </w:p>
    <w:p w14:paraId="2E341EDF" w14:textId="77777777" w:rsidR="00E211CC" w:rsidRDefault="00E211CC" w:rsidP="00E211CC">
      <w:pPr>
        <w:pStyle w:val="BodyText"/>
        <w:spacing w:before="32"/>
        <w:ind w:left="0"/>
      </w:pPr>
    </w:p>
    <w:p w14:paraId="209116FF" w14:textId="77777777" w:rsidR="00E211CC" w:rsidRDefault="00E211CC" w:rsidP="00E211CC">
      <w:pPr>
        <w:pStyle w:val="BodyText"/>
        <w:spacing w:before="1" w:line="276" w:lineRule="auto"/>
        <w:ind w:right="987"/>
      </w:pPr>
      <w:r>
        <w:rPr>
          <w:color w:val="4A86E8"/>
        </w:rPr>
        <w:t>We appreciate this suggestion and have added an analysis of the false negative and false positive</w:t>
      </w:r>
      <w:r>
        <w:rPr>
          <w:color w:val="4A86E8"/>
          <w:spacing w:val="-3"/>
        </w:rPr>
        <w:t xml:space="preserve"> </w:t>
      </w:r>
      <w:r>
        <w:rPr>
          <w:color w:val="4A86E8"/>
        </w:rPr>
        <w:t>rate</w:t>
      </w:r>
      <w:r>
        <w:rPr>
          <w:color w:val="4A86E8"/>
          <w:spacing w:val="-3"/>
        </w:rPr>
        <w:t xml:space="preserve"> </w:t>
      </w:r>
      <w:r>
        <w:rPr>
          <w:color w:val="4A86E8"/>
        </w:rPr>
        <w:t>of</w:t>
      </w:r>
      <w:r>
        <w:rPr>
          <w:color w:val="4A86E8"/>
          <w:spacing w:val="-3"/>
        </w:rPr>
        <w:t xml:space="preserve"> </w:t>
      </w:r>
      <w:r>
        <w:rPr>
          <w:color w:val="4A86E8"/>
        </w:rPr>
        <w:t>predictions,</w:t>
      </w:r>
      <w:r>
        <w:rPr>
          <w:color w:val="4A86E8"/>
          <w:spacing w:val="-3"/>
        </w:rPr>
        <w:t xml:space="preserve"> </w:t>
      </w:r>
      <w:r>
        <w:rPr>
          <w:color w:val="4A86E8"/>
        </w:rPr>
        <w:t>as</w:t>
      </w:r>
      <w:r>
        <w:rPr>
          <w:color w:val="4A86E8"/>
          <w:spacing w:val="-3"/>
        </w:rPr>
        <w:t xml:space="preserve"> </w:t>
      </w:r>
      <w:r>
        <w:rPr>
          <w:color w:val="4A86E8"/>
        </w:rPr>
        <w:t>well</w:t>
      </w:r>
      <w:r>
        <w:rPr>
          <w:color w:val="4A86E8"/>
          <w:spacing w:val="-3"/>
        </w:rPr>
        <w:t xml:space="preserve"> </w:t>
      </w:r>
      <w:r>
        <w:rPr>
          <w:color w:val="4A86E8"/>
        </w:rPr>
        <w:t>as</w:t>
      </w:r>
      <w:r>
        <w:rPr>
          <w:color w:val="4A86E8"/>
          <w:spacing w:val="-3"/>
        </w:rPr>
        <w:t xml:space="preserve"> </w:t>
      </w:r>
      <w:r>
        <w:rPr>
          <w:color w:val="4A86E8"/>
        </w:rPr>
        <w:t>an</w:t>
      </w:r>
      <w:r>
        <w:rPr>
          <w:color w:val="4A86E8"/>
          <w:spacing w:val="-3"/>
        </w:rPr>
        <w:t xml:space="preserve"> </w:t>
      </w:r>
      <w:r>
        <w:rPr>
          <w:color w:val="4A86E8"/>
        </w:rPr>
        <w:t>analysis</w:t>
      </w:r>
      <w:r>
        <w:rPr>
          <w:color w:val="4A86E8"/>
          <w:spacing w:val="-3"/>
        </w:rPr>
        <w:t xml:space="preserve"> </w:t>
      </w:r>
      <w:r>
        <w:rPr>
          <w:color w:val="4A86E8"/>
        </w:rPr>
        <w:t>of</w:t>
      </w:r>
      <w:r>
        <w:rPr>
          <w:color w:val="4A86E8"/>
          <w:spacing w:val="-3"/>
        </w:rPr>
        <w:t xml:space="preserve"> </w:t>
      </w:r>
      <w:r>
        <w:rPr>
          <w:color w:val="4A86E8"/>
        </w:rPr>
        <w:t>model</w:t>
      </w:r>
      <w:r>
        <w:rPr>
          <w:color w:val="4A86E8"/>
          <w:spacing w:val="-3"/>
        </w:rPr>
        <w:t xml:space="preserve"> </w:t>
      </w:r>
      <w:r>
        <w:rPr>
          <w:color w:val="4A86E8"/>
        </w:rPr>
        <w:t>attributions</w:t>
      </w:r>
      <w:r>
        <w:rPr>
          <w:color w:val="4A86E8"/>
          <w:spacing w:val="-3"/>
        </w:rPr>
        <w:t xml:space="preserve"> </w:t>
      </w:r>
      <w:r>
        <w:rPr>
          <w:color w:val="4A86E8"/>
        </w:rPr>
        <w:t>for</w:t>
      </w:r>
      <w:r>
        <w:rPr>
          <w:color w:val="4A86E8"/>
          <w:spacing w:val="-3"/>
        </w:rPr>
        <w:t xml:space="preserve"> </w:t>
      </w:r>
      <w:r>
        <w:rPr>
          <w:color w:val="4A86E8"/>
        </w:rPr>
        <w:t>specific</w:t>
      </w:r>
      <w:r>
        <w:rPr>
          <w:color w:val="4A86E8"/>
          <w:spacing w:val="-3"/>
        </w:rPr>
        <w:t xml:space="preserve"> </w:t>
      </w:r>
      <w:r>
        <w:rPr>
          <w:color w:val="4A86E8"/>
        </w:rPr>
        <w:t>peaks</w:t>
      </w:r>
      <w:r>
        <w:rPr>
          <w:color w:val="4A86E8"/>
          <w:spacing w:val="-3"/>
        </w:rPr>
        <w:t xml:space="preserve"> </w:t>
      </w:r>
      <w:r>
        <w:rPr>
          <w:color w:val="4A86E8"/>
        </w:rPr>
        <w:t>which are mis-predicted. We find that the multi-task models trained on the Loeb, et al. and Calderon, et al. datasets tend to have higher false positive rates, meaning that they predict peaks to be active in incorrect, or additional, cell types (Fig. S14). For both multi-task and single-task</w:t>
      </w:r>
    </w:p>
    <w:p w14:paraId="792C0123"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28348704" w14:textId="77777777" w:rsidR="00E211CC" w:rsidRDefault="00E211CC" w:rsidP="00E211CC">
      <w:pPr>
        <w:pStyle w:val="BodyText"/>
        <w:spacing w:before="80" w:line="276" w:lineRule="auto"/>
        <w:ind w:right="861"/>
      </w:pPr>
      <w:r>
        <w:rPr>
          <w:color w:val="4A86E8"/>
        </w:rPr>
        <w:lastRenderedPageBreak/>
        <w:t>models,</w:t>
      </w:r>
      <w:r>
        <w:rPr>
          <w:color w:val="4A86E8"/>
          <w:spacing w:val="-3"/>
        </w:rPr>
        <w:t xml:space="preserve"> </w:t>
      </w:r>
      <w:r>
        <w:rPr>
          <w:color w:val="4A86E8"/>
        </w:rPr>
        <w:t>we</w:t>
      </w:r>
      <w:r>
        <w:rPr>
          <w:color w:val="4A86E8"/>
          <w:spacing w:val="-3"/>
        </w:rPr>
        <w:t xml:space="preserve"> </w:t>
      </w:r>
      <w:r>
        <w:rPr>
          <w:color w:val="4A86E8"/>
        </w:rPr>
        <w:t>also</w:t>
      </w:r>
      <w:r>
        <w:rPr>
          <w:color w:val="4A86E8"/>
          <w:spacing w:val="-3"/>
        </w:rPr>
        <w:t xml:space="preserve"> </w:t>
      </w:r>
      <w:r>
        <w:rPr>
          <w:color w:val="4A86E8"/>
        </w:rPr>
        <w:t>observe</w:t>
      </w:r>
      <w:r>
        <w:rPr>
          <w:color w:val="4A86E8"/>
          <w:spacing w:val="-3"/>
        </w:rPr>
        <w:t xml:space="preserve"> </w:t>
      </w:r>
      <w:r>
        <w:rPr>
          <w:color w:val="4A86E8"/>
        </w:rPr>
        <w:t>that</w:t>
      </w:r>
      <w:r>
        <w:rPr>
          <w:color w:val="4A86E8"/>
          <w:spacing w:val="-3"/>
        </w:rPr>
        <w:t xml:space="preserve"> </w:t>
      </w:r>
      <w:r>
        <w:rPr>
          <w:color w:val="4A86E8"/>
        </w:rPr>
        <w:t>the</w:t>
      </w:r>
      <w:r>
        <w:rPr>
          <w:color w:val="4A86E8"/>
          <w:spacing w:val="-3"/>
        </w:rPr>
        <w:t xml:space="preserve"> </w:t>
      </w:r>
      <w:r>
        <w:rPr>
          <w:color w:val="4A86E8"/>
        </w:rPr>
        <w:t>false</w:t>
      </w:r>
      <w:r>
        <w:rPr>
          <w:color w:val="4A86E8"/>
          <w:spacing w:val="-3"/>
        </w:rPr>
        <w:t xml:space="preserve"> </w:t>
      </w:r>
      <w:r>
        <w:rPr>
          <w:color w:val="4A86E8"/>
        </w:rPr>
        <w:t>negative</w:t>
      </w:r>
      <w:r>
        <w:rPr>
          <w:color w:val="4A86E8"/>
          <w:spacing w:val="-3"/>
        </w:rPr>
        <w:t xml:space="preserve"> </w:t>
      </w:r>
      <w:r>
        <w:rPr>
          <w:color w:val="4A86E8"/>
        </w:rPr>
        <w:t>rate</w:t>
      </w:r>
      <w:r>
        <w:rPr>
          <w:color w:val="4A86E8"/>
          <w:spacing w:val="-3"/>
        </w:rPr>
        <w:t xml:space="preserve"> </w:t>
      </w:r>
      <w:r>
        <w:rPr>
          <w:color w:val="4A86E8"/>
        </w:rPr>
        <w:t>is</w:t>
      </w:r>
      <w:r>
        <w:rPr>
          <w:color w:val="4A86E8"/>
          <w:spacing w:val="-3"/>
        </w:rPr>
        <w:t xml:space="preserve"> </w:t>
      </w:r>
      <w:r>
        <w:rPr>
          <w:color w:val="4A86E8"/>
        </w:rPr>
        <w:t>higher</w:t>
      </w:r>
      <w:r>
        <w:rPr>
          <w:color w:val="4A86E8"/>
          <w:spacing w:val="-3"/>
        </w:rPr>
        <w:t xml:space="preserve"> </w:t>
      </w:r>
      <w:r>
        <w:rPr>
          <w:color w:val="4A86E8"/>
        </w:rPr>
        <w:t>for</w:t>
      </w:r>
      <w:r>
        <w:rPr>
          <w:color w:val="4A86E8"/>
          <w:spacing w:val="-3"/>
        </w:rPr>
        <w:t xml:space="preserve"> </w:t>
      </w:r>
      <w:r>
        <w:rPr>
          <w:color w:val="4A86E8"/>
        </w:rPr>
        <w:t>cell</w:t>
      </w:r>
      <w:r>
        <w:rPr>
          <w:color w:val="4A86E8"/>
          <w:spacing w:val="-3"/>
        </w:rPr>
        <w:t xml:space="preserve"> </w:t>
      </w:r>
      <w:r>
        <w:rPr>
          <w:color w:val="4A86E8"/>
        </w:rPr>
        <w:t>type</w:t>
      </w:r>
      <w:r>
        <w:rPr>
          <w:color w:val="4A86E8"/>
          <w:spacing w:val="-3"/>
        </w:rPr>
        <w:t xml:space="preserve"> </w:t>
      </w:r>
      <w:r>
        <w:rPr>
          <w:color w:val="4A86E8"/>
        </w:rPr>
        <w:t>specific</w:t>
      </w:r>
      <w:r>
        <w:rPr>
          <w:color w:val="4A86E8"/>
          <w:spacing w:val="-3"/>
        </w:rPr>
        <w:t xml:space="preserve"> </w:t>
      </w:r>
      <w:r>
        <w:rPr>
          <w:color w:val="4A86E8"/>
        </w:rPr>
        <w:t>peaks</w:t>
      </w:r>
      <w:r>
        <w:rPr>
          <w:color w:val="4A86E8"/>
          <w:spacing w:val="-3"/>
        </w:rPr>
        <w:t xml:space="preserve"> </w:t>
      </w:r>
      <w:r>
        <w:rPr>
          <w:color w:val="4A86E8"/>
        </w:rPr>
        <w:t>than ubiquitous peaks. We observe a tradeoff between the false positive and false negative rates, with single-task learning generally reducing the false positive rate – consistent with our observation</w:t>
      </w:r>
      <w:r>
        <w:rPr>
          <w:color w:val="4A86E8"/>
          <w:spacing w:val="-3"/>
        </w:rPr>
        <w:t xml:space="preserve"> </w:t>
      </w:r>
      <w:r>
        <w:rPr>
          <w:color w:val="4A86E8"/>
        </w:rPr>
        <w:t>that</w:t>
      </w:r>
      <w:r>
        <w:rPr>
          <w:color w:val="4A86E8"/>
          <w:spacing w:val="-3"/>
        </w:rPr>
        <w:t xml:space="preserve"> </w:t>
      </w:r>
      <w:r>
        <w:rPr>
          <w:color w:val="4A86E8"/>
        </w:rPr>
        <w:t>single-task</w:t>
      </w:r>
      <w:r>
        <w:rPr>
          <w:color w:val="4A86E8"/>
          <w:spacing w:val="-3"/>
        </w:rPr>
        <w:t xml:space="preserve"> </w:t>
      </w:r>
      <w:r>
        <w:rPr>
          <w:color w:val="4A86E8"/>
        </w:rPr>
        <w:t>model</w:t>
      </w:r>
      <w:r>
        <w:rPr>
          <w:color w:val="4A86E8"/>
          <w:spacing w:val="-3"/>
        </w:rPr>
        <w:t xml:space="preserve"> </w:t>
      </w:r>
      <w:r>
        <w:rPr>
          <w:color w:val="4A86E8"/>
        </w:rPr>
        <w:t>predictions</w:t>
      </w:r>
      <w:r>
        <w:rPr>
          <w:color w:val="4A86E8"/>
          <w:spacing w:val="-3"/>
        </w:rPr>
        <w:t xml:space="preserve"> </w:t>
      </w:r>
      <w:r>
        <w:rPr>
          <w:color w:val="4A86E8"/>
        </w:rPr>
        <w:t>are</w:t>
      </w:r>
      <w:r>
        <w:rPr>
          <w:color w:val="4A86E8"/>
          <w:spacing w:val="-3"/>
        </w:rPr>
        <w:t xml:space="preserve"> </w:t>
      </w:r>
      <w:r>
        <w:rPr>
          <w:color w:val="4A86E8"/>
        </w:rPr>
        <w:t>generally</w:t>
      </w:r>
      <w:r>
        <w:rPr>
          <w:color w:val="4A86E8"/>
          <w:spacing w:val="-3"/>
        </w:rPr>
        <w:t xml:space="preserve"> </w:t>
      </w:r>
      <w:r>
        <w:rPr>
          <w:color w:val="4A86E8"/>
        </w:rPr>
        <w:t>less</w:t>
      </w:r>
      <w:r>
        <w:rPr>
          <w:color w:val="4A86E8"/>
          <w:spacing w:val="-3"/>
        </w:rPr>
        <w:t xml:space="preserve"> </w:t>
      </w:r>
      <w:r>
        <w:rPr>
          <w:color w:val="4A86E8"/>
        </w:rPr>
        <w:t>over-correlated</w:t>
      </w:r>
      <w:r>
        <w:rPr>
          <w:color w:val="4A86E8"/>
          <w:spacing w:val="-3"/>
        </w:rPr>
        <w:t xml:space="preserve"> </w:t>
      </w:r>
      <w:r>
        <w:rPr>
          <w:color w:val="4A86E8"/>
        </w:rPr>
        <w:t>between</w:t>
      </w:r>
      <w:r>
        <w:rPr>
          <w:color w:val="4A86E8"/>
          <w:spacing w:val="-3"/>
        </w:rPr>
        <w:t xml:space="preserve"> </w:t>
      </w:r>
      <w:r>
        <w:rPr>
          <w:color w:val="4A86E8"/>
        </w:rPr>
        <w:t>cell types – but slightly increasing the false negative rate, suggesting that some peak predictions may benefit from information sharing across cell types.</w:t>
      </w:r>
    </w:p>
    <w:p w14:paraId="022C5C21" w14:textId="77777777" w:rsidR="00E211CC" w:rsidRDefault="00E211CC" w:rsidP="00E211CC">
      <w:pPr>
        <w:pStyle w:val="BodyText"/>
        <w:spacing w:before="36"/>
        <w:ind w:left="0"/>
      </w:pPr>
    </w:p>
    <w:p w14:paraId="7AD70FE3" w14:textId="77777777" w:rsidR="00E211CC" w:rsidRDefault="00E211CC" w:rsidP="00E211CC">
      <w:pPr>
        <w:pStyle w:val="BodyText"/>
        <w:spacing w:line="276" w:lineRule="auto"/>
        <w:ind w:right="912"/>
      </w:pPr>
      <w:r>
        <w:rPr>
          <w:color w:val="4A86E8"/>
        </w:rPr>
        <w:t>We also performed an attribution analysis for specific peaks with false positive predictions to examine the motifs driving the predictions. In the Loeb, et al. data, we highlight a Stromal cell specific peak that is mispredicted by the multitask model to be a peak in the other cell types as well, but is correctly predicted by the single-task models to only be accessible in Stromal cells. In silico mutagenesis of this peak reveals that a TEAD-like motif is driving the prediction of the multi-task model in Stromal and non-Stromal cell types (Fig. S17a). By contrast, this TEAD-like motif is less apparent in the single-task models trained on the non-Stromal cell types. In the Calderon, et al. data, we highlight a dendritic cell specific peak that is mispredicted by the multitask model to be a peak in the other cell types as well, but is correctly predicted by the single-task models to only be accessible in dendritic cells. In silico mutagenesis of this peak reveals that a SPIB-like motif is weakly driving the predictions of the multi-task model in dendritic</w:t>
      </w:r>
      <w:r>
        <w:rPr>
          <w:color w:val="4A86E8"/>
          <w:spacing w:val="-3"/>
        </w:rPr>
        <w:t xml:space="preserve"> </w:t>
      </w:r>
      <w:r>
        <w:rPr>
          <w:color w:val="4A86E8"/>
        </w:rPr>
        <w:t>and</w:t>
      </w:r>
      <w:r>
        <w:rPr>
          <w:color w:val="4A86E8"/>
          <w:spacing w:val="-3"/>
        </w:rPr>
        <w:t xml:space="preserve"> </w:t>
      </w:r>
      <w:r>
        <w:rPr>
          <w:color w:val="4A86E8"/>
        </w:rPr>
        <w:t>non-dendritic</w:t>
      </w:r>
      <w:r>
        <w:rPr>
          <w:color w:val="4A86E8"/>
          <w:spacing w:val="-3"/>
        </w:rPr>
        <w:t xml:space="preserve"> </w:t>
      </w:r>
      <w:r>
        <w:rPr>
          <w:color w:val="4A86E8"/>
        </w:rPr>
        <w:t>cell</w:t>
      </w:r>
      <w:r>
        <w:rPr>
          <w:color w:val="4A86E8"/>
          <w:spacing w:val="-3"/>
        </w:rPr>
        <w:t xml:space="preserve"> </w:t>
      </w:r>
      <w:r>
        <w:rPr>
          <w:color w:val="4A86E8"/>
        </w:rPr>
        <w:t>types</w:t>
      </w:r>
      <w:r>
        <w:rPr>
          <w:color w:val="4A86E8"/>
          <w:spacing w:val="-3"/>
        </w:rPr>
        <w:t xml:space="preserve"> </w:t>
      </w:r>
      <w:r>
        <w:rPr>
          <w:color w:val="4A86E8"/>
        </w:rPr>
        <w:t>(Fig.</w:t>
      </w:r>
      <w:r>
        <w:rPr>
          <w:color w:val="4A86E8"/>
          <w:spacing w:val="-3"/>
        </w:rPr>
        <w:t xml:space="preserve"> </w:t>
      </w:r>
      <w:r>
        <w:rPr>
          <w:color w:val="4A86E8"/>
        </w:rPr>
        <w:t>S17b).</w:t>
      </w:r>
      <w:r>
        <w:rPr>
          <w:color w:val="4A86E8"/>
          <w:spacing w:val="-3"/>
        </w:rPr>
        <w:t xml:space="preserve"> </w:t>
      </w:r>
      <w:r>
        <w:rPr>
          <w:color w:val="4A86E8"/>
        </w:rPr>
        <w:t>By</w:t>
      </w:r>
      <w:r>
        <w:rPr>
          <w:color w:val="4A86E8"/>
          <w:spacing w:val="-3"/>
        </w:rPr>
        <w:t xml:space="preserve"> </w:t>
      </w:r>
      <w:r>
        <w:rPr>
          <w:color w:val="4A86E8"/>
        </w:rPr>
        <w:t>contrast,</w:t>
      </w:r>
      <w:r>
        <w:rPr>
          <w:color w:val="4A86E8"/>
          <w:spacing w:val="-3"/>
        </w:rPr>
        <w:t xml:space="preserve"> </w:t>
      </w:r>
      <w:r>
        <w:rPr>
          <w:color w:val="4A86E8"/>
        </w:rPr>
        <w:t>this</w:t>
      </w:r>
      <w:r>
        <w:rPr>
          <w:color w:val="4A86E8"/>
          <w:spacing w:val="-3"/>
        </w:rPr>
        <w:t xml:space="preserve"> </w:t>
      </w:r>
      <w:r>
        <w:rPr>
          <w:color w:val="4A86E8"/>
        </w:rPr>
        <w:t>SPIB-like</w:t>
      </w:r>
      <w:r>
        <w:rPr>
          <w:color w:val="4A86E8"/>
          <w:spacing w:val="-3"/>
        </w:rPr>
        <w:t xml:space="preserve"> </w:t>
      </w:r>
      <w:r>
        <w:rPr>
          <w:color w:val="4A86E8"/>
        </w:rPr>
        <w:t>motif</w:t>
      </w:r>
      <w:r>
        <w:rPr>
          <w:color w:val="4A86E8"/>
          <w:spacing w:val="-3"/>
        </w:rPr>
        <w:t xml:space="preserve"> </w:t>
      </w:r>
      <w:r>
        <w:rPr>
          <w:color w:val="4A86E8"/>
        </w:rPr>
        <w:t>is</w:t>
      </w:r>
      <w:r>
        <w:rPr>
          <w:color w:val="4A86E8"/>
          <w:spacing w:val="-3"/>
        </w:rPr>
        <w:t xml:space="preserve"> </w:t>
      </w:r>
      <w:r>
        <w:rPr>
          <w:color w:val="4A86E8"/>
        </w:rPr>
        <w:t>only</w:t>
      </w:r>
      <w:r>
        <w:rPr>
          <w:color w:val="4A86E8"/>
          <w:spacing w:val="-3"/>
        </w:rPr>
        <w:t xml:space="preserve"> </w:t>
      </w:r>
      <w:r>
        <w:rPr>
          <w:color w:val="4A86E8"/>
        </w:rPr>
        <w:t>driving predictions of the single-task dendritic cell model.</w:t>
      </w:r>
    </w:p>
    <w:p w14:paraId="2789769F" w14:textId="77777777" w:rsidR="00E211CC" w:rsidRDefault="00E211CC" w:rsidP="00E211CC">
      <w:pPr>
        <w:pStyle w:val="BodyText"/>
        <w:spacing w:before="40"/>
        <w:ind w:left="0"/>
      </w:pPr>
    </w:p>
    <w:p w14:paraId="5F98859B" w14:textId="77777777" w:rsidR="00E211CC" w:rsidRDefault="00E211CC" w:rsidP="00E211CC">
      <w:pPr>
        <w:pStyle w:val="ListParagraph"/>
        <w:widowControl w:val="0"/>
        <w:numPr>
          <w:ilvl w:val="0"/>
          <w:numId w:val="1"/>
        </w:numPr>
        <w:tabs>
          <w:tab w:val="left" w:pos="1063"/>
        </w:tabs>
        <w:autoSpaceDE w:val="0"/>
        <w:autoSpaceDN w:val="0"/>
        <w:spacing w:before="1" w:after="0" w:line="273" w:lineRule="auto"/>
        <w:ind w:right="1400" w:firstLine="0"/>
        <w:contextualSpacing w:val="0"/>
      </w:pPr>
      <w:r>
        <w:rPr>
          <w:color w:val="222222"/>
        </w:rPr>
        <w:t>Why</w:t>
      </w:r>
      <w:r>
        <w:rPr>
          <w:color w:val="222222"/>
          <w:spacing w:val="-3"/>
        </w:rPr>
        <w:t xml:space="preserve"> </w:t>
      </w:r>
      <w:r>
        <w:rPr>
          <w:color w:val="222222"/>
        </w:rPr>
        <w:t>is</w:t>
      </w:r>
      <w:r>
        <w:rPr>
          <w:color w:val="222222"/>
          <w:spacing w:val="-3"/>
        </w:rPr>
        <w:t xml:space="preserve"> </w:t>
      </w:r>
      <w:r>
        <w:rPr>
          <w:color w:val="222222"/>
        </w:rPr>
        <w:t>cell</w:t>
      </w:r>
      <w:r>
        <w:rPr>
          <w:color w:val="222222"/>
          <w:spacing w:val="-3"/>
        </w:rPr>
        <w:t xml:space="preserve"> </w:t>
      </w:r>
      <w:r>
        <w:rPr>
          <w:color w:val="222222"/>
        </w:rPr>
        <w:t>type</w:t>
      </w:r>
      <w:r>
        <w:rPr>
          <w:color w:val="222222"/>
          <w:spacing w:val="-3"/>
        </w:rPr>
        <w:t xml:space="preserve"> </w:t>
      </w:r>
      <w:r>
        <w:rPr>
          <w:color w:val="222222"/>
        </w:rPr>
        <w:t>specific</w:t>
      </w:r>
      <w:r>
        <w:rPr>
          <w:color w:val="222222"/>
          <w:spacing w:val="-3"/>
        </w:rPr>
        <w:t xml:space="preserve"> </w:t>
      </w:r>
      <w:r>
        <w:rPr>
          <w:color w:val="222222"/>
        </w:rPr>
        <w:t>performance</w:t>
      </w:r>
      <w:r>
        <w:rPr>
          <w:color w:val="222222"/>
          <w:spacing w:val="-3"/>
        </w:rPr>
        <w:t xml:space="preserve"> </w:t>
      </w:r>
      <w:r>
        <w:rPr>
          <w:color w:val="222222"/>
        </w:rPr>
        <w:t>worse?</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seem</w:t>
      </w:r>
      <w:r>
        <w:rPr>
          <w:color w:val="222222"/>
          <w:spacing w:val="-3"/>
        </w:rPr>
        <w:t xml:space="preserve"> </w:t>
      </w:r>
      <w:r>
        <w:rPr>
          <w:color w:val="222222"/>
        </w:rPr>
        <w:t>to</w:t>
      </w:r>
      <w:r>
        <w:rPr>
          <w:color w:val="222222"/>
          <w:spacing w:val="-3"/>
        </w:rPr>
        <w:t xml:space="preserve"> </w:t>
      </w:r>
      <w:r>
        <w:rPr>
          <w:color w:val="222222"/>
        </w:rPr>
        <w:t>favor</w:t>
      </w:r>
      <w:r>
        <w:rPr>
          <w:color w:val="222222"/>
          <w:spacing w:val="-3"/>
        </w:rPr>
        <w:t xml:space="preserve"> </w:t>
      </w:r>
      <w:r>
        <w:rPr>
          <w:color w:val="222222"/>
        </w:rPr>
        <w:t>model</w:t>
      </w:r>
      <w:r>
        <w:rPr>
          <w:color w:val="222222"/>
          <w:spacing w:val="-3"/>
        </w:rPr>
        <w:t xml:space="preserve"> </w:t>
      </w:r>
      <w:r>
        <w:rPr>
          <w:color w:val="222222"/>
        </w:rPr>
        <w:t>bias,</w:t>
      </w:r>
      <w:r>
        <w:rPr>
          <w:color w:val="222222"/>
          <w:spacing w:val="-3"/>
        </w:rPr>
        <w:t xml:space="preserve"> </w:t>
      </w:r>
      <w:r>
        <w:rPr>
          <w:color w:val="222222"/>
        </w:rPr>
        <w:t>but several alternatives are worth considering:</w:t>
      </w:r>
    </w:p>
    <w:p w14:paraId="794A6EF6" w14:textId="77777777" w:rsidR="00E211CC" w:rsidRDefault="00E211CC" w:rsidP="00E211CC">
      <w:pPr>
        <w:pStyle w:val="BodyText"/>
        <w:spacing w:before="4" w:line="276" w:lineRule="auto"/>
        <w:ind w:right="987"/>
      </w:pPr>
      <w:r>
        <w:rPr>
          <w:color w:val="222222"/>
        </w:rPr>
        <w:t>8a. Ubiquitous peaks have a greater true positive rate because specific peaks are more likely false</w:t>
      </w:r>
      <w:r>
        <w:rPr>
          <w:color w:val="222222"/>
          <w:spacing w:val="-4"/>
        </w:rPr>
        <w:t xml:space="preserve"> </w:t>
      </w:r>
      <w:r>
        <w:rPr>
          <w:color w:val="222222"/>
        </w:rPr>
        <w:t>positive</w:t>
      </w:r>
      <w:r>
        <w:rPr>
          <w:color w:val="222222"/>
          <w:spacing w:val="-4"/>
        </w:rPr>
        <w:t xml:space="preserve"> </w:t>
      </w:r>
      <w:r>
        <w:rPr>
          <w:color w:val="222222"/>
        </w:rPr>
        <w:t>peak</w:t>
      </w:r>
      <w:r>
        <w:rPr>
          <w:color w:val="222222"/>
          <w:spacing w:val="-4"/>
        </w:rPr>
        <w:t xml:space="preserve"> </w:t>
      </w:r>
      <w:r>
        <w:rPr>
          <w:color w:val="222222"/>
        </w:rPr>
        <w:t>calls</w:t>
      </w:r>
      <w:r>
        <w:rPr>
          <w:color w:val="222222"/>
          <w:spacing w:val="-4"/>
        </w:rPr>
        <w:t xml:space="preserve"> </w:t>
      </w:r>
      <w:r>
        <w:rPr>
          <w:color w:val="222222"/>
        </w:rPr>
        <w:t>or</w:t>
      </w:r>
      <w:r>
        <w:rPr>
          <w:color w:val="222222"/>
          <w:spacing w:val="-4"/>
        </w:rPr>
        <w:t xml:space="preserve"> </w:t>
      </w:r>
      <w:r>
        <w:rPr>
          <w:color w:val="222222"/>
        </w:rPr>
        <w:t>attributable</w:t>
      </w:r>
      <w:r>
        <w:rPr>
          <w:color w:val="222222"/>
          <w:spacing w:val="-4"/>
        </w:rPr>
        <w:t xml:space="preserve"> </w:t>
      </w:r>
      <w:r>
        <w:rPr>
          <w:color w:val="222222"/>
        </w:rPr>
        <w:t>to</w:t>
      </w:r>
      <w:r>
        <w:rPr>
          <w:color w:val="222222"/>
          <w:spacing w:val="-4"/>
        </w:rPr>
        <w:t xml:space="preserve"> </w:t>
      </w:r>
      <w:r>
        <w:rPr>
          <w:color w:val="222222"/>
        </w:rPr>
        <w:t>genetic</w:t>
      </w:r>
      <w:r>
        <w:rPr>
          <w:color w:val="222222"/>
          <w:spacing w:val="-4"/>
        </w:rPr>
        <w:t xml:space="preserve"> </w:t>
      </w:r>
      <w:r>
        <w:rPr>
          <w:color w:val="222222"/>
        </w:rPr>
        <w:t>variation</w:t>
      </w:r>
      <w:r>
        <w:rPr>
          <w:color w:val="222222"/>
          <w:spacing w:val="-4"/>
        </w:rPr>
        <w:t xml:space="preserve"> </w:t>
      </w:r>
      <w:r>
        <w:rPr>
          <w:color w:val="222222"/>
        </w:rPr>
        <w:t>outside</w:t>
      </w:r>
      <w:r>
        <w:rPr>
          <w:color w:val="222222"/>
          <w:spacing w:val="-4"/>
        </w:rPr>
        <w:t xml:space="preserve"> </w:t>
      </w:r>
      <w:r>
        <w:rPr>
          <w:color w:val="222222"/>
        </w:rPr>
        <w:t>the</w:t>
      </w:r>
      <w:r>
        <w:rPr>
          <w:color w:val="222222"/>
          <w:spacing w:val="-4"/>
        </w:rPr>
        <w:t xml:space="preserve"> </w:t>
      </w:r>
      <w:r>
        <w:rPr>
          <w:color w:val="222222"/>
        </w:rPr>
        <w:t>reference.</w:t>
      </w:r>
      <w:r>
        <w:rPr>
          <w:color w:val="222222"/>
          <w:spacing w:val="-4"/>
        </w:rPr>
        <w:t xml:space="preserve"> </w:t>
      </w:r>
      <w:r>
        <w:rPr>
          <w:color w:val="222222"/>
        </w:rPr>
        <w:t>Authors</w:t>
      </w:r>
      <w:r>
        <w:rPr>
          <w:color w:val="222222"/>
          <w:spacing w:val="-4"/>
        </w:rPr>
        <w:t xml:space="preserve"> </w:t>
      </w:r>
      <w:r>
        <w:rPr>
          <w:color w:val="222222"/>
        </w:rPr>
        <w:t>could assess using ENCODE replicates whether ubiquitous peaks are more likely to appear in multiple replicates.</w:t>
      </w:r>
    </w:p>
    <w:p w14:paraId="378FC389" w14:textId="77777777" w:rsidR="00E211CC" w:rsidRDefault="00E211CC" w:rsidP="00E211CC">
      <w:pPr>
        <w:pStyle w:val="BodyText"/>
        <w:spacing w:before="37"/>
        <w:ind w:left="0"/>
      </w:pPr>
    </w:p>
    <w:p w14:paraId="214D3577" w14:textId="77777777" w:rsidR="00E211CC" w:rsidRDefault="00E211CC" w:rsidP="00E211CC">
      <w:pPr>
        <w:pStyle w:val="BodyText"/>
        <w:spacing w:line="276" w:lineRule="auto"/>
        <w:ind w:right="861"/>
      </w:pPr>
      <w:r>
        <w:rPr>
          <w:color w:val="4A86E8"/>
        </w:rPr>
        <w:t>We thank the reviewer for this suggestion. For five of the Enformer accessibility tracks with ENCODE</w:t>
      </w:r>
      <w:r>
        <w:rPr>
          <w:color w:val="4A86E8"/>
          <w:spacing w:val="-3"/>
        </w:rPr>
        <w:t xml:space="preserve"> </w:t>
      </w:r>
      <w:r>
        <w:rPr>
          <w:color w:val="4A86E8"/>
        </w:rPr>
        <w:t>replicates,</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added</w:t>
      </w:r>
      <w:r>
        <w:rPr>
          <w:color w:val="4A86E8"/>
          <w:spacing w:val="-3"/>
        </w:rPr>
        <w:t xml:space="preserve"> </w:t>
      </w:r>
      <w:r>
        <w:rPr>
          <w:color w:val="4A86E8"/>
        </w:rPr>
        <w:t>a</w:t>
      </w:r>
      <w:r>
        <w:rPr>
          <w:color w:val="4A86E8"/>
          <w:spacing w:val="-3"/>
        </w:rPr>
        <w:t xml:space="preserve"> </w:t>
      </w:r>
      <w:r>
        <w:rPr>
          <w:color w:val="4A86E8"/>
        </w:rPr>
        <w:t>comparison</w:t>
      </w:r>
      <w:r>
        <w:rPr>
          <w:color w:val="4A86E8"/>
          <w:spacing w:val="-3"/>
        </w:rPr>
        <w:t xml:space="preserve"> </w:t>
      </w:r>
      <w:r>
        <w:rPr>
          <w:color w:val="4A86E8"/>
        </w:rPr>
        <w:t>of</w:t>
      </w:r>
      <w:r>
        <w:rPr>
          <w:color w:val="4A86E8"/>
          <w:spacing w:val="-3"/>
        </w:rPr>
        <w:t xml:space="preserve"> </w:t>
      </w:r>
      <w:r>
        <w:rPr>
          <w:color w:val="4A86E8"/>
        </w:rPr>
        <w:t>Enformer’s</w:t>
      </w:r>
      <w:r>
        <w:rPr>
          <w:color w:val="4A86E8"/>
          <w:spacing w:val="-3"/>
        </w:rPr>
        <w:t xml:space="preserve"> </w:t>
      </w:r>
      <w:r>
        <w:rPr>
          <w:color w:val="4A86E8"/>
        </w:rPr>
        <w:t>performance</w:t>
      </w:r>
      <w:r>
        <w:rPr>
          <w:color w:val="4A86E8"/>
          <w:spacing w:val="-3"/>
        </w:rPr>
        <w:t xml:space="preserve"> </w:t>
      </w:r>
      <w:r>
        <w:rPr>
          <w:color w:val="4A86E8"/>
        </w:rPr>
        <w:t>to</w:t>
      </w:r>
      <w:r>
        <w:rPr>
          <w:color w:val="4A86E8"/>
          <w:spacing w:val="-3"/>
        </w:rPr>
        <w:t xml:space="preserve"> </w:t>
      </w:r>
      <w:r>
        <w:rPr>
          <w:color w:val="4A86E8"/>
        </w:rPr>
        <w:t>the</w:t>
      </w:r>
      <w:r>
        <w:rPr>
          <w:color w:val="4A86E8"/>
          <w:spacing w:val="-3"/>
        </w:rPr>
        <w:t xml:space="preserve"> </w:t>
      </w:r>
      <w:r>
        <w:rPr>
          <w:color w:val="4A86E8"/>
        </w:rPr>
        <w:t>correlation between replicates within different cell type specificity bins (Fig. S3). We find that although cell type specific peaks are slightly less replicable than ubiquitous peaks, the difference does not explain the drop in performance in these peaks.</w:t>
      </w:r>
    </w:p>
    <w:p w14:paraId="2A08CFC7" w14:textId="77777777" w:rsidR="00E211CC" w:rsidRDefault="00E211CC" w:rsidP="00E211CC">
      <w:pPr>
        <w:pStyle w:val="BodyText"/>
        <w:spacing w:before="40"/>
        <w:ind w:left="0"/>
      </w:pPr>
    </w:p>
    <w:p w14:paraId="2F17CBF4" w14:textId="77777777" w:rsidR="00E211CC" w:rsidRDefault="00E211CC" w:rsidP="00E211CC">
      <w:pPr>
        <w:pStyle w:val="BodyText"/>
        <w:spacing w:line="276" w:lineRule="auto"/>
        <w:ind w:right="861"/>
      </w:pPr>
      <w:r>
        <w:rPr>
          <w:color w:val="222222"/>
        </w:rPr>
        <w:t>8b.</w:t>
      </w:r>
      <w:r>
        <w:rPr>
          <w:color w:val="222222"/>
          <w:spacing w:val="-3"/>
        </w:rPr>
        <w:t xml:space="preserve"> </w:t>
      </w:r>
      <w:r>
        <w:rPr>
          <w:color w:val="222222"/>
        </w:rPr>
        <w:t>Do</w:t>
      </w:r>
      <w:r>
        <w:rPr>
          <w:color w:val="222222"/>
          <w:spacing w:val="-3"/>
        </w:rPr>
        <w:t xml:space="preserve"> </w:t>
      </w:r>
      <w:r>
        <w:rPr>
          <w:color w:val="222222"/>
        </w:rPr>
        <w:t>ubiquitous</w:t>
      </w:r>
      <w:r>
        <w:rPr>
          <w:color w:val="222222"/>
          <w:spacing w:val="-3"/>
        </w:rPr>
        <w:t xml:space="preserve"> </w:t>
      </w:r>
      <w:r>
        <w:rPr>
          <w:color w:val="222222"/>
        </w:rPr>
        <w:t>peaks</w:t>
      </w:r>
      <w:r>
        <w:rPr>
          <w:color w:val="222222"/>
          <w:spacing w:val="-3"/>
        </w:rPr>
        <w:t xml:space="preserve"> </w:t>
      </w:r>
      <w:r>
        <w:rPr>
          <w:color w:val="222222"/>
        </w:rPr>
        <w:t>have</w:t>
      </w:r>
      <w:r>
        <w:rPr>
          <w:color w:val="222222"/>
          <w:spacing w:val="-3"/>
        </w:rPr>
        <w:t xml:space="preserve"> </w:t>
      </w:r>
      <w:r>
        <w:rPr>
          <w:color w:val="222222"/>
        </w:rPr>
        <w:t>greater</w:t>
      </w:r>
      <w:r>
        <w:rPr>
          <w:color w:val="222222"/>
          <w:spacing w:val="-3"/>
        </w:rPr>
        <w:t xml:space="preserve"> </w:t>
      </w:r>
      <w:r>
        <w:rPr>
          <w:color w:val="222222"/>
        </w:rPr>
        <w:t>information</w:t>
      </w:r>
      <w:r>
        <w:rPr>
          <w:color w:val="222222"/>
          <w:spacing w:val="-3"/>
        </w:rPr>
        <w:t xml:space="preserve"> </w:t>
      </w:r>
      <w:r>
        <w:rPr>
          <w:color w:val="222222"/>
        </w:rPr>
        <w:t>content</w:t>
      </w:r>
      <w:r>
        <w:rPr>
          <w:color w:val="222222"/>
          <w:spacing w:val="-3"/>
        </w:rPr>
        <w:t xml:space="preserve"> </w:t>
      </w:r>
      <w:r>
        <w:rPr>
          <w:color w:val="222222"/>
        </w:rPr>
        <w:t>than</w:t>
      </w:r>
      <w:r>
        <w:rPr>
          <w:color w:val="222222"/>
          <w:spacing w:val="-3"/>
        </w:rPr>
        <w:t xml:space="preserve"> </w:t>
      </w:r>
      <w:r>
        <w:rPr>
          <w:color w:val="222222"/>
        </w:rPr>
        <w:t>specific</w:t>
      </w:r>
      <w:r>
        <w:rPr>
          <w:color w:val="222222"/>
          <w:spacing w:val="-3"/>
        </w:rPr>
        <w:t xml:space="preserve"> </w:t>
      </w:r>
      <w:r>
        <w:rPr>
          <w:color w:val="222222"/>
        </w:rPr>
        <w:t>peaks?</w:t>
      </w:r>
      <w:r>
        <w:rPr>
          <w:color w:val="222222"/>
          <w:spacing w:val="-3"/>
        </w:rPr>
        <w:t xml:space="preserve"> </w:t>
      </w:r>
      <w:r>
        <w:rPr>
          <w:color w:val="222222"/>
        </w:rPr>
        <w:t>I.e.</w:t>
      </w:r>
      <w:r>
        <w:rPr>
          <w:color w:val="222222"/>
          <w:spacing w:val="-3"/>
        </w:rPr>
        <w:t xml:space="preserve"> </w:t>
      </w:r>
      <w:r>
        <w:rPr>
          <w:color w:val="222222"/>
        </w:rPr>
        <w:t>CpG</w:t>
      </w:r>
      <w:r>
        <w:rPr>
          <w:color w:val="222222"/>
          <w:spacing w:val="-3"/>
        </w:rPr>
        <w:t xml:space="preserve"> </w:t>
      </w:r>
      <w:r>
        <w:rPr>
          <w:color w:val="222222"/>
        </w:rPr>
        <w:t>island promoters and CTCF insulators are very easy to predict. Are specific peaks more likely to be driven by complex grammars that are inherently more challenging for ML models to learn?</w:t>
      </w:r>
    </w:p>
    <w:p w14:paraId="3EF80E22" w14:textId="77777777" w:rsidR="00E211CC" w:rsidRDefault="00E211CC" w:rsidP="00E211CC">
      <w:pPr>
        <w:pStyle w:val="BodyText"/>
        <w:spacing w:before="36"/>
        <w:ind w:left="0"/>
      </w:pPr>
    </w:p>
    <w:p w14:paraId="4D42F48F" w14:textId="77777777" w:rsidR="00E211CC" w:rsidRDefault="00E211CC" w:rsidP="00E211CC">
      <w:pPr>
        <w:pStyle w:val="BodyText"/>
        <w:spacing w:line="276" w:lineRule="auto"/>
        <w:ind w:right="861"/>
      </w:pPr>
      <w:r>
        <w:rPr>
          <w:color w:val="4A86E8"/>
        </w:rPr>
        <w:t>We agree with the reviewer that certain sequence features, motifs, or sequence grammars may make ubiquitous peaks easier to predict than cell type specific peaks, and we appreciate the suggestions</w:t>
      </w:r>
      <w:r>
        <w:rPr>
          <w:color w:val="4A86E8"/>
          <w:spacing w:val="-3"/>
        </w:rPr>
        <w:t xml:space="preserve"> </w:t>
      </w:r>
      <w:r>
        <w:rPr>
          <w:color w:val="4A86E8"/>
        </w:rPr>
        <w:t>for</w:t>
      </w:r>
      <w:r>
        <w:rPr>
          <w:color w:val="4A86E8"/>
          <w:spacing w:val="-3"/>
        </w:rPr>
        <w:t xml:space="preserve"> </w:t>
      </w:r>
      <w:r>
        <w:rPr>
          <w:color w:val="4A86E8"/>
        </w:rPr>
        <w:t>testing</w:t>
      </w:r>
      <w:r>
        <w:rPr>
          <w:color w:val="4A86E8"/>
          <w:spacing w:val="-3"/>
        </w:rPr>
        <w:t xml:space="preserve"> </w:t>
      </w:r>
      <w:r>
        <w:rPr>
          <w:color w:val="4A86E8"/>
        </w:rPr>
        <w:t>such</w:t>
      </w:r>
      <w:r>
        <w:rPr>
          <w:color w:val="4A86E8"/>
          <w:spacing w:val="-3"/>
        </w:rPr>
        <w:t xml:space="preserve"> </w:t>
      </w:r>
      <w:r>
        <w:rPr>
          <w:color w:val="4A86E8"/>
        </w:rPr>
        <w:t>features.</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now</w:t>
      </w:r>
      <w:r>
        <w:rPr>
          <w:color w:val="4A86E8"/>
          <w:spacing w:val="-3"/>
        </w:rPr>
        <w:t xml:space="preserve"> </w:t>
      </w:r>
      <w:r>
        <w:rPr>
          <w:color w:val="4A86E8"/>
        </w:rPr>
        <w:t>looked</w:t>
      </w:r>
      <w:r>
        <w:rPr>
          <w:color w:val="4A86E8"/>
          <w:spacing w:val="-3"/>
        </w:rPr>
        <w:t xml:space="preserve"> </w:t>
      </w:r>
      <w:r>
        <w:rPr>
          <w:color w:val="4A86E8"/>
        </w:rPr>
        <w:t>specifically</w:t>
      </w:r>
      <w:r>
        <w:rPr>
          <w:color w:val="4A86E8"/>
          <w:spacing w:val="-3"/>
        </w:rPr>
        <w:t xml:space="preserve"> </w:t>
      </w:r>
      <w:r>
        <w:rPr>
          <w:color w:val="4A86E8"/>
        </w:rPr>
        <w:t>at</w:t>
      </w:r>
      <w:r>
        <w:rPr>
          <w:color w:val="4A86E8"/>
          <w:spacing w:val="-3"/>
        </w:rPr>
        <w:t xml:space="preserve"> </w:t>
      </w:r>
      <w:r>
        <w:rPr>
          <w:color w:val="4A86E8"/>
        </w:rPr>
        <w:t>both</w:t>
      </w:r>
      <w:r>
        <w:rPr>
          <w:color w:val="4A86E8"/>
          <w:spacing w:val="-3"/>
        </w:rPr>
        <w:t xml:space="preserve"> </w:t>
      </w:r>
      <w:r>
        <w:rPr>
          <w:color w:val="4A86E8"/>
        </w:rPr>
        <w:t>GC</w:t>
      </w:r>
      <w:r>
        <w:rPr>
          <w:color w:val="4A86E8"/>
          <w:spacing w:val="-3"/>
        </w:rPr>
        <w:t xml:space="preserve"> </w:t>
      </w:r>
      <w:r>
        <w:rPr>
          <w:color w:val="4A86E8"/>
        </w:rPr>
        <w:t>content,</w:t>
      </w:r>
      <w:r>
        <w:rPr>
          <w:color w:val="4A86E8"/>
          <w:spacing w:val="-3"/>
        </w:rPr>
        <w:t xml:space="preserve"> </w:t>
      </w:r>
      <w:r>
        <w:rPr>
          <w:color w:val="4A86E8"/>
        </w:rPr>
        <w:t>CpG islands</w:t>
      </w:r>
      <w:r>
        <w:rPr>
          <w:color w:val="4A86E8"/>
          <w:spacing w:val="-2"/>
        </w:rPr>
        <w:t xml:space="preserve"> </w:t>
      </w:r>
      <w:r>
        <w:rPr>
          <w:color w:val="4A86E8"/>
        </w:rPr>
        <w:t>and</w:t>
      </w:r>
      <w:r>
        <w:rPr>
          <w:color w:val="4A86E8"/>
          <w:spacing w:val="-2"/>
        </w:rPr>
        <w:t xml:space="preserve"> </w:t>
      </w:r>
      <w:r>
        <w:rPr>
          <w:color w:val="4A86E8"/>
        </w:rPr>
        <w:t>CTCF</w:t>
      </w:r>
      <w:r>
        <w:rPr>
          <w:color w:val="4A86E8"/>
          <w:spacing w:val="-2"/>
        </w:rPr>
        <w:t xml:space="preserve"> </w:t>
      </w:r>
      <w:r>
        <w:rPr>
          <w:color w:val="4A86E8"/>
        </w:rPr>
        <w:t>motifs,</w:t>
      </w:r>
      <w:r>
        <w:rPr>
          <w:color w:val="4A86E8"/>
          <w:spacing w:val="-2"/>
        </w:rPr>
        <w:t xml:space="preserve"> </w:t>
      </w:r>
      <w:r>
        <w:rPr>
          <w:color w:val="4A86E8"/>
        </w:rPr>
        <w:t>as</w:t>
      </w:r>
      <w:r>
        <w:rPr>
          <w:color w:val="4A86E8"/>
          <w:spacing w:val="-2"/>
        </w:rPr>
        <w:t xml:space="preserve"> </w:t>
      </w:r>
      <w:r>
        <w:rPr>
          <w:color w:val="4A86E8"/>
        </w:rPr>
        <w:t>suggested</w:t>
      </w:r>
      <w:r>
        <w:rPr>
          <w:color w:val="4A86E8"/>
          <w:spacing w:val="-2"/>
        </w:rPr>
        <w:t xml:space="preserve"> </w:t>
      </w:r>
      <w:r>
        <w:rPr>
          <w:color w:val="4A86E8"/>
        </w:rPr>
        <w:t>by</w:t>
      </w:r>
      <w:r>
        <w:rPr>
          <w:color w:val="4A86E8"/>
          <w:spacing w:val="-2"/>
        </w:rPr>
        <w:t xml:space="preserve"> </w:t>
      </w:r>
      <w:r>
        <w:rPr>
          <w:color w:val="4A86E8"/>
        </w:rPr>
        <w:t>the</w:t>
      </w:r>
      <w:r>
        <w:rPr>
          <w:color w:val="4A86E8"/>
          <w:spacing w:val="-2"/>
        </w:rPr>
        <w:t xml:space="preserve"> </w:t>
      </w:r>
      <w:r>
        <w:rPr>
          <w:color w:val="4A86E8"/>
        </w:rPr>
        <w:t>reviewer,</w:t>
      </w:r>
      <w:r>
        <w:rPr>
          <w:color w:val="4A86E8"/>
          <w:spacing w:val="-2"/>
        </w:rPr>
        <w:t xml:space="preserve"> </w:t>
      </w:r>
      <w:r>
        <w:rPr>
          <w:color w:val="4A86E8"/>
        </w:rPr>
        <w:t>as</w:t>
      </w:r>
      <w:r>
        <w:rPr>
          <w:color w:val="4A86E8"/>
          <w:spacing w:val="-2"/>
        </w:rPr>
        <w:t xml:space="preserve"> </w:t>
      </w:r>
      <w:r>
        <w:rPr>
          <w:color w:val="4A86E8"/>
        </w:rPr>
        <w:t>well</w:t>
      </w:r>
      <w:r>
        <w:rPr>
          <w:color w:val="4A86E8"/>
          <w:spacing w:val="-2"/>
        </w:rPr>
        <w:t xml:space="preserve"> </w:t>
      </w:r>
      <w:r>
        <w:rPr>
          <w:color w:val="4A86E8"/>
        </w:rPr>
        <w:t>as</w:t>
      </w:r>
      <w:r>
        <w:rPr>
          <w:color w:val="4A86E8"/>
          <w:spacing w:val="-2"/>
        </w:rPr>
        <w:t xml:space="preserve"> </w:t>
      </w:r>
      <w:r>
        <w:rPr>
          <w:color w:val="4A86E8"/>
        </w:rPr>
        <w:t>performed</w:t>
      </w:r>
      <w:r>
        <w:rPr>
          <w:color w:val="4A86E8"/>
          <w:spacing w:val="-2"/>
        </w:rPr>
        <w:t xml:space="preserve"> </w:t>
      </w:r>
      <w:r>
        <w:rPr>
          <w:color w:val="4A86E8"/>
        </w:rPr>
        <w:t>an</w:t>
      </w:r>
      <w:r>
        <w:rPr>
          <w:color w:val="4A86E8"/>
          <w:spacing w:val="-2"/>
        </w:rPr>
        <w:t xml:space="preserve"> </w:t>
      </w:r>
      <w:r>
        <w:rPr>
          <w:color w:val="4A86E8"/>
        </w:rPr>
        <w:t>unbiased</w:t>
      </w:r>
      <w:r>
        <w:rPr>
          <w:color w:val="4A86E8"/>
          <w:spacing w:val="-2"/>
        </w:rPr>
        <w:t xml:space="preserve"> </w:t>
      </w:r>
      <w:r>
        <w:rPr>
          <w:color w:val="4A86E8"/>
        </w:rPr>
        <w:t>motif enrichment analysis to identify TF motifs enriched in cell type specific versus ubiquitous peaks. We have added these results to the manuscript in Fig. S8. In both the Loeb et al. and Calderon</w:t>
      </w:r>
    </w:p>
    <w:p w14:paraId="1CACF35C" w14:textId="77777777" w:rsidR="00E211CC" w:rsidRDefault="00E211CC" w:rsidP="00E211CC">
      <w:pPr>
        <w:spacing w:line="276" w:lineRule="auto"/>
        <w:sectPr w:rsidR="00E211CC" w:rsidSect="00E211CC">
          <w:pgSz w:w="12240" w:h="15840"/>
          <w:pgMar w:top="1360" w:right="580" w:bottom="280" w:left="620" w:header="720" w:footer="720" w:gutter="0"/>
          <w:cols w:space="720"/>
        </w:sectPr>
      </w:pPr>
    </w:p>
    <w:p w14:paraId="3200C8FE" w14:textId="77777777" w:rsidR="00E211CC" w:rsidRDefault="00E211CC" w:rsidP="00E211CC">
      <w:pPr>
        <w:pStyle w:val="BodyText"/>
        <w:spacing w:before="80" w:line="276" w:lineRule="auto"/>
        <w:ind w:right="912"/>
      </w:pPr>
      <w:r>
        <w:rPr>
          <w:color w:val="4A86E8"/>
        </w:rPr>
        <w:lastRenderedPageBreak/>
        <w:t>et al. datasets, we find that ubiquitous peaks have slightly higher GC content than non- ubiquitous peaks (Fig. S8a) and that a substantially larger proportion of ubiquitous peaks contain putative CpG islands (Fig. S8b) and CTCF motifs (Fig. S8c). Our motif enrichment analysis</w:t>
      </w:r>
      <w:r>
        <w:rPr>
          <w:color w:val="4A86E8"/>
          <w:spacing w:val="-3"/>
        </w:rPr>
        <w:t xml:space="preserve"> </w:t>
      </w:r>
      <w:r>
        <w:rPr>
          <w:color w:val="4A86E8"/>
        </w:rPr>
        <w:t>identifies</w:t>
      </w:r>
      <w:r>
        <w:rPr>
          <w:color w:val="4A86E8"/>
          <w:spacing w:val="-3"/>
        </w:rPr>
        <w:t xml:space="preserve"> </w:t>
      </w:r>
      <w:r>
        <w:rPr>
          <w:color w:val="4A86E8"/>
        </w:rPr>
        <w:t>several</w:t>
      </w:r>
      <w:r>
        <w:rPr>
          <w:color w:val="4A86E8"/>
          <w:spacing w:val="-3"/>
        </w:rPr>
        <w:t xml:space="preserve"> </w:t>
      </w:r>
      <w:r>
        <w:rPr>
          <w:color w:val="4A86E8"/>
        </w:rPr>
        <w:t>TFs</w:t>
      </w:r>
      <w:r>
        <w:rPr>
          <w:color w:val="4A86E8"/>
          <w:spacing w:val="-3"/>
        </w:rPr>
        <w:t xml:space="preserve"> </w:t>
      </w:r>
      <w:r>
        <w:rPr>
          <w:color w:val="4A86E8"/>
        </w:rPr>
        <w:t>previously</w:t>
      </w:r>
      <w:r>
        <w:rPr>
          <w:color w:val="4A86E8"/>
          <w:spacing w:val="-3"/>
        </w:rPr>
        <w:t xml:space="preserve"> </w:t>
      </w:r>
      <w:r>
        <w:rPr>
          <w:color w:val="4A86E8"/>
        </w:rPr>
        <w:t>known</w:t>
      </w:r>
      <w:r>
        <w:rPr>
          <w:color w:val="4A86E8"/>
          <w:spacing w:val="-3"/>
        </w:rPr>
        <w:t xml:space="preserve"> </w:t>
      </w:r>
      <w:r>
        <w:rPr>
          <w:color w:val="4A86E8"/>
        </w:rPr>
        <w:t>to</w:t>
      </w:r>
      <w:r>
        <w:rPr>
          <w:color w:val="4A86E8"/>
          <w:spacing w:val="-3"/>
        </w:rPr>
        <w:t xml:space="preserve"> </w:t>
      </w:r>
      <w:r>
        <w:rPr>
          <w:color w:val="4A86E8"/>
        </w:rPr>
        <w:t>be</w:t>
      </w:r>
      <w:r>
        <w:rPr>
          <w:color w:val="4A86E8"/>
          <w:spacing w:val="-3"/>
        </w:rPr>
        <w:t xml:space="preserve"> </w:t>
      </w:r>
      <w:r>
        <w:rPr>
          <w:color w:val="4A86E8"/>
        </w:rPr>
        <w:t>active</w:t>
      </w:r>
      <w:r>
        <w:rPr>
          <w:color w:val="4A86E8"/>
          <w:spacing w:val="-3"/>
        </w:rPr>
        <w:t xml:space="preserve"> </w:t>
      </w:r>
      <w:r>
        <w:rPr>
          <w:color w:val="4A86E8"/>
        </w:rPr>
        <w:t>in</w:t>
      </w:r>
      <w:r>
        <w:rPr>
          <w:color w:val="4A86E8"/>
          <w:spacing w:val="-3"/>
        </w:rPr>
        <w:t xml:space="preserve"> </w:t>
      </w:r>
      <w:r>
        <w:rPr>
          <w:color w:val="4A86E8"/>
        </w:rPr>
        <w:t>the</w:t>
      </w:r>
      <w:r>
        <w:rPr>
          <w:color w:val="4A86E8"/>
          <w:spacing w:val="-3"/>
        </w:rPr>
        <w:t xml:space="preserve"> </w:t>
      </w:r>
      <w:r>
        <w:rPr>
          <w:color w:val="4A86E8"/>
        </w:rPr>
        <w:t>studied</w:t>
      </w:r>
      <w:r>
        <w:rPr>
          <w:color w:val="4A86E8"/>
          <w:spacing w:val="-3"/>
        </w:rPr>
        <w:t xml:space="preserve"> </w:t>
      </w:r>
      <w:r>
        <w:rPr>
          <w:color w:val="4A86E8"/>
        </w:rPr>
        <w:t>cell</w:t>
      </w:r>
      <w:r>
        <w:rPr>
          <w:color w:val="4A86E8"/>
          <w:spacing w:val="-3"/>
        </w:rPr>
        <w:t xml:space="preserve"> </w:t>
      </w:r>
      <w:r>
        <w:rPr>
          <w:color w:val="4A86E8"/>
        </w:rPr>
        <w:t>types</w:t>
      </w:r>
      <w:r>
        <w:rPr>
          <w:color w:val="4A86E8"/>
          <w:spacing w:val="-3"/>
        </w:rPr>
        <w:t xml:space="preserve"> </w:t>
      </w:r>
      <w:r>
        <w:rPr>
          <w:color w:val="4A86E8"/>
        </w:rPr>
        <w:t>(Fig.</w:t>
      </w:r>
      <w:r>
        <w:rPr>
          <w:color w:val="4A86E8"/>
          <w:spacing w:val="-3"/>
        </w:rPr>
        <w:t xml:space="preserve"> </w:t>
      </w:r>
      <w:r>
        <w:rPr>
          <w:color w:val="4A86E8"/>
        </w:rPr>
        <w:t>S8d); for example, we identify HNF4A as enriched in proximal tubule peaks, SPI1 as enriched in myeloid cell peaks, and Jun as enriched in T cell peaks. Interestingly, in the Loeb et al. data in particular, we find stronger enrichment of motifs in ubiquitous peaks than cell type specific peaks (Fig. S8d), which supports the hypothesis that there may be more information content in these ubiquitous peaks, or that they have a higher signal to noise ratio. We have added a discussion of these points to the revised manuscript.</w:t>
      </w:r>
    </w:p>
    <w:p w14:paraId="632B976E" w14:textId="77777777" w:rsidR="00E211CC" w:rsidRDefault="00E211CC" w:rsidP="00E211CC">
      <w:pPr>
        <w:pStyle w:val="BodyText"/>
        <w:spacing w:before="39"/>
        <w:ind w:left="0"/>
      </w:pPr>
    </w:p>
    <w:p w14:paraId="1A5D4B07" w14:textId="77777777" w:rsidR="00E211CC" w:rsidRDefault="00E211CC" w:rsidP="00E211CC">
      <w:pPr>
        <w:pStyle w:val="BodyText"/>
      </w:pPr>
      <w:r>
        <w:rPr>
          <w:color w:val="222222"/>
        </w:rPr>
        <w:t>Additional</w:t>
      </w:r>
      <w:r>
        <w:rPr>
          <w:color w:val="222222"/>
          <w:spacing w:val="-8"/>
        </w:rPr>
        <w:t xml:space="preserve"> </w:t>
      </w:r>
      <w:r>
        <w:rPr>
          <w:color w:val="222222"/>
        </w:rPr>
        <w:t>Minor</w:t>
      </w:r>
      <w:r>
        <w:rPr>
          <w:color w:val="222222"/>
          <w:spacing w:val="-7"/>
        </w:rPr>
        <w:t xml:space="preserve"> </w:t>
      </w:r>
      <w:r>
        <w:rPr>
          <w:color w:val="222222"/>
          <w:spacing w:val="-2"/>
        </w:rPr>
        <w:t>Concerns:</w:t>
      </w:r>
    </w:p>
    <w:p w14:paraId="08140CE2" w14:textId="77777777" w:rsidR="00E211CC" w:rsidRDefault="00E211CC" w:rsidP="00E211CC">
      <w:pPr>
        <w:pStyle w:val="BodyText"/>
        <w:spacing w:before="35" w:line="276" w:lineRule="auto"/>
        <w:ind w:right="1024"/>
      </w:pPr>
      <w:r>
        <w:rPr>
          <w:color w:val="222222"/>
        </w:rPr>
        <w:t>Figure</w:t>
      </w:r>
      <w:r>
        <w:rPr>
          <w:color w:val="222222"/>
          <w:spacing w:val="-3"/>
        </w:rPr>
        <w:t xml:space="preserve"> </w:t>
      </w:r>
      <w:r>
        <w:rPr>
          <w:color w:val="222222"/>
        </w:rPr>
        <w:t>1A</w:t>
      </w:r>
      <w:r>
        <w:rPr>
          <w:color w:val="222222"/>
          <w:spacing w:val="-3"/>
        </w:rPr>
        <w:t xml:space="preserve"> </w:t>
      </w:r>
      <w:r>
        <w:rPr>
          <w:color w:val="222222"/>
        </w:rPr>
        <w:t>&amp;</w:t>
      </w:r>
      <w:r>
        <w:rPr>
          <w:color w:val="222222"/>
          <w:spacing w:val="-3"/>
        </w:rPr>
        <w:t xml:space="preserve"> </w:t>
      </w:r>
      <w:r>
        <w:rPr>
          <w:color w:val="222222"/>
        </w:rPr>
        <w:t>1B:</w:t>
      </w:r>
      <w:r>
        <w:rPr>
          <w:color w:val="222222"/>
          <w:spacing w:val="-3"/>
        </w:rPr>
        <w:t xml:space="preserve"> </w:t>
      </w:r>
      <w:r>
        <w:rPr>
          <w:color w:val="222222"/>
        </w:rPr>
        <w:t>Number</w:t>
      </w:r>
      <w:r>
        <w:rPr>
          <w:color w:val="222222"/>
          <w:spacing w:val="-3"/>
        </w:rPr>
        <w:t xml:space="preserve"> </w:t>
      </w:r>
      <w:r>
        <w:rPr>
          <w:color w:val="222222"/>
        </w:rPr>
        <w:t>of</w:t>
      </w:r>
      <w:r>
        <w:rPr>
          <w:color w:val="222222"/>
          <w:spacing w:val="-3"/>
        </w:rPr>
        <w:t xml:space="preserve"> </w:t>
      </w:r>
      <w:r>
        <w:rPr>
          <w:color w:val="222222"/>
        </w:rPr>
        <w:t>cell-types</w:t>
      </w:r>
      <w:r>
        <w:rPr>
          <w:color w:val="222222"/>
          <w:spacing w:val="-3"/>
        </w:rPr>
        <w:t xml:space="preserve"> </w:t>
      </w:r>
      <w:r>
        <w:rPr>
          <w:color w:val="222222"/>
        </w:rPr>
        <w:t>reported</w:t>
      </w:r>
      <w:r>
        <w:rPr>
          <w:color w:val="222222"/>
          <w:spacing w:val="-3"/>
        </w:rPr>
        <w:t xml:space="preserve"> </w:t>
      </w:r>
      <w:r>
        <w:rPr>
          <w:color w:val="222222"/>
        </w:rPr>
        <w:t>on</w:t>
      </w:r>
      <w:r>
        <w:rPr>
          <w:color w:val="222222"/>
          <w:spacing w:val="-3"/>
        </w:rPr>
        <w:t xml:space="preserve"> </w:t>
      </w:r>
      <w:r>
        <w:rPr>
          <w:color w:val="222222"/>
        </w:rPr>
        <w:t>the</w:t>
      </w:r>
      <w:r>
        <w:rPr>
          <w:color w:val="222222"/>
          <w:spacing w:val="-3"/>
        </w:rPr>
        <w:t xml:space="preserve"> </w:t>
      </w:r>
      <w:r>
        <w:rPr>
          <w:color w:val="222222"/>
        </w:rPr>
        <w:t>x-axis</w:t>
      </w:r>
      <w:r>
        <w:rPr>
          <w:color w:val="222222"/>
          <w:spacing w:val="-3"/>
        </w:rPr>
        <w:t xml:space="preserve"> </w:t>
      </w:r>
      <w:r>
        <w:rPr>
          <w:color w:val="222222"/>
        </w:rPr>
        <w:t>is</w:t>
      </w:r>
      <w:r>
        <w:rPr>
          <w:color w:val="222222"/>
          <w:spacing w:val="-3"/>
        </w:rPr>
        <w:t xml:space="preserve"> </w:t>
      </w:r>
      <w:r>
        <w:rPr>
          <w:color w:val="222222"/>
        </w:rPr>
        <w:t>incorrect.</w:t>
      </w:r>
      <w:r>
        <w:rPr>
          <w:color w:val="222222"/>
          <w:spacing w:val="-3"/>
        </w:rPr>
        <w:t xml:space="preserve"> </w:t>
      </w:r>
      <w:r>
        <w:rPr>
          <w:color w:val="222222"/>
        </w:rPr>
        <w:t>There</w:t>
      </w:r>
      <w:r>
        <w:rPr>
          <w:color w:val="222222"/>
          <w:spacing w:val="-3"/>
        </w:rPr>
        <w:t xml:space="preserve"> </w:t>
      </w:r>
      <w:r>
        <w:rPr>
          <w:color w:val="222222"/>
        </w:rPr>
        <w:t>are</w:t>
      </w:r>
      <w:r>
        <w:rPr>
          <w:color w:val="222222"/>
          <w:spacing w:val="-3"/>
        </w:rPr>
        <w:t xml:space="preserve"> </w:t>
      </w:r>
      <w:r>
        <w:rPr>
          <w:color w:val="222222"/>
        </w:rPr>
        <w:t>684</w:t>
      </w:r>
      <w:r>
        <w:rPr>
          <w:color w:val="222222"/>
          <w:spacing w:val="-3"/>
        </w:rPr>
        <w:t xml:space="preserve"> </w:t>
      </w:r>
      <w:r>
        <w:rPr>
          <w:color w:val="222222"/>
        </w:rPr>
        <w:t xml:space="preserve">DNase tracks in the Enformer/ but not all of them are distinct cell-types. For example, there might be several K562 tracks from distinct sources. Similarly, the legend is also incorrect in S1A and </w:t>
      </w:r>
      <w:r>
        <w:rPr>
          <w:color w:val="222222"/>
          <w:spacing w:val="-4"/>
        </w:rPr>
        <w:t>S1B.</w:t>
      </w:r>
    </w:p>
    <w:p w14:paraId="043EFC91" w14:textId="77777777" w:rsidR="00E211CC" w:rsidRDefault="00E211CC" w:rsidP="00E211CC">
      <w:pPr>
        <w:pStyle w:val="BodyText"/>
        <w:spacing w:before="38"/>
        <w:ind w:left="0"/>
      </w:pPr>
    </w:p>
    <w:p w14:paraId="7F6BFE92" w14:textId="77777777" w:rsidR="00E211CC" w:rsidRDefault="00E211CC" w:rsidP="00E211CC">
      <w:pPr>
        <w:pStyle w:val="BodyText"/>
        <w:spacing w:line="276" w:lineRule="auto"/>
        <w:ind w:right="861"/>
      </w:pPr>
      <w:r>
        <w:rPr>
          <w:color w:val="4A86E8"/>
        </w:rPr>
        <w:t>We thank the reviewer for pointing this out. We were indeed referring to the number of DNase tracks, and the 684 DNase tracks contain several cases where there are multiple tracks for a particular cell type, so the x-axis label “Number of cell types” was incorrect. We have modified the</w:t>
      </w:r>
      <w:r>
        <w:rPr>
          <w:color w:val="4A86E8"/>
          <w:spacing w:val="-3"/>
        </w:rPr>
        <w:t xml:space="preserve"> </w:t>
      </w:r>
      <w:r>
        <w:rPr>
          <w:color w:val="4A86E8"/>
        </w:rPr>
        <w:t>x-axis</w:t>
      </w:r>
      <w:r>
        <w:rPr>
          <w:color w:val="4A86E8"/>
          <w:spacing w:val="-3"/>
        </w:rPr>
        <w:t xml:space="preserve"> </w:t>
      </w:r>
      <w:r>
        <w:rPr>
          <w:color w:val="4A86E8"/>
        </w:rPr>
        <w:t>label</w:t>
      </w:r>
      <w:r>
        <w:rPr>
          <w:color w:val="4A86E8"/>
          <w:spacing w:val="-3"/>
        </w:rPr>
        <w:t xml:space="preserve"> </w:t>
      </w:r>
      <w:r>
        <w:rPr>
          <w:color w:val="4A86E8"/>
        </w:rPr>
        <w:t>in</w:t>
      </w:r>
      <w:r>
        <w:rPr>
          <w:color w:val="4A86E8"/>
          <w:spacing w:val="-3"/>
        </w:rPr>
        <w:t xml:space="preserve"> </w:t>
      </w:r>
      <w:r>
        <w:rPr>
          <w:color w:val="4A86E8"/>
        </w:rPr>
        <w:t>the</w:t>
      </w:r>
      <w:r>
        <w:rPr>
          <w:color w:val="4A86E8"/>
          <w:spacing w:val="-3"/>
        </w:rPr>
        <w:t xml:space="preserve"> </w:t>
      </w:r>
      <w:r>
        <w:rPr>
          <w:color w:val="4A86E8"/>
        </w:rPr>
        <w:t>relevant</w:t>
      </w:r>
      <w:r>
        <w:rPr>
          <w:color w:val="4A86E8"/>
          <w:spacing w:val="-3"/>
        </w:rPr>
        <w:t xml:space="preserve"> </w:t>
      </w:r>
      <w:r>
        <w:rPr>
          <w:color w:val="4A86E8"/>
        </w:rPr>
        <w:t>figure</w:t>
      </w:r>
      <w:r>
        <w:rPr>
          <w:color w:val="4A86E8"/>
          <w:spacing w:val="-3"/>
        </w:rPr>
        <w:t xml:space="preserve"> </w:t>
      </w:r>
      <w:r>
        <w:rPr>
          <w:color w:val="4A86E8"/>
        </w:rPr>
        <w:t>panels</w:t>
      </w:r>
      <w:r>
        <w:rPr>
          <w:color w:val="4A86E8"/>
          <w:spacing w:val="-3"/>
        </w:rPr>
        <w:t xml:space="preserve"> </w:t>
      </w:r>
      <w:r>
        <w:rPr>
          <w:color w:val="4A86E8"/>
        </w:rPr>
        <w:t>to</w:t>
      </w:r>
      <w:r>
        <w:rPr>
          <w:color w:val="4A86E8"/>
          <w:spacing w:val="-3"/>
        </w:rPr>
        <w:t xml:space="preserve"> </w:t>
      </w:r>
      <w:r>
        <w:rPr>
          <w:color w:val="4A86E8"/>
        </w:rPr>
        <w:t>read</w:t>
      </w:r>
      <w:r>
        <w:rPr>
          <w:color w:val="4A86E8"/>
          <w:spacing w:val="-3"/>
        </w:rPr>
        <w:t xml:space="preserve"> </w:t>
      </w:r>
      <w:r>
        <w:rPr>
          <w:color w:val="4A86E8"/>
        </w:rPr>
        <w:t>“Number</w:t>
      </w:r>
      <w:r>
        <w:rPr>
          <w:color w:val="4A86E8"/>
          <w:spacing w:val="-3"/>
        </w:rPr>
        <w:t xml:space="preserve"> </w:t>
      </w:r>
      <w:r>
        <w:rPr>
          <w:color w:val="4A86E8"/>
        </w:rPr>
        <w:t>of</w:t>
      </w:r>
      <w:r>
        <w:rPr>
          <w:color w:val="4A86E8"/>
          <w:spacing w:val="-3"/>
        </w:rPr>
        <w:t xml:space="preserve"> </w:t>
      </w:r>
      <w:r>
        <w:rPr>
          <w:color w:val="4A86E8"/>
        </w:rPr>
        <w:t>chromatin</w:t>
      </w:r>
      <w:r>
        <w:rPr>
          <w:color w:val="4A86E8"/>
          <w:spacing w:val="-3"/>
        </w:rPr>
        <w:t xml:space="preserve"> </w:t>
      </w:r>
      <w:r>
        <w:rPr>
          <w:color w:val="4A86E8"/>
        </w:rPr>
        <w:t>accessibility</w:t>
      </w:r>
      <w:r>
        <w:rPr>
          <w:color w:val="4A86E8"/>
          <w:spacing w:val="-3"/>
        </w:rPr>
        <w:t xml:space="preserve"> </w:t>
      </w:r>
      <w:r>
        <w:rPr>
          <w:color w:val="4A86E8"/>
        </w:rPr>
        <w:t>profiles with a peak” to more accurately reflect the information being visualized.</w:t>
      </w:r>
    </w:p>
    <w:p w14:paraId="6B99E69B" w14:textId="454B97D3" w:rsidR="009F23DA" w:rsidRPr="00340706" w:rsidRDefault="00E211CC" w:rsidP="009F23DA">
      <w:r>
        <w:t xml:space="preserve"> </w:t>
      </w:r>
    </w:p>
    <w:p w14:paraId="0A30BFE6" w14:textId="77777777" w:rsidR="009F23DA" w:rsidRPr="00340706" w:rsidRDefault="009F23DA" w:rsidP="009F23DA">
      <w:pPr>
        <w:rPr>
          <w:b/>
          <w:sz w:val="24"/>
          <w:szCs w:val="24"/>
        </w:rPr>
      </w:pPr>
      <w:r w:rsidRPr="00340706">
        <w:rPr>
          <w:b/>
          <w:sz w:val="24"/>
          <w:szCs w:val="24"/>
        </w:rPr>
        <w:t>Second round of review</w:t>
      </w:r>
    </w:p>
    <w:p w14:paraId="0B3E8A23" w14:textId="77777777" w:rsidR="009F23DA" w:rsidRPr="00340706" w:rsidRDefault="009F23DA" w:rsidP="009F23DA">
      <w:pPr>
        <w:rPr>
          <w:b/>
        </w:rPr>
      </w:pPr>
      <w:r w:rsidRPr="00340706">
        <w:rPr>
          <w:b/>
        </w:rPr>
        <w:t>Reviewer 1</w:t>
      </w:r>
    </w:p>
    <w:p w14:paraId="2F287EF2" w14:textId="77777777" w:rsidR="0080625D" w:rsidRDefault="0080625D" w:rsidP="009F23DA">
      <w:pPr>
        <w:rPr>
          <w:rFonts w:ascii="Verdana" w:hAnsi="Verdana"/>
          <w:color w:val="000033"/>
          <w:sz w:val="17"/>
          <w:szCs w:val="17"/>
          <w:shd w:val="clear" w:color="auto" w:fill="FFFFFF"/>
        </w:rPr>
      </w:pPr>
      <w:r>
        <w:rPr>
          <w:rFonts w:ascii="Verdana" w:hAnsi="Verdana"/>
          <w:color w:val="000033"/>
          <w:sz w:val="17"/>
          <w:szCs w:val="17"/>
          <w:shd w:val="clear" w:color="auto" w:fill="FFFFFF"/>
        </w:rPr>
        <w:t>1. The data deposited in GEO should be made available not only with the publication of the manuscript, but also for the review process (could be made available only for the reviewers). In addition, the GitHub repository code lacks the modifications that resulted from responses to the review comments, e.g. a multi-task model with increased capacity.</w:t>
      </w:r>
      <w:r>
        <w:rPr>
          <w:rFonts w:ascii="Verdana" w:hAnsi="Verdana"/>
          <w:color w:val="000033"/>
          <w:sz w:val="17"/>
          <w:szCs w:val="17"/>
        </w:rPr>
        <w:br/>
      </w:r>
      <w:r>
        <w:rPr>
          <w:rFonts w:ascii="Verdana" w:hAnsi="Verdana"/>
          <w:color w:val="000033"/>
          <w:sz w:val="17"/>
          <w:szCs w:val="17"/>
          <w:shd w:val="clear" w:color="auto" w:fill="FFFFFF"/>
        </w:rPr>
        <w:t>2. We have concerns regarding the interpretability techniques applied in the revised manuscript.</w:t>
      </w:r>
      <w:r>
        <w:rPr>
          <w:rFonts w:ascii="Verdana" w:hAnsi="Verdana"/>
          <w:color w:val="000033"/>
          <w:sz w:val="17"/>
          <w:szCs w:val="17"/>
        </w:rPr>
        <w:br/>
      </w:r>
      <w:r>
        <w:rPr>
          <w:rFonts w:ascii="Verdana" w:hAnsi="Verdana"/>
          <w:color w:val="000033"/>
          <w:sz w:val="17"/>
          <w:szCs w:val="17"/>
          <w:shd w:val="clear" w:color="auto" w:fill="FFFFFF"/>
        </w:rPr>
        <w:t>a. Global interpretability – we were confused by the description of this interpretability technique. The authors wrote that they implanted the motif in background and dishuffeled background sequences. In this first case, the sequence content is of background – why didn’t the authors use the active regions rather than background? And in the second, dishuffeled sequences are synthetic sequences and thus do no represent true biology. We recommend more established techniques, such as TF-MoDISco (Shirkumar et al. Arxiv 2018), to discover re-occurring regulatory elements in attribution maps.</w:t>
      </w:r>
      <w:r>
        <w:rPr>
          <w:rFonts w:ascii="Verdana" w:hAnsi="Verdana"/>
          <w:color w:val="000033"/>
          <w:sz w:val="17"/>
          <w:szCs w:val="17"/>
        </w:rPr>
        <w:br/>
      </w:r>
      <w:r>
        <w:rPr>
          <w:rFonts w:ascii="Verdana" w:hAnsi="Verdana"/>
          <w:color w:val="000033"/>
          <w:sz w:val="17"/>
          <w:szCs w:val="17"/>
          <w:shd w:val="clear" w:color="auto" w:fill="FFFFFF"/>
        </w:rPr>
        <w:t>b. Local interpretability – the differences may only be in the scale (as the plots share the same y-axis limits) and not in the trends, thus not really showing a difference between multi-task and single-task models. Moreover, we recommend using other local interpretability techniques that have been highly successful in genomics, such as DeepLift (Shirkumar et al. Arxiv 2017), Enhanced Integrated Gradients (Jha et al. Genome Biology 2020), and scramblers (Linder et al. Nature Machine Intelligence 2022), instead of in silico mutagenesis, which has its limitation compared to the gradient-based approaches.</w:t>
      </w:r>
      <w:r>
        <w:rPr>
          <w:rFonts w:ascii="Verdana" w:hAnsi="Verdana"/>
          <w:color w:val="000033"/>
          <w:sz w:val="17"/>
          <w:szCs w:val="17"/>
        </w:rPr>
        <w:br/>
      </w:r>
      <w:r>
        <w:rPr>
          <w:rFonts w:ascii="Verdana" w:hAnsi="Verdana"/>
          <w:color w:val="000033"/>
          <w:sz w:val="17"/>
          <w:szCs w:val="17"/>
          <w:shd w:val="clear" w:color="auto" w:fill="FFFFFF"/>
        </w:rPr>
        <w:t>c. Model capacity – as the authors have shown in the revision that multi-task models with increased capacity are as good as single-task models in specific CREs, they should also use these increased capacity models in the interpretability evaluation.</w:t>
      </w:r>
    </w:p>
    <w:p w14:paraId="127876D8" w14:textId="11DB8FCE" w:rsidR="009F23DA" w:rsidRPr="00340706" w:rsidRDefault="009F23DA" w:rsidP="009F23DA">
      <w:pPr>
        <w:rPr>
          <w:b/>
        </w:rPr>
      </w:pPr>
      <w:r w:rsidRPr="00340706">
        <w:rPr>
          <w:b/>
        </w:rPr>
        <w:t>Reviewer 2</w:t>
      </w:r>
    </w:p>
    <w:p w14:paraId="04AA7F30" w14:textId="77777777" w:rsidR="00B071A6" w:rsidRDefault="00B071A6" w:rsidP="00EC5A93">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have addressed all my major points - great job. I have a few remaining follow-up points I would ask the authors to address:</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1. Re Point 10:</w:t>
      </w:r>
      <w:r>
        <w:rPr>
          <w:rFonts w:ascii="Verdana" w:hAnsi="Verdana"/>
          <w:color w:val="000033"/>
          <w:sz w:val="17"/>
          <w:szCs w:val="17"/>
        </w:rPr>
        <w:br/>
      </w:r>
      <w:r>
        <w:rPr>
          <w:rFonts w:ascii="Verdana" w:hAnsi="Verdana"/>
          <w:color w:val="000033"/>
          <w:sz w:val="17"/>
          <w:szCs w:val="17"/>
          <w:shd w:val="clear" w:color="auto" w:fill="FFFFFF"/>
        </w:rPr>
        <w:t>&gt; We appreciate this point and have addressed it as part of our response to Major point #5 above. We have also removed the specific language about negative transfer on L87.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the introduction, the authors still say refer to negative transfer:</w:t>
      </w:r>
      <w:r>
        <w:rPr>
          <w:rFonts w:ascii="Verdana" w:hAnsi="Verdana"/>
          <w:color w:val="000033"/>
          <w:sz w:val="17"/>
          <w:szCs w:val="17"/>
        </w:rPr>
        <w:br/>
      </w:r>
      <w:r>
        <w:rPr>
          <w:rFonts w:ascii="Verdana" w:hAnsi="Verdana"/>
          <w:color w:val="000033"/>
          <w:sz w:val="17"/>
          <w:szCs w:val="17"/>
          <w:shd w:val="clear" w:color="auto" w:fill="FFFFFF"/>
        </w:rPr>
        <w:t>"We reasoned that negative transfer between cell types could contribute to poor performance on cell type specific epigenetic marks, including cell type specific accessible regions. Therefore, using custom models trained and evaluated on cell type specific ATAC-seq data from primary kidney and immune cells, we also evaluate the effect of single-task versus multi-task learning on predictive accuracy in cell type specific accessible regions."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would suggest the authors remove the mention of negative transfer in the introduction and potentially move it to the discussion or the results section when discussing what might be causing lower performance. This speculation in the introduction is misleading since it's not really followed up or demonstrated in the paper.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In Figure 2: the x axis is of panel A is divided into High/Low cell type specificity. However, figure B is stratified by the number of cell types with a peak. Is it possible to use the exact same set to evaluate the performance of the model in Figure 2B and S2 as well?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Figure S19 should be shown as Figure 4C. It contains one extra bar plot in the figure and puts the single task training process into perspective of alternative methods.</w:t>
      </w:r>
    </w:p>
    <w:p w14:paraId="0C7BDF2A" w14:textId="074F34D5" w:rsidR="00EC5A93" w:rsidRDefault="00EC5A93" w:rsidP="00EC5A93">
      <w:pPr>
        <w:rPr>
          <w:b/>
        </w:rPr>
      </w:pPr>
      <w:r w:rsidRPr="00340706">
        <w:rPr>
          <w:b/>
        </w:rPr>
        <w:t xml:space="preserve">Reviewer </w:t>
      </w:r>
      <w:r>
        <w:rPr>
          <w:b/>
        </w:rPr>
        <w:t>3</w:t>
      </w:r>
    </w:p>
    <w:p w14:paraId="2F3BB52F" w14:textId="5CA91E76" w:rsidR="00B071A6" w:rsidRDefault="00B071A6" w:rsidP="00EC5A93">
      <w:pPr>
        <w:rPr>
          <w:b/>
        </w:rPr>
      </w:pPr>
      <w:r>
        <w:rPr>
          <w:rFonts w:ascii="Verdana" w:hAnsi="Verdana"/>
          <w:color w:val="000033"/>
          <w:sz w:val="17"/>
          <w:szCs w:val="17"/>
          <w:shd w:val="clear" w:color="auto" w:fill="FFFFFF"/>
        </w:rPr>
        <w:t>The authors have addressed my previous concerns. I thank the authors for the revision.</w:t>
      </w:r>
    </w:p>
    <w:p w14:paraId="2AEF9375" w14:textId="724E8F9F" w:rsidR="0080625D" w:rsidRDefault="0080625D" w:rsidP="0080625D">
      <w:pPr>
        <w:rPr>
          <w:b/>
        </w:rPr>
      </w:pPr>
      <w:r w:rsidRPr="00340706">
        <w:rPr>
          <w:b/>
        </w:rPr>
        <w:t xml:space="preserve">Reviewer </w:t>
      </w:r>
      <w:r w:rsidR="00B071A6">
        <w:rPr>
          <w:b/>
        </w:rPr>
        <w:t>4</w:t>
      </w:r>
    </w:p>
    <w:p w14:paraId="1D9B1D9E" w14:textId="0611B0BE" w:rsidR="00EC5A93" w:rsidRPr="00340706" w:rsidRDefault="00B071A6" w:rsidP="009F23DA">
      <w:r>
        <w:rPr>
          <w:rFonts w:ascii="Verdana" w:hAnsi="Verdana"/>
          <w:color w:val="000033"/>
          <w:sz w:val="17"/>
          <w:szCs w:val="17"/>
          <w:shd w:val="clear" w:color="auto" w:fill="FFFFFF"/>
        </w:rPr>
        <w:t>The revisions have addressed a majority of my concerns. I believe the manuscript provides valuable insights into the behavior of multitask models at cell-type specific loci.</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points to address: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Include a definition of negative transfer. Negative transfer is referred to using a couple of citations in the introduction but no definition is provided.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It is not clear that Supp. Fig. 17A supports the claim it is used to make. The argument is that a TEAD-like motif is driving predictions for in both stromal and non-stromal cell types for multitask models, but only in stromal cell-types for the single-task models. However, from Supp. Fig. 17A, it looks like TEAD is not picked out by the single-task model at all, attributions at the TEAD motif are similar to or lesser than it's the surrounding nucleotides. Is it likely that the region looks similar in terms of attribution score distributions across cell-types and only differs in scale. I'd recommend providing a different example or using TF-MoDISco to do a global analysis in order to support this claim, or removing this claim.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Add in values for the y-axis in Fig. 3e, f.</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work relies on the Loeb et al. dataset, but this work is unpublished. Provide a preprint / GEO accession.</w:t>
      </w:r>
    </w:p>
    <w:p w14:paraId="25E29BEA" w14:textId="77777777" w:rsidR="009F23DA" w:rsidRPr="00340706" w:rsidRDefault="009F23DA" w:rsidP="009F23DA">
      <w:pPr>
        <w:rPr>
          <w:b/>
        </w:rPr>
      </w:pPr>
      <w:r w:rsidRPr="00340706">
        <w:rPr>
          <w:b/>
        </w:rPr>
        <w:t>Authors’ response to reviewers</w:t>
      </w:r>
    </w:p>
    <w:p w14:paraId="75619F10" w14:textId="77777777" w:rsidR="00E211CC" w:rsidRDefault="00E211CC" w:rsidP="00E211CC">
      <w:pPr>
        <w:pStyle w:val="BodyText"/>
        <w:spacing w:before="80" w:line="276" w:lineRule="auto"/>
      </w:pPr>
      <w:r>
        <w:rPr>
          <w:color w:val="4A86E8"/>
        </w:rPr>
        <w:t>We</w:t>
      </w:r>
      <w:r>
        <w:rPr>
          <w:color w:val="4A86E8"/>
          <w:spacing w:val="-3"/>
        </w:rPr>
        <w:t xml:space="preserve"> </w:t>
      </w:r>
      <w:r>
        <w:rPr>
          <w:color w:val="4A86E8"/>
        </w:rPr>
        <w:t>thank</w:t>
      </w:r>
      <w:r>
        <w:rPr>
          <w:color w:val="4A86E8"/>
          <w:spacing w:val="-3"/>
        </w:rPr>
        <w:t xml:space="preserve"> </w:t>
      </w:r>
      <w:r>
        <w:rPr>
          <w:color w:val="4A86E8"/>
        </w:rPr>
        <w:t>the</w:t>
      </w:r>
      <w:r>
        <w:rPr>
          <w:color w:val="4A86E8"/>
          <w:spacing w:val="-3"/>
        </w:rPr>
        <w:t xml:space="preserve"> </w:t>
      </w:r>
      <w:r>
        <w:rPr>
          <w:color w:val="4A86E8"/>
        </w:rPr>
        <w:t>reviewers</w:t>
      </w:r>
      <w:r>
        <w:rPr>
          <w:color w:val="4A86E8"/>
          <w:spacing w:val="-3"/>
        </w:rPr>
        <w:t xml:space="preserve"> </w:t>
      </w:r>
      <w:r>
        <w:rPr>
          <w:color w:val="4A86E8"/>
        </w:rPr>
        <w:t>for</w:t>
      </w:r>
      <w:r>
        <w:rPr>
          <w:color w:val="4A86E8"/>
          <w:spacing w:val="-3"/>
        </w:rPr>
        <w:t xml:space="preserve"> </w:t>
      </w:r>
      <w:r>
        <w:rPr>
          <w:color w:val="4A86E8"/>
        </w:rPr>
        <w:t>their</w:t>
      </w:r>
      <w:r>
        <w:rPr>
          <w:color w:val="4A86E8"/>
          <w:spacing w:val="-3"/>
        </w:rPr>
        <w:t xml:space="preserve"> </w:t>
      </w:r>
      <w:r>
        <w:rPr>
          <w:color w:val="4A86E8"/>
        </w:rPr>
        <w:t>additional</w:t>
      </w:r>
      <w:r>
        <w:rPr>
          <w:color w:val="4A86E8"/>
          <w:spacing w:val="-3"/>
        </w:rPr>
        <w:t xml:space="preserve"> </w:t>
      </w:r>
      <w:r>
        <w:rPr>
          <w:color w:val="4A86E8"/>
        </w:rPr>
        <w:t>comments.</w:t>
      </w:r>
      <w:r>
        <w:rPr>
          <w:color w:val="4A86E8"/>
          <w:spacing w:val="-3"/>
        </w:rPr>
        <w:t xml:space="preserve"> </w:t>
      </w:r>
      <w:r>
        <w:rPr>
          <w:color w:val="4A86E8"/>
        </w:rPr>
        <w:t>Based</w:t>
      </w:r>
      <w:r>
        <w:rPr>
          <w:color w:val="4A86E8"/>
          <w:spacing w:val="-3"/>
        </w:rPr>
        <w:t xml:space="preserve"> </w:t>
      </w:r>
      <w:r>
        <w:rPr>
          <w:color w:val="4A86E8"/>
        </w:rPr>
        <w:t>on</w:t>
      </w:r>
      <w:r>
        <w:rPr>
          <w:color w:val="4A86E8"/>
          <w:spacing w:val="-3"/>
        </w:rPr>
        <w:t xml:space="preserve"> </w:t>
      </w:r>
      <w:r>
        <w:rPr>
          <w:color w:val="4A86E8"/>
        </w:rPr>
        <w:t>this</w:t>
      </w:r>
      <w:r>
        <w:rPr>
          <w:color w:val="4A86E8"/>
          <w:spacing w:val="-3"/>
        </w:rPr>
        <w:t xml:space="preserve"> </w:t>
      </w:r>
      <w:r>
        <w:rPr>
          <w:color w:val="4A86E8"/>
        </w:rPr>
        <w:t>feedback,</w:t>
      </w:r>
      <w:r>
        <w:rPr>
          <w:color w:val="4A86E8"/>
          <w:spacing w:val="-3"/>
        </w:rPr>
        <w:t xml:space="preserve"> </w:t>
      </w:r>
      <w:r>
        <w:rPr>
          <w:color w:val="4A86E8"/>
        </w:rPr>
        <w:t>we</w:t>
      </w:r>
      <w:r>
        <w:rPr>
          <w:color w:val="4A86E8"/>
          <w:spacing w:val="-3"/>
        </w:rPr>
        <w:t xml:space="preserve"> </w:t>
      </w:r>
      <w:r>
        <w:rPr>
          <w:color w:val="4A86E8"/>
        </w:rPr>
        <w:t>have</w:t>
      </w:r>
      <w:r>
        <w:rPr>
          <w:color w:val="4A86E8"/>
          <w:spacing w:val="-3"/>
        </w:rPr>
        <w:t xml:space="preserve"> </w:t>
      </w:r>
      <w:r>
        <w:rPr>
          <w:color w:val="4A86E8"/>
        </w:rPr>
        <w:t>carried out an additional interpretability analysis of the single-task and multi-task models using TF- MoDISco, which we have added to the manuscript in Fig. S16C,D. We have also addressed a number of more minor points and clarifications suggested by the reviewers below.</w:t>
      </w:r>
    </w:p>
    <w:p w14:paraId="3D200C65" w14:textId="77777777" w:rsidR="00E211CC" w:rsidRDefault="00E211CC" w:rsidP="00E211CC">
      <w:pPr>
        <w:pStyle w:val="BodyText"/>
        <w:spacing w:before="37"/>
        <w:ind w:left="0"/>
      </w:pPr>
    </w:p>
    <w:p w14:paraId="3BAF5F2F" w14:textId="51E374CD" w:rsidR="00E211CC" w:rsidRDefault="00E211CC" w:rsidP="00E211CC">
      <w:pPr>
        <w:pStyle w:val="BodyText"/>
        <w:spacing w:before="37"/>
        <w:ind w:left="0"/>
      </w:pPr>
      <w:r>
        <w:t>|</w:t>
      </w:r>
    </w:p>
    <w:p w14:paraId="1188419B" w14:textId="77777777" w:rsidR="00E211CC" w:rsidRDefault="00E211CC" w:rsidP="00E211CC">
      <w:pPr>
        <w:pStyle w:val="Heading1"/>
      </w:pPr>
      <w:r>
        <w:rPr>
          <w:color w:val="222222"/>
        </w:rPr>
        <w:lastRenderedPageBreak/>
        <w:t>Reviewer</w:t>
      </w:r>
      <w:r>
        <w:rPr>
          <w:color w:val="222222"/>
          <w:spacing w:val="-8"/>
        </w:rPr>
        <w:t xml:space="preserve"> </w:t>
      </w:r>
      <w:r>
        <w:rPr>
          <w:color w:val="222222"/>
          <w:spacing w:val="-5"/>
        </w:rPr>
        <w:t>#1:</w:t>
      </w:r>
    </w:p>
    <w:p w14:paraId="334992A7" w14:textId="77777777" w:rsidR="00E211CC" w:rsidRDefault="00E211CC" w:rsidP="00E211CC">
      <w:pPr>
        <w:pStyle w:val="ListParagraph"/>
        <w:widowControl w:val="0"/>
        <w:numPr>
          <w:ilvl w:val="0"/>
          <w:numId w:val="9"/>
        </w:numPr>
        <w:tabs>
          <w:tab w:val="left" w:pos="343"/>
        </w:tabs>
        <w:autoSpaceDE w:val="0"/>
        <w:autoSpaceDN w:val="0"/>
        <w:spacing w:before="40" w:after="0" w:line="271" w:lineRule="auto"/>
        <w:ind w:right="211" w:firstLine="0"/>
        <w:contextualSpacing w:val="0"/>
      </w:pPr>
      <w:r>
        <w:rPr>
          <w:color w:val="222222"/>
        </w:rPr>
        <w:t>The data deposited in GEO should be made available not only with the publication of the manuscript,</w:t>
      </w:r>
      <w:r>
        <w:rPr>
          <w:color w:val="222222"/>
          <w:spacing w:val="-1"/>
        </w:rPr>
        <w:t xml:space="preserve"> </w:t>
      </w:r>
      <w:r>
        <w:rPr>
          <w:color w:val="222222"/>
        </w:rPr>
        <w:t>but</w:t>
      </w:r>
      <w:r>
        <w:rPr>
          <w:color w:val="222222"/>
          <w:spacing w:val="-1"/>
        </w:rPr>
        <w:t xml:space="preserve"> </w:t>
      </w:r>
      <w:r>
        <w:rPr>
          <w:color w:val="222222"/>
        </w:rPr>
        <w:t>also</w:t>
      </w:r>
      <w:r>
        <w:rPr>
          <w:color w:val="222222"/>
          <w:spacing w:val="-1"/>
        </w:rPr>
        <w:t xml:space="preserve"> </w:t>
      </w:r>
      <w:r>
        <w:rPr>
          <w:color w:val="222222"/>
        </w:rPr>
        <w:t>for</w:t>
      </w:r>
      <w:r>
        <w:rPr>
          <w:color w:val="222222"/>
          <w:spacing w:val="-1"/>
        </w:rPr>
        <w:t xml:space="preserve"> </w:t>
      </w:r>
      <w:r>
        <w:rPr>
          <w:color w:val="222222"/>
        </w:rPr>
        <w:t>the</w:t>
      </w:r>
      <w:r>
        <w:rPr>
          <w:color w:val="222222"/>
          <w:spacing w:val="-1"/>
        </w:rPr>
        <w:t xml:space="preserve"> </w:t>
      </w:r>
      <w:r>
        <w:rPr>
          <w:color w:val="222222"/>
        </w:rPr>
        <w:t>review</w:t>
      </w:r>
      <w:r>
        <w:rPr>
          <w:color w:val="222222"/>
          <w:spacing w:val="-1"/>
        </w:rPr>
        <w:t xml:space="preserve"> </w:t>
      </w:r>
      <w:r>
        <w:rPr>
          <w:color w:val="222222"/>
        </w:rPr>
        <w:t>process</w:t>
      </w:r>
      <w:r>
        <w:rPr>
          <w:color w:val="222222"/>
          <w:spacing w:val="-1"/>
        </w:rPr>
        <w:t xml:space="preserve"> </w:t>
      </w:r>
      <w:r>
        <w:rPr>
          <w:color w:val="222222"/>
        </w:rPr>
        <w:t>(could</w:t>
      </w:r>
      <w:r>
        <w:rPr>
          <w:color w:val="222222"/>
          <w:spacing w:val="-1"/>
        </w:rPr>
        <w:t xml:space="preserve"> </w:t>
      </w:r>
      <w:r>
        <w:rPr>
          <w:color w:val="222222"/>
        </w:rPr>
        <w:t>be</w:t>
      </w:r>
      <w:r>
        <w:rPr>
          <w:color w:val="222222"/>
          <w:spacing w:val="-1"/>
        </w:rPr>
        <w:t xml:space="preserve"> </w:t>
      </w:r>
      <w:r>
        <w:rPr>
          <w:color w:val="222222"/>
        </w:rPr>
        <w:t>made</w:t>
      </w:r>
      <w:r>
        <w:rPr>
          <w:color w:val="222222"/>
          <w:spacing w:val="-1"/>
        </w:rPr>
        <w:t xml:space="preserve"> </w:t>
      </w:r>
      <w:r>
        <w:rPr>
          <w:color w:val="222222"/>
        </w:rPr>
        <w:t>available</w:t>
      </w:r>
      <w:r>
        <w:rPr>
          <w:color w:val="222222"/>
          <w:spacing w:val="-1"/>
        </w:rPr>
        <w:t xml:space="preserve"> </w:t>
      </w:r>
      <w:r>
        <w:rPr>
          <w:color w:val="222222"/>
        </w:rPr>
        <w:t>only</w:t>
      </w:r>
      <w:r>
        <w:rPr>
          <w:color w:val="222222"/>
          <w:spacing w:val="-1"/>
        </w:rPr>
        <w:t xml:space="preserve"> </w:t>
      </w:r>
      <w:r>
        <w:rPr>
          <w:color w:val="222222"/>
        </w:rPr>
        <w:t>for</w:t>
      </w:r>
      <w:r>
        <w:rPr>
          <w:color w:val="222222"/>
          <w:spacing w:val="-1"/>
        </w:rPr>
        <w:t xml:space="preserve"> </w:t>
      </w:r>
      <w:r>
        <w:rPr>
          <w:color w:val="222222"/>
        </w:rPr>
        <w:t>the</w:t>
      </w:r>
      <w:r>
        <w:rPr>
          <w:color w:val="222222"/>
          <w:spacing w:val="-1"/>
        </w:rPr>
        <w:t xml:space="preserve"> </w:t>
      </w:r>
      <w:r>
        <w:rPr>
          <w:color w:val="222222"/>
        </w:rPr>
        <w:t>reviewers).</w:t>
      </w:r>
      <w:r>
        <w:rPr>
          <w:color w:val="222222"/>
          <w:spacing w:val="-1"/>
        </w:rPr>
        <w:t xml:space="preserve"> </w:t>
      </w:r>
      <w:r>
        <w:rPr>
          <w:color w:val="222222"/>
        </w:rPr>
        <w:t>In addition,</w:t>
      </w:r>
      <w:r>
        <w:rPr>
          <w:color w:val="222222"/>
          <w:spacing w:val="-3"/>
        </w:rPr>
        <w:t xml:space="preserve"> </w:t>
      </w:r>
      <w:r>
        <w:rPr>
          <w:color w:val="222222"/>
        </w:rPr>
        <w:t>the</w:t>
      </w:r>
      <w:r>
        <w:rPr>
          <w:color w:val="222222"/>
          <w:spacing w:val="-3"/>
        </w:rPr>
        <w:t xml:space="preserve"> </w:t>
      </w:r>
      <w:r>
        <w:rPr>
          <w:color w:val="222222"/>
        </w:rPr>
        <w:t>GitHub</w:t>
      </w:r>
      <w:r>
        <w:rPr>
          <w:color w:val="222222"/>
          <w:spacing w:val="-3"/>
        </w:rPr>
        <w:t xml:space="preserve"> </w:t>
      </w:r>
      <w:r>
        <w:rPr>
          <w:color w:val="222222"/>
        </w:rPr>
        <w:t>repository</w:t>
      </w:r>
      <w:r>
        <w:rPr>
          <w:color w:val="222222"/>
          <w:spacing w:val="-3"/>
        </w:rPr>
        <w:t xml:space="preserve"> </w:t>
      </w:r>
      <w:r>
        <w:rPr>
          <w:color w:val="222222"/>
        </w:rPr>
        <w:t>code</w:t>
      </w:r>
      <w:r>
        <w:rPr>
          <w:color w:val="222222"/>
          <w:spacing w:val="-3"/>
        </w:rPr>
        <w:t xml:space="preserve"> </w:t>
      </w:r>
      <w:r>
        <w:rPr>
          <w:color w:val="222222"/>
        </w:rPr>
        <w:t>lacks</w:t>
      </w:r>
      <w:r>
        <w:rPr>
          <w:color w:val="222222"/>
          <w:spacing w:val="-3"/>
        </w:rPr>
        <w:t xml:space="preserve"> </w:t>
      </w:r>
      <w:r>
        <w:rPr>
          <w:color w:val="222222"/>
        </w:rPr>
        <w:t>the</w:t>
      </w:r>
      <w:r>
        <w:rPr>
          <w:color w:val="222222"/>
          <w:spacing w:val="-3"/>
        </w:rPr>
        <w:t xml:space="preserve"> </w:t>
      </w:r>
      <w:r>
        <w:rPr>
          <w:color w:val="222222"/>
        </w:rPr>
        <w:t>modifications</w:t>
      </w:r>
      <w:r>
        <w:rPr>
          <w:color w:val="222222"/>
          <w:spacing w:val="-3"/>
        </w:rPr>
        <w:t xml:space="preserve"> </w:t>
      </w:r>
      <w:r>
        <w:rPr>
          <w:color w:val="222222"/>
        </w:rPr>
        <w:t>that</w:t>
      </w:r>
      <w:r>
        <w:rPr>
          <w:color w:val="222222"/>
          <w:spacing w:val="-3"/>
        </w:rPr>
        <w:t xml:space="preserve"> </w:t>
      </w:r>
      <w:r>
        <w:rPr>
          <w:color w:val="222222"/>
        </w:rPr>
        <w:t>resulted</w:t>
      </w:r>
      <w:r>
        <w:rPr>
          <w:color w:val="222222"/>
          <w:spacing w:val="-3"/>
        </w:rPr>
        <w:t xml:space="preserve"> </w:t>
      </w:r>
      <w:r>
        <w:rPr>
          <w:color w:val="222222"/>
        </w:rPr>
        <w:t>from</w:t>
      </w:r>
      <w:r>
        <w:rPr>
          <w:color w:val="222222"/>
          <w:spacing w:val="-3"/>
        </w:rPr>
        <w:t xml:space="preserve"> </w:t>
      </w:r>
      <w:r>
        <w:rPr>
          <w:color w:val="222222"/>
        </w:rPr>
        <w:t>responses</w:t>
      </w:r>
      <w:r>
        <w:rPr>
          <w:color w:val="222222"/>
          <w:spacing w:val="-3"/>
        </w:rPr>
        <w:t xml:space="preserve"> </w:t>
      </w:r>
      <w:r>
        <w:rPr>
          <w:color w:val="222222"/>
        </w:rPr>
        <w:t>to</w:t>
      </w:r>
      <w:r>
        <w:rPr>
          <w:color w:val="222222"/>
          <w:spacing w:val="-3"/>
        </w:rPr>
        <w:t xml:space="preserve"> </w:t>
      </w:r>
      <w:r>
        <w:rPr>
          <w:color w:val="222222"/>
        </w:rPr>
        <w:t>the review comments, e.g. a multi-task model with increased capacity.</w:t>
      </w:r>
    </w:p>
    <w:p w14:paraId="288BE51D" w14:textId="77777777" w:rsidR="00E211CC" w:rsidRDefault="00E211CC" w:rsidP="00E211CC">
      <w:pPr>
        <w:pStyle w:val="BodyText"/>
        <w:spacing w:before="8" w:line="276" w:lineRule="auto"/>
        <w:ind w:right="235"/>
        <w:jc w:val="both"/>
      </w:pPr>
      <w:r>
        <w:rPr>
          <w:color w:val="4A86E8"/>
        </w:rPr>
        <w:t>We have now updated the manuscript with the GEO accession number for the Loeb et al. data and</w:t>
      </w:r>
      <w:r>
        <w:rPr>
          <w:color w:val="4A86E8"/>
          <w:spacing w:val="-3"/>
        </w:rPr>
        <w:t xml:space="preserve"> </w:t>
      </w:r>
      <w:r>
        <w:rPr>
          <w:color w:val="4A86E8"/>
        </w:rPr>
        <w:t>have</w:t>
      </w:r>
      <w:r>
        <w:rPr>
          <w:color w:val="4A86E8"/>
          <w:spacing w:val="-3"/>
        </w:rPr>
        <w:t xml:space="preserve"> </w:t>
      </w:r>
      <w:r>
        <w:rPr>
          <w:color w:val="4A86E8"/>
        </w:rPr>
        <w:t>updated</w:t>
      </w:r>
      <w:r>
        <w:rPr>
          <w:color w:val="4A86E8"/>
          <w:spacing w:val="-3"/>
        </w:rPr>
        <w:t xml:space="preserve"> </w:t>
      </w:r>
      <w:r>
        <w:rPr>
          <w:color w:val="4A86E8"/>
        </w:rPr>
        <w:t>the</w:t>
      </w:r>
      <w:r>
        <w:rPr>
          <w:color w:val="4A86E8"/>
          <w:spacing w:val="-3"/>
        </w:rPr>
        <w:t xml:space="preserve"> </w:t>
      </w:r>
      <w:r>
        <w:rPr>
          <w:color w:val="4A86E8"/>
        </w:rPr>
        <w:t>GitHub</w:t>
      </w:r>
      <w:r>
        <w:rPr>
          <w:color w:val="4A86E8"/>
          <w:spacing w:val="-3"/>
        </w:rPr>
        <w:t xml:space="preserve"> </w:t>
      </w:r>
      <w:r>
        <w:rPr>
          <w:color w:val="4A86E8"/>
        </w:rPr>
        <w:t>repository</w:t>
      </w:r>
      <w:r>
        <w:rPr>
          <w:color w:val="4A86E8"/>
          <w:spacing w:val="-3"/>
        </w:rPr>
        <w:t xml:space="preserve"> </w:t>
      </w:r>
      <w:r>
        <w:rPr>
          <w:color w:val="4A86E8"/>
        </w:rPr>
        <w:t>to</w:t>
      </w:r>
      <w:r>
        <w:rPr>
          <w:color w:val="4A86E8"/>
          <w:spacing w:val="-3"/>
        </w:rPr>
        <w:t xml:space="preserve"> </w:t>
      </w:r>
      <w:r>
        <w:rPr>
          <w:color w:val="4A86E8"/>
        </w:rPr>
        <w:t>include</w:t>
      </w:r>
      <w:r>
        <w:rPr>
          <w:color w:val="4A86E8"/>
          <w:spacing w:val="-3"/>
        </w:rPr>
        <w:t xml:space="preserve"> </w:t>
      </w:r>
      <w:r>
        <w:rPr>
          <w:color w:val="4A86E8"/>
        </w:rPr>
        <w:t>all</w:t>
      </w:r>
      <w:r>
        <w:rPr>
          <w:color w:val="4A86E8"/>
          <w:spacing w:val="-3"/>
        </w:rPr>
        <w:t xml:space="preserve"> </w:t>
      </w:r>
      <w:r>
        <w:rPr>
          <w:color w:val="4A86E8"/>
        </w:rPr>
        <w:t>code</w:t>
      </w:r>
      <w:r>
        <w:rPr>
          <w:color w:val="4A86E8"/>
          <w:spacing w:val="-3"/>
        </w:rPr>
        <w:t xml:space="preserve"> </w:t>
      </w:r>
      <w:r>
        <w:rPr>
          <w:color w:val="4A86E8"/>
        </w:rPr>
        <w:t>used</w:t>
      </w:r>
      <w:r>
        <w:rPr>
          <w:color w:val="4A86E8"/>
          <w:spacing w:val="-3"/>
        </w:rPr>
        <w:t xml:space="preserve"> </w:t>
      </w:r>
      <w:r>
        <w:rPr>
          <w:color w:val="4A86E8"/>
        </w:rPr>
        <w:t>for</w:t>
      </w:r>
      <w:r>
        <w:rPr>
          <w:color w:val="4A86E8"/>
          <w:spacing w:val="-3"/>
        </w:rPr>
        <w:t xml:space="preserve"> </w:t>
      </w:r>
      <w:r>
        <w:rPr>
          <w:color w:val="4A86E8"/>
        </w:rPr>
        <w:t>analyses</w:t>
      </w:r>
      <w:r>
        <w:rPr>
          <w:color w:val="4A86E8"/>
          <w:spacing w:val="-3"/>
        </w:rPr>
        <w:t xml:space="preserve"> </w:t>
      </w:r>
      <w:r>
        <w:rPr>
          <w:color w:val="4A86E8"/>
        </w:rPr>
        <w:t>added</w:t>
      </w:r>
      <w:r>
        <w:rPr>
          <w:color w:val="4A86E8"/>
          <w:spacing w:val="-3"/>
        </w:rPr>
        <w:t xml:space="preserve"> </w:t>
      </w:r>
      <w:r>
        <w:rPr>
          <w:color w:val="4A86E8"/>
        </w:rPr>
        <w:t>during</w:t>
      </w:r>
      <w:r>
        <w:rPr>
          <w:color w:val="4A86E8"/>
          <w:spacing w:val="-3"/>
        </w:rPr>
        <w:t xml:space="preserve"> </w:t>
      </w:r>
      <w:r>
        <w:rPr>
          <w:color w:val="4A86E8"/>
        </w:rPr>
        <w:t xml:space="preserve">the </w:t>
      </w:r>
      <w:r>
        <w:rPr>
          <w:color w:val="4A86E8"/>
          <w:spacing w:val="-2"/>
        </w:rPr>
        <w:t>revision.</w:t>
      </w:r>
    </w:p>
    <w:p w14:paraId="19E15836" w14:textId="77777777" w:rsidR="00E211CC" w:rsidRDefault="00E211CC" w:rsidP="00E211CC">
      <w:pPr>
        <w:pStyle w:val="BodyText"/>
        <w:spacing w:before="41"/>
        <w:ind w:left="0"/>
      </w:pPr>
    </w:p>
    <w:p w14:paraId="7501DED0" w14:textId="77777777" w:rsidR="00E211CC" w:rsidRDefault="00E211CC" w:rsidP="00E211CC">
      <w:pPr>
        <w:pStyle w:val="ListParagraph"/>
        <w:widowControl w:val="0"/>
        <w:numPr>
          <w:ilvl w:val="0"/>
          <w:numId w:val="9"/>
        </w:numPr>
        <w:tabs>
          <w:tab w:val="left" w:pos="650"/>
        </w:tabs>
        <w:autoSpaceDE w:val="0"/>
        <w:autoSpaceDN w:val="0"/>
        <w:spacing w:after="0" w:line="271" w:lineRule="auto"/>
        <w:ind w:right="1030" w:firstLine="0"/>
        <w:contextualSpacing w:val="0"/>
      </w:pPr>
      <w:r>
        <w:rPr>
          <w:color w:val="222222"/>
        </w:rPr>
        <w:t>We</w:t>
      </w:r>
      <w:r>
        <w:rPr>
          <w:color w:val="222222"/>
          <w:spacing w:val="-4"/>
        </w:rPr>
        <w:t xml:space="preserve"> </w:t>
      </w:r>
      <w:r>
        <w:rPr>
          <w:color w:val="222222"/>
        </w:rPr>
        <w:t>have</w:t>
      </w:r>
      <w:r>
        <w:rPr>
          <w:color w:val="222222"/>
          <w:spacing w:val="-4"/>
        </w:rPr>
        <w:t xml:space="preserve"> </w:t>
      </w:r>
      <w:r>
        <w:rPr>
          <w:color w:val="222222"/>
        </w:rPr>
        <w:t>concerns</w:t>
      </w:r>
      <w:r>
        <w:rPr>
          <w:color w:val="222222"/>
          <w:spacing w:val="-4"/>
        </w:rPr>
        <w:t xml:space="preserve"> </w:t>
      </w:r>
      <w:r>
        <w:rPr>
          <w:color w:val="222222"/>
        </w:rPr>
        <w:t>regarding</w:t>
      </w:r>
      <w:r>
        <w:rPr>
          <w:color w:val="222222"/>
          <w:spacing w:val="-4"/>
        </w:rPr>
        <w:t xml:space="preserve"> </w:t>
      </w:r>
      <w:r>
        <w:rPr>
          <w:color w:val="222222"/>
        </w:rPr>
        <w:t>the</w:t>
      </w:r>
      <w:r>
        <w:rPr>
          <w:color w:val="222222"/>
          <w:spacing w:val="-4"/>
        </w:rPr>
        <w:t xml:space="preserve"> </w:t>
      </w:r>
      <w:r>
        <w:rPr>
          <w:color w:val="222222"/>
        </w:rPr>
        <w:t>interpretability</w:t>
      </w:r>
      <w:r>
        <w:rPr>
          <w:color w:val="222222"/>
          <w:spacing w:val="-4"/>
        </w:rPr>
        <w:t xml:space="preserve"> </w:t>
      </w:r>
      <w:r>
        <w:rPr>
          <w:color w:val="222222"/>
        </w:rPr>
        <w:t>techniques</w:t>
      </w:r>
      <w:r>
        <w:rPr>
          <w:color w:val="222222"/>
          <w:spacing w:val="-4"/>
        </w:rPr>
        <w:t xml:space="preserve"> </w:t>
      </w:r>
      <w:r>
        <w:rPr>
          <w:color w:val="222222"/>
        </w:rPr>
        <w:t>applied</w:t>
      </w:r>
      <w:r>
        <w:rPr>
          <w:color w:val="222222"/>
          <w:spacing w:val="-4"/>
        </w:rPr>
        <w:t xml:space="preserve"> </w:t>
      </w:r>
      <w:r>
        <w:rPr>
          <w:color w:val="222222"/>
        </w:rPr>
        <w:t>in</w:t>
      </w:r>
      <w:r>
        <w:rPr>
          <w:color w:val="222222"/>
          <w:spacing w:val="-4"/>
        </w:rPr>
        <w:t xml:space="preserve"> </w:t>
      </w:r>
      <w:r>
        <w:rPr>
          <w:color w:val="222222"/>
        </w:rPr>
        <w:t>the</w:t>
      </w:r>
      <w:r>
        <w:rPr>
          <w:color w:val="222222"/>
          <w:spacing w:val="-4"/>
        </w:rPr>
        <w:t xml:space="preserve"> </w:t>
      </w:r>
      <w:r>
        <w:rPr>
          <w:color w:val="222222"/>
        </w:rPr>
        <w:t xml:space="preserve">revised </w:t>
      </w:r>
      <w:r>
        <w:rPr>
          <w:color w:val="222222"/>
          <w:spacing w:val="-2"/>
        </w:rPr>
        <w:t>manuscript.</w:t>
      </w:r>
    </w:p>
    <w:p w14:paraId="63CDD18A" w14:textId="77777777" w:rsidR="00E211CC" w:rsidRDefault="00E211CC" w:rsidP="00E211CC">
      <w:pPr>
        <w:pStyle w:val="ListParagraph"/>
        <w:widowControl w:val="0"/>
        <w:numPr>
          <w:ilvl w:val="1"/>
          <w:numId w:val="9"/>
        </w:numPr>
        <w:tabs>
          <w:tab w:val="left" w:pos="650"/>
        </w:tabs>
        <w:autoSpaceDE w:val="0"/>
        <w:autoSpaceDN w:val="0"/>
        <w:spacing w:before="4" w:after="0" w:line="276" w:lineRule="auto"/>
        <w:ind w:right="104" w:firstLine="0"/>
        <w:contextualSpacing w:val="0"/>
      </w:pPr>
      <w:r>
        <w:rPr>
          <w:color w:val="222222"/>
        </w:rPr>
        <w:t>Global interpretability – we were confused by the description of this interpretability technique. The authors wrote that they implanted the motif in background and dishuffeled background sequences. In this first case, the sequence content is of background – why didn’t the authors use the active regions rather than background? And in the second, dishuffeled sequences are synthetic sequences and thus do no represent true biology. We recommend more</w:t>
      </w:r>
      <w:r>
        <w:rPr>
          <w:color w:val="222222"/>
          <w:spacing w:val="-3"/>
        </w:rPr>
        <w:t xml:space="preserve"> </w:t>
      </w:r>
      <w:r>
        <w:rPr>
          <w:color w:val="222222"/>
        </w:rPr>
        <w:t>established</w:t>
      </w:r>
      <w:r>
        <w:rPr>
          <w:color w:val="222222"/>
          <w:spacing w:val="-3"/>
        </w:rPr>
        <w:t xml:space="preserve"> </w:t>
      </w:r>
      <w:r>
        <w:rPr>
          <w:color w:val="222222"/>
        </w:rPr>
        <w:t>techniques,</w:t>
      </w:r>
      <w:r>
        <w:rPr>
          <w:color w:val="222222"/>
          <w:spacing w:val="-3"/>
        </w:rPr>
        <w:t xml:space="preserve"> </w:t>
      </w:r>
      <w:r>
        <w:rPr>
          <w:color w:val="222222"/>
        </w:rPr>
        <w:t>such</w:t>
      </w:r>
      <w:r>
        <w:rPr>
          <w:color w:val="222222"/>
          <w:spacing w:val="-3"/>
        </w:rPr>
        <w:t xml:space="preserve"> </w:t>
      </w:r>
      <w:r>
        <w:rPr>
          <w:color w:val="222222"/>
        </w:rPr>
        <w:t>as</w:t>
      </w:r>
      <w:r>
        <w:rPr>
          <w:color w:val="222222"/>
          <w:spacing w:val="-3"/>
        </w:rPr>
        <w:t xml:space="preserve"> </w:t>
      </w:r>
      <w:r>
        <w:rPr>
          <w:color w:val="222222"/>
        </w:rPr>
        <w:t>TF-MoDISco</w:t>
      </w:r>
      <w:r>
        <w:rPr>
          <w:color w:val="222222"/>
          <w:spacing w:val="-3"/>
        </w:rPr>
        <w:t xml:space="preserve"> </w:t>
      </w:r>
      <w:r>
        <w:rPr>
          <w:color w:val="222222"/>
        </w:rPr>
        <w:t>(Shirkumar</w:t>
      </w:r>
      <w:r>
        <w:rPr>
          <w:color w:val="222222"/>
          <w:spacing w:val="-3"/>
        </w:rPr>
        <w:t xml:space="preserve"> </w:t>
      </w:r>
      <w:r>
        <w:rPr>
          <w:color w:val="222222"/>
        </w:rPr>
        <w:t>et</w:t>
      </w:r>
      <w:r>
        <w:rPr>
          <w:color w:val="222222"/>
          <w:spacing w:val="-3"/>
        </w:rPr>
        <w:t xml:space="preserve"> </w:t>
      </w:r>
      <w:r>
        <w:rPr>
          <w:color w:val="222222"/>
        </w:rPr>
        <w:t>al.</w:t>
      </w:r>
      <w:r>
        <w:rPr>
          <w:color w:val="222222"/>
          <w:spacing w:val="-3"/>
        </w:rPr>
        <w:t xml:space="preserve"> </w:t>
      </w:r>
      <w:r>
        <w:rPr>
          <w:color w:val="222222"/>
        </w:rPr>
        <w:t>Arxiv</w:t>
      </w:r>
      <w:r>
        <w:rPr>
          <w:color w:val="222222"/>
          <w:spacing w:val="-3"/>
        </w:rPr>
        <w:t xml:space="preserve"> </w:t>
      </w:r>
      <w:r>
        <w:rPr>
          <w:color w:val="222222"/>
        </w:rPr>
        <w:t>2018),</w:t>
      </w:r>
      <w:r>
        <w:rPr>
          <w:color w:val="222222"/>
          <w:spacing w:val="-3"/>
        </w:rPr>
        <w:t xml:space="preserve"> </w:t>
      </w:r>
      <w:r>
        <w:rPr>
          <w:color w:val="222222"/>
        </w:rPr>
        <w:t>to</w:t>
      </w:r>
      <w:r>
        <w:rPr>
          <w:color w:val="222222"/>
          <w:spacing w:val="-3"/>
        </w:rPr>
        <w:t xml:space="preserve"> </w:t>
      </w:r>
      <w:r>
        <w:rPr>
          <w:color w:val="222222"/>
        </w:rPr>
        <w:t>discover</w:t>
      </w:r>
      <w:r>
        <w:rPr>
          <w:color w:val="222222"/>
          <w:spacing w:val="-3"/>
        </w:rPr>
        <w:t xml:space="preserve"> </w:t>
      </w:r>
      <w:r>
        <w:rPr>
          <w:color w:val="222222"/>
        </w:rPr>
        <w:t>re- occurring regulatory elements in attribution maps.</w:t>
      </w:r>
    </w:p>
    <w:p w14:paraId="69EC7E43" w14:textId="77777777" w:rsidR="00E211CC" w:rsidRDefault="00E211CC" w:rsidP="00E211CC">
      <w:pPr>
        <w:pStyle w:val="BodyText"/>
        <w:spacing w:line="276" w:lineRule="auto"/>
      </w:pPr>
      <w:r>
        <w:rPr>
          <w:color w:val="4A86E8"/>
        </w:rPr>
        <w:t>We apologize for the lack of clarity in the description of the motif insertion analysis. We used dinucleotide</w:t>
      </w:r>
      <w:r>
        <w:rPr>
          <w:color w:val="4A86E8"/>
          <w:spacing w:val="-4"/>
        </w:rPr>
        <w:t xml:space="preserve"> </w:t>
      </w:r>
      <w:r>
        <w:rPr>
          <w:color w:val="4A86E8"/>
        </w:rPr>
        <w:t>shuffled</w:t>
      </w:r>
      <w:r>
        <w:rPr>
          <w:color w:val="4A86E8"/>
          <w:spacing w:val="-4"/>
        </w:rPr>
        <w:t xml:space="preserve"> </w:t>
      </w:r>
      <w:r>
        <w:rPr>
          <w:color w:val="4A86E8"/>
        </w:rPr>
        <w:t>peak</w:t>
      </w:r>
      <w:r>
        <w:rPr>
          <w:color w:val="4A86E8"/>
          <w:spacing w:val="-4"/>
        </w:rPr>
        <w:t xml:space="preserve"> </w:t>
      </w:r>
      <w:r>
        <w:rPr>
          <w:color w:val="4A86E8"/>
        </w:rPr>
        <w:t>sequences</w:t>
      </w:r>
      <w:r>
        <w:rPr>
          <w:color w:val="4A86E8"/>
          <w:spacing w:val="-4"/>
        </w:rPr>
        <w:t xml:space="preserve"> </w:t>
      </w:r>
      <w:r>
        <w:rPr>
          <w:b/>
          <w:color w:val="4A86E8"/>
        </w:rPr>
        <w:t>as</w:t>
      </w:r>
      <w:r>
        <w:rPr>
          <w:b/>
          <w:color w:val="4A86E8"/>
          <w:spacing w:val="-4"/>
        </w:rPr>
        <w:t xml:space="preserve"> </w:t>
      </w:r>
      <w:r>
        <w:rPr>
          <w:color w:val="4A86E8"/>
        </w:rPr>
        <w:t>the</w:t>
      </w:r>
      <w:r>
        <w:rPr>
          <w:color w:val="4A86E8"/>
          <w:spacing w:val="-4"/>
        </w:rPr>
        <w:t xml:space="preserve"> </w:t>
      </w:r>
      <w:r>
        <w:rPr>
          <w:color w:val="4A86E8"/>
        </w:rPr>
        <w:t>background</w:t>
      </w:r>
      <w:r>
        <w:rPr>
          <w:color w:val="4A86E8"/>
          <w:spacing w:val="-4"/>
        </w:rPr>
        <w:t xml:space="preserve"> </w:t>
      </w:r>
      <w:r>
        <w:rPr>
          <w:color w:val="4A86E8"/>
        </w:rPr>
        <w:t>sequences</w:t>
      </w:r>
      <w:r>
        <w:rPr>
          <w:color w:val="4A86E8"/>
          <w:spacing w:val="-4"/>
        </w:rPr>
        <w:t xml:space="preserve"> </w:t>
      </w:r>
      <w:r>
        <w:rPr>
          <w:color w:val="4A86E8"/>
        </w:rPr>
        <w:t>that</w:t>
      </w:r>
      <w:r>
        <w:rPr>
          <w:color w:val="4A86E8"/>
          <w:spacing w:val="-4"/>
        </w:rPr>
        <w:t xml:space="preserve"> </w:t>
      </w:r>
      <w:r>
        <w:rPr>
          <w:color w:val="4A86E8"/>
        </w:rPr>
        <w:t>motifs</w:t>
      </w:r>
      <w:r>
        <w:rPr>
          <w:color w:val="4A86E8"/>
          <w:spacing w:val="-2"/>
        </w:rPr>
        <w:t xml:space="preserve"> </w:t>
      </w:r>
      <w:r>
        <w:rPr>
          <w:color w:val="4A86E8"/>
        </w:rPr>
        <w:t>were</w:t>
      </w:r>
      <w:r>
        <w:rPr>
          <w:color w:val="4A86E8"/>
          <w:spacing w:val="-4"/>
        </w:rPr>
        <w:t xml:space="preserve"> </w:t>
      </w:r>
      <w:r>
        <w:rPr>
          <w:color w:val="4A86E8"/>
        </w:rPr>
        <w:t>inserted into. To provide more clarity, we have graphically depicted the procedure we followed below:</w:t>
      </w:r>
    </w:p>
    <w:p w14:paraId="30B4B618" w14:textId="4F6CCDA4" w:rsidR="00E211CC" w:rsidRDefault="00E211CC" w:rsidP="00E211CC">
      <w:pPr>
        <w:pStyle w:val="BodyText"/>
        <w:spacing w:before="68"/>
        <w:ind w:left="0"/>
        <w:rPr>
          <w:sz w:val="20"/>
        </w:rPr>
      </w:pPr>
      <w:r>
        <w:rPr>
          <w:noProof/>
        </w:rPr>
        <mc:AlternateContent>
          <mc:Choice Requires="wpg">
            <w:drawing>
              <wp:anchor distT="0" distB="0" distL="0" distR="0" simplePos="0" relativeHeight="251663360" behindDoc="1" locked="0" layoutInCell="1" allowOverlap="1" wp14:anchorId="67FDEC93" wp14:editId="091395F7">
                <wp:simplePos x="0" y="0"/>
                <wp:positionH relativeFrom="page">
                  <wp:posOffset>1156335</wp:posOffset>
                </wp:positionH>
                <wp:positionV relativeFrom="paragraph">
                  <wp:posOffset>205105</wp:posOffset>
                </wp:positionV>
                <wp:extent cx="903605" cy="133350"/>
                <wp:effectExtent l="0" t="0" r="10795" b="19050"/>
                <wp:wrapTopAndBottom/>
                <wp:docPr id="1" name="Group 7"/>
                <wp:cNvGraphicFramePr/>
                <a:graphic xmlns:a="http://schemas.openxmlformats.org/drawingml/2006/main">
                  <a:graphicData uri="http://schemas.microsoft.com/office/word/2010/wordprocessingGroup">
                    <wpg:wgp>
                      <wpg:cNvGrpSpPr/>
                      <wpg:grpSpPr>
                        <a:xfrm>
                          <a:off x="0" y="0"/>
                          <a:ext cx="903605" cy="133350"/>
                          <a:chOff x="4762" y="4762"/>
                          <a:chExt cx="894080" cy="123825"/>
                        </a:xfrm>
                      </wpg:grpSpPr>
                      <wps:wsp>
                        <wps:cNvPr id="374181948" name="Graphic 2"/>
                        <wps:cNvSpPr/>
                        <wps:spPr>
                          <a:xfrm>
                            <a:off x="4762" y="4762"/>
                            <a:ext cx="894080" cy="123825"/>
                          </a:xfrm>
                          <a:custGeom>
                            <a:avLst/>
                            <a:gdLst/>
                            <a:ahLst/>
                            <a:cxnLst/>
                            <a:rect l="l" t="t" r="r" b="b"/>
                            <a:pathLst>
                              <a:path w="894080" h="123825">
                                <a:moveTo>
                                  <a:pt x="893784" y="0"/>
                                </a:moveTo>
                                <a:lnTo>
                                  <a:pt x="0" y="0"/>
                                </a:lnTo>
                                <a:lnTo>
                                  <a:pt x="0" y="123600"/>
                                </a:lnTo>
                                <a:lnTo>
                                  <a:pt x="893784" y="123600"/>
                                </a:lnTo>
                                <a:lnTo>
                                  <a:pt x="893784" y="0"/>
                                </a:lnTo>
                                <a:close/>
                              </a:path>
                            </a:pathLst>
                          </a:custGeom>
                          <a:solidFill>
                            <a:srgbClr val="CFE2F3"/>
                          </a:solidFill>
                        </wps:spPr>
                        <wps:bodyPr wrap="square" lIns="0" tIns="0" rIns="0" bIns="0" rtlCol="0">
                          <a:prstTxWarp prst="textNoShape">
                            <a:avLst/>
                          </a:prstTxWarp>
                          <a:noAutofit/>
                        </wps:bodyPr>
                      </wps:wsp>
                      <wps:wsp>
                        <wps:cNvPr id="2092952629" name="Graphic 3"/>
                        <wps:cNvSpPr/>
                        <wps:spPr>
                          <a:xfrm>
                            <a:off x="4762" y="4762"/>
                            <a:ext cx="894080" cy="123825"/>
                          </a:xfrm>
                          <a:custGeom>
                            <a:avLst/>
                            <a:gdLst/>
                            <a:ahLst/>
                            <a:cxnLst/>
                            <a:rect l="l" t="t" r="r" b="b"/>
                            <a:pathLst>
                              <a:path w="894080" h="123825">
                                <a:moveTo>
                                  <a:pt x="0" y="0"/>
                                </a:moveTo>
                                <a:lnTo>
                                  <a:pt x="893785" y="0"/>
                                </a:lnTo>
                                <a:lnTo>
                                  <a:pt x="893785" y="123600"/>
                                </a:lnTo>
                                <a:lnTo>
                                  <a:pt x="0" y="1236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1A0135" id="Group 7" o:spid="_x0000_s1026" style="position:absolute;margin-left:91.05pt;margin-top:16.15pt;width:71.15pt;height:10.5pt;z-index:-251653120;mso-wrap-distance-left:0;mso-wrap-distance-right:0;mso-position-horizontal-relative:page" coordorigin="47,47" coordsize="8940,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">
                <v:shape id="Graphic 2" o:spid="_x0000_s1027"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" path="m893784,l,,,123600r893784,l893784,xe" fillcolor="#cfe2f3" stroked="f">
                  <v:path arrowok="t"/>
                </v:shape>
                <v:shape id="Graphic 3" o:spid="_x0000_s1028"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" path="m,l893785,r,123600l,123600,,xe" filled="f">
                  <v:path arrowok="t"/>
                </v:shape>
                <w10:wrap type="topAndBottom" anchorx="page"/>
              </v:group>
            </w:pict>
          </mc:Fallback>
        </mc:AlternateContent>
      </w:r>
      <w:r>
        <w:rPr>
          <w:noProof/>
        </w:rPr>
        <mc:AlternateContent>
          <mc:Choice Requires="wpg">
            <w:drawing>
              <wp:anchor distT="0" distB="0" distL="0" distR="0" simplePos="0" relativeHeight="251665408" behindDoc="1" locked="0" layoutInCell="1" allowOverlap="1" wp14:anchorId="1369C508" wp14:editId="29C6F740">
                <wp:simplePos x="0" y="0"/>
                <wp:positionH relativeFrom="page">
                  <wp:posOffset>2737485</wp:posOffset>
                </wp:positionH>
                <wp:positionV relativeFrom="paragraph">
                  <wp:posOffset>205105</wp:posOffset>
                </wp:positionV>
                <wp:extent cx="903605" cy="133350"/>
                <wp:effectExtent l="0" t="0" r="10795" b="19050"/>
                <wp:wrapTopAndBottom/>
                <wp:docPr id="2073580087" name="Group 6"/>
                <wp:cNvGraphicFramePr/>
                <a:graphic xmlns:a="http://schemas.openxmlformats.org/drawingml/2006/main">
                  <a:graphicData uri="http://schemas.microsoft.com/office/word/2010/wordprocessingGroup">
                    <wpg:wgp>
                      <wpg:cNvGrpSpPr/>
                      <wpg:grpSpPr>
                        <a:xfrm>
                          <a:off x="0" y="0"/>
                          <a:ext cx="903605" cy="133350"/>
                          <a:chOff x="4762" y="4762"/>
                          <a:chExt cx="894080" cy="123825"/>
                        </a:xfrm>
                      </wpg:grpSpPr>
                      <wps:wsp>
                        <wps:cNvPr id="202232399" name="Graphic 6"/>
                        <wps:cNvSpPr/>
                        <wps:spPr>
                          <a:xfrm>
                            <a:off x="4762" y="4762"/>
                            <a:ext cx="894080" cy="123825"/>
                          </a:xfrm>
                          <a:custGeom>
                            <a:avLst/>
                            <a:gdLst/>
                            <a:ahLst/>
                            <a:cxnLst/>
                            <a:rect l="l" t="t" r="r" b="b"/>
                            <a:pathLst>
                              <a:path w="894080" h="123825">
                                <a:moveTo>
                                  <a:pt x="893784" y="0"/>
                                </a:moveTo>
                                <a:lnTo>
                                  <a:pt x="0" y="0"/>
                                </a:lnTo>
                                <a:lnTo>
                                  <a:pt x="0" y="123600"/>
                                </a:lnTo>
                                <a:lnTo>
                                  <a:pt x="893784" y="123600"/>
                                </a:lnTo>
                                <a:lnTo>
                                  <a:pt x="893784" y="0"/>
                                </a:lnTo>
                                <a:close/>
                              </a:path>
                            </a:pathLst>
                          </a:custGeom>
                          <a:solidFill>
                            <a:srgbClr val="FFF2CC"/>
                          </a:solidFill>
                        </wps:spPr>
                        <wps:bodyPr wrap="square" lIns="0" tIns="0" rIns="0" bIns="0" rtlCol="0">
                          <a:prstTxWarp prst="textNoShape">
                            <a:avLst/>
                          </a:prstTxWarp>
                          <a:noAutofit/>
                        </wps:bodyPr>
                      </wps:wsp>
                      <wps:wsp>
                        <wps:cNvPr id="1227616672" name="Graphic 7"/>
                        <wps:cNvSpPr/>
                        <wps:spPr>
                          <a:xfrm>
                            <a:off x="4762" y="4762"/>
                            <a:ext cx="894080" cy="123825"/>
                          </a:xfrm>
                          <a:custGeom>
                            <a:avLst/>
                            <a:gdLst/>
                            <a:ahLst/>
                            <a:cxnLst/>
                            <a:rect l="l" t="t" r="r" b="b"/>
                            <a:pathLst>
                              <a:path w="894080" h="123825">
                                <a:moveTo>
                                  <a:pt x="0" y="0"/>
                                </a:moveTo>
                                <a:lnTo>
                                  <a:pt x="893785" y="0"/>
                                </a:lnTo>
                                <a:lnTo>
                                  <a:pt x="893785" y="123600"/>
                                </a:lnTo>
                                <a:lnTo>
                                  <a:pt x="0" y="12360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3DFF3A5" id="Group 6" o:spid="_x0000_s1026" style="position:absolute;margin-left:215.55pt;margin-top:16.15pt;width:71.15pt;height:10.5pt;z-index:-251651072;mso-wrap-distance-left:0;mso-wrap-distance-right:0;mso-position-horizontal-relative:page" coordorigin="47,47" coordsize="8940,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">
                <v:shape id="Graphic 6" o:spid="_x0000_s1027"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" path="m893784,l,,,123600r893784,l893784,xe" fillcolor="#fff2cc" stroked="f">
                  <v:path arrowok="t"/>
                </v:shape>
                <v:shape id="Graphic 7" o:spid="_x0000_s1028"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" path="m,l893785,r,123600l,123600,,xe" filled="f">
                  <v:path arrowok="t"/>
                </v:shape>
                <w10:wrap type="topAndBottom" anchorx="page"/>
              </v:group>
            </w:pict>
          </mc:Fallback>
        </mc:AlternateContent>
      </w:r>
      <w:r>
        <w:rPr>
          <w:noProof/>
        </w:rPr>
        <mc:AlternateContent>
          <mc:Choice Requires="wpg">
            <w:drawing>
              <wp:anchor distT="0" distB="0" distL="0" distR="0" simplePos="0" relativeHeight="251667456" behindDoc="1" locked="0" layoutInCell="1" allowOverlap="1" wp14:anchorId="5BB88086" wp14:editId="32DB0267">
                <wp:simplePos x="0" y="0"/>
                <wp:positionH relativeFrom="page">
                  <wp:posOffset>4476115</wp:posOffset>
                </wp:positionH>
                <wp:positionV relativeFrom="paragraph">
                  <wp:posOffset>205105</wp:posOffset>
                </wp:positionV>
                <wp:extent cx="903605" cy="133350"/>
                <wp:effectExtent l="0" t="0" r="10795" b="19050"/>
                <wp:wrapTopAndBottom/>
                <wp:docPr id="9" name="Group 5"/>
                <wp:cNvGraphicFramePr/>
                <a:graphic xmlns:a="http://schemas.openxmlformats.org/drawingml/2006/main">
                  <a:graphicData uri="http://schemas.microsoft.com/office/word/2010/wordprocessingGroup">
                    <wpg:wgp>
                      <wpg:cNvGrpSpPr/>
                      <wpg:grpSpPr>
                        <a:xfrm>
                          <a:off x="0" y="0"/>
                          <a:ext cx="903605" cy="133350"/>
                          <a:chOff x="4762" y="4762"/>
                          <a:chExt cx="894080" cy="123825"/>
                        </a:xfrm>
                      </wpg:grpSpPr>
                      <wps:wsp>
                        <wps:cNvPr id="1569337989" name="Graphic 10"/>
                        <wps:cNvSpPr/>
                        <wps:spPr>
                          <a:xfrm>
                            <a:off x="4762" y="4762"/>
                            <a:ext cx="894080" cy="123825"/>
                          </a:xfrm>
                          <a:custGeom>
                            <a:avLst/>
                            <a:gdLst/>
                            <a:ahLst/>
                            <a:cxnLst/>
                            <a:rect l="l" t="t" r="r" b="b"/>
                            <a:pathLst>
                              <a:path w="894080" h="123825">
                                <a:moveTo>
                                  <a:pt x="893784" y="0"/>
                                </a:moveTo>
                                <a:lnTo>
                                  <a:pt x="0" y="0"/>
                                </a:lnTo>
                                <a:lnTo>
                                  <a:pt x="0" y="123600"/>
                                </a:lnTo>
                                <a:lnTo>
                                  <a:pt x="893784" y="123600"/>
                                </a:lnTo>
                                <a:lnTo>
                                  <a:pt x="893784" y="0"/>
                                </a:lnTo>
                                <a:close/>
                              </a:path>
                            </a:pathLst>
                          </a:custGeom>
                          <a:solidFill>
                            <a:srgbClr val="FFF2CC"/>
                          </a:solidFill>
                        </wps:spPr>
                        <wps:bodyPr wrap="square" lIns="0" tIns="0" rIns="0" bIns="0" rtlCol="0">
                          <a:prstTxWarp prst="textNoShape">
                            <a:avLst/>
                          </a:prstTxWarp>
                          <a:noAutofit/>
                        </wps:bodyPr>
                      </wps:wsp>
                      <wps:wsp>
                        <wps:cNvPr id="861710776" name="Graphic 11"/>
                        <wps:cNvSpPr/>
                        <wps:spPr>
                          <a:xfrm>
                            <a:off x="4762" y="4762"/>
                            <a:ext cx="894080" cy="123825"/>
                          </a:xfrm>
                          <a:custGeom>
                            <a:avLst/>
                            <a:gdLst/>
                            <a:ahLst/>
                            <a:cxnLst/>
                            <a:rect l="l" t="t" r="r" b="b"/>
                            <a:pathLst>
                              <a:path w="894080" h="123825">
                                <a:moveTo>
                                  <a:pt x="0" y="0"/>
                                </a:moveTo>
                                <a:lnTo>
                                  <a:pt x="893785" y="0"/>
                                </a:lnTo>
                                <a:lnTo>
                                  <a:pt x="893785" y="123600"/>
                                </a:lnTo>
                                <a:lnTo>
                                  <a:pt x="0" y="12360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1530477631" name="Graphic 12"/>
                        <wps:cNvSpPr/>
                        <wps:spPr>
                          <a:xfrm>
                            <a:off x="424047" y="9748"/>
                            <a:ext cx="123825" cy="113664"/>
                          </a:xfrm>
                          <a:custGeom>
                            <a:avLst/>
                            <a:gdLst/>
                            <a:ahLst/>
                            <a:cxnLst/>
                            <a:rect l="l" t="t" r="r" b="b"/>
                            <a:pathLst>
                              <a:path w="123825" h="113664">
                                <a:moveTo>
                                  <a:pt x="123290" y="0"/>
                                </a:moveTo>
                                <a:lnTo>
                                  <a:pt x="0" y="0"/>
                                </a:lnTo>
                                <a:lnTo>
                                  <a:pt x="0" y="113626"/>
                                </a:lnTo>
                                <a:lnTo>
                                  <a:pt x="123290" y="113626"/>
                                </a:lnTo>
                                <a:lnTo>
                                  <a:pt x="123290" y="0"/>
                                </a:lnTo>
                                <a:close/>
                              </a:path>
                            </a:pathLst>
                          </a:custGeom>
                          <a:solidFill>
                            <a:srgbClr val="FF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FBE7FB1" id="Group 5" o:spid="_x0000_s1026" style="position:absolute;margin-left:352.45pt;margin-top:16.15pt;width:71.15pt;height:10.5pt;z-index:-251649024;mso-wrap-distance-left:0;mso-wrap-distance-right:0;mso-position-horizontal-relative:page" coordorigin="47,47" coordsize="8940,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">
                <v:shape id="Graphic 10" o:spid="_x0000_s1027"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" path="m893784,l,,,123600r893784,l893784,xe" fillcolor="#fff2cc" stroked="f">
                  <v:path arrowok="t"/>
                </v:shape>
                <v:shape id="Graphic 11" o:spid="_x0000_s1028"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" path="m,l893785,r,123600l,123600,,xe" filled="f">
                  <v:path arrowok="t"/>
                </v:shape>
                <v:shape id="Graphic 12" o:spid="_x0000_s1029" style="position:absolute;left:4240;top:97;width:1238;height:1137;visibility:visible;mso-wrap-style:square;v-text-anchor:top" coordsize="12382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" path="m123290,l,,,113626r123290,l123290,xe" fillcolor="red" stroked="f">
                  <v:path arrowok="t"/>
                </v:shape>
                <w10:wrap type="topAndBottom" anchorx="page"/>
              </v:group>
            </w:pict>
          </mc:Fallback>
        </mc:AlternateContent>
      </w:r>
      <w:r>
        <w:rPr>
          <w:noProof/>
        </w:rPr>
        <mc:AlternateContent>
          <mc:Choice Requires="wps">
            <w:drawing>
              <wp:anchor distT="0" distB="0" distL="0" distR="0" simplePos="0" relativeHeight="251666432" behindDoc="1" locked="0" layoutInCell="1" allowOverlap="1" wp14:anchorId="50276C7F" wp14:editId="33ACBB07">
                <wp:simplePos x="0" y="0"/>
                <wp:positionH relativeFrom="page">
                  <wp:posOffset>3880485</wp:posOffset>
                </wp:positionH>
                <wp:positionV relativeFrom="paragraph">
                  <wp:posOffset>239395</wp:posOffset>
                </wp:positionV>
                <wp:extent cx="355600" cy="76200"/>
                <wp:effectExtent l="0" t="0" r="6350" b="0"/>
                <wp:wrapTopAndBottom/>
                <wp:docPr id="1575830851"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76200"/>
                        </a:xfrm>
                        <a:custGeom>
                          <a:avLst/>
                          <a:gdLst/>
                          <a:ahLst/>
                          <a:cxnLst/>
                          <a:rect l="l" t="t" r="r" b="b"/>
                          <a:pathLst>
                            <a:path w="355600" h="76200">
                              <a:moveTo>
                                <a:pt x="279204" y="42862"/>
                              </a:moveTo>
                              <a:lnTo>
                                <a:pt x="279204" y="76200"/>
                              </a:lnTo>
                              <a:lnTo>
                                <a:pt x="345879" y="42862"/>
                              </a:lnTo>
                              <a:lnTo>
                                <a:pt x="279204" y="42862"/>
                              </a:lnTo>
                              <a:close/>
                            </a:path>
                            <a:path w="355600" h="76200">
                              <a:moveTo>
                                <a:pt x="279204" y="33337"/>
                              </a:moveTo>
                              <a:lnTo>
                                <a:pt x="279204" y="42862"/>
                              </a:lnTo>
                              <a:lnTo>
                                <a:pt x="291904" y="42862"/>
                              </a:lnTo>
                              <a:lnTo>
                                <a:pt x="291904" y="33337"/>
                              </a:lnTo>
                              <a:lnTo>
                                <a:pt x="279204" y="33337"/>
                              </a:lnTo>
                              <a:close/>
                            </a:path>
                            <a:path w="355600" h="76200">
                              <a:moveTo>
                                <a:pt x="279204" y="0"/>
                              </a:moveTo>
                              <a:lnTo>
                                <a:pt x="279204" y="33337"/>
                              </a:lnTo>
                              <a:lnTo>
                                <a:pt x="291904" y="33337"/>
                              </a:lnTo>
                              <a:lnTo>
                                <a:pt x="291904" y="42862"/>
                              </a:lnTo>
                              <a:lnTo>
                                <a:pt x="345881" y="42861"/>
                              </a:lnTo>
                              <a:lnTo>
                                <a:pt x="355404" y="38100"/>
                              </a:lnTo>
                              <a:lnTo>
                                <a:pt x="279204" y="0"/>
                              </a:lnTo>
                              <a:close/>
                            </a:path>
                            <a:path w="355600" h="76200">
                              <a:moveTo>
                                <a:pt x="0" y="33336"/>
                              </a:moveTo>
                              <a:lnTo>
                                <a:pt x="0" y="42861"/>
                              </a:lnTo>
                              <a:lnTo>
                                <a:pt x="279204" y="42862"/>
                              </a:lnTo>
                              <a:lnTo>
                                <a:pt x="279204" y="33337"/>
                              </a:lnTo>
                              <a:lnTo>
                                <a:pt x="0" y="33336"/>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0D989E" id="Freeform: Shape 4" o:spid="_x0000_s1026" style="position:absolute;margin-left:305.55pt;margin-top:18.85pt;width:28pt;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6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" path="m279204,42862r,33338l345879,42862r-66675,xem279204,33337r,9525l291904,42862r,-9525l279204,33337xem279204,r,33337l291904,33337r,9525l345881,42861r9523,-4761l279204,xem,33336r,9525l279204,42862r,-9525l,33336xe" fillcolor="black" stroked="f">
                <v:path arrowok="t"/>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137A197C" wp14:editId="40804AE6">
                <wp:simplePos x="0" y="0"/>
                <wp:positionH relativeFrom="page">
                  <wp:posOffset>2220595</wp:posOffset>
                </wp:positionH>
                <wp:positionV relativeFrom="paragraph">
                  <wp:posOffset>227330</wp:posOffset>
                </wp:positionV>
                <wp:extent cx="355600" cy="76200"/>
                <wp:effectExtent l="0" t="0" r="635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76200"/>
                        </a:xfrm>
                        <a:custGeom>
                          <a:avLst/>
                          <a:gdLst/>
                          <a:ahLst/>
                          <a:cxnLst/>
                          <a:rect l="l" t="t" r="r" b="b"/>
                          <a:pathLst>
                            <a:path w="355600" h="76200">
                              <a:moveTo>
                                <a:pt x="279203" y="42862"/>
                              </a:moveTo>
                              <a:lnTo>
                                <a:pt x="279203" y="76200"/>
                              </a:lnTo>
                              <a:lnTo>
                                <a:pt x="345878" y="42862"/>
                              </a:lnTo>
                              <a:lnTo>
                                <a:pt x="279203" y="42862"/>
                              </a:lnTo>
                              <a:close/>
                            </a:path>
                            <a:path w="355600" h="76200">
                              <a:moveTo>
                                <a:pt x="279203" y="33337"/>
                              </a:moveTo>
                              <a:lnTo>
                                <a:pt x="279203" y="42862"/>
                              </a:lnTo>
                              <a:lnTo>
                                <a:pt x="291903" y="42862"/>
                              </a:lnTo>
                              <a:lnTo>
                                <a:pt x="291903" y="33337"/>
                              </a:lnTo>
                              <a:lnTo>
                                <a:pt x="279203" y="33337"/>
                              </a:lnTo>
                              <a:close/>
                            </a:path>
                            <a:path w="355600" h="76200">
                              <a:moveTo>
                                <a:pt x="279203" y="0"/>
                              </a:moveTo>
                              <a:lnTo>
                                <a:pt x="279203" y="33337"/>
                              </a:lnTo>
                              <a:lnTo>
                                <a:pt x="291903" y="33337"/>
                              </a:lnTo>
                              <a:lnTo>
                                <a:pt x="291903" y="42862"/>
                              </a:lnTo>
                              <a:lnTo>
                                <a:pt x="345880" y="42861"/>
                              </a:lnTo>
                              <a:lnTo>
                                <a:pt x="355403" y="38100"/>
                              </a:lnTo>
                              <a:lnTo>
                                <a:pt x="279203" y="0"/>
                              </a:lnTo>
                              <a:close/>
                            </a:path>
                            <a:path w="355600" h="76200">
                              <a:moveTo>
                                <a:pt x="0" y="33336"/>
                              </a:moveTo>
                              <a:lnTo>
                                <a:pt x="0" y="42861"/>
                              </a:lnTo>
                              <a:lnTo>
                                <a:pt x="279203" y="42862"/>
                              </a:lnTo>
                              <a:lnTo>
                                <a:pt x="279203" y="33337"/>
                              </a:lnTo>
                              <a:lnTo>
                                <a:pt x="0" y="33336"/>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4F3855" id="Freeform: Shape 4" o:spid="_x0000_s1026" style="position:absolute;margin-left:174.85pt;margin-top:17.9pt;width:28pt;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6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" path="m279203,42862r,33338l345878,42862r-66675,xem279203,33337r,9525l291903,42862r,-9525l279203,33337xem279203,r,33337l291903,33337r,9525l345880,42861r9523,-4761l279203,xem,33336r,9525l279203,42862r,-9525l,33336xe" fillcolor="black" stroked="f">
                <v:path arrowok="t"/>
                <w10:wrap type="topAndBottom" anchorx="page"/>
              </v:shape>
            </w:pict>
          </mc:Fallback>
        </mc:AlternateContent>
      </w:r>
    </w:p>
    <w:p w14:paraId="1FBA83D2" w14:textId="77777777" w:rsidR="00E211CC" w:rsidRDefault="00E211CC" w:rsidP="00E211CC">
      <w:pPr>
        <w:tabs>
          <w:tab w:val="left" w:pos="2850"/>
          <w:tab w:val="left" w:pos="5811"/>
        </w:tabs>
        <w:spacing w:before="14"/>
        <w:ind w:left="498"/>
        <w:rPr>
          <w:sz w:val="20"/>
        </w:rPr>
      </w:pPr>
      <w:r>
        <w:rPr>
          <w:sz w:val="20"/>
        </w:rPr>
        <w:t>Peak</w:t>
      </w:r>
      <w:r>
        <w:rPr>
          <w:spacing w:val="-3"/>
          <w:sz w:val="20"/>
        </w:rPr>
        <w:t xml:space="preserve"> </w:t>
      </w:r>
      <w:r>
        <w:rPr>
          <w:spacing w:val="-2"/>
          <w:sz w:val="20"/>
        </w:rPr>
        <w:t>sequence</w:t>
      </w:r>
      <w:r>
        <w:rPr>
          <w:sz w:val="20"/>
        </w:rPr>
        <w:tab/>
        <w:t>Shuffled</w:t>
      </w:r>
      <w:r>
        <w:rPr>
          <w:spacing w:val="-7"/>
          <w:sz w:val="20"/>
        </w:rPr>
        <w:t xml:space="preserve"> </w:t>
      </w:r>
      <w:r>
        <w:rPr>
          <w:spacing w:val="-2"/>
          <w:sz w:val="20"/>
        </w:rPr>
        <w:t>sequence</w:t>
      </w:r>
      <w:r>
        <w:rPr>
          <w:sz w:val="20"/>
        </w:rPr>
        <w:tab/>
      </w:r>
      <w:r>
        <w:rPr>
          <w:spacing w:val="-2"/>
          <w:sz w:val="20"/>
        </w:rPr>
        <w:t>Motif-inserted</w:t>
      </w:r>
    </w:p>
    <w:p w14:paraId="515FE59B" w14:textId="77777777" w:rsidR="00E211CC" w:rsidRDefault="00E211CC" w:rsidP="00E211CC">
      <w:pPr>
        <w:spacing w:before="1"/>
        <w:ind w:left="5984"/>
        <w:rPr>
          <w:sz w:val="20"/>
        </w:rPr>
      </w:pPr>
      <w:r>
        <w:rPr>
          <w:spacing w:val="-2"/>
          <w:sz w:val="20"/>
        </w:rPr>
        <w:t>sequence</w:t>
      </w:r>
    </w:p>
    <w:p w14:paraId="66F84EBD" w14:textId="77777777" w:rsidR="00E211CC" w:rsidRDefault="00E211CC" w:rsidP="00E211CC">
      <w:pPr>
        <w:pStyle w:val="BodyText"/>
        <w:spacing w:before="225"/>
        <w:ind w:left="0"/>
        <w:rPr>
          <w:sz w:val="20"/>
        </w:rPr>
      </w:pPr>
    </w:p>
    <w:p w14:paraId="5EF183EC" w14:textId="77777777" w:rsidR="00E211CC" w:rsidRDefault="00E211CC" w:rsidP="00E211CC">
      <w:pPr>
        <w:rPr>
          <w:sz w:val="20"/>
        </w:rPr>
        <w:sectPr w:rsidR="00E211CC" w:rsidSect="00E211CC">
          <w:pgSz w:w="12240" w:h="15840"/>
          <w:pgMar w:top="1360" w:right="1340" w:bottom="280" w:left="1340" w:header="720" w:footer="720" w:gutter="0"/>
          <w:cols w:space="720"/>
        </w:sectPr>
      </w:pPr>
    </w:p>
    <w:p w14:paraId="725ED7B6" w14:textId="6A616512" w:rsidR="00E211CC" w:rsidRDefault="00E211CC" w:rsidP="00E211CC">
      <w:pPr>
        <w:tabs>
          <w:tab w:val="left" w:pos="2531"/>
          <w:tab w:val="left" w:pos="4199"/>
        </w:tabs>
        <w:spacing w:before="90" w:line="306" w:lineRule="exact"/>
        <w:ind w:left="248"/>
        <w:rPr>
          <w:b/>
          <w:sz w:val="28"/>
        </w:rPr>
      </w:pPr>
      <w:r>
        <w:rPr>
          <w:b/>
          <w:sz w:val="20"/>
        </w:rPr>
        <w:t>Motif</w:t>
      </w:r>
      <w:r>
        <w:rPr>
          <w:b/>
          <w:spacing w:val="-5"/>
          <w:sz w:val="20"/>
        </w:rPr>
        <w:t xml:space="preserve"> </w:t>
      </w:r>
      <w:r>
        <w:rPr>
          <w:b/>
          <w:sz w:val="20"/>
        </w:rPr>
        <w:t>activity</w:t>
      </w:r>
      <w:r>
        <w:rPr>
          <w:b/>
          <w:spacing w:val="-5"/>
          <w:sz w:val="20"/>
        </w:rPr>
        <w:t xml:space="preserve"> </w:t>
      </w:r>
      <w:r>
        <w:rPr>
          <w:b/>
          <w:spacing w:val="-2"/>
          <w:sz w:val="20"/>
        </w:rPr>
        <w:t>score:</w:t>
      </w:r>
      <w:r>
        <w:rPr>
          <w:b/>
          <w:sz w:val="20"/>
        </w:rPr>
        <w:tab/>
      </w:r>
      <w:r>
        <w:rPr>
          <w:b/>
          <w:noProof/>
          <w:position w:val="-3"/>
          <w:sz w:val="20"/>
        </w:rPr>
        <w:drawing>
          <wp:inline distT="0" distB="0" distL="0" distR="0" wp14:anchorId="46265551" wp14:editId="608BB310">
            <wp:extent cx="904875" cy="133350"/>
            <wp:effectExtent l="0" t="0" r="9525" b="0"/>
            <wp:docPr id="7462119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875" cy="133350"/>
                    </a:xfrm>
                    <a:prstGeom prst="rect">
                      <a:avLst/>
                    </a:prstGeom>
                    <a:noFill/>
                    <a:ln>
                      <a:noFill/>
                    </a:ln>
                  </pic:spPr>
                </pic:pic>
              </a:graphicData>
            </a:graphic>
          </wp:inline>
        </w:drawing>
      </w:r>
      <w:r>
        <w:rPr>
          <w:rFonts w:ascii="Times New Roman"/>
          <w:position w:val="-2"/>
          <w:sz w:val="20"/>
        </w:rPr>
        <w:tab/>
      </w:r>
      <w:r>
        <w:rPr>
          <w:b/>
          <w:spacing w:val="-12"/>
          <w:position w:val="-2"/>
          <w:sz w:val="28"/>
        </w:rPr>
        <w:t>-</w:t>
      </w:r>
    </w:p>
    <w:p w14:paraId="3B865F4C" w14:textId="77777777" w:rsidR="00E211CC" w:rsidRDefault="00E211CC" w:rsidP="00E211CC">
      <w:pPr>
        <w:spacing w:line="214" w:lineRule="exact"/>
        <w:ind w:left="2192"/>
        <w:jc w:val="center"/>
        <w:rPr>
          <w:sz w:val="20"/>
        </w:rPr>
      </w:pPr>
      <w:r>
        <w:rPr>
          <w:spacing w:val="-2"/>
          <w:sz w:val="20"/>
        </w:rPr>
        <w:t>Motif-inserted</w:t>
      </w:r>
    </w:p>
    <w:p w14:paraId="2D02BBF4" w14:textId="77777777" w:rsidR="00E211CC" w:rsidRDefault="00E211CC" w:rsidP="00E211CC">
      <w:pPr>
        <w:spacing w:before="1"/>
        <w:ind w:left="2192" w:right="4"/>
        <w:jc w:val="center"/>
        <w:rPr>
          <w:sz w:val="20"/>
        </w:rPr>
      </w:pPr>
      <w:r>
        <w:rPr>
          <w:spacing w:val="-2"/>
          <w:sz w:val="20"/>
        </w:rPr>
        <w:t>sequence</w:t>
      </w:r>
    </w:p>
    <w:p w14:paraId="5CF15535" w14:textId="77777777" w:rsidR="00E211CC" w:rsidRDefault="00E211CC" w:rsidP="00E211CC">
      <w:pPr>
        <w:spacing w:before="6" w:after="24"/>
        <w:rPr>
          <w:sz w:val="11"/>
        </w:rPr>
      </w:pPr>
      <w:r>
        <w:br w:type="column"/>
      </w:r>
    </w:p>
    <w:p w14:paraId="315EBCBA" w14:textId="5430F2D3" w:rsidR="00E211CC" w:rsidRDefault="00E211CC" w:rsidP="00E211CC">
      <w:pPr>
        <w:pStyle w:val="BodyText"/>
        <w:spacing w:line="210" w:lineRule="exact"/>
        <w:ind w:left="244"/>
        <w:rPr>
          <w:sz w:val="20"/>
        </w:rPr>
      </w:pPr>
      <w:r>
        <w:rPr>
          <w:noProof/>
        </w:rPr>
        <mc:AlternateContent>
          <mc:Choice Requires="wpg">
            <w:drawing>
              <wp:inline distT="0" distB="0" distL="0" distR="0" wp14:anchorId="4E305940" wp14:editId="7594453C">
                <wp:extent cx="903605" cy="133350"/>
                <wp:effectExtent l="9525" t="9525" r="1270" b="0"/>
                <wp:docPr id="200184508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 cy="133350"/>
                          <a:chOff x="0" y="0"/>
                          <a:chExt cx="9036" cy="1333"/>
                        </a:xfrm>
                      </wpg:grpSpPr>
                      <wps:wsp>
                        <wps:cNvPr id="1641968076" name="Graphic 15"/>
                        <wps:cNvSpPr>
                          <a:spLocks/>
                        </wps:cNvSpPr>
                        <wps:spPr bwMode="auto">
                          <a:xfrm>
                            <a:off x="47" y="47"/>
                            <a:ext cx="8941" cy="1238"/>
                          </a:xfrm>
                          <a:custGeom>
                            <a:avLst/>
                            <a:gdLst>
                              <a:gd name="T0" fmla="*/ 893784 w 894080"/>
                              <a:gd name="T1" fmla="*/ 0 h 123825"/>
                              <a:gd name="T2" fmla="*/ 0 w 894080"/>
                              <a:gd name="T3" fmla="*/ 0 h 123825"/>
                              <a:gd name="T4" fmla="*/ 0 w 894080"/>
                              <a:gd name="T5" fmla="*/ 123600 h 123825"/>
                              <a:gd name="T6" fmla="*/ 893784 w 894080"/>
                              <a:gd name="T7" fmla="*/ 123600 h 123825"/>
                              <a:gd name="T8" fmla="*/ 893784 w 894080"/>
                              <a:gd name="T9" fmla="*/ 0 h 123825"/>
                            </a:gdLst>
                            <a:ahLst/>
                            <a:cxnLst>
                              <a:cxn ang="0">
                                <a:pos x="T0" y="T1"/>
                              </a:cxn>
                              <a:cxn ang="0">
                                <a:pos x="T2" y="T3"/>
                              </a:cxn>
                              <a:cxn ang="0">
                                <a:pos x="T4" y="T5"/>
                              </a:cxn>
                              <a:cxn ang="0">
                                <a:pos x="T6" y="T7"/>
                              </a:cxn>
                              <a:cxn ang="0">
                                <a:pos x="T8" y="T9"/>
                              </a:cxn>
                            </a:cxnLst>
                            <a:rect l="0" t="0" r="r" b="b"/>
                            <a:pathLst>
                              <a:path w="894080" h="123825">
                                <a:moveTo>
                                  <a:pt x="893784" y="0"/>
                                </a:moveTo>
                                <a:lnTo>
                                  <a:pt x="0" y="0"/>
                                </a:lnTo>
                                <a:lnTo>
                                  <a:pt x="0" y="123600"/>
                                </a:lnTo>
                                <a:lnTo>
                                  <a:pt x="893784" y="123600"/>
                                </a:lnTo>
                                <a:lnTo>
                                  <a:pt x="893784" y="0"/>
                                </a:lnTo>
                                <a:close/>
                              </a:path>
                            </a:pathLst>
                          </a:custGeom>
                          <a:solidFill>
                            <a:srgbClr val="FFF2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985039" name="Graphic 16"/>
                        <wps:cNvSpPr>
                          <a:spLocks/>
                        </wps:cNvSpPr>
                        <wps:spPr bwMode="auto">
                          <a:xfrm>
                            <a:off x="47" y="47"/>
                            <a:ext cx="8941" cy="1238"/>
                          </a:xfrm>
                          <a:custGeom>
                            <a:avLst/>
                            <a:gdLst>
                              <a:gd name="T0" fmla="*/ 0 w 894080"/>
                              <a:gd name="T1" fmla="*/ 0 h 123825"/>
                              <a:gd name="T2" fmla="*/ 893785 w 894080"/>
                              <a:gd name="T3" fmla="*/ 0 h 123825"/>
                              <a:gd name="T4" fmla="*/ 893785 w 894080"/>
                              <a:gd name="T5" fmla="*/ 123600 h 123825"/>
                              <a:gd name="T6" fmla="*/ 0 w 894080"/>
                              <a:gd name="T7" fmla="*/ 123600 h 123825"/>
                              <a:gd name="T8" fmla="*/ 0 w 894080"/>
                              <a:gd name="T9" fmla="*/ 0 h 123825"/>
                            </a:gdLst>
                            <a:ahLst/>
                            <a:cxnLst>
                              <a:cxn ang="0">
                                <a:pos x="T0" y="T1"/>
                              </a:cxn>
                              <a:cxn ang="0">
                                <a:pos x="T2" y="T3"/>
                              </a:cxn>
                              <a:cxn ang="0">
                                <a:pos x="T4" y="T5"/>
                              </a:cxn>
                              <a:cxn ang="0">
                                <a:pos x="T6" y="T7"/>
                              </a:cxn>
                              <a:cxn ang="0">
                                <a:pos x="T8" y="T9"/>
                              </a:cxn>
                            </a:cxnLst>
                            <a:rect l="0" t="0" r="r" b="b"/>
                            <a:pathLst>
                              <a:path w="894080" h="123825">
                                <a:moveTo>
                                  <a:pt x="0" y="0"/>
                                </a:moveTo>
                                <a:lnTo>
                                  <a:pt x="893785" y="0"/>
                                </a:lnTo>
                                <a:lnTo>
                                  <a:pt x="893785" y="123600"/>
                                </a:lnTo>
                                <a:lnTo>
                                  <a:pt x="0" y="1236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F23EA2" id="Group 3" o:spid="_x0000_s1026" style="width:71.15pt;height:10.5pt;mso-position-horizontal-relative:char;mso-position-vertical-relative:line" coordsize="9036,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">
                <v:shape id="Graphic 15" o:spid="_x0000_s1027"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" path="m893784,l,,,123600r893784,l893784,xe" fillcolor="#fff2cc" stroked="f">
                  <v:path arrowok="t" o:connecttype="custom" o:connectlocs="8938,0;0,0;0,1236;8938,1236;8938,0" o:connectangles="0,0,0,0,0"/>
                </v:shape>
                <v:shape id="Graphic 16" o:spid="_x0000_s1028" style="position:absolute;left:47;top:47;width:8941;height:1238;visibility:visible;mso-wrap-style:square;v-text-anchor:top" coordsize="8940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" path="m,l893785,r,123600l,123600,,xe" filled="f">
                  <v:path arrowok="t" o:connecttype="custom" o:connectlocs="0,0;8938,0;8938,1236;0,1236;0,0" o:connectangles="0,0,0,0,0"/>
                </v:shape>
                <w10:anchorlock/>
              </v:group>
            </w:pict>
          </mc:Fallback>
        </mc:AlternateContent>
      </w:r>
    </w:p>
    <w:p w14:paraId="1A7B09AF" w14:textId="77777777" w:rsidR="00E211CC" w:rsidRDefault="00E211CC" w:rsidP="00E211CC">
      <w:pPr>
        <w:spacing w:before="14"/>
        <w:ind w:left="126"/>
        <w:rPr>
          <w:sz w:val="20"/>
        </w:rPr>
      </w:pPr>
      <w:r>
        <w:rPr>
          <w:sz w:val="20"/>
        </w:rPr>
        <w:t>Shuffled</w:t>
      </w:r>
      <w:r>
        <w:rPr>
          <w:spacing w:val="-7"/>
          <w:sz w:val="20"/>
        </w:rPr>
        <w:t xml:space="preserve"> </w:t>
      </w:r>
      <w:r>
        <w:rPr>
          <w:spacing w:val="-2"/>
          <w:sz w:val="20"/>
        </w:rPr>
        <w:t>sequence</w:t>
      </w:r>
    </w:p>
    <w:p w14:paraId="7D2F3771" w14:textId="77777777" w:rsidR="00E211CC" w:rsidRDefault="00E211CC" w:rsidP="00E211CC">
      <w:pPr>
        <w:rPr>
          <w:sz w:val="20"/>
        </w:rPr>
        <w:sectPr w:rsidR="00E211CC" w:rsidSect="00E211CC">
          <w:type w:val="continuous"/>
          <w:pgSz w:w="12240" w:h="15840"/>
          <w:pgMar w:top="1360" w:right="1340" w:bottom="280" w:left="1340" w:header="720" w:footer="720" w:gutter="0"/>
          <w:cols w:num="2" w:space="720" w:equalWidth="0">
            <w:col w:w="4292" w:space="40"/>
            <w:col w:w="5228"/>
          </w:cols>
        </w:sectPr>
      </w:pPr>
    </w:p>
    <w:p w14:paraId="176EE516" w14:textId="77777777" w:rsidR="00E211CC" w:rsidRDefault="00E211CC" w:rsidP="00E211CC">
      <w:pPr>
        <w:pStyle w:val="BodyText"/>
        <w:spacing w:before="183" w:line="276" w:lineRule="auto"/>
        <w:ind w:right="175"/>
      </w:pPr>
      <w:r>
        <w:rPr>
          <w:color w:val="4A86E8"/>
        </w:rPr>
        <w:t>To address the second point, we have performed an additional analysis using TF-MoDISco to identify motifs driving predictions of the single-task and multi-task models in cell type specific and</w:t>
      </w:r>
      <w:r>
        <w:rPr>
          <w:color w:val="4A86E8"/>
          <w:spacing w:val="-1"/>
        </w:rPr>
        <w:t xml:space="preserve"> </w:t>
      </w:r>
      <w:r>
        <w:rPr>
          <w:color w:val="4A86E8"/>
        </w:rPr>
        <w:t>ubiquitous</w:t>
      </w:r>
      <w:r>
        <w:rPr>
          <w:color w:val="4A86E8"/>
          <w:spacing w:val="-1"/>
        </w:rPr>
        <w:t xml:space="preserve"> </w:t>
      </w:r>
      <w:r>
        <w:rPr>
          <w:color w:val="4A86E8"/>
        </w:rPr>
        <w:t>peaks,</w:t>
      </w:r>
      <w:r>
        <w:rPr>
          <w:color w:val="4A86E8"/>
          <w:spacing w:val="-1"/>
        </w:rPr>
        <w:t xml:space="preserve"> </w:t>
      </w:r>
      <w:r>
        <w:rPr>
          <w:color w:val="4A86E8"/>
        </w:rPr>
        <w:t>which</w:t>
      </w:r>
      <w:r>
        <w:rPr>
          <w:color w:val="4A86E8"/>
          <w:spacing w:val="-1"/>
        </w:rPr>
        <w:t xml:space="preserve"> </w:t>
      </w:r>
      <w:r>
        <w:rPr>
          <w:color w:val="4A86E8"/>
        </w:rPr>
        <w:t>we</w:t>
      </w:r>
      <w:r>
        <w:rPr>
          <w:color w:val="4A86E8"/>
          <w:spacing w:val="-1"/>
        </w:rPr>
        <w:t xml:space="preserve"> </w:t>
      </w:r>
      <w:r>
        <w:rPr>
          <w:color w:val="4A86E8"/>
        </w:rPr>
        <w:t>have</w:t>
      </w:r>
      <w:r>
        <w:rPr>
          <w:color w:val="4A86E8"/>
          <w:spacing w:val="-1"/>
        </w:rPr>
        <w:t xml:space="preserve"> </w:t>
      </w:r>
      <w:r>
        <w:rPr>
          <w:color w:val="4A86E8"/>
        </w:rPr>
        <w:t>added</w:t>
      </w:r>
      <w:r>
        <w:rPr>
          <w:color w:val="4A86E8"/>
          <w:spacing w:val="-1"/>
        </w:rPr>
        <w:t xml:space="preserve"> </w:t>
      </w:r>
      <w:r>
        <w:rPr>
          <w:color w:val="4A86E8"/>
        </w:rPr>
        <w:t>to</w:t>
      </w:r>
      <w:r>
        <w:rPr>
          <w:color w:val="4A86E8"/>
          <w:spacing w:val="-1"/>
        </w:rPr>
        <w:t xml:space="preserve"> </w:t>
      </w:r>
      <w:r>
        <w:rPr>
          <w:color w:val="4A86E8"/>
        </w:rPr>
        <w:t>the</w:t>
      </w:r>
      <w:r>
        <w:rPr>
          <w:color w:val="4A86E8"/>
          <w:spacing w:val="-1"/>
        </w:rPr>
        <w:t xml:space="preserve"> </w:t>
      </w:r>
      <w:r>
        <w:rPr>
          <w:color w:val="4A86E8"/>
        </w:rPr>
        <w:t>manuscript</w:t>
      </w:r>
      <w:r>
        <w:rPr>
          <w:color w:val="4A86E8"/>
          <w:spacing w:val="-1"/>
        </w:rPr>
        <w:t xml:space="preserve"> </w:t>
      </w:r>
      <w:r>
        <w:rPr>
          <w:color w:val="4A86E8"/>
        </w:rPr>
        <w:t>in</w:t>
      </w:r>
      <w:r>
        <w:rPr>
          <w:color w:val="4A86E8"/>
          <w:spacing w:val="-1"/>
        </w:rPr>
        <w:t xml:space="preserve"> </w:t>
      </w:r>
      <w:r>
        <w:rPr>
          <w:color w:val="4A86E8"/>
        </w:rPr>
        <w:t>Fig.</w:t>
      </w:r>
      <w:r>
        <w:rPr>
          <w:color w:val="4A86E8"/>
          <w:spacing w:val="-1"/>
        </w:rPr>
        <w:t xml:space="preserve"> </w:t>
      </w:r>
      <w:r>
        <w:rPr>
          <w:color w:val="4A86E8"/>
        </w:rPr>
        <w:t>S16C,D.</w:t>
      </w:r>
      <w:r>
        <w:rPr>
          <w:color w:val="4A86E8"/>
          <w:spacing w:val="-1"/>
        </w:rPr>
        <w:t xml:space="preserve"> </w:t>
      </w:r>
      <w:r>
        <w:rPr>
          <w:color w:val="4A86E8"/>
        </w:rPr>
        <w:t>For</w:t>
      </w:r>
      <w:r>
        <w:rPr>
          <w:color w:val="4A86E8"/>
          <w:spacing w:val="-1"/>
        </w:rPr>
        <w:t xml:space="preserve"> </w:t>
      </w:r>
      <w:r>
        <w:rPr>
          <w:color w:val="4A86E8"/>
        </w:rPr>
        <w:t>the</w:t>
      </w:r>
      <w:r>
        <w:rPr>
          <w:color w:val="4A86E8"/>
          <w:spacing w:val="-1"/>
        </w:rPr>
        <w:t xml:space="preserve"> </w:t>
      </w:r>
      <w:r>
        <w:rPr>
          <w:color w:val="4A86E8"/>
        </w:rPr>
        <w:t>baseline multi-task, high capacity multi-task, and single-task models, we compute the Jaccard similarity in the motifs identified by TF-MoDISco across cell types. We find that the motifs driving single- task and high capacity multi-task model predictions in cell type specific peaks tend to be more distinct</w:t>
      </w:r>
      <w:r>
        <w:rPr>
          <w:color w:val="4A86E8"/>
          <w:spacing w:val="-3"/>
        </w:rPr>
        <w:t xml:space="preserve"> </w:t>
      </w:r>
      <w:r>
        <w:rPr>
          <w:color w:val="4A86E8"/>
        </w:rPr>
        <w:t>across</w:t>
      </w:r>
      <w:r>
        <w:rPr>
          <w:color w:val="4A86E8"/>
          <w:spacing w:val="-3"/>
        </w:rPr>
        <w:t xml:space="preserve"> </w:t>
      </w:r>
      <w:r>
        <w:rPr>
          <w:color w:val="4A86E8"/>
        </w:rPr>
        <w:t>cell</w:t>
      </w:r>
      <w:r>
        <w:rPr>
          <w:color w:val="4A86E8"/>
          <w:spacing w:val="-3"/>
        </w:rPr>
        <w:t xml:space="preserve"> </w:t>
      </w:r>
      <w:r>
        <w:rPr>
          <w:color w:val="4A86E8"/>
        </w:rPr>
        <w:t>types,</w:t>
      </w:r>
      <w:r>
        <w:rPr>
          <w:color w:val="4A86E8"/>
          <w:spacing w:val="-3"/>
        </w:rPr>
        <w:t xml:space="preserve"> </w:t>
      </w:r>
      <w:r>
        <w:rPr>
          <w:color w:val="4A86E8"/>
        </w:rPr>
        <w:t>supporting</w:t>
      </w:r>
      <w:r>
        <w:rPr>
          <w:color w:val="4A86E8"/>
          <w:spacing w:val="-3"/>
        </w:rPr>
        <w:t xml:space="preserve"> </w:t>
      </w:r>
      <w:r>
        <w:rPr>
          <w:color w:val="4A86E8"/>
        </w:rPr>
        <w:t>the</w:t>
      </w:r>
      <w:r>
        <w:rPr>
          <w:color w:val="4A86E8"/>
          <w:spacing w:val="-3"/>
        </w:rPr>
        <w:t xml:space="preserve"> </w:t>
      </w:r>
      <w:r>
        <w:rPr>
          <w:color w:val="4A86E8"/>
        </w:rPr>
        <w:t>conclusions</w:t>
      </w:r>
      <w:r>
        <w:rPr>
          <w:color w:val="4A86E8"/>
          <w:spacing w:val="-3"/>
        </w:rPr>
        <w:t xml:space="preserve"> </w:t>
      </w:r>
      <w:r>
        <w:rPr>
          <w:color w:val="4A86E8"/>
        </w:rPr>
        <w:t>from</w:t>
      </w:r>
      <w:r>
        <w:rPr>
          <w:color w:val="4A86E8"/>
          <w:spacing w:val="-3"/>
        </w:rPr>
        <w:t xml:space="preserve"> </w:t>
      </w:r>
      <w:r>
        <w:rPr>
          <w:color w:val="4A86E8"/>
        </w:rPr>
        <w:t>the</w:t>
      </w:r>
      <w:r>
        <w:rPr>
          <w:color w:val="4A86E8"/>
          <w:spacing w:val="-3"/>
        </w:rPr>
        <w:t xml:space="preserve"> </w:t>
      </w:r>
      <w:r>
        <w:rPr>
          <w:color w:val="4A86E8"/>
        </w:rPr>
        <w:t>motif</w:t>
      </w:r>
      <w:r>
        <w:rPr>
          <w:color w:val="4A86E8"/>
          <w:spacing w:val="-3"/>
        </w:rPr>
        <w:t xml:space="preserve"> </w:t>
      </w:r>
      <w:r>
        <w:rPr>
          <w:color w:val="4A86E8"/>
        </w:rPr>
        <w:t>insertion</w:t>
      </w:r>
      <w:r>
        <w:rPr>
          <w:color w:val="4A86E8"/>
          <w:spacing w:val="-3"/>
        </w:rPr>
        <w:t xml:space="preserve"> </w:t>
      </w:r>
      <w:r>
        <w:rPr>
          <w:color w:val="4A86E8"/>
        </w:rPr>
        <w:t>analysis</w:t>
      </w:r>
      <w:r>
        <w:rPr>
          <w:color w:val="4A86E8"/>
          <w:spacing w:val="-3"/>
        </w:rPr>
        <w:t xml:space="preserve"> </w:t>
      </w:r>
      <w:r>
        <w:rPr>
          <w:color w:val="4A86E8"/>
        </w:rPr>
        <w:t>that</w:t>
      </w:r>
      <w:r>
        <w:rPr>
          <w:color w:val="4A86E8"/>
          <w:spacing w:val="-3"/>
        </w:rPr>
        <w:t xml:space="preserve"> </w:t>
      </w:r>
      <w:r>
        <w:rPr>
          <w:color w:val="4A86E8"/>
        </w:rPr>
        <w:t>some of the over-correlation between cell types that we observe for the baseline multi-task models may be due to the models learning a similar regulatory syntax for distinct cell types.</w:t>
      </w:r>
    </w:p>
    <w:p w14:paraId="14573A5D" w14:textId="77777777" w:rsidR="00E211CC" w:rsidRDefault="00E211CC" w:rsidP="00E211CC">
      <w:pPr>
        <w:spacing w:line="276" w:lineRule="auto"/>
        <w:sectPr w:rsidR="00E211CC" w:rsidSect="00E211CC">
          <w:type w:val="continuous"/>
          <w:pgSz w:w="12240" w:h="15840"/>
          <w:pgMar w:top="1360" w:right="1340" w:bottom="280" w:left="1340" w:header="720" w:footer="720" w:gutter="0"/>
          <w:cols w:space="720"/>
        </w:sectPr>
      </w:pPr>
    </w:p>
    <w:p w14:paraId="7166AC31" w14:textId="77777777" w:rsidR="00E211CC" w:rsidRDefault="00E211CC" w:rsidP="00E211CC">
      <w:pPr>
        <w:pStyle w:val="ListParagraph"/>
        <w:widowControl w:val="0"/>
        <w:numPr>
          <w:ilvl w:val="1"/>
          <w:numId w:val="9"/>
        </w:numPr>
        <w:tabs>
          <w:tab w:val="left" w:pos="650"/>
        </w:tabs>
        <w:autoSpaceDE w:val="0"/>
        <w:autoSpaceDN w:val="0"/>
        <w:spacing w:before="73" w:after="0" w:line="276" w:lineRule="auto"/>
        <w:ind w:right="115" w:firstLine="0"/>
        <w:contextualSpacing w:val="0"/>
      </w:pPr>
      <w:r>
        <w:rPr>
          <w:color w:val="222222"/>
        </w:rPr>
        <w:lastRenderedPageBreak/>
        <w:t>Local interpretability – the differences may only be in the scale (as the plots share the same</w:t>
      </w:r>
      <w:r>
        <w:rPr>
          <w:color w:val="222222"/>
          <w:spacing w:val="-3"/>
        </w:rPr>
        <w:t xml:space="preserve"> </w:t>
      </w:r>
      <w:r>
        <w:rPr>
          <w:color w:val="222222"/>
        </w:rPr>
        <w:t>y-axis</w:t>
      </w:r>
      <w:r>
        <w:rPr>
          <w:color w:val="222222"/>
          <w:spacing w:val="-3"/>
        </w:rPr>
        <w:t xml:space="preserve"> </w:t>
      </w:r>
      <w:r>
        <w:rPr>
          <w:color w:val="222222"/>
        </w:rPr>
        <w:t>limits)</w:t>
      </w:r>
      <w:r>
        <w:rPr>
          <w:color w:val="222222"/>
          <w:spacing w:val="-3"/>
        </w:rPr>
        <w:t xml:space="preserve"> </w:t>
      </w:r>
      <w:r>
        <w:rPr>
          <w:color w:val="222222"/>
        </w:rPr>
        <w:t>and</w:t>
      </w:r>
      <w:r>
        <w:rPr>
          <w:color w:val="222222"/>
          <w:spacing w:val="-3"/>
        </w:rPr>
        <w:t xml:space="preserve"> </w:t>
      </w:r>
      <w:r>
        <w:rPr>
          <w:color w:val="222222"/>
        </w:rPr>
        <w:t>not</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trends,</w:t>
      </w:r>
      <w:r>
        <w:rPr>
          <w:color w:val="222222"/>
          <w:spacing w:val="-3"/>
        </w:rPr>
        <w:t xml:space="preserve"> </w:t>
      </w:r>
      <w:r>
        <w:rPr>
          <w:color w:val="222222"/>
        </w:rPr>
        <w:t>thus</w:t>
      </w:r>
      <w:r>
        <w:rPr>
          <w:color w:val="222222"/>
          <w:spacing w:val="-3"/>
        </w:rPr>
        <w:t xml:space="preserve"> </w:t>
      </w:r>
      <w:r>
        <w:rPr>
          <w:color w:val="222222"/>
        </w:rPr>
        <w:t>not</w:t>
      </w:r>
      <w:r>
        <w:rPr>
          <w:color w:val="222222"/>
          <w:spacing w:val="-3"/>
        </w:rPr>
        <w:t xml:space="preserve"> </w:t>
      </w:r>
      <w:r>
        <w:rPr>
          <w:color w:val="222222"/>
        </w:rPr>
        <w:t>really</w:t>
      </w:r>
      <w:r>
        <w:rPr>
          <w:color w:val="222222"/>
          <w:spacing w:val="-3"/>
        </w:rPr>
        <w:t xml:space="preserve"> </w:t>
      </w:r>
      <w:r>
        <w:rPr>
          <w:color w:val="222222"/>
        </w:rPr>
        <w:t>showing</w:t>
      </w:r>
      <w:r>
        <w:rPr>
          <w:color w:val="222222"/>
          <w:spacing w:val="-3"/>
        </w:rPr>
        <w:t xml:space="preserve"> </w:t>
      </w:r>
      <w:r>
        <w:rPr>
          <w:color w:val="222222"/>
        </w:rPr>
        <w:t>a</w:t>
      </w:r>
      <w:r>
        <w:rPr>
          <w:color w:val="222222"/>
          <w:spacing w:val="-3"/>
        </w:rPr>
        <w:t xml:space="preserve"> </w:t>
      </w:r>
      <w:r>
        <w:rPr>
          <w:color w:val="222222"/>
        </w:rPr>
        <w:t>difference</w:t>
      </w:r>
      <w:r>
        <w:rPr>
          <w:color w:val="222222"/>
          <w:spacing w:val="-3"/>
        </w:rPr>
        <w:t xml:space="preserve"> </w:t>
      </w:r>
      <w:r>
        <w:rPr>
          <w:color w:val="222222"/>
        </w:rPr>
        <w:t>between</w:t>
      </w:r>
      <w:r>
        <w:rPr>
          <w:color w:val="222222"/>
          <w:spacing w:val="-3"/>
        </w:rPr>
        <w:t xml:space="preserve"> </w:t>
      </w:r>
      <w:r>
        <w:rPr>
          <w:color w:val="222222"/>
        </w:rPr>
        <w:t>multi-task and single-task models. Moreover, we recommend using other local interpretability techniques that have been highly successful in genomics, such as DeepLift (Shirkumar et al. Arxiv 2017), Enhanced</w:t>
      </w:r>
      <w:r>
        <w:rPr>
          <w:color w:val="222222"/>
          <w:spacing w:val="-1"/>
        </w:rPr>
        <w:t xml:space="preserve"> </w:t>
      </w:r>
      <w:r>
        <w:rPr>
          <w:color w:val="222222"/>
        </w:rPr>
        <w:t>Integrated</w:t>
      </w:r>
      <w:r>
        <w:rPr>
          <w:color w:val="222222"/>
          <w:spacing w:val="-1"/>
        </w:rPr>
        <w:t xml:space="preserve"> </w:t>
      </w:r>
      <w:r>
        <w:rPr>
          <w:color w:val="222222"/>
        </w:rPr>
        <w:t>Gradients</w:t>
      </w:r>
      <w:r>
        <w:rPr>
          <w:color w:val="222222"/>
          <w:spacing w:val="-1"/>
        </w:rPr>
        <w:t xml:space="preserve"> </w:t>
      </w:r>
      <w:r>
        <w:rPr>
          <w:color w:val="222222"/>
        </w:rPr>
        <w:t>(Jha</w:t>
      </w:r>
      <w:r>
        <w:rPr>
          <w:color w:val="222222"/>
          <w:spacing w:val="-1"/>
        </w:rPr>
        <w:t xml:space="preserve"> </w:t>
      </w:r>
      <w:r>
        <w:rPr>
          <w:color w:val="222222"/>
        </w:rPr>
        <w:t>et</w:t>
      </w:r>
      <w:r>
        <w:rPr>
          <w:color w:val="222222"/>
          <w:spacing w:val="-1"/>
        </w:rPr>
        <w:t xml:space="preserve"> </w:t>
      </w:r>
      <w:r>
        <w:rPr>
          <w:color w:val="222222"/>
        </w:rPr>
        <w:t>al.</w:t>
      </w:r>
      <w:r>
        <w:rPr>
          <w:color w:val="222222"/>
          <w:spacing w:val="-1"/>
        </w:rPr>
        <w:t xml:space="preserve"> </w:t>
      </w:r>
      <w:r>
        <w:rPr>
          <w:color w:val="222222"/>
        </w:rPr>
        <w:t>Genome</w:t>
      </w:r>
      <w:r>
        <w:rPr>
          <w:color w:val="222222"/>
          <w:spacing w:val="-1"/>
        </w:rPr>
        <w:t xml:space="preserve"> </w:t>
      </w:r>
      <w:r>
        <w:rPr>
          <w:color w:val="222222"/>
        </w:rPr>
        <w:t>Biology</w:t>
      </w:r>
      <w:r>
        <w:rPr>
          <w:color w:val="222222"/>
          <w:spacing w:val="-1"/>
        </w:rPr>
        <w:t xml:space="preserve"> </w:t>
      </w:r>
      <w:r>
        <w:rPr>
          <w:color w:val="222222"/>
        </w:rPr>
        <w:t>2020),</w:t>
      </w:r>
      <w:r>
        <w:rPr>
          <w:color w:val="222222"/>
          <w:spacing w:val="-1"/>
        </w:rPr>
        <w:t xml:space="preserve"> </w:t>
      </w:r>
      <w:r>
        <w:rPr>
          <w:color w:val="222222"/>
        </w:rPr>
        <w:t>and</w:t>
      </w:r>
      <w:r>
        <w:rPr>
          <w:color w:val="222222"/>
          <w:spacing w:val="-1"/>
        </w:rPr>
        <w:t xml:space="preserve"> </w:t>
      </w:r>
      <w:r>
        <w:rPr>
          <w:color w:val="222222"/>
        </w:rPr>
        <w:t>scramblers</w:t>
      </w:r>
      <w:r>
        <w:rPr>
          <w:color w:val="222222"/>
          <w:spacing w:val="-1"/>
        </w:rPr>
        <w:t xml:space="preserve"> </w:t>
      </w:r>
      <w:r>
        <w:rPr>
          <w:color w:val="222222"/>
        </w:rPr>
        <w:t>(Linder</w:t>
      </w:r>
      <w:r>
        <w:rPr>
          <w:color w:val="222222"/>
          <w:spacing w:val="-1"/>
        </w:rPr>
        <w:t xml:space="preserve"> </w:t>
      </w:r>
      <w:r>
        <w:rPr>
          <w:color w:val="222222"/>
        </w:rPr>
        <w:t>et</w:t>
      </w:r>
      <w:r>
        <w:rPr>
          <w:color w:val="222222"/>
          <w:spacing w:val="-1"/>
        </w:rPr>
        <w:t xml:space="preserve"> </w:t>
      </w:r>
      <w:r>
        <w:rPr>
          <w:color w:val="222222"/>
        </w:rPr>
        <w:t>al. Nature Machine Intelligence 2022), instead of in silico mutagenesis, which has its limitation compared to the gradient-based approaches.</w:t>
      </w:r>
    </w:p>
    <w:p w14:paraId="0AE8CCAA" w14:textId="77777777" w:rsidR="00E211CC" w:rsidRDefault="00E211CC" w:rsidP="00E211CC">
      <w:pPr>
        <w:pStyle w:val="BodyText"/>
        <w:spacing w:line="276" w:lineRule="auto"/>
      </w:pPr>
      <w:r>
        <w:rPr>
          <w:color w:val="4A86E8"/>
        </w:rPr>
        <w:t xml:space="preserve">We thank the reviewer for this feedback and have added additional text to the results section to make it clear that some of the differences between multi-task and single-task </w:t>
      </w:r>
      <w:r>
        <w:rPr>
          <w:i/>
          <w:color w:val="4A86E8"/>
        </w:rPr>
        <w:t xml:space="preserve">in silico </w:t>
      </w:r>
      <w:r>
        <w:rPr>
          <w:color w:val="4A86E8"/>
        </w:rPr>
        <w:t>mutagenesis (ISM) scores may be due to scale. We plot ISM scores on the same scale for all models,</w:t>
      </w:r>
      <w:r>
        <w:rPr>
          <w:color w:val="4A86E8"/>
          <w:spacing w:val="-3"/>
        </w:rPr>
        <w:t xml:space="preserve"> </w:t>
      </w:r>
      <w:r>
        <w:rPr>
          <w:color w:val="4A86E8"/>
        </w:rPr>
        <w:t>since</w:t>
      </w:r>
      <w:r>
        <w:rPr>
          <w:color w:val="4A86E8"/>
          <w:spacing w:val="-3"/>
        </w:rPr>
        <w:t xml:space="preserve"> </w:t>
      </w:r>
      <w:r>
        <w:rPr>
          <w:color w:val="4A86E8"/>
        </w:rPr>
        <w:t>we</w:t>
      </w:r>
      <w:r>
        <w:rPr>
          <w:color w:val="4A86E8"/>
          <w:spacing w:val="-3"/>
        </w:rPr>
        <w:t xml:space="preserve"> </w:t>
      </w:r>
      <w:r>
        <w:rPr>
          <w:color w:val="4A86E8"/>
        </w:rPr>
        <w:t>generally</w:t>
      </w:r>
      <w:r>
        <w:rPr>
          <w:color w:val="4A86E8"/>
          <w:spacing w:val="-3"/>
        </w:rPr>
        <w:t xml:space="preserve"> </w:t>
      </w:r>
      <w:r>
        <w:rPr>
          <w:color w:val="4A86E8"/>
        </w:rPr>
        <w:t>observe</w:t>
      </w:r>
      <w:r>
        <w:rPr>
          <w:color w:val="4A86E8"/>
          <w:spacing w:val="-3"/>
        </w:rPr>
        <w:t xml:space="preserve"> </w:t>
      </w:r>
      <w:r>
        <w:rPr>
          <w:color w:val="4A86E8"/>
        </w:rPr>
        <w:t>that</w:t>
      </w:r>
      <w:r>
        <w:rPr>
          <w:color w:val="4A86E8"/>
          <w:spacing w:val="-3"/>
        </w:rPr>
        <w:t xml:space="preserve"> </w:t>
      </w:r>
      <w:r>
        <w:rPr>
          <w:color w:val="4A86E8"/>
        </w:rPr>
        <w:t>the</w:t>
      </w:r>
      <w:r>
        <w:rPr>
          <w:color w:val="4A86E8"/>
          <w:spacing w:val="-3"/>
        </w:rPr>
        <w:t xml:space="preserve"> </w:t>
      </w:r>
      <w:r>
        <w:rPr>
          <w:color w:val="4A86E8"/>
        </w:rPr>
        <w:t>models</w:t>
      </w:r>
      <w:r>
        <w:rPr>
          <w:color w:val="4A86E8"/>
          <w:spacing w:val="-3"/>
        </w:rPr>
        <w:t xml:space="preserve"> </w:t>
      </w:r>
      <w:r>
        <w:rPr>
          <w:color w:val="4A86E8"/>
        </w:rPr>
        <w:t>make</w:t>
      </w:r>
      <w:r>
        <w:rPr>
          <w:color w:val="4A86E8"/>
          <w:spacing w:val="-3"/>
        </w:rPr>
        <w:t xml:space="preserve"> </w:t>
      </w:r>
      <w:r>
        <w:rPr>
          <w:color w:val="4A86E8"/>
        </w:rPr>
        <w:t>predictions</w:t>
      </w:r>
      <w:r>
        <w:rPr>
          <w:color w:val="4A86E8"/>
          <w:spacing w:val="-3"/>
        </w:rPr>
        <w:t xml:space="preserve"> </w:t>
      </w:r>
      <w:r>
        <w:rPr>
          <w:color w:val="4A86E8"/>
        </w:rPr>
        <w:t>on</w:t>
      </w:r>
      <w:r>
        <w:rPr>
          <w:color w:val="4A86E8"/>
          <w:spacing w:val="-3"/>
        </w:rPr>
        <w:t xml:space="preserve"> </w:t>
      </w:r>
      <w:r>
        <w:rPr>
          <w:color w:val="4A86E8"/>
        </w:rPr>
        <w:t>similar</w:t>
      </w:r>
      <w:r>
        <w:rPr>
          <w:color w:val="4A86E8"/>
          <w:spacing w:val="-3"/>
        </w:rPr>
        <w:t xml:space="preserve"> </w:t>
      </w:r>
      <w:r>
        <w:rPr>
          <w:color w:val="4A86E8"/>
        </w:rPr>
        <w:t>scales</w:t>
      </w:r>
      <w:r>
        <w:rPr>
          <w:color w:val="4A86E8"/>
          <w:spacing w:val="-3"/>
        </w:rPr>
        <w:t xml:space="preserve"> </w:t>
      </w:r>
      <w:r>
        <w:rPr>
          <w:color w:val="4A86E8"/>
        </w:rPr>
        <w:t>for</w:t>
      </w:r>
      <w:r>
        <w:rPr>
          <w:color w:val="4A86E8"/>
          <w:spacing w:val="-3"/>
        </w:rPr>
        <w:t xml:space="preserve"> </w:t>
      </w:r>
      <w:r>
        <w:rPr>
          <w:color w:val="4A86E8"/>
        </w:rPr>
        <w:t>held- out reference sequences.</w:t>
      </w:r>
    </w:p>
    <w:p w14:paraId="200048C9" w14:textId="77777777" w:rsidR="00E211CC" w:rsidRDefault="00E211CC" w:rsidP="00E211CC">
      <w:pPr>
        <w:pStyle w:val="BodyText"/>
        <w:spacing w:before="38"/>
        <w:ind w:left="0"/>
      </w:pPr>
    </w:p>
    <w:p w14:paraId="45F5153F" w14:textId="77777777" w:rsidR="00E211CC" w:rsidRDefault="00E211CC" w:rsidP="00E211CC">
      <w:pPr>
        <w:pStyle w:val="BodyText"/>
        <w:spacing w:line="276" w:lineRule="auto"/>
        <w:ind w:right="175"/>
      </w:pPr>
      <w:r>
        <w:rPr>
          <w:color w:val="4A86E8"/>
        </w:rPr>
        <w:t>We</w:t>
      </w:r>
      <w:r>
        <w:rPr>
          <w:color w:val="4A86E8"/>
          <w:spacing w:val="-3"/>
        </w:rPr>
        <w:t xml:space="preserve"> </w:t>
      </w:r>
      <w:r>
        <w:rPr>
          <w:color w:val="4A86E8"/>
        </w:rPr>
        <w:t>also</w:t>
      </w:r>
      <w:r>
        <w:rPr>
          <w:color w:val="4A86E8"/>
          <w:spacing w:val="-3"/>
        </w:rPr>
        <w:t xml:space="preserve"> </w:t>
      </w:r>
      <w:r>
        <w:rPr>
          <w:color w:val="4A86E8"/>
        </w:rPr>
        <w:t>appreciate</w:t>
      </w:r>
      <w:r>
        <w:rPr>
          <w:color w:val="4A86E8"/>
          <w:spacing w:val="-3"/>
        </w:rPr>
        <w:t xml:space="preserve"> </w:t>
      </w:r>
      <w:r>
        <w:rPr>
          <w:color w:val="4A86E8"/>
        </w:rPr>
        <w:t>the</w:t>
      </w:r>
      <w:r>
        <w:rPr>
          <w:color w:val="4A86E8"/>
          <w:spacing w:val="-3"/>
        </w:rPr>
        <w:t xml:space="preserve"> </w:t>
      </w:r>
      <w:r>
        <w:rPr>
          <w:color w:val="4A86E8"/>
        </w:rPr>
        <w:t>reviewer’s</w:t>
      </w:r>
      <w:r>
        <w:rPr>
          <w:color w:val="4A86E8"/>
          <w:spacing w:val="-3"/>
        </w:rPr>
        <w:t xml:space="preserve"> </w:t>
      </w:r>
      <w:r>
        <w:rPr>
          <w:color w:val="4A86E8"/>
        </w:rPr>
        <w:t>suggestion</w:t>
      </w:r>
      <w:r>
        <w:rPr>
          <w:color w:val="4A86E8"/>
          <w:spacing w:val="-3"/>
        </w:rPr>
        <w:t xml:space="preserve"> </w:t>
      </w:r>
      <w:r>
        <w:rPr>
          <w:color w:val="4A86E8"/>
        </w:rPr>
        <w:t>of</w:t>
      </w:r>
      <w:r>
        <w:rPr>
          <w:color w:val="4A86E8"/>
          <w:spacing w:val="-3"/>
        </w:rPr>
        <w:t xml:space="preserve"> </w:t>
      </w:r>
      <w:r>
        <w:rPr>
          <w:color w:val="4A86E8"/>
        </w:rPr>
        <w:t>additional</w:t>
      </w:r>
      <w:r>
        <w:rPr>
          <w:color w:val="4A86E8"/>
          <w:spacing w:val="-3"/>
        </w:rPr>
        <w:t xml:space="preserve"> </w:t>
      </w:r>
      <w:r>
        <w:rPr>
          <w:color w:val="4A86E8"/>
        </w:rPr>
        <w:t>attribution</w:t>
      </w:r>
      <w:r>
        <w:rPr>
          <w:color w:val="4A86E8"/>
          <w:spacing w:val="-3"/>
        </w:rPr>
        <w:t xml:space="preserve"> </w:t>
      </w:r>
      <w:r>
        <w:rPr>
          <w:color w:val="4A86E8"/>
        </w:rPr>
        <w:t>methods</w:t>
      </w:r>
      <w:r>
        <w:rPr>
          <w:color w:val="4A86E8"/>
          <w:spacing w:val="-3"/>
        </w:rPr>
        <w:t xml:space="preserve"> </w:t>
      </w:r>
      <w:r>
        <w:rPr>
          <w:color w:val="4A86E8"/>
        </w:rPr>
        <w:t>that</w:t>
      </w:r>
      <w:r>
        <w:rPr>
          <w:color w:val="4A86E8"/>
          <w:spacing w:val="-3"/>
        </w:rPr>
        <w:t xml:space="preserve"> </w:t>
      </w:r>
      <w:r>
        <w:rPr>
          <w:color w:val="4A86E8"/>
        </w:rPr>
        <w:t>are</w:t>
      </w:r>
      <w:r>
        <w:rPr>
          <w:color w:val="4A86E8"/>
          <w:spacing w:val="-3"/>
        </w:rPr>
        <w:t xml:space="preserve"> </w:t>
      </w:r>
      <w:r>
        <w:rPr>
          <w:color w:val="4A86E8"/>
        </w:rPr>
        <w:t xml:space="preserve">popular in genomics. Based on observations in previous publications (Zheng, et al. </w:t>
      </w:r>
      <w:r>
        <w:rPr>
          <w:i/>
          <w:color w:val="4A86E8"/>
        </w:rPr>
        <w:t>Nature Machine Intelligence</w:t>
      </w:r>
      <w:r>
        <w:rPr>
          <w:color w:val="4A86E8"/>
        </w:rPr>
        <w:t xml:space="preserve">, 2021; Cochran, et al. </w:t>
      </w:r>
      <w:r>
        <w:rPr>
          <w:i/>
          <w:color w:val="4A86E8"/>
        </w:rPr>
        <w:t>Genome Research</w:t>
      </w:r>
      <w:r>
        <w:rPr>
          <w:color w:val="4A86E8"/>
        </w:rPr>
        <w:t xml:space="preserve">, 2022) and a recent review paper (Novakovsky, et al. </w:t>
      </w:r>
      <w:r>
        <w:rPr>
          <w:i/>
          <w:color w:val="4A86E8"/>
        </w:rPr>
        <w:t>Nature Reviews Genetics</w:t>
      </w:r>
      <w:r>
        <w:rPr>
          <w:color w:val="4A86E8"/>
        </w:rPr>
        <w:t>, 2023), we have chosen to use ISM for our local interpretability analysis because the benefits of other attribution methods seem to largely be computational efficiency, which was not a bottleneck in this case.</w:t>
      </w:r>
    </w:p>
    <w:p w14:paraId="663CDDA3" w14:textId="77777777" w:rsidR="00E211CC" w:rsidRDefault="00E211CC" w:rsidP="00E211CC">
      <w:pPr>
        <w:pStyle w:val="BodyText"/>
        <w:spacing w:before="36"/>
        <w:ind w:left="0"/>
      </w:pPr>
    </w:p>
    <w:p w14:paraId="480FA88E" w14:textId="77777777" w:rsidR="00E211CC" w:rsidRDefault="00E211CC" w:rsidP="00E211CC">
      <w:pPr>
        <w:pStyle w:val="ListParagraph"/>
        <w:widowControl w:val="0"/>
        <w:numPr>
          <w:ilvl w:val="1"/>
          <w:numId w:val="9"/>
        </w:numPr>
        <w:tabs>
          <w:tab w:val="left" w:pos="637"/>
        </w:tabs>
        <w:autoSpaceDE w:val="0"/>
        <w:autoSpaceDN w:val="0"/>
        <w:spacing w:before="1" w:after="0" w:line="276" w:lineRule="auto"/>
        <w:ind w:right="446" w:firstLine="0"/>
        <w:contextualSpacing w:val="0"/>
        <w:jc w:val="both"/>
      </w:pPr>
      <w:r>
        <w:rPr>
          <w:color w:val="222222"/>
        </w:rPr>
        <w:t>Model capacity – as the authors have shown in the revision that multi-task models with increased</w:t>
      </w:r>
      <w:r>
        <w:rPr>
          <w:color w:val="222222"/>
          <w:spacing w:val="-3"/>
        </w:rPr>
        <w:t xml:space="preserve"> </w:t>
      </w:r>
      <w:r>
        <w:rPr>
          <w:color w:val="222222"/>
        </w:rPr>
        <w:t>capacity</w:t>
      </w:r>
      <w:r>
        <w:rPr>
          <w:color w:val="222222"/>
          <w:spacing w:val="-3"/>
        </w:rPr>
        <w:t xml:space="preserve"> </w:t>
      </w:r>
      <w:r>
        <w:rPr>
          <w:color w:val="222222"/>
        </w:rPr>
        <w:t>are</w:t>
      </w:r>
      <w:r>
        <w:rPr>
          <w:color w:val="222222"/>
          <w:spacing w:val="-3"/>
        </w:rPr>
        <w:t xml:space="preserve"> </w:t>
      </w:r>
      <w:r>
        <w:rPr>
          <w:color w:val="222222"/>
        </w:rPr>
        <w:t>as</w:t>
      </w:r>
      <w:r>
        <w:rPr>
          <w:color w:val="222222"/>
          <w:spacing w:val="-3"/>
        </w:rPr>
        <w:t xml:space="preserve"> </w:t>
      </w:r>
      <w:r>
        <w:rPr>
          <w:color w:val="222222"/>
        </w:rPr>
        <w:t>good</w:t>
      </w:r>
      <w:r>
        <w:rPr>
          <w:color w:val="222222"/>
          <w:spacing w:val="-3"/>
        </w:rPr>
        <w:t xml:space="preserve"> </w:t>
      </w:r>
      <w:r>
        <w:rPr>
          <w:color w:val="222222"/>
        </w:rPr>
        <w:t>as</w:t>
      </w:r>
      <w:r>
        <w:rPr>
          <w:color w:val="222222"/>
          <w:spacing w:val="-3"/>
        </w:rPr>
        <w:t xml:space="preserve"> </w:t>
      </w:r>
      <w:r>
        <w:rPr>
          <w:color w:val="222222"/>
        </w:rPr>
        <w:t>single-task</w:t>
      </w:r>
      <w:r>
        <w:rPr>
          <w:color w:val="222222"/>
          <w:spacing w:val="-3"/>
        </w:rPr>
        <w:t xml:space="preserve"> </w:t>
      </w:r>
      <w:r>
        <w:rPr>
          <w:color w:val="222222"/>
        </w:rPr>
        <w:t>models</w:t>
      </w:r>
      <w:r>
        <w:rPr>
          <w:color w:val="222222"/>
          <w:spacing w:val="-3"/>
        </w:rPr>
        <w:t xml:space="preserve"> </w:t>
      </w:r>
      <w:r>
        <w:rPr>
          <w:color w:val="222222"/>
        </w:rPr>
        <w:t>in</w:t>
      </w:r>
      <w:r>
        <w:rPr>
          <w:color w:val="222222"/>
          <w:spacing w:val="-3"/>
        </w:rPr>
        <w:t xml:space="preserve"> </w:t>
      </w:r>
      <w:r>
        <w:rPr>
          <w:color w:val="222222"/>
        </w:rPr>
        <w:t>specific</w:t>
      </w:r>
      <w:r>
        <w:rPr>
          <w:color w:val="222222"/>
          <w:spacing w:val="-3"/>
        </w:rPr>
        <w:t xml:space="preserve"> </w:t>
      </w:r>
      <w:r>
        <w:rPr>
          <w:color w:val="222222"/>
        </w:rPr>
        <w:t>CREs,</w:t>
      </w:r>
      <w:r>
        <w:rPr>
          <w:color w:val="222222"/>
          <w:spacing w:val="-3"/>
        </w:rPr>
        <w:t xml:space="preserve"> </w:t>
      </w:r>
      <w:r>
        <w:rPr>
          <w:color w:val="222222"/>
        </w:rPr>
        <w:t>they</w:t>
      </w:r>
      <w:r>
        <w:rPr>
          <w:color w:val="222222"/>
          <w:spacing w:val="-3"/>
        </w:rPr>
        <w:t xml:space="preserve"> </w:t>
      </w:r>
      <w:r>
        <w:rPr>
          <w:color w:val="222222"/>
        </w:rPr>
        <w:t>should</w:t>
      </w:r>
      <w:r>
        <w:rPr>
          <w:color w:val="222222"/>
          <w:spacing w:val="-3"/>
        </w:rPr>
        <w:t xml:space="preserve"> </w:t>
      </w:r>
      <w:r>
        <w:rPr>
          <w:color w:val="222222"/>
        </w:rPr>
        <w:t>also</w:t>
      </w:r>
      <w:r>
        <w:rPr>
          <w:color w:val="222222"/>
          <w:spacing w:val="-3"/>
        </w:rPr>
        <w:t xml:space="preserve"> </w:t>
      </w:r>
      <w:r>
        <w:rPr>
          <w:color w:val="222222"/>
        </w:rPr>
        <w:t>use these increased capacity models in the interpretability evaluation.</w:t>
      </w:r>
    </w:p>
    <w:p w14:paraId="1BC23079" w14:textId="77777777" w:rsidR="00E211CC" w:rsidRDefault="00E211CC" w:rsidP="00E211CC">
      <w:pPr>
        <w:pStyle w:val="BodyText"/>
        <w:spacing w:line="271" w:lineRule="auto"/>
        <w:ind w:right="579"/>
        <w:jc w:val="both"/>
      </w:pPr>
      <w:r>
        <w:rPr>
          <w:color w:val="4A86E8"/>
        </w:rPr>
        <w:t>We</w:t>
      </w:r>
      <w:r>
        <w:rPr>
          <w:color w:val="4A86E8"/>
          <w:spacing w:val="-4"/>
        </w:rPr>
        <w:t xml:space="preserve"> </w:t>
      </w:r>
      <w:r>
        <w:rPr>
          <w:color w:val="4A86E8"/>
        </w:rPr>
        <w:t>have</w:t>
      </w:r>
      <w:r>
        <w:rPr>
          <w:color w:val="4A86E8"/>
          <w:spacing w:val="-4"/>
        </w:rPr>
        <w:t xml:space="preserve"> </w:t>
      </w:r>
      <w:r>
        <w:rPr>
          <w:color w:val="4A86E8"/>
        </w:rPr>
        <w:t>added</w:t>
      </w:r>
      <w:r>
        <w:rPr>
          <w:color w:val="4A86E8"/>
          <w:spacing w:val="-4"/>
        </w:rPr>
        <w:t xml:space="preserve"> </w:t>
      </w:r>
      <w:r>
        <w:rPr>
          <w:color w:val="4A86E8"/>
        </w:rPr>
        <w:t>results</w:t>
      </w:r>
      <w:r>
        <w:rPr>
          <w:color w:val="4A86E8"/>
          <w:spacing w:val="-4"/>
        </w:rPr>
        <w:t xml:space="preserve"> </w:t>
      </w:r>
      <w:r>
        <w:rPr>
          <w:color w:val="4A86E8"/>
        </w:rPr>
        <w:t>from</w:t>
      </w:r>
      <w:r>
        <w:rPr>
          <w:color w:val="4A86E8"/>
          <w:spacing w:val="-4"/>
        </w:rPr>
        <w:t xml:space="preserve"> </w:t>
      </w:r>
      <w:r>
        <w:rPr>
          <w:color w:val="4A86E8"/>
        </w:rPr>
        <w:t>the</w:t>
      </w:r>
      <w:r>
        <w:rPr>
          <w:color w:val="4A86E8"/>
          <w:spacing w:val="-4"/>
        </w:rPr>
        <w:t xml:space="preserve"> </w:t>
      </w:r>
      <w:r>
        <w:rPr>
          <w:color w:val="4A86E8"/>
        </w:rPr>
        <w:t>increased</w:t>
      </w:r>
      <w:r>
        <w:rPr>
          <w:color w:val="4A86E8"/>
          <w:spacing w:val="-4"/>
        </w:rPr>
        <w:t xml:space="preserve"> </w:t>
      </w:r>
      <w:r>
        <w:rPr>
          <w:color w:val="4A86E8"/>
        </w:rPr>
        <w:t>capacity</w:t>
      </w:r>
      <w:r>
        <w:rPr>
          <w:color w:val="4A86E8"/>
          <w:spacing w:val="-4"/>
        </w:rPr>
        <w:t xml:space="preserve"> </w:t>
      </w:r>
      <w:r>
        <w:rPr>
          <w:color w:val="4A86E8"/>
        </w:rPr>
        <w:t>models</w:t>
      </w:r>
      <w:r>
        <w:rPr>
          <w:color w:val="4A86E8"/>
          <w:spacing w:val="-4"/>
        </w:rPr>
        <w:t xml:space="preserve"> </w:t>
      </w:r>
      <w:r>
        <w:rPr>
          <w:color w:val="4A86E8"/>
        </w:rPr>
        <w:t>to</w:t>
      </w:r>
      <w:r>
        <w:rPr>
          <w:color w:val="4A86E8"/>
          <w:spacing w:val="-4"/>
        </w:rPr>
        <w:t xml:space="preserve"> </w:t>
      </w:r>
      <w:r>
        <w:rPr>
          <w:color w:val="4A86E8"/>
        </w:rPr>
        <w:t>the</w:t>
      </w:r>
      <w:r>
        <w:rPr>
          <w:color w:val="4A86E8"/>
          <w:spacing w:val="-4"/>
        </w:rPr>
        <w:t xml:space="preserve"> </w:t>
      </w:r>
      <w:r>
        <w:rPr>
          <w:color w:val="4A86E8"/>
        </w:rPr>
        <w:t>interpretability</w:t>
      </w:r>
      <w:r>
        <w:rPr>
          <w:color w:val="4A86E8"/>
          <w:spacing w:val="-4"/>
        </w:rPr>
        <w:t xml:space="preserve"> </w:t>
      </w:r>
      <w:r>
        <w:rPr>
          <w:color w:val="4A86E8"/>
        </w:rPr>
        <w:t>evaluation (Fig. S16 and S17) and example predictions (Fig. S18).</w:t>
      </w:r>
    </w:p>
    <w:p w14:paraId="03CA401E" w14:textId="77777777" w:rsidR="00E211CC" w:rsidRDefault="00E211CC" w:rsidP="00E211CC">
      <w:pPr>
        <w:pStyle w:val="BodyText"/>
        <w:spacing w:before="39"/>
        <w:ind w:left="0"/>
      </w:pPr>
    </w:p>
    <w:p w14:paraId="010A6E2F" w14:textId="77777777" w:rsidR="00E211CC" w:rsidRDefault="00E211CC" w:rsidP="00E211CC">
      <w:pPr>
        <w:pStyle w:val="Heading1"/>
      </w:pPr>
      <w:r>
        <w:rPr>
          <w:color w:val="222222"/>
        </w:rPr>
        <w:t>Reviewer</w:t>
      </w:r>
      <w:r>
        <w:rPr>
          <w:color w:val="222222"/>
          <w:spacing w:val="-8"/>
        </w:rPr>
        <w:t xml:space="preserve"> </w:t>
      </w:r>
      <w:r>
        <w:rPr>
          <w:color w:val="222222"/>
          <w:spacing w:val="-5"/>
        </w:rPr>
        <w:t>#2:</w:t>
      </w:r>
    </w:p>
    <w:p w14:paraId="0831A5CB" w14:textId="77777777" w:rsidR="00E211CC" w:rsidRDefault="00E211CC" w:rsidP="00E211CC">
      <w:pPr>
        <w:pStyle w:val="BodyText"/>
        <w:spacing w:before="40" w:line="276" w:lineRule="auto"/>
      </w:pPr>
      <w:r>
        <w:rPr>
          <w:color w:val="222222"/>
        </w:rPr>
        <w:t>The</w:t>
      </w:r>
      <w:r>
        <w:rPr>
          <w:color w:val="222222"/>
          <w:spacing w:val="-3"/>
        </w:rPr>
        <w:t xml:space="preserve"> </w:t>
      </w:r>
      <w:r>
        <w:rPr>
          <w:color w:val="222222"/>
        </w:rPr>
        <w:t>authors</w:t>
      </w:r>
      <w:r>
        <w:rPr>
          <w:color w:val="222222"/>
          <w:spacing w:val="-3"/>
        </w:rPr>
        <w:t xml:space="preserve"> </w:t>
      </w:r>
      <w:r>
        <w:rPr>
          <w:color w:val="222222"/>
        </w:rPr>
        <w:t>have</w:t>
      </w:r>
      <w:r>
        <w:rPr>
          <w:color w:val="222222"/>
          <w:spacing w:val="-3"/>
        </w:rPr>
        <w:t xml:space="preserve"> </w:t>
      </w:r>
      <w:r>
        <w:rPr>
          <w:color w:val="222222"/>
        </w:rPr>
        <w:t>addressed</w:t>
      </w:r>
      <w:r>
        <w:rPr>
          <w:color w:val="222222"/>
          <w:spacing w:val="-3"/>
        </w:rPr>
        <w:t xml:space="preserve"> </w:t>
      </w:r>
      <w:r>
        <w:rPr>
          <w:color w:val="222222"/>
        </w:rPr>
        <w:t>all</w:t>
      </w:r>
      <w:r>
        <w:rPr>
          <w:color w:val="222222"/>
          <w:spacing w:val="-3"/>
        </w:rPr>
        <w:t xml:space="preserve"> </w:t>
      </w:r>
      <w:r>
        <w:rPr>
          <w:color w:val="222222"/>
        </w:rPr>
        <w:t>my</w:t>
      </w:r>
      <w:r>
        <w:rPr>
          <w:color w:val="222222"/>
          <w:spacing w:val="-3"/>
        </w:rPr>
        <w:t xml:space="preserve"> </w:t>
      </w:r>
      <w:r>
        <w:rPr>
          <w:color w:val="222222"/>
        </w:rPr>
        <w:t>major</w:t>
      </w:r>
      <w:r>
        <w:rPr>
          <w:color w:val="222222"/>
          <w:spacing w:val="-3"/>
        </w:rPr>
        <w:t xml:space="preserve"> </w:t>
      </w:r>
      <w:r>
        <w:rPr>
          <w:color w:val="222222"/>
        </w:rPr>
        <w:t>points</w:t>
      </w:r>
      <w:r>
        <w:rPr>
          <w:color w:val="222222"/>
          <w:spacing w:val="-5"/>
        </w:rPr>
        <w:t xml:space="preserve"> </w:t>
      </w:r>
      <w:r>
        <w:rPr>
          <w:color w:val="222222"/>
        </w:rPr>
        <w:t>-</w:t>
      </w:r>
      <w:r>
        <w:rPr>
          <w:color w:val="222222"/>
          <w:spacing w:val="-3"/>
        </w:rPr>
        <w:t xml:space="preserve"> </w:t>
      </w:r>
      <w:r>
        <w:rPr>
          <w:color w:val="222222"/>
        </w:rPr>
        <w:t>great</w:t>
      </w:r>
      <w:r>
        <w:rPr>
          <w:color w:val="222222"/>
          <w:spacing w:val="-3"/>
        </w:rPr>
        <w:t xml:space="preserve"> </w:t>
      </w:r>
      <w:r>
        <w:rPr>
          <w:color w:val="222222"/>
        </w:rPr>
        <w:t>job.</w:t>
      </w:r>
      <w:r>
        <w:rPr>
          <w:color w:val="222222"/>
          <w:spacing w:val="-3"/>
        </w:rPr>
        <w:t xml:space="preserve"> </w:t>
      </w:r>
      <w:r>
        <w:rPr>
          <w:color w:val="222222"/>
        </w:rPr>
        <w:t>I</w:t>
      </w:r>
      <w:r>
        <w:rPr>
          <w:color w:val="222222"/>
          <w:spacing w:val="-3"/>
        </w:rPr>
        <w:t xml:space="preserve"> </w:t>
      </w:r>
      <w:r>
        <w:rPr>
          <w:color w:val="222222"/>
        </w:rPr>
        <w:t>have</w:t>
      </w:r>
      <w:r>
        <w:rPr>
          <w:color w:val="222222"/>
          <w:spacing w:val="-3"/>
        </w:rPr>
        <w:t xml:space="preserve"> </w:t>
      </w:r>
      <w:r>
        <w:rPr>
          <w:color w:val="222222"/>
        </w:rPr>
        <w:t>a</w:t>
      </w:r>
      <w:r>
        <w:rPr>
          <w:color w:val="222222"/>
          <w:spacing w:val="-3"/>
        </w:rPr>
        <w:t xml:space="preserve"> </w:t>
      </w:r>
      <w:r>
        <w:rPr>
          <w:color w:val="222222"/>
        </w:rPr>
        <w:t>few</w:t>
      </w:r>
      <w:r>
        <w:rPr>
          <w:color w:val="222222"/>
          <w:spacing w:val="-3"/>
        </w:rPr>
        <w:t xml:space="preserve"> </w:t>
      </w:r>
      <w:r>
        <w:rPr>
          <w:color w:val="222222"/>
        </w:rPr>
        <w:t>remaining</w:t>
      </w:r>
      <w:r>
        <w:rPr>
          <w:color w:val="222222"/>
          <w:spacing w:val="-3"/>
        </w:rPr>
        <w:t xml:space="preserve"> </w:t>
      </w:r>
      <w:r>
        <w:rPr>
          <w:color w:val="222222"/>
        </w:rPr>
        <w:t>follow-up points I would ask the authors to address:</w:t>
      </w:r>
    </w:p>
    <w:p w14:paraId="73B2105F" w14:textId="77777777" w:rsidR="00E211CC" w:rsidRDefault="00E211CC" w:rsidP="00E211CC">
      <w:pPr>
        <w:pStyle w:val="BodyText"/>
        <w:spacing w:before="34"/>
        <w:ind w:left="0"/>
      </w:pPr>
    </w:p>
    <w:p w14:paraId="112AF7A0" w14:textId="77777777" w:rsidR="00E211CC" w:rsidRDefault="00E211CC" w:rsidP="00E211CC">
      <w:pPr>
        <w:pStyle w:val="ListParagraph"/>
        <w:widowControl w:val="0"/>
        <w:numPr>
          <w:ilvl w:val="0"/>
          <w:numId w:val="10"/>
        </w:numPr>
        <w:tabs>
          <w:tab w:val="left" w:pos="343"/>
        </w:tabs>
        <w:autoSpaceDE w:val="0"/>
        <w:autoSpaceDN w:val="0"/>
        <w:spacing w:after="0" w:line="240" w:lineRule="auto"/>
        <w:ind w:left="343" w:hanging="243"/>
        <w:contextualSpacing w:val="0"/>
        <w:jc w:val="both"/>
      </w:pPr>
      <w:r>
        <w:rPr>
          <w:color w:val="222222"/>
        </w:rPr>
        <w:t>Re</w:t>
      </w:r>
      <w:r>
        <w:rPr>
          <w:color w:val="222222"/>
          <w:spacing w:val="-4"/>
        </w:rPr>
        <w:t xml:space="preserve"> </w:t>
      </w:r>
      <w:r>
        <w:rPr>
          <w:color w:val="222222"/>
        </w:rPr>
        <w:t>Point</w:t>
      </w:r>
      <w:r>
        <w:rPr>
          <w:color w:val="222222"/>
          <w:spacing w:val="-3"/>
        </w:rPr>
        <w:t xml:space="preserve"> </w:t>
      </w:r>
      <w:r>
        <w:rPr>
          <w:color w:val="222222"/>
          <w:spacing w:val="-5"/>
        </w:rPr>
        <w:t>10:</w:t>
      </w:r>
    </w:p>
    <w:p w14:paraId="386A6E99" w14:textId="77777777" w:rsidR="00E211CC" w:rsidRDefault="00E211CC" w:rsidP="00E211CC">
      <w:pPr>
        <w:pStyle w:val="BodyText"/>
        <w:spacing w:before="40" w:line="271" w:lineRule="auto"/>
        <w:ind w:right="660"/>
        <w:jc w:val="both"/>
      </w:pPr>
      <w:r>
        <w:rPr>
          <w:color w:val="222222"/>
        </w:rPr>
        <w:t>&gt;</w:t>
      </w:r>
      <w:r>
        <w:rPr>
          <w:color w:val="222222"/>
          <w:spacing w:val="-3"/>
        </w:rPr>
        <w:t xml:space="preserve"> </w:t>
      </w:r>
      <w:r>
        <w:rPr>
          <w:color w:val="222222"/>
        </w:rPr>
        <w:t>We</w:t>
      </w:r>
      <w:r>
        <w:rPr>
          <w:color w:val="222222"/>
          <w:spacing w:val="-3"/>
        </w:rPr>
        <w:t xml:space="preserve"> </w:t>
      </w:r>
      <w:r>
        <w:rPr>
          <w:color w:val="222222"/>
        </w:rPr>
        <w:t>appreciate</w:t>
      </w:r>
      <w:r>
        <w:rPr>
          <w:color w:val="222222"/>
          <w:spacing w:val="-3"/>
        </w:rPr>
        <w:t xml:space="preserve"> </w:t>
      </w:r>
      <w:r>
        <w:rPr>
          <w:color w:val="222222"/>
        </w:rPr>
        <w:t>this</w:t>
      </w:r>
      <w:r>
        <w:rPr>
          <w:color w:val="222222"/>
          <w:spacing w:val="-3"/>
        </w:rPr>
        <w:t xml:space="preserve"> </w:t>
      </w:r>
      <w:r>
        <w:rPr>
          <w:color w:val="222222"/>
        </w:rPr>
        <w:t>point</w:t>
      </w:r>
      <w:r>
        <w:rPr>
          <w:color w:val="222222"/>
          <w:spacing w:val="-3"/>
        </w:rPr>
        <w:t xml:space="preserve"> </w:t>
      </w:r>
      <w:r>
        <w:rPr>
          <w:color w:val="222222"/>
        </w:rPr>
        <w:t>and</w:t>
      </w:r>
      <w:r>
        <w:rPr>
          <w:color w:val="222222"/>
          <w:spacing w:val="-3"/>
        </w:rPr>
        <w:t xml:space="preserve"> </w:t>
      </w:r>
      <w:r>
        <w:rPr>
          <w:color w:val="222222"/>
        </w:rPr>
        <w:t>have</w:t>
      </w:r>
      <w:r>
        <w:rPr>
          <w:color w:val="222222"/>
          <w:spacing w:val="-3"/>
        </w:rPr>
        <w:t xml:space="preserve"> </w:t>
      </w:r>
      <w:r>
        <w:rPr>
          <w:color w:val="222222"/>
        </w:rPr>
        <w:t>addressed</w:t>
      </w:r>
      <w:r>
        <w:rPr>
          <w:color w:val="222222"/>
          <w:spacing w:val="-3"/>
        </w:rPr>
        <w:t xml:space="preserve"> </w:t>
      </w:r>
      <w:r>
        <w:rPr>
          <w:color w:val="222222"/>
        </w:rPr>
        <w:t>it</w:t>
      </w:r>
      <w:r>
        <w:rPr>
          <w:color w:val="222222"/>
          <w:spacing w:val="-3"/>
        </w:rPr>
        <w:t xml:space="preserve"> </w:t>
      </w:r>
      <w:r>
        <w:rPr>
          <w:color w:val="222222"/>
        </w:rPr>
        <w:t>as</w:t>
      </w:r>
      <w:r>
        <w:rPr>
          <w:color w:val="222222"/>
          <w:spacing w:val="-3"/>
        </w:rPr>
        <w:t xml:space="preserve"> </w:t>
      </w:r>
      <w:r>
        <w:rPr>
          <w:color w:val="222222"/>
        </w:rPr>
        <w:t>part</w:t>
      </w:r>
      <w:r>
        <w:rPr>
          <w:color w:val="222222"/>
          <w:spacing w:val="-3"/>
        </w:rPr>
        <w:t xml:space="preserve"> </w:t>
      </w:r>
      <w:r>
        <w:rPr>
          <w:color w:val="222222"/>
        </w:rPr>
        <w:t>of</w:t>
      </w:r>
      <w:r>
        <w:rPr>
          <w:color w:val="222222"/>
          <w:spacing w:val="-3"/>
        </w:rPr>
        <w:t xml:space="preserve"> </w:t>
      </w:r>
      <w:r>
        <w:rPr>
          <w:color w:val="222222"/>
        </w:rPr>
        <w:t>our</w:t>
      </w:r>
      <w:r>
        <w:rPr>
          <w:color w:val="222222"/>
          <w:spacing w:val="-3"/>
        </w:rPr>
        <w:t xml:space="preserve"> </w:t>
      </w:r>
      <w:r>
        <w:rPr>
          <w:color w:val="222222"/>
        </w:rPr>
        <w:t>response</w:t>
      </w:r>
      <w:r>
        <w:rPr>
          <w:color w:val="222222"/>
          <w:spacing w:val="-3"/>
        </w:rPr>
        <w:t xml:space="preserve"> </w:t>
      </w:r>
      <w:r>
        <w:rPr>
          <w:color w:val="222222"/>
        </w:rPr>
        <w:t>to</w:t>
      </w:r>
      <w:r>
        <w:rPr>
          <w:color w:val="222222"/>
          <w:spacing w:val="-3"/>
        </w:rPr>
        <w:t xml:space="preserve"> </w:t>
      </w:r>
      <w:r>
        <w:rPr>
          <w:color w:val="222222"/>
        </w:rPr>
        <w:t>Major</w:t>
      </w:r>
      <w:r>
        <w:rPr>
          <w:color w:val="222222"/>
          <w:spacing w:val="-3"/>
        </w:rPr>
        <w:t xml:space="preserve"> </w:t>
      </w:r>
      <w:r>
        <w:rPr>
          <w:color w:val="222222"/>
        </w:rPr>
        <w:t>point</w:t>
      </w:r>
      <w:r>
        <w:rPr>
          <w:color w:val="222222"/>
          <w:spacing w:val="-3"/>
        </w:rPr>
        <w:t xml:space="preserve"> </w:t>
      </w:r>
      <w:r>
        <w:rPr>
          <w:color w:val="222222"/>
        </w:rPr>
        <w:t>#5 above. We have also removed the specific language about negative transfer on L87.</w:t>
      </w:r>
    </w:p>
    <w:p w14:paraId="6621A345" w14:textId="77777777" w:rsidR="00E211CC" w:rsidRDefault="00E211CC" w:rsidP="00E211CC">
      <w:pPr>
        <w:pStyle w:val="BodyText"/>
        <w:spacing w:before="39"/>
        <w:ind w:left="0"/>
      </w:pPr>
    </w:p>
    <w:p w14:paraId="3381770B" w14:textId="77777777" w:rsidR="00E211CC" w:rsidRDefault="00E211CC" w:rsidP="00E211CC">
      <w:pPr>
        <w:pStyle w:val="BodyText"/>
      </w:pPr>
      <w:r>
        <w:rPr>
          <w:color w:val="222222"/>
        </w:rPr>
        <w:t>In</w:t>
      </w:r>
      <w:r>
        <w:rPr>
          <w:color w:val="222222"/>
          <w:spacing w:val="-8"/>
        </w:rPr>
        <w:t xml:space="preserve"> </w:t>
      </w:r>
      <w:r>
        <w:rPr>
          <w:color w:val="222222"/>
        </w:rPr>
        <w:t>the</w:t>
      </w:r>
      <w:r>
        <w:rPr>
          <w:color w:val="222222"/>
          <w:spacing w:val="-5"/>
        </w:rPr>
        <w:t xml:space="preserve"> </w:t>
      </w:r>
      <w:r>
        <w:rPr>
          <w:color w:val="222222"/>
        </w:rPr>
        <w:t>introduction,</w:t>
      </w:r>
      <w:r>
        <w:rPr>
          <w:color w:val="222222"/>
          <w:spacing w:val="-4"/>
        </w:rPr>
        <w:t xml:space="preserve"> </w:t>
      </w:r>
      <w:r>
        <w:rPr>
          <w:color w:val="222222"/>
        </w:rPr>
        <w:t>the</w:t>
      </w:r>
      <w:r>
        <w:rPr>
          <w:color w:val="222222"/>
          <w:spacing w:val="-5"/>
        </w:rPr>
        <w:t xml:space="preserve"> </w:t>
      </w:r>
      <w:r>
        <w:rPr>
          <w:color w:val="222222"/>
        </w:rPr>
        <w:t>authors</w:t>
      </w:r>
      <w:r>
        <w:rPr>
          <w:color w:val="222222"/>
          <w:spacing w:val="-5"/>
        </w:rPr>
        <w:t xml:space="preserve"> </w:t>
      </w:r>
      <w:r>
        <w:rPr>
          <w:color w:val="222222"/>
        </w:rPr>
        <w:t>still</w:t>
      </w:r>
      <w:r>
        <w:rPr>
          <w:color w:val="222222"/>
          <w:spacing w:val="-5"/>
        </w:rPr>
        <w:t xml:space="preserve"> </w:t>
      </w:r>
      <w:r>
        <w:rPr>
          <w:color w:val="222222"/>
        </w:rPr>
        <w:t>say</w:t>
      </w:r>
      <w:r>
        <w:rPr>
          <w:color w:val="222222"/>
          <w:spacing w:val="-5"/>
        </w:rPr>
        <w:t xml:space="preserve"> </w:t>
      </w:r>
      <w:r>
        <w:rPr>
          <w:color w:val="222222"/>
        </w:rPr>
        <w:t>refer</w:t>
      </w:r>
      <w:r>
        <w:rPr>
          <w:color w:val="222222"/>
          <w:spacing w:val="-5"/>
        </w:rPr>
        <w:t xml:space="preserve"> </w:t>
      </w:r>
      <w:r>
        <w:rPr>
          <w:color w:val="222222"/>
        </w:rPr>
        <w:t>to</w:t>
      </w:r>
      <w:r>
        <w:rPr>
          <w:color w:val="222222"/>
          <w:spacing w:val="-5"/>
        </w:rPr>
        <w:t xml:space="preserve"> </w:t>
      </w:r>
      <w:r>
        <w:rPr>
          <w:color w:val="222222"/>
        </w:rPr>
        <w:t>negative</w:t>
      </w:r>
      <w:r>
        <w:rPr>
          <w:color w:val="222222"/>
          <w:spacing w:val="-5"/>
        </w:rPr>
        <w:t xml:space="preserve"> </w:t>
      </w:r>
      <w:r>
        <w:rPr>
          <w:color w:val="222222"/>
          <w:spacing w:val="-2"/>
        </w:rPr>
        <w:t>transfer:</w:t>
      </w:r>
    </w:p>
    <w:p w14:paraId="08C0A6D5" w14:textId="77777777" w:rsidR="00E211CC" w:rsidRDefault="00E211CC" w:rsidP="00E211CC">
      <w:pPr>
        <w:pStyle w:val="BodyText"/>
        <w:spacing w:before="40" w:line="276" w:lineRule="auto"/>
      </w:pPr>
      <w:r>
        <w:rPr>
          <w:color w:val="222222"/>
        </w:rPr>
        <w:t>"We</w:t>
      </w:r>
      <w:r>
        <w:rPr>
          <w:color w:val="222222"/>
          <w:spacing w:val="-3"/>
        </w:rPr>
        <w:t xml:space="preserve"> </w:t>
      </w:r>
      <w:r>
        <w:rPr>
          <w:color w:val="222222"/>
        </w:rPr>
        <w:t>reasoned</w:t>
      </w:r>
      <w:r>
        <w:rPr>
          <w:color w:val="222222"/>
          <w:spacing w:val="-3"/>
        </w:rPr>
        <w:t xml:space="preserve"> </w:t>
      </w:r>
      <w:r>
        <w:rPr>
          <w:color w:val="222222"/>
        </w:rPr>
        <w:t>that</w:t>
      </w:r>
      <w:r>
        <w:rPr>
          <w:color w:val="222222"/>
          <w:spacing w:val="-3"/>
        </w:rPr>
        <w:t xml:space="preserve"> </w:t>
      </w:r>
      <w:r>
        <w:rPr>
          <w:color w:val="222222"/>
        </w:rPr>
        <w:t>negative</w:t>
      </w:r>
      <w:r>
        <w:rPr>
          <w:color w:val="222222"/>
          <w:spacing w:val="-3"/>
        </w:rPr>
        <w:t xml:space="preserve"> </w:t>
      </w:r>
      <w:r>
        <w:rPr>
          <w:color w:val="222222"/>
        </w:rPr>
        <w:t>transfer</w:t>
      </w:r>
      <w:r>
        <w:rPr>
          <w:color w:val="222222"/>
          <w:spacing w:val="-3"/>
        </w:rPr>
        <w:t xml:space="preserve"> </w:t>
      </w:r>
      <w:r>
        <w:rPr>
          <w:color w:val="222222"/>
        </w:rPr>
        <w:t>between</w:t>
      </w:r>
      <w:r>
        <w:rPr>
          <w:color w:val="222222"/>
          <w:spacing w:val="-3"/>
        </w:rPr>
        <w:t xml:space="preserve"> </w:t>
      </w:r>
      <w:r>
        <w:rPr>
          <w:color w:val="222222"/>
        </w:rPr>
        <w:t>cell</w:t>
      </w:r>
      <w:r>
        <w:rPr>
          <w:color w:val="222222"/>
          <w:spacing w:val="-3"/>
        </w:rPr>
        <w:t xml:space="preserve"> </w:t>
      </w:r>
      <w:r>
        <w:rPr>
          <w:color w:val="222222"/>
        </w:rPr>
        <w:t>types</w:t>
      </w:r>
      <w:r>
        <w:rPr>
          <w:color w:val="222222"/>
          <w:spacing w:val="-3"/>
        </w:rPr>
        <w:t xml:space="preserve"> </w:t>
      </w:r>
      <w:r>
        <w:rPr>
          <w:color w:val="222222"/>
        </w:rPr>
        <w:t>could</w:t>
      </w:r>
      <w:r>
        <w:rPr>
          <w:color w:val="222222"/>
          <w:spacing w:val="-3"/>
        </w:rPr>
        <w:t xml:space="preserve"> </w:t>
      </w:r>
      <w:r>
        <w:rPr>
          <w:color w:val="222222"/>
        </w:rPr>
        <w:t>contribute</w:t>
      </w:r>
      <w:r>
        <w:rPr>
          <w:color w:val="222222"/>
          <w:spacing w:val="-3"/>
        </w:rPr>
        <w:t xml:space="preserve"> </w:t>
      </w:r>
      <w:r>
        <w:rPr>
          <w:color w:val="222222"/>
        </w:rPr>
        <w:t>to</w:t>
      </w:r>
      <w:r>
        <w:rPr>
          <w:color w:val="222222"/>
          <w:spacing w:val="-3"/>
        </w:rPr>
        <w:t xml:space="preserve"> </w:t>
      </w:r>
      <w:r>
        <w:rPr>
          <w:color w:val="222222"/>
        </w:rPr>
        <w:t>poor</w:t>
      </w:r>
      <w:r>
        <w:rPr>
          <w:color w:val="222222"/>
          <w:spacing w:val="-3"/>
        </w:rPr>
        <w:t xml:space="preserve"> </w:t>
      </w:r>
      <w:r>
        <w:rPr>
          <w:color w:val="222222"/>
        </w:rPr>
        <w:t>performance</w:t>
      </w:r>
      <w:r>
        <w:rPr>
          <w:color w:val="222222"/>
          <w:spacing w:val="-3"/>
        </w:rPr>
        <w:t xml:space="preserve"> </w:t>
      </w:r>
      <w:r>
        <w:rPr>
          <w:color w:val="222222"/>
        </w:rPr>
        <w:t>on cell type specific epigenetic marks, including cell type specific accessible regions. Therefore, using custom models trained and evaluated on cell type specific ATAC-seq data from primary kidney</w:t>
      </w:r>
      <w:r>
        <w:rPr>
          <w:color w:val="222222"/>
          <w:spacing w:val="-3"/>
        </w:rPr>
        <w:t xml:space="preserve"> </w:t>
      </w:r>
      <w:r>
        <w:rPr>
          <w:color w:val="222222"/>
        </w:rPr>
        <w:t>and</w:t>
      </w:r>
      <w:r>
        <w:rPr>
          <w:color w:val="222222"/>
          <w:spacing w:val="-3"/>
        </w:rPr>
        <w:t xml:space="preserve"> </w:t>
      </w:r>
      <w:r>
        <w:rPr>
          <w:color w:val="222222"/>
        </w:rPr>
        <w:t>immune</w:t>
      </w:r>
      <w:r>
        <w:rPr>
          <w:color w:val="222222"/>
          <w:spacing w:val="-3"/>
        </w:rPr>
        <w:t xml:space="preserve"> </w:t>
      </w:r>
      <w:r>
        <w:rPr>
          <w:color w:val="222222"/>
        </w:rPr>
        <w:t>cells,</w:t>
      </w:r>
      <w:r>
        <w:rPr>
          <w:color w:val="222222"/>
          <w:spacing w:val="-3"/>
        </w:rPr>
        <w:t xml:space="preserve"> </w:t>
      </w:r>
      <w:r>
        <w:rPr>
          <w:color w:val="222222"/>
        </w:rPr>
        <w:t>we</w:t>
      </w:r>
      <w:r>
        <w:rPr>
          <w:color w:val="222222"/>
          <w:spacing w:val="-3"/>
        </w:rPr>
        <w:t xml:space="preserve"> </w:t>
      </w:r>
      <w:r>
        <w:rPr>
          <w:color w:val="222222"/>
        </w:rPr>
        <w:t>also</w:t>
      </w:r>
      <w:r>
        <w:rPr>
          <w:color w:val="222222"/>
          <w:spacing w:val="-3"/>
        </w:rPr>
        <w:t xml:space="preserve"> </w:t>
      </w:r>
      <w:r>
        <w:rPr>
          <w:color w:val="222222"/>
        </w:rPr>
        <w:t>evaluate</w:t>
      </w:r>
      <w:r>
        <w:rPr>
          <w:color w:val="222222"/>
          <w:spacing w:val="-3"/>
        </w:rPr>
        <w:t xml:space="preserve"> </w:t>
      </w:r>
      <w:r>
        <w:rPr>
          <w:color w:val="222222"/>
        </w:rPr>
        <w:t>the</w:t>
      </w:r>
      <w:r>
        <w:rPr>
          <w:color w:val="222222"/>
          <w:spacing w:val="-3"/>
        </w:rPr>
        <w:t xml:space="preserve"> </w:t>
      </w:r>
      <w:r>
        <w:rPr>
          <w:color w:val="222222"/>
        </w:rPr>
        <w:t>effect</w:t>
      </w:r>
      <w:r>
        <w:rPr>
          <w:color w:val="222222"/>
          <w:spacing w:val="-3"/>
        </w:rPr>
        <w:t xml:space="preserve"> </w:t>
      </w:r>
      <w:r>
        <w:rPr>
          <w:color w:val="222222"/>
        </w:rPr>
        <w:t>of</w:t>
      </w:r>
      <w:r>
        <w:rPr>
          <w:color w:val="222222"/>
          <w:spacing w:val="-3"/>
        </w:rPr>
        <w:t xml:space="preserve"> </w:t>
      </w:r>
      <w:r>
        <w:rPr>
          <w:color w:val="222222"/>
        </w:rPr>
        <w:t>single-task</w:t>
      </w:r>
      <w:r>
        <w:rPr>
          <w:color w:val="222222"/>
          <w:spacing w:val="-3"/>
        </w:rPr>
        <w:t xml:space="preserve"> </w:t>
      </w:r>
      <w:r>
        <w:rPr>
          <w:color w:val="222222"/>
        </w:rPr>
        <w:t>versus</w:t>
      </w:r>
      <w:r>
        <w:rPr>
          <w:color w:val="222222"/>
          <w:spacing w:val="-3"/>
        </w:rPr>
        <w:t xml:space="preserve"> </w:t>
      </w:r>
      <w:r>
        <w:rPr>
          <w:color w:val="222222"/>
        </w:rPr>
        <w:t>multi-task</w:t>
      </w:r>
      <w:r>
        <w:rPr>
          <w:color w:val="222222"/>
          <w:spacing w:val="-3"/>
        </w:rPr>
        <w:t xml:space="preserve"> </w:t>
      </w:r>
      <w:r>
        <w:rPr>
          <w:color w:val="222222"/>
        </w:rPr>
        <w:t>learning</w:t>
      </w:r>
      <w:r>
        <w:rPr>
          <w:color w:val="222222"/>
          <w:spacing w:val="-3"/>
        </w:rPr>
        <w:t xml:space="preserve"> </w:t>
      </w:r>
      <w:r>
        <w:rPr>
          <w:color w:val="222222"/>
        </w:rPr>
        <w:t>on predictive accuracy in cell type specific accessible regions."</w:t>
      </w:r>
    </w:p>
    <w:p w14:paraId="61CCF7F1" w14:textId="77777777" w:rsidR="00E211CC" w:rsidRDefault="00E211CC" w:rsidP="00E211CC">
      <w:pPr>
        <w:pStyle w:val="BodyText"/>
        <w:spacing w:before="39"/>
        <w:ind w:left="0"/>
      </w:pPr>
    </w:p>
    <w:p w14:paraId="3CD851E3" w14:textId="4A7DED5E" w:rsidR="00E211CC" w:rsidRDefault="00E211CC" w:rsidP="00E211CC">
      <w:pPr>
        <w:pStyle w:val="BodyText"/>
        <w:spacing w:line="271" w:lineRule="auto"/>
        <w:ind w:right="589"/>
        <w:jc w:val="both"/>
      </w:pPr>
      <w:r>
        <w:rPr>
          <w:color w:val="222222"/>
        </w:rPr>
        <w:t>I</w:t>
      </w:r>
      <w:r>
        <w:rPr>
          <w:color w:val="222222"/>
          <w:spacing w:val="-3"/>
        </w:rPr>
        <w:t xml:space="preserve"> </w:t>
      </w:r>
      <w:r>
        <w:rPr>
          <w:color w:val="222222"/>
        </w:rPr>
        <w:t>would</w:t>
      </w:r>
      <w:r>
        <w:rPr>
          <w:color w:val="222222"/>
          <w:spacing w:val="-3"/>
        </w:rPr>
        <w:t xml:space="preserve"> </w:t>
      </w:r>
      <w:r>
        <w:rPr>
          <w:color w:val="222222"/>
        </w:rPr>
        <w:t>suggest</w:t>
      </w:r>
      <w:r>
        <w:rPr>
          <w:color w:val="222222"/>
          <w:spacing w:val="-3"/>
        </w:rPr>
        <w:t xml:space="preserve"> </w:t>
      </w:r>
      <w:r>
        <w:rPr>
          <w:color w:val="222222"/>
        </w:rPr>
        <w:t>the</w:t>
      </w:r>
      <w:r>
        <w:rPr>
          <w:color w:val="222222"/>
          <w:spacing w:val="-3"/>
        </w:rPr>
        <w:t xml:space="preserve"> </w:t>
      </w:r>
      <w:r>
        <w:rPr>
          <w:color w:val="222222"/>
        </w:rPr>
        <w:t>authors</w:t>
      </w:r>
      <w:r>
        <w:rPr>
          <w:color w:val="222222"/>
          <w:spacing w:val="-3"/>
        </w:rPr>
        <w:t xml:space="preserve"> </w:t>
      </w:r>
      <w:r>
        <w:rPr>
          <w:color w:val="222222"/>
        </w:rPr>
        <w:t>remove</w:t>
      </w:r>
      <w:r>
        <w:rPr>
          <w:color w:val="222222"/>
          <w:spacing w:val="-3"/>
        </w:rPr>
        <w:t xml:space="preserve"> </w:t>
      </w:r>
      <w:r>
        <w:rPr>
          <w:color w:val="222222"/>
        </w:rPr>
        <w:t>the</w:t>
      </w:r>
      <w:r>
        <w:rPr>
          <w:color w:val="222222"/>
          <w:spacing w:val="-3"/>
        </w:rPr>
        <w:t xml:space="preserve"> </w:t>
      </w:r>
      <w:r>
        <w:rPr>
          <w:color w:val="222222"/>
        </w:rPr>
        <w:t>mention</w:t>
      </w:r>
      <w:r>
        <w:rPr>
          <w:color w:val="222222"/>
          <w:spacing w:val="-3"/>
        </w:rPr>
        <w:t xml:space="preserve"> </w:t>
      </w:r>
      <w:r>
        <w:rPr>
          <w:color w:val="222222"/>
        </w:rPr>
        <w:t>of</w:t>
      </w:r>
      <w:r>
        <w:rPr>
          <w:color w:val="222222"/>
          <w:spacing w:val="-3"/>
        </w:rPr>
        <w:t xml:space="preserve"> </w:t>
      </w:r>
      <w:r>
        <w:rPr>
          <w:color w:val="222222"/>
        </w:rPr>
        <w:t>negative</w:t>
      </w:r>
      <w:r>
        <w:rPr>
          <w:color w:val="222222"/>
          <w:spacing w:val="-3"/>
        </w:rPr>
        <w:t xml:space="preserve"> </w:t>
      </w:r>
      <w:r>
        <w:rPr>
          <w:color w:val="222222"/>
        </w:rPr>
        <w:t>transfer</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lastRenderedPageBreak/>
        <w:t>introduction</w:t>
      </w:r>
      <w:r>
        <w:rPr>
          <w:color w:val="222222"/>
          <w:spacing w:val="-3"/>
        </w:rPr>
        <w:t xml:space="preserve"> </w:t>
      </w:r>
      <w:r>
        <w:rPr>
          <w:color w:val="222222"/>
        </w:rPr>
        <w:t>and potentially move it to the discussion or the results section when discussing what might be</w:t>
      </w:r>
      <w:r>
        <w:rPr>
          <w:color w:val="222222"/>
        </w:rPr>
        <w:t xml:space="preserve"> </w:t>
      </w:r>
      <w:r>
        <w:rPr>
          <w:color w:val="222222"/>
        </w:rPr>
        <w:t>causing</w:t>
      </w:r>
      <w:r>
        <w:rPr>
          <w:color w:val="222222"/>
          <w:spacing w:val="-3"/>
        </w:rPr>
        <w:t xml:space="preserve"> </w:t>
      </w:r>
      <w:r>
        <w:rPr>
          <w:color w:val="222222"/>
        </w:rPr>
        <w:t>lower</w:t>
      </w:r>
      <w:r>
        <w:rPr>
          <w:color w:val="222222"/>
          <w:spacing w:val="-3"/>
        </w:rPr>
        <w:t xml:space="preserve"> </w:t>
      </w:r>
      <w:r>
        <w:rPr>
          <w:color w:val="222222"/>
        </w:rPr>
        <w:t>performance.</w:t>
      </w:r>
      <w:r>
        <w:rPr>
          <w:color w:val="222222"/>
          <w:spacing w:val="-3"/>
        </w:rPr>
        <w:t xml:space="preserve"> </w:t>
      </w:r>
      <w:r>
        <w:rPr>
          <w:color w:val="222222"/>
        </w:rPr>
        <w:t>This</w:t>
      </w:r>
      <w:r>
        <w:rPr>
          <w:color w:val="222222"/>
          <w:spacing w:val="-3"/>
        </w:rPr>
        <w:t xml:space="preserve"> </w:t>
      </w:r>
      <w:r>
        <w:rPr>
          <w:color w:val="222222"/>
        </w:rPr>
        <w:t>speculation</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introduction</w:t>
      </w:r>
      <w:r>
        <w:rPr>
          <w:color w:val="222222"/>
          <w:spacing w:val="-3"/>
        </w:rPr>
        <w:t xml:space="preserve"> </w:t>
      </w:r>
      <w:r>
        <w:rPr>
          <w:color w:val="222222"/>
        </w:rPr>
        <w:t>is</w:t>
      </w:r>
      <w:r>
        <w:rPr>
          <w:color w:val="222222"/>
          <w:spacing w:val="-3"/>
        </w:rPr>
        <w:t xml:space="preserve"> </w:t>
      </w:r>
      <w:r>
        <w:rPr>
          <w:color w:val="222222"/>
        </w:rPr>
        <w:t>misleading</w:t>
      </w:r>
      <w:r>
        <w:rPr>
          <w:color w:val="222222"/>
          <w:spacing w:val="-3"/>
        </w:rPr>
        <w:t xml:space="preserve"> </w:t>
      </w:r>
      <w:r>
        <w:rPr>
          <w:color w:val="222222"/>
        </w:rPr>
        <w:t>since</w:t>
      </w:r>
      <w:r>
        <w:rPr>
          <w:color w:val="222222"/>
          <w:spacing w:val="-3"/>
        </w:rPr>
        <w:t xml:space="preserve"> </w:t>
      </w:r>
      <w:r>
        <w:rPr>
          <w:color w:val="222222"/>
        </w:rPr>
        <w:t>it's</w:t>
      </w:r>
      <w:r>
        <w:rPr>
          <w:color w:val="222222"/>
          <w:spacing w:val="-3"/>
        </w:rPr>
        <w:t xml:space="preserve"> </w:t>
      </w:r>
      <w:r>
        <w:rPr>
          <w:color w:val="222222"/>
        </w:rPr>
        <w:t>not</w:t>
      </w:r>
      <w:r>
        <w:rPr>
          <w:color w:val="222222"/>
          <w:spacing w:val="-3"/>
        </w:rPr>
        <w:t xml:space="preserve"> </w:t>
      </w:r>
      <w:r>
        <w:rPr>
          <w:color w:val="222222"/>
        </w:rPr>
        <w:t>really followed up or demonstrated in the paper.</w:t>
      </w:r>
    </w:p>
    <w:p w14:paraId="51CA4D1A" w14:textId="77777777" w:rsidR="00E211CC" w:rsidRDefault="00E211CC" w:rsidP="00E211CC">
      <w:pPr>
        <w:pStyle w:val="BodyText"/>
        <w:spacing w:line="276" w:lineRule="auto"/>
        <w:ind w:right="175"/>
      </w:pPr>
      <w:r>
        <w:rPr>
          <w:color w:val="4A86E8"/>
        </w:rPr>
        <w:t>We thank the reviewer for this insight and have altered this section of the introduction to address their concern. In particular, we have more broadly introduced how both negative transfer</w:t>
      </w:r>
      <w:r>
        <w:rPr>
          <w:color w:val="4A86E8"/>
          <w:spacing w:val="-4"/>
        </w:rPr>
        <w:t xml:space="preserve"> </w:t>
      </w:r>
      <w:r>
        <w:rPr>
          <w:color w:val="4A86E8"/>
        </w:rPr>
        <w:t>and</w:t>
      </w:r>
      <w:r>
        <w:rPr>
          <w:color w:val="4A86E8"/>
          <w:spacing w:val="-4"/>
        </w:rPr>
        <w:t xml:space="preserve"> </w:t>
      </w:r>
      <w:r>
        <w:rPr>
          <w:color w:val="4A86E8"/>
        </w:rPr>
        <w:t>limitations</w:t>
      </w:r>
      <w:r>
        <w:rPr>
          <w:color w:val="4A86E8"/>
          <w:spacing w:val="-3"/>
        </w:rPr>
        <w:t xml:space="preserve"> </w:t>
      </w:r>
      <w:r>
        <w:rPr>
          <w:color w:val="4A86E8"/>
        </w:rPr>
        <w:t>in</w:t>
      </w:r>
      <w:r>
        <w:rPr>
          <w:color w:val="4A86E8"/>
          <w:spacing w:val="-4"/>
        </w:rPr>
        <w:t xml:space="preserve"> </w:t>
      </w:r>
      <w:r>
        <w:rPr>
          <w:color w:val="4A86E8"/>
        </w:rPr>
        <w:t>model</w:t>
      </w:r>
      <w:r>
        <w:rPr>
          <w:color w:val="4A86E8"/>
          <w:spacing w:val="-4"/>
        </w:rPr>
        <w:t xml:space="preserve"> </w:t>
      </w:r>
      <w:r>
        <w:rPr>
          <w:color w:val="4A86E8"/>
        </w:rPr>
        <w:t>capacity</w:t>
      </w:r>
      <w:r>
        <w:rPr>
          <w:color w:val="4A86E8"/>
          <w:spacing w:val="-4"/>
        </w:rPr>
        <w:t xml:space="preserve"> </w:t>
      </w:r>
      <w:r>
        <w:rPr>
          <w:color w:val="4A86E8"/>
        </w:rPr>
        <w:t>could</w:t>
      </w:r>
      <w:r>
        <w:rPr>
          <w:color w:val="4A86E8"/>
          <w:spacing w:val="-4"/>
        </w:rPr>
        <w:t xml:space="preserve"> </w:t>
      </w:r>
      <w:r>
        <w:rPr>
          <w:color w:val="4A86E8"/>
        </w:rPr>
        <w:t>impact</w:t>
      </w:r>
      <w:r>
        <w:rPr>
          <w:color w:val="4A86E8"/>
          <w:spacing w:val="-4"/>
        </w:rPr>
        <w:t xml:space="preserve"> </w:t>
      </w:r>
      <w:r>
        <w:rPr>
          <w:color w:val="4A86E8"/>
        </w:rPr>
        <w:t>the</w:t>
      </w:r>
      <w:r>
        <w:rPr>
          <w:color w:val="4A86E8"/>
          <w:spacing w:val="-4"/>
        </w:rPr>
        <w:t xml:space="preserve"> </w:t>
      </w:r>
      <w:r>
        <w:rPr>
          <w:color w:val="4A86E8"/>
        </w:rPr>
        <w:t>performance</w:t>
      </w:r>
      <w:r>
        <w:rPr>
          <w:color w:val="4A86E8"/>
          <w:spacing w:val="-4"/>
        </w:rPr>
        <w:t xml:space="preserve"> </w:t>
      </w:r>
      <w:r>
        <w:rPr>
          <w:color w:val="4A86E8"/>
        </w:rPr>
        <w:t>of</w:t>
      </w:r>
      <w:r>
        <w:rPr>
          <w:color w:val="4A86E8"/>
          <w:spacing w:val="-4"/>
        </w:rPr>
        <w:t xml:space="preserve"> </w:t>
      </w:r>
      <w:r>
        <w:rPr>
          <w:color w:val="4A86E8"/>
        </w:rPr>
        <w:t>multi-task</w:t>
      </w:r>
      <w:r>
        <w:rPr>
          <w:color w:val="4A86E8"/>
          <w:spacing w:val="-4"/>
        </w:rPr>
        <w:t xml:space="preserve"> </w:t>
      </w:r>
      <w:r>
        <w:rPr>
          <w:color w:val="4A86E8"/>
        </w:rPr>
        <w:t>models, and how our evaluation strategy can evaluate the impact of both of these phenomena.</w:t>
      </w:r>
    </w:p>
    <w:p w14:paraId="58FCBDE7" w14:textId="77777777" w:rsidR="00E211CC" w:rsidRDefault="00E211CC" w:rsidP="00E211CC">
      <w:pPr>
        <w:pStyle w:val="BodyText"/>
        <w:spacing w:before="31"/>
        <w:ind w:left="0"/>
      </w:pPr>
    </w:p>
    <w:p w14:paraId="730E307D" w14:textId="77777777" w:rsidR="00E211CC" w:rsidRDefault="00E211CC" w:rsidP="00E211CC">
      <w:pPr>
        <w:pStyle w:val="ListParagraph"/>
        <w:widowControl w:val="0"/>
        <w:numPr>
          <w:ilvl w:val="0"/>
          <w:numId w:val="10"/>
        </w:numPr>
        <w:tabs>
          <w:tab w:val="left" w:pos="343"/>
        </w:tabs>
        <w:autoSpaceDE w:val="0"/>
        <w:autoSpaceDN w:val="0"/>
        <w:spacing w:after="0" w:line="276" w:lineRule="auto"/>
        <w:ind w:left="100" w:right="174" w:firstLine="0"/>
        <w:contextualSpacing w:val="0"/>
      </w:pPr>
      <w:r>
        <w:rPr>
          <w:color w:val="222222"/>
        </w:rPr>
        <w:t>In Figure 2: the x axis is of panel A is divided into High/Low cell type specificity. However, figure</w:t>
      </w:r>
      <w:r>
        <w:rPr>
          <w:color w:val="222222"/>
          <w:spacing w:val="-2"/>
        </w:rPr>
        <w:t xml:space="preserve"> </w:t>
      </w:r>
      <w:r>
        <w:rPr>
          <w:color w:val="222222"/>
        </w:rPr>
        <w:t>B</w:t>
      </w:r>
      <w:r>
        <w:rPr>
          <w:color w:val="222222"/>
          <w:spacing w:val="-2"/>
        </w:rPr>
        <w:t xml:space="preserve"> </w:t>
      </w:r>
      <w:r>
        <w:rPr>
          <w:color w:val="222222"/>
        </w:rPr>
        <w:t>is</w:t>
      </w:r>
      <w:r>
        <w:rPr>
          <w:color w:val="222222"/>
          <w:spacing w:val="-2"/>
        </w:rPr>
        <w:t xml:space="preserve"> </w:t>
      </w:r>
      <w:r>
        <w:rPr>
          <w:color w:val="222222"/>
        </w:rPr>
        <w:t>stratified</w:t>
      </w:r>
      <w:r>
        <w:rPr>
          <w:color w:val="222222"/>
          <w:spacing w:val="-2"/>
        </w:rPr>
        <w:t xml:space="preserve"> </w:t>
      </w:r>
      <w:r>
        <w:rPr>
          <w:color w:val="222222"/>
        </w:rPr>
        <w:t>by</w:t>
      </w:r>
      <w:r>
        <w:rPr>
          <w:color w:val="222222"/>
          <w:spacing w:val="-2"/>
        </w:rPr>
        <w:t xml:space="preserve"> </w:t>
      </w:r>
      <w:r>
        <w:rPr>
          <w:color w:val="222222"/>
        </w:rPr>
        <w:t>the</w:t>
      </w:r>
      <w:r>
        <w:rPr>
          <w:color w:val="222222"/>
          <w:spacing w:val="-2"/>
        </w:rPr>
        <w:t xml:space="preserve"> </w:t>
      </w:r>
      <w:r>
        <w:rPr>
          <w:color w:val="222222"/>
        </w:rPr>
        <w:t>number</w:t>
      </w:r>
      <w:r>
        <w:rPr>
          <w:color w:val="222222"/>
          <w:spacing w:val="-2"/>
        </w:rPr>
        <w:t xml:space="preserve"> </w:t>
      </w:r>
      <w:r>
        <w:rPr>
          <w:color w:val="222222"/>
        </w:rPr>
        <w:t>of</w:t>
      </w:r>
      <w:r>
        <w:rPr>
          <w:color w:val="222222"/>
          <w:spacing w:val="-2"/>
        </w:rPr>
        <w:t xml:space="preserve"> </w:t>
      </w:r>
      <w:r>
        <w:rPr>
          <w:color w:val="222222"/>
        </w:rPr>
        <w:t>cell</w:t>
      </w:r>
      <w:r>
        <w:rPr>
          <w:color w:val="222222"/>
          <w:spacing w:val="-2"/>
        </w:rPr>
        <w:t xml:space="preserve"> </w:t>
      </w:r>
      <w:r>
        <w:rPr>
          <w:color w:val="222222"/>
        </w:rPr>
        <w:t>types</w:t>
      </w:r>
      <w:r>
        <w:rPr>
          <w:color w:val="222222"/>
          <w:spacing w:val="-2"/>
        </w:rPr>
        <w:t xml:space="preserve"> </w:t>
      </w:r>
      <w:r>
        <w:rPr>
          <w:color w:val="222222"/>
        </w:rPr>
        <w:t>with</w:t>
      </w:r>
      <w:r>
        <w:rPr>
          <w:color w:val="222222"/>
          <w:spacing w:val="-2"/>
        </w:rPr>
        <w:t xml:space="preserve"> </w:t>
      </w:r>
      <w:r>
        <w:rPr>
          <w:color w:val="222222"/>
        </w:rPr>
        <w:t>a</w:t>
      </w:r>
      <w:r>
        <w:rPr>
          <w:color w:val="222222"/>
          <w:spacing w:val="-2"/>
        </w:rPr>
        <w:t xml:space="preserve"> </w:t>
      </w:r>
      <w:r>
        <w:rPr>
          <w:color w:val="222222"/>
        </w:rPr>
        <w:t>peak.</w:t>
      </w:r>
      <w:r>
        <w:rPr>
          <w:color w:val="222222"/>
          <w:spacing w:val="-2"/>
        </w:rPr>
        <w:t xml:space="preserve"> </w:t>
      </w:r>
      <w:r>
        <w:rPr>
          <w:color w:val="222222"/>
        </w:rPr>
        <w:t>Is</w:t>
      </w:r>
      <w:r>
        <w:rPr>
          <w:color w:val="222222"/>
          <w:spacing w:val="-2"/>
        </w:rPr>
        <w:t xml:space="preserve"> </w:t>
      </w:r>
      <w:r>
        <w:rPr>
          <w:color w:val="222222"/>
        </w:rPr>
        <w:t>it</w:t>
      </w:r>
      <w:r>
        <w:rPr>
          <w:color w:val="222222"/>
          <w:spacing w:val="-2"/>
        </w:rPr>
        <w:t xml:space="preserve"> </w:t>
      </w:r>
      <w:r>
        <w:rPr>
          <w:color w:val="222222"/>
        </w:rPr>
        <w:t>possible</w:t>
      </w:r>
      <w:r>
        <w:rPr>
          <w:color w:val="222222"/>
          <w:spacing w:val="-2"/>
        </w:rPr>
        <w:t xml:space="preserve"> </w:t>
      </w:r>
      <w:r>
        <w:rPr>
          <w:color w:val="222222"/>
        </w:rPr>
        <w:t>to</w:t>
      </w:r>
      <w:r>
        <w:rPr>
          <w:color w:val="222222"/>
          <w:spacing w:val="-2"/>
        </w:rPr>
        <w:t xml:space="preserve"> </w:t>
      </w:r>
      <w:r>
        <w:rPr>
          <w:color w:val="222222"/>
        </w:rPr>
        <w:t>use</w:t>
      </w:r>
      <w:r>
        <w:rPr>
          <w:color w:val="222222"/>
          <w:spacing w:val="-2"/>
        </w:rPr>
        <w:t xml:space="preserve"> </w:t>
      </w:r>
      <w:r>
        <w:rPr>
          <w:color w:val="222222"/>
        </w:rPr>
        <w:t>the</w:t>
      </w:r>
      <w:r>
        <w:rPr>
          <w:color w:val="222222"/>
          <w:spacing w:val="-2"/>
        </w:rPr>
        <w:t xml:space="preserve"> </w:t>
      </w:r>
      <w:r>
        <w:rPr>
          <w:color w:val="222222"/>
        </w:rPr>
        <w:t>exact</w:t>
      </w:r>
      <w:r>
        <w:rPr>
          <w:color w:val="222222"/>
          <w:spacing w:val="-2"/>
        </w:rPr>
        <w:t xml:space="preserve"> </w:t>
      </w:r>
      <w:r>
        <w:rPr>
          <w:color w:val="222222"/>
        </w:rPr>
        <w:t>same set to evaluate the performance of the model in Figure 2B and S2 as well?</w:t>
      </w:r>
    </w:p>
    <w:p w14:paraId="026728FE" w14:textId="77777777" w:rsidR="00E211CC" w:rsidRDefault="00E211CC" w:rsidP="00E211CC">
      <w:pPr>
        <w:pStyle w:val="BodyText"/>
        <w:spacing w:before="1" w:line="276" w:lineRule="auto"/>
      </w:pPr>
      <w:r>
        <w:rPr>
          <w:color w:val="4A86E8"/>
        </w:rPr>
        <w:t>Below,</w:t>
      </w:r>
      <w:r>
        <w:rPr>
          <w:color w:val="4A86E8"/>
          <w:spacing w:val="-3"/>
        </w:rPr>
        <w:t xml:space="preserve"> </w:t>
      </w:r>
      <w:r>
        <w:rPr>
          <w:color w:val="4A86E8"/>
        </w:rPr>
        <w:t>we</w:t>
      </w:r>
      <w:r>
        <w:rPr>
          <w:color w:val="4A86E8"/>
          <w:spacing w:val="-3"/>
        </w:rPr>
        <w:t xml:space="preserve"> </w:t>
      </w:r>
      <w:r>
        <w:rPr>
          <w:color w:val="4A86E8"/>
        </w:rPr>
        <w:t>show</w:t>
      </w:r>
      <w:r>
        <w:rPr>
          <w:color w:val="4A86E8"/>
          <w:spacing w:val="-3"/>
        </w:rPr>
        <w:t xml:space="preserve"> </w:t>
      </w:r>
      <w:r>
        <w:rPr>
          <w:color w:val="4A86E8"/>
        </w:rPr>
        <w:t>the</w:t>
      </w:r>
      <w:r>
        <w:rPr>
          <w:color w:val="4A86E8"/>
          <w:spacing w:val="-3"/>
        </w:rPr>
        <w:t xml:space="preserve"> </w:t>
      </w:r>
      <w:r>
        <w:rPr>
          <w:color w:val="4A86E8"/>
        </w:rPr>
        <w:t>results</w:t>
      </w:r>
      <w:r>
        <w:rPr>
          <w:color w:val="4A86E8"/>
          <w:spacing w:val="-3"/>
        </w:rPr>
        <w:t xml:space="preserve"> </w:t>
      </w:r>
      <w:r>
        <w:rPr>
          <w:color w:val="4A86E8"/>
        </w:rPr>
        <w:t>of</w:t>
      </w:r>
      <w:r>
        <w:rPr>
          <w:color w:val="4A86E8"/>
          <w:spacing w:val="-3"/>
        </w:rPr>
        <w:t xml:space="preserve"> </w:t>
      </w:r>
      <w:r>
        <w:rPr>
          <w:color w:val="4A86E8"/>
        </w:rPr>
        <w:t>redoing</w:t>
      </w:r>
      <w:r>
        <w:rPr>
          <w:color w:val="4A86E8"/>
          <w:spacing w:val="-3"/>
        </w:rPr>
        <w:t xml:space="preserve"> </w:t>
      </w:r>
      <w:r>
        <w:rPr>
          <w:color w:val="4A86E8"/>
        </w:rPr>
        <w:t>the</w:t>
      </w:r>
      <w:r>
        <w:rPr>
          <w:color w:val="4A86E8"/>
          <w:spacing w:val="-3"/>
        </w:rPr>
        <w:t xml:space="preserve"> </w:t>
      </w:r>
      <w:r>
        <w:rPr>
          <w:color w:val="4A86E8"/>
        </w:rPr>
        <w:t>analysis</w:t>
      </w:r>
      <w:r>
        <w:rPr>
          <w:color w:val="4A86E8"/>
          <w:spacing w:val="-3"/>
        </w:rPr>
        <w:t xml:space="preserve"> </w:t>
      </w:r>
      <w:r>
        <w:rPr>
          <w:color w:val="4A86E8"/>
        </w:rPr>
        <w:t>in</w:t>
      </w:r>
      <w:r>
        <w:rPr>
          <w:color w:val="4A86E8"/>
          <w:spacing w:val="-3"/>
        </w:rPr>
        <w:t xml:space="preserve"> </w:t>
      </w:r>
      <w:r>
        <w:rPr>
          <w:color w:val="4A86E8"/>
        </w:rPr>
        <w:t>Figure</w:t>
      </w:r>
      <w:r>
        <w:rPr>
          <w:color w:val="4A86E8"/>
          <w:spacing w:val="-3"/>
        </w:rPr>
        <w:t xml:space="preserve"> </w:t>
      </w:r>
      <w:r>
        <w:rPr>
          <w:color w:val="4A86E8"/>
        </w:rPr>
        <w:t>2B</w:t>
      </w:r>
      <w:r>
        <w:rPr>
          <w:color w:val="4A86E8"/>
          <w:spacing w:val="-3"/>
        </w:rPr>
        <w:t xml:space="preserve"> </w:t>
      </w:r>
      <w:r>
        <w:rPr>
          <w:color w:val="4A86E8"/>
        </w:rPr>
        <w:t>using</w:t>
      </w:r>
      <w:r>
        <w:rPr>
          <w:color w:val="4A86E8"/>
          <w:spacing w:val="-3"/>
        </w:rPr>
        <w:t xml:space="preserve"> </w:t>
      </w:r>
      <w:r>
        <w:rPr>
          <w:color w:val="4A86E8"/>
        </w:rPr>
        <w:t>the</w:t>
      </w:r>
      <w:r>
        <w:rPr>
          <w:color w:val="4A86E8"/>
          <w:spacing w:val="-3"/>
        </w:rPr>
        <w:t xml:space="preserve"> </w:t>
      </w:r>
      <w:r>
        <w:rPr>
          <w:color w:val="4A86E8"/>
        </w:rPr>
        <w:t>exact</w:t>
      </w:r>
      <w:r>
        <w:rPr>
          <w:color w:val="4A86E8"/>
          <w:spacing w:val="-3"/>
        </w:rPr>
        <w:t xml:space="preserve"> </w:t>
      </w:r>
      <w:r>
        <w:rPr>
          <w:color w:val="4A86E8"/>
        </w:rPr>
        <w:t>same</w:t>
      </w:r>
      <w:r>
        <w:rPr>
          <w:color w:val="4A86E8"/>
          <w:spacing w:val="-5"/>
        </w:rPr>
        <w:t xml:space="preserve"> </w:t>
      </w:r>
      <w:r>
        <w:rPr>
          <w:color w:val="4A86E8"/>
        </w:rPr>
        <w:t>data</w:t>
      </w:r>
      <w:r>
        <w:rPr>
          <w:color w:val="4A86E8"/>
          <w:spacing w:val="-3"/>
        </w:rPr>
        <w:t xml:space="preserve"> </w:t>
      </w:r>
      <w:r>
        <w:rPr>
          <w:color w:val="4A86E8"/>
        </w:rPr>
        <w:t>splits used in Figure 2A. These results support the conclusions drawn from Figure 2B, that Enformer performance is worse on high cell type specificity peaks compared to low cell type specificity peaks. We have chosen not to add this additional figure to the paper as we believe it conveys similar information to what is already shown in Figure 2.</w:t>
      </w:r>
    </w:p>
    <w:p w14:paraId="4A9C5C3C" w14:textId="07FD1DA1" w:rsidR="00E211CC" w:rsidRDefault="00E211CC" w:rsidP="00E211CC">
      <w:pPr>
        <w:pStyle w:val="BodyText"/>
        <w:spacing w:before="104"/>
        <w:ind w:left="0"/>
        <w:rPr>
          <w:sz w:val="20"/>
        </w:rPr>
      </w:pPr>
      <w:r>
        <w:rPr>
          <w:noProof/>
        </w:rPr>
        <w:drawing>
          <wp:anchor distT="0" distB="0" distL="0" distR="0" simplePos="0" relativeHeight="251668480" behindDoc="1" locked="0" layoutInCell="1" allowOverlap="1" wp14:anchorId="2FDCD6B9" wp14:editId="1C19ED2A">
            <wp:simplePos x="0" y="0"/>
            <wp:positionH relativeFrom="page">
              <wp:posOffset>960755</wp:posOffset>
            </wp:positionH>
            <wp:positionV relativeFrom="paragraph">
              <wp:posOffset>227330</wp:posOffset>
            </wp:positionV>
            <wp:extent cx="2571750" cy="1929130"/>
            <wp:effectExtent l="0" t="0" r="0" b="0"/>
            <wp:wrapTopAndBottom/>
            <wp:docPr id="1082869048" name="Picture 2" descr="A diagram of different types of cell ty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869048" name="Picture 2" descr="A diagram of different types of cell type&#10;&#10;Description automatically generated"/>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0" cy="1929130"/>
                    </a:xfrm>
                    <a:prstGeom prst="rect">
                      <a:avLst/>
                    </a:prstGeom>
                    <a:noFill/>
                  </pic:spPr>
                </pic:pic>
              </a:graphicData>
            </a:graphic>
            <wp14:sizeRelH relativeFrom="page">
              <wp14:pctWidth>0</wp14:pctWidth>
            </wp14:sizeRelH>
            <wp14:sizeRelV relativeFrom="page">
              <wp14:pctHeight>0</wp14:pctHeight>
            </wp14:sizeRelV>
          </wp:anchor>
        </w:drawing>
      </w:r>
    </w:p>
    <w:p w14:paraId="6B8B39F8" w14:textId="77777777" w:rsidR="00E211CC" w:rsidRDefault="00E211CC" w:rsidP="00E211CC">
      <w:pPr>
        <w:pStyle w:val="BodyText"/>
        <w:ind w:left="0"/>
      </w:pPr>
    </w:p>
    <w:p w14:paraId="573BDD92" w14:textId="77777777" w:rsidR="00E211CC" w:rsidRDefault="00E211CC" w:rsidP="00E211CC">
      <w:pPr>
        <w:pStyle w:val="BodyText"/>
        <w:spacing w:before="211"/>
        <w:ind w:left="0"/>
      </w:pPr>
    </w:p>
    <w:p w14:paraId="2EB01B42" w14:textId="77777777" w:rsidR="00E211CC" w:rsidRDefault="00E211CC" w:rsidP="00E211CC">
      <w:pPr>
        <w:pStyle w:val="ListParagraph"/>
        <w:widowControl w:val="0"/>
        <w:numPr>
          <w:ilvl w:val="0"/>
          <w:numId w:val="10"/>
        </w:numPr>
        <w:tabs>
          <w:tab w:val="left" w:pos="343"/>
        </w:tabs>
        <w:autoSpaceDE w:val="0"/>
        <w:autoSpaceDN w:val="0"/>
        <w:spacing w:after="0" w:line="276" w:lineRule="auto"/>
        <w:ind w:left="100" w:right="565" w:firstLine="0"/>
        <w:contextualSpacing w:val="0"/>
      </w:pPr>
      <w:r>
        <w:rPr>
          <w:color w:val="222222"/>
        </w:rPr>
        <w:t>Figure</w:t>
      </w:r>
      <w:r>
        <w:rPr>
          <w:color w:val="222222"/>
          <w:spacing w:val="-3"/>
        </w:rPr>
        <w:t xml:space="preserve"> </w:t>
      </w:r>
      <w:r>
        <w:rPr>
          <w:color w:val="222222"/>
        </w:rPr>
        <w:t>S19</w:t>
      </w:r>
      <w:r>
        <w:rPr>
          <w:color w:val="222222"/>
          <w:spacing w:val="-3"/>
        </w:rPr>
        <w:t xml:space="preserve"> </w:t>
      </w:r>
      <w:r>
        <w:rPr>
          <w:color w:val="222222"/>
        </w:rPr>
        <w:t>should</w:t>
      </w:r>
      <w:r>
        <w:rPr>
          <w:color w:val="222222"/>
          <w:spacing w:val="-3"/>
        </w:rPr>
        <w:t xml:space="preserve"> </w:t>
      </w:r>
      <w:r>
        <w:rPr>
          <w:color w:val="222222"/>
        </w:rPr>
        <w:t>be</w:t>
      </w:r>
      <w:r>
        <w:rPr>
          <w:color w:val="222222"/>
          <w:spacing w:val="-3"/>
        </w:rPr>
        <w:t xml:space="preserve"> </w:t>
      </w:r>
      <w:r>
        <w:rPr>
          <w:color w:val="222222"/>
        </w:rPr>
        <w:t>shown</w:t>
      </w:r>
      <w:r>
        <w:rPr>
          <w:color w:val="222222"/>
          <w:spacing w:val="-3"/>
        </w:rPr>
        <w:t xml:space="preserve"> </w:t>
      </w:r>
      <w:r>
        <w:rPr>
          <w:color w:val="222222"/>
        </w:rPr>
        <w:t>as</w:t>
      </w:r>
      <w:r>
        <w:rPr>
          <w:color w:val="222222"/>
          <w:spacing w:val="-3"/>
        </w:rPr>
        <w:t xml:space="preserve"> </w:t>
      </w:r>
      <w:r>
        <w:rPr>
          <w:color w:val="222222"/>
        </w:rPr>
        <w:t>Figure</w:t>
      </w:r>
      <w:r>
        <w:rPr>
          <w:color w:val="222222"/>
          <w:spacing w:val="-3"/>
        </w:rPr>
        <w:t xml:space="preserve"> </w:t>
      </w:r>
      <w:r>
        <w:rPr>
          <w:color w:val="222222"/>
        </w:rPr>
        <w:t>4C.</w:t>
      </w:r>
      <w:r>
        <w:rPr>
          <w:color w:val="222222"/>
          <w:spacing w:val="-3"/>
        </w:rPr>
        <w:t xml:space="preserve"> </w:t>
      </w:r>
      <w:r>
        <w:rPr>
          <w:color w:val="222222"/>
        </w:rPr>
        <w:t>It</w:t>
      </w:r>
      <w:r>
        <w:rPr>
          <w:color w:val="222222"/>
          <w:spacing w:val="-3"/>
        </w:rPr>
        <w:t xml:space="preserve"> </w:t>
      </w:r>
      <w:r>
        <w:rPr>
          <w:color w:val="222222"/>
        </w:rPr>
        <w:t>contains</w:t>
      </w:r>
      <w:r>
        <w:rPr>
          <w:color w:val="222222"/>
          <w:spacing w:val="-3"/>
        </w:rPr>
        <w:t xml:space="preserve"> </w:t>
      </w:r>
      <w:r>
        <w:rPr>
          <w:color w:val="222222"/>
        </w:rPr>
        <w:t>one</w:t>
      </w:r>
      <w:r>
        <w:rPr>
          <w:color w:val="222222"/>
          <w:spacing w:val="-3"/>
        </w:rPr>
        <w:t xml:space="preserve"> </w:t>
      </w:r>
      <w:r>
        <w:rPr>
          <w:color w:val="222222"/>
        </w:rPr>
        <w:t>extra</w:t>
      </w:r>
      <w:r>
        <w:rPr>
          <w:color w:val="222222"/>
          <w:spacing w:val="-3"/>
        </w:rPr>
        <w:t xml:space="preserve"> </w:t>
      </w:r>
      <w:r>
        <w:rPr>
          <w:color w:val="222222"/>
        </w:rPr>
        <w:t>bar</w:t>
      </w:r>
      <w:r>
        <w:rPr>
          <w:color w:val="222222"/>
          <w:spacing w:val="-3"/>
        </w:rPr>
        <w:t xml:space="preserve"> </w:t>
      </w:r>
      <w:r>
        <w:rPr>
          <w:color w:val="222222"/>
        </w:rPr>
        <w:t>plot</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figure</w:t>
      </w:r>
      <w:r>
        <w:rPr>
          <w:color w:val="222222"/>
          <w:spacing w:val="-3"/>
        </w:rPr>
        <w:t xml:space="preserve"> </w:t>
      </w:r>
      <w:r>
        <w:rPr>
          <w:color w:val="222222"/>
        </w:rPr>
        <w:t>and puts the single task training process into perspective of alternative methods.</w:t>
      </w:r>
    </w:p>
    <w:p w14:paraId="35127810" w14:textId="77777777" w:rsidR="00E211CC" w:rsidRDefault="00E211CC" w:rsidP="00E211CC">
      <w:pPr>
        <w:pStyle w:val="BodyText"/>
        <w:spacing w:line="276" w:lineRule="auto"/>
        <w:ind w:right="160"/>
      </w:pPr>
      <w:r>
        <w:rPr>
          <w:color w:val="4A86E8"/>
        </w:rPr>
        <w:t>We appreciate the reviewer’s perspective. The main point conveyed in Figure 4 is how different methods for training on the same dataset (i.e. single-task versus multi-task learning) affect performance in cell type specific peaks. The comparison to Enformer, which has a much larger architecture and trains on many more datasets, makes a separate and unrelated point. Since we</w:t>
      </w:r>
      <w:r>
        <w:rPr>
          <w:color w:val="4A86E8"/>
          <w:spacing w:val="-3"/>
        </w:rPr>
        <w:t xml:space="preserve"> </w:t>
      </w:r>
      <w:r>
        <w:rPr>
          <w:color w:val="4A86E8"/>
        </w:rPr>
        <w:t>believe</w:t>
      </w:r>
      <w:r>
        <w:rPr>
          <w:color w:val="4A86E8"/>
          <w:spacing w:val="-3"/>
        </w:rPr>
        <w:t xml:space="preserve"> </w:t>
      </w:r>
      <w:r>
        <w:rPr>
          <w:color w:val="4A86E8"/>
        </w:rPr>
        <w:t>the</w:t>
      </w:r>
      <w:r>
        <w:rPr>
          <w:color w:val="4A86E8"/>
          <w:spacing w:val="-3"/>
        </w:rPr>
        <w:t xml:space="preserve"> </w:t>
      </w:r>
      <w:r>
        <w:rPr>
          <w:color w:val="4A86E8"/>
        </w:rPr>
        <w:t>Enformer</w:t>
      </w:r>
      <w:r>
        <w:rPr>
          <w:color w:val="4A86E8"/>
          <w:spacing w:val="-3"/>
        </w:rPr>
        <w:t xml:space="preserve"> </w:t>
      </w:r>
      <w:r>
        <w:rPr>
          <w:color w:val="4A86E8"/>
        </w:rPr>
        <w:t>comparison</w:t>
      </w:r>
      <w:r>
        <w:rPr>
          <w:color w:val="4A86E8"/>
          <w:spacing w:val="-3"/>
        </w:rPr>
        <w:t xml:space="preserve"> </w:t>
      </w:r>
      <w:r>
        <w:rPr>
          <w:color w:val="4A86E8"/>
        </w:rPr>
        <w:t>does</w:t>
      </w:r>
      <w:r>
        <w:rPr>
          <w:color w:val="4A86E8"/>
          <w:spacing w:val="-3"/>
        </w:rPr>
        <w:t xml:space="preserve"> </w:t>
      </w:r>
      <w:r>
        <w:rPr>
          <w:color w:val="4A86E8"/>
        </w:rPr>
        <w:t>not</w:t>
      </w:r>
      <w:r>
        <w:rPr>
          <w:color w:val="4A86E8"/>
          <w:spacing w:val="-3"/>
        </w:rPr>
        <w:t xml:space="preserve"> </w:t>
      </w:r>
      <w:r>
        <w:rPr>
          <w:color w:val="4A86E8"/>
        </w:rPr>
        <w:t>meaningfully</w:t>
      </w:r>
      <w:r>
        <w:rPr>
          <w:color w:val="4A86E8"/>
          <w:spacing w:val="-3"/>
        </w:rPr>
        <w:t xml:space="preserve"> </w:t>
      </w:r>
      <w:r>
        <w:rPr>
          <w:color w:val="4A86E8"/>
        </w:rPr>
        <w:t>contribute</w:t>
      </w:r>
      <w:r>
        <w:rPr>
          <w:color w:val="4A86E8"/>
          <w:spacing w:val="-3"/>
        </w:rPr>
        <w:t xml:space="preserve"> </w:t>
      </w:r>
      <w:r>
        <w:rPr>
          <w:color w:val="4A86E8"/>
        </w:rPr>
        <w:t>to</w:t>
      </w:r>
      <w:r>
        <w:rPr>
          <w:color w:val="4A86E8"/>
          <w:spacing w:val="-3"/>
        </w:rPr>
        <w:t xml:space="preserve"> </w:t>
      </w:r>
      <w:r>
        <w:rPr>
          <w:color w:val="4A86E8"/>
        </w:rPr>
        <w:t>the</w:t>
      </w:r>
      <w:r>
        <w:rPr>
          <w:color w:val="4A86E8"/>
          <w:spacing w:val="-3"/>
        </w:rPr>
        <w:t xml:space="preserve"> </w:t>
      </w:r>
      <w:r>
        <w:rPr>
          <w:color w:val="4A86E8"/>
        </w:rPr>
        <w:t>message</w:t>
      </w:r>
      <w:r>
        <w:rPr>
          <w:color w:val="4A86E8"/>
          <w:spacing w:val="-3"/>
        </w:rPr>
        <w:t xml:space="preserve"> </w:t>
      </w:r>
      <w:r>
        <w:rPr>
          <w:color w:val="4A86E8"/>
        </w:rPr>
        <w:t>of</w:t>
      </w:r>
      <w:r>
        <w:rPr>
          <w:color w:val="4A86E8"/>
          <w:spacing w:val="-3"/>
        </w:rPr>
        <w:t xml:space="preserve"> </w:t>
      </w:r>
      <w:r>
        <w:rPr>
          <w:color w:val="4A86E8"/>
        </w:rPr>
        <w:t>Figure 4, we have left it in Fig. S19 and clarified the discussion of this comparison in the main text.</w:t>
      </w:r>
    </w:p>
    <w:p w14:paraId="2094C36C" w14:textId="77777777" w:rsidR="00E211CC" w:rsidRDefault="00E211CC" w:rsidP="00E211CC">
      <w:pPr>
        <w:pStyle w:val="BodyText"/>
        <w:spacing w:before="30"/>
        <w:ind w:left="0"/>
      </w:pPr>
    </w:p>
    <w:p w14:paraId="0619D643" w14:textId="77777777" w:rsidR="00E211CC" w:rsidRDefault="00E211CC" w:rsidP="00E211CC">
      <w:pPr>
        <w:pStyle w:val="Heading1"/>
      </w:pPr>
      <w:r>
        <w:rPr>
          <w:color w:val="222222"/>
        </w:rPr>
        <w:t>Reviewer</w:t>
      </w:r>
      <w:r>
        <w:rPr>
          <w:color w:val="222222"/>
          <w:spacing w:val="-8"/>
        </w:rPr>
        <w:t xml:space="preserve"> </w:t>
      </w:r>
      <w:r>
        <w:rPr>
          <w:color w:val="222222"/>
          <w:spacing w:val="-5"/>
        </w:rPr>
        <w:t>#3:</w:t>
      </w:r>
    </w:p>
    <w:p w14:paraId="283D7B85" w14:textId="77777777" w:rsidR="00E211CC" w:rsidRDefault="00E211CC" w:rsidP="00E211CC">
      <w:pPr>
        <w:pStyle w:val="BodyText"/>
        <w:spacing w:before="40"/>
      </w:pPr>
      <w:r>
        <w:rPr>
          <w:color w:val="222222"/>
        </w:rPr>
        <w:t>The</w:t>
      </w:r>
      <w:r>
        <w:rPr>
          <w:color w:val="222222"/>
          <w:spacing w:val="-7"/>
        </w:rPr>
        <w:t xml:space="preserve"> </w:t>
      </w:r>
      <w:r>
        <w:rPr>
          <w:color w:val="222222"/>
        </w:rPr>
        <w:t>authors</w:t>
      </w:r>
      <w:r>
        <w:rPr>
          <w:color w:val="222222"/>
          <w:spacing w:val="-5"/>
        </w:rPr>
        <w:t xml:space="preserve"> </w:t>
      </w:r>
      <w:r>
        <w:rPr>
          <w:color w:val="222222"/>
        </w:rPr>
        <w:t>have</w:t>
      </w:r>
      <w:r>
        <w:rPr>
          <w:color w:val="222222"/>
          <w:spacing w:val="-5"/>
        </w:rPr>
        <w:t xml:space="preserve"> </w:t>
      </w:r>
      <w:r>
        <w:rPr>
          <w:color w:val="222222"/>
        </w:rPr>
        <w:t>addressed</w:t>
      </w:r>
      <w:r>
        <w:rPr>
          <w:color w:val="222222"/>
          <w:spacing w:val="-5"/>
        </w:rPr>
        <w:t xml:space="preserve"> </w:t>
      </w:r>
      <w:r>
        <w:rPr>
          <w:color w:val="222222"/>
        </w:rPr>
        <w:t>my</w:t>
      </w:r>
      <w:r>
        <w:rPr>
          <w:color w:val="222222"/>
          <w:spacing w:val="-5"/>
        </w:rPr>
        <w:t xml:space="preserve"> </w:t>
      </w:r>
      <w:r>
        <w:rPr>
          <w:color w:val="222222"/>
        </w:rPr>
        <w:t>previous</w:t>
      </w:r>
      <w:r>
        <w:rPr>
          <w:color w:val="222222"/>
          <w:spacing w:val="-5"/>
        </w:rPr>
        <w:t xml:space="preserve"> </w:t>
      </w:r>
      <w:r>
        <w:rPr>
          <w:color w:val="222222"/>
        </w:rPr>
        <w:t>concerns.</w:t>
      </w:r>
      <w:r>
        <w:rPr>
          <w:color w:val="222222"/>
          <w:spacing w:val="-5"/>
        </w:rPr>
        <w:t xml:space="preserve"> </w:t>
      </w:r>
      <w:r>
        <w:rPr>
          <w:color w:val="222222"/>
        </w:rPr>
        <w:t>I</w:t>
      </w:r>
      <w:r>
        <w:rPr>
          <w:color w:val="222222"/>
          <w:spacing w:val="-5"/>
        </w:rPr>
        <w:t xml:space="preserve"> </w:t>
      </w:r>
      <w:r>
        <w:rPr>
          <w:color w:val="222222"/>
        </w:rPr>
        <w:t>thank</w:t>
      </w:r>
      <w:r>
        <w:rPr>
          <w:color w:val="222222"/>
          <w:spacing w:val="-5"/>
        </w:rPr>
        <w:t xml:space="preserve"> </w:t>
      </w:r>
      <w:r>
        <w:rPr>
          <w:color w:val="222222"/>
        </w:rPr>
        <w:t>the</w:t>
      </w:r>
      <w:r>
        <w:rPr>
          <w:color w:val="222222"/>
          <w:spacing w:val="-5"/>
        </w:rPr>
        <w:t xml:space="preserve"> </w:t>
      </w:r>
      <w:r>
        <w:rPr>
          <w:color w:val="222222"/>
        </w:rPr>
        <w:t>authors</w:t>
      </w:r>
      <w:r>
        <w:rPr>
          <w:color w:val="222222"/>
          <w:spacing w:val="-5"/>
        </w:rPr>
        <w:t xml:space="preserve"> </w:t>
      </w:r>
      <w:r>
        <w:rPr>
          <w:color w:val="222222"/>
        </w:rPr>
        <w:t>for</w:t>
      </w:r>
      <w:r>
        <w:rPr>
          <w:color w:val="222222"/>
          <w:spacing w:val="-5"/>
        </w:rPr>
        <w:t xml:space="preserve"> </w:t>
      </w:r>
      <w:r>
        <w:rPr>
          <w:color w:val="222222"/>
        </w:rPr>
        <w:t>the</w:t>
      </w:r>
      <w:r>
        <w:rPr>
          <w:color w:val="222222"/>
          <w:spacing w:val="-4"/>
        </w:rPr>
        <w:t xml:space="preserve"> </w:t>
      </w:r>
      <w:r>
        <w:rPr>
          <w:color w:val="222222"/>
          <w:spacing w:val="-2"/>
        </w:rPr>
        <w:lastRenderedPageBreak/>
        <w:t>revision.</w:t>
      </w:r>
    </w:p>
    <w:p w14:paraId="59B8531D" w14:textId="77777777" w:rsidR="00E211CC" w:rsidRDefault="00E211CC" w:rsidP="00E211CC">
      <w:pPr>
        <w:pStyle w:val="BodyText"/>
        <w:spacing w:before="75"/>
        <w:ind w:left="0"/>
      </w:pPr>
    </w:p>
    <w:p w14:paraId="0F59696A" w14:textId="77777777" w:rsidR="00E211CC" w:rsidRDefault="00E211CC" w:rsidP="00E211CC">
      <w:pPr>
        <w:pStyle w:val="Heading1"/>
      </w:pPr>
      <w:r>
        <w:rPr>
          <w:color w:val="222222"/>
        </w:rPr>
        <w:t>Reviewer</w:t>
      </w:r>
      <w:r>
        <w:rPr>
          <w:color w:val="222222"/>
          <w:spacing w:val="-8"/>
        </w:rPr>
        <w:t xml:space="preserve"> </w:t>
      </w:r>
      <w:r>
        <w:rPr>
          <w:color w:val="222222"/>
          <w:spacing w:val="-5"/>
        </w:rPr>
        <w:t>#4:</w:t>
      </w:r>
    </w:p>
    <w:p w14:paraId="742DADDE" w14:textId="77777777" w:rsidR="00E211CC" w:rsidRDefault="00E211CC" w:rsidP="00E211CC">
      <w:pPr>
        <w:pStyle w:val="BodyText"/>
        <w:spacing w:before="40" w:line="276" w:lineRule="auto"/>
      </w:pPr>
      <w:r>
        <w:rPr>
          <w:color w:val="222222"/>
        </w:rPr>
        <w:t>The</w:t>
      </w:r>
      <w:r>
        <w:rPr>
          <w:color w:val="222222"/>
          <w:spacing w:val="-3"/>
        </w:rPr>
        <w:t xml:space="preserve"> </w:t>
      </w:r>
      <w:r>
        <w:rPr>
          <w:color w:val="222222"/>
        </w:rPr>
        <w:t>revisions</w:t>
      </w:r>
      <w:r>
        <w:rPr>
          <w:color w:val="222222"/>
          <w:spacing w:val="-3"/>
        </w:rPr>
        <w:t xml:space="preserve"> </w:t>
      </w:r>
      <w:r>
        <w:rPr>
          <w:color w:val="222222"/>
        </w:rPr>
        <w:t>have</w:t>
      </w:r>
      <w:r>
        <w:rPr>
          <w:color w:val="222222"/>
          <w:spacing w:val="-3"/>
        </w:rPr>
        <w:t xml:space="preserve"> </w:t>
      </w:r>
      <w:r>
        <w:rPr>
          <w:color w:val="222222"/>
        </w:rPr>
        <w:t>addressed</w:t>
      </w:r>
      <w:r>
        <w:rPr>
          <w:color w:val="222222"/>
          <w:spacing w:val="-3"/>
        </w:rPr>
        <w:t xml:space="preserve"> </w:t>
      </w:r>
      <w:r>
        <w:rPr>
          <w:color w:val="222222"/>
        </w:rPr>
        <w:t>a</w:t>
      </w:r>
      <w:r>
        <w:rPr>
          <w:color w:val="222222"/>
          <w:spacing w:val="-3"/>
        </w:rPr>
        <w:t xml:space="preserve"> </w:t>
      </w:r>
      <w:r>
        <w:rPr>
          <w:color w:val="222222"/>
        </w:rPr>
        <w:t>majority</w:t>
      </w:r>
      <w:r>
        <w:rPr>
          <w:color w:val="222222"/>
          <w:spacing w:val="-3"/>
        </w:rPr>
        <w:t xml:space="preserve"> </w:t>
      </w:r>
      <w:r>
        <w:rPr>
          <w:color w:val="222222"/>
        </w:rPr>
        <w:t>of</w:t>
      </w:r>
      <w:r>
        <w:rPr>
          <w:color w:val="222222"/>
          <w:spacing w:val="-3"/>
        </w:rPr>
        <w:t xml:space="preserve"> </w:t>
      </w:r>
      <w:r>
        <w:rPr>
          <w:color w:val="222222"/>
        </w:rPr>
        <w:t>my</w:t>
      </w:r>
      <w:r>
        <w:rPr>
          <w:color w:val="222222"/>
          <w:spacing w:val="-3"/>
        </w:rPr>
        <w:t xml:space="preserve"> </w:t>
      </w:r>
      <w:r>
        <w:rPr>
          <w:color w:val="222222"/>
        </w:rPr>
        <w:t>concerns.</w:t>
      </w:r>
      <w:r>
        <w:rPr>
          <w:color w:val="222222"/>
          <w:spacing w:val="-3"/>
        </w:rPr>
        <w:t xml:space="preserve"> </w:t>
      </w:r>
      <w:r>
        <w:rPr>
          <w:color w:val="222222"/>
        </w:rPr>
        <w:t>I</w:t>
      </w:r>
      <w:r>
        <w:rPr>
          <w:color w:val="222222"/>
          <w:spacing w:val="-3"/>
        </w:rPr>
        <w:t xml:space="preserve"> </w:t>
      </w:r>
      <w:r>
        <w:rPr>
          <w:color w:val="222222"/>
        </w:rPr>
        <w:t>believe</w:t>
      </w:r>
      <w:r>
        <w:rPr>
          <w:color w:val="222222"/>
          <w:spacing w:val="-3"/>
        </w:rPr>
        <w:t xml:space="preserve"> </w:t>
      </w:r>
      <w:r>
        <w:rPr>
          <w:color w:val="222222"/>
        </w:rPr>
        <w:t>the</w:t>
      </w:r>
      <w:r>
        <w:rPr>
          <w:color w:val="222222"/>
          <w:spacing w:val="-3"/>
        </w:rPr>
        <w:t xml:space="preserve"> </w:t>
      </w:r>
      <w:r>
        <w:rPr>
          <w:color w:val="222222"/>
        </w:rPr>
        <w:t>manuscript</w:t>
      </w:r>
      <w:r>
        <w:rPr>
          <w:color w:val="222222"/>
          <w:spacing w:val="-3"/>
        </w:rPr>
        <w:t xml:space="preserve"> </w:t>
      </w:r>
      <w:r>
        <w:rPr>
          <w:color w:val="222222"/>
        </w:rPr>
        <w:t>provides valuable insights into the behavior of multitask models at cell-type specific loci.</w:t>
      </w:r>
    </w:p>
    <w:p w14:paraId="35FE0ACC" w14:textId="77777777" w:rsidR="00E211CC" w:rsidRDefault="00E211CC" w:rsidP="00E211CC">
      <w:pPr>
        <w:pStyle w:val="BodyText"/>
        <w:spacing w:before="73"/>
        <w:rPr>
          <w:color w:val="222222"/>
        </w:rPr>
      </w:pPr>
    </w:p>
    <w:p w14:paraId="5CAA05F1" w14:textId="1E04B770" w:rsidR="00E211CC" w:rsidRDefault="00E211CC" w:rsidP="00E211CC">
      <w:pPr>
        <w:pStyle w:val="BodyText"/>
        <w:spacing w:before="73"/>
      </w:pPr>
      <w:r>
        <w:rPr>
          <w:color w:val="222222"/>
        </w:rPr>
        <w:t>Minor</w:t>
      </w:r>
      <w:r>
        <w:rPr>
          <w:color w:val="222222"/>
          <w:spacing w:val="-5"/>
        </w:rPr>
        <w:t xml:space="preserve"> </w:t>
      </w:r>
      <w:r>
        <w:rPr>
          <w:color w:val="222222"/>
        </w:rPr>
        <w:t>points</w:t>
      </w:r>
      <w:r>
        <w:rPr>
          <w:color w:val="222222"/>
          <w:spacing w:val="-4"/>
        </w:rPr>
        <w:t xml:space="preserve"> </w:t>
      </w:r>
      <w:r>
        <w:rPr>
          <w:color w:val="222222"/>
        </w:rPr>
        <w:t>to</w:t>
      </w:r>
      <w:r>
        <w:rPr>
          <w:color w:val="222222"/>
          <w:spacing w:val="-4"/>
        </w:rPr>
        <w:t xml:space="preserve"> </w:t>
      </w:r>
      <w:r>
        <w:rPr>
          <w:color w:val="222222"/>
          <w:spacing w:val="-2"/>
        </w:rPr>
        <w:t>address:</w:t>
      </w:r>
    </w:p>
    <w:p w14:paraId="01B2CEEA" w14:textId="77777777" w:rsidR="00E211CC" w:rsidRDefault="00E211CC" w:rsidP="00E211CC">
      <w:pPr>
        <w:pStyle w:val="BodyText"/>
        <w:spacing w:before="74"/>
        <w:ind w:left="0"/>
      </w:pPr>
    </w:p>
    <w:p w14:paraId="43B88AC0" w14:textId="77777777" w:rsidR="00E211CC" w:rsidRDefault="00E211CC" w:rsidP="00E211CC">
      <w:pPr>
        <w:pStyle w:val="ListParagraph"/>
        <w:widowControl w:val="0"/>
        <w:numPr>
          <w:ilvl w:val="0"/>
          <w:numId w:val="11"/>
        </w:numPr>
        <w:tabs>
          <w:tab w:val="left" w:pos="343"/>
        </w:tabs>
        <w:autoSpaceDE w:val="0"/>
        <w:autoSpaceDN w:val="0"/>
        <w:spacing w:after="0" w:line="271" w:lineRule="auto"/>
        <w:ind w:right="614" w:firstLine="0"/>
        <w:contextualSpacing w:val="0"/>
      </w:pPr>
      <w:r>
        <w:rPr>
          <w:color w:val="222222"/>
        </w:rPr>
        <w:t>Include</w:t>
      </w:r>
      <w:r>
        <w:rPr>
          <w:color w:val="222222"/>
          <w:spacing w:val="-3"/>
        </w:rPr>
        <w:t xml:space="preserve"> </w:t>
      </w:r>
      <w:r>
        <w:rPr>
          <w:color w:val="222222"/>
        </w:rPr>
        <w:t>a</w:t>
      </w:r>
      <w:r>
        <w:rPr>
          <w:color w:val="222222"/>
          <w:spacing w:val="-3"/>
        </w:rPr>
        <w:t xml:space="preserve"> </w:t>
      </w:r>
      <w:r>
        <w:rPr>
          <w:color w:val="222222"/>
        </w:rPr>
        <w:t>definition</w:t>
      </w:r>
      <w:r>
        <w:rPr>
          <w:color w:val="222222"/>
          <w:spacing w:val="-3"/>
        </w:rPr>
        <w:t xml:space="preserve"> </w:t>
      </w:r>
      <w:r>
        <w:rPr>
          <w:color w:val="222222"/>
        </w:rPr>
        <w:t>of</w:t>
      </w:r>
      <w:r>
        <w:rPr>
          <w:color w:val="222222"/>
          <w:spacing w:val="-3"/>
        </w:rPr>
        <w:t xml:space="preserve"> </w:t>
      </w:r>
      <w:r>
        <w:rPr>
          <w:color w:val="222222"/>
        </w:rPr>
        <w:t>negative</w:t>
      </w:r>
      <w:r>
        <w:rPr>
          <w:color w:val="222222"/>
          <w:spacing w:val="-3"/>
        </w:rPr>
        <w:t xml:space="preserve"> </w:t>
      </w:r>
      <w:r>
        <w:rPr>
          <w:color w:val="222222"/>
        </w:rPr>
        <w:t>transfer.</w:t>
      </w:r>
      <w:r>
        <w:rPr>
          <w:color w:val="222222"/>
          <w:spacing w:val="-3"/>
        </w:rPr>
        <w:t xml:space="preserve"> </w:t>
      </w:r>
      <w:r>
        <w:rPr>
          <w:color w:val="222222"/>
        </w:rPr>
        <w:t>Negative</w:t>
      </w:r>
      <w:r>
        <w:rPr>
          <w:color w:val="222222"/>
          <w:spacing w:val="-3"/>
        </w:rPr>
        <w:t xml:space="preserve"> </w:t>
      </w:r>
      <w:r>
        <w:rPr>
          <w:color w:val="222222"/>
        </w:rPr>
        <w:t>transfer</w:t>
      </w:r>
      <w:r>
        <w:rPr>
          <w:color w:val="222222"/>
          <w:spacing w:val="-3"/>
        </w:rPr>
        <w:t xml:space="preserve"> </w:t>
      </w:r>
      <w:r>
        <w:rPr>
          <w:color w:val="222222"/>
        </w:rPr>
        <w:t>is</w:t>
      </w:r>
      <w:r>
        <w:rPr>
          <w:color w:val="222222"/>
          <w:spacing w:val="-3"/>
        </w:rPr>
        <w:t xml:space="preserve"> </w:t>
      </w:r>
      <w:r>
        <w:rPr>
          <w:color w:val="222222"/>
        </w:rPr>
        <w:t>referred</w:t>
      </w:r>
      <w:r>
        <w:rPr>
          <w:color w:val="222222"/>
          <w:spacing w:val="-3"/>
        </w:rPr>
        <w:t xml:space="preserve"> </w:t>
      </w:r>
      <w:r>
        <w:rPr>
          <w:color w:val="222222"/>
        </w:rPr>
        <w:t>to</w:t>
      </w:r>
      <w:r>
        <w:rPr>
          <w:color w:val="222222"/>
          <w:spacing w:val="-3"/>
        </w:rPr>
        <w:t xml:space="preserve"> </w:t>
      </w:r>
      <w:r>
        <w:rPr>
          <w:color w:val="222222"/>
        </w:rPr>
        <w:t>using</w:t>
      </w:r>
      <w:r>
        <w:rPr>
          <w:color w:val="222222"/>
          <w:spacing w:val="-3"/>
        </w:rPr>
        <w:t xml:space="preserve"> </w:t>
      </w:r>
      <w:r>
        <w:rPr>
          <w:color w:val="222222"/>
        </w:rPr>
        <w:t>a</w:t>
      </w:r>
      <w:r>
        <w:rPr>
          <w:color w:val="222222"/>
          <w:spacing w:val="-3"/>
        </w:rPr>
        <w:t xml:space="preserve"> </w:t>
      </w:r>
      <w:r>
        <w:rPr>
          <w:color w:val="222222"/>
        </w:rPr>
        <w:t>couple</w:t>
      </w:r>
      <w:r>
        <w:rPr>
          <w:color w:val="222222"/>
          <w:spacing w:val="-3"/>
        </w:rPr>
        <w:t xml:space="preserve"> </w:t>
      </w:r>
      <w:r>
        <w:rPr>
          <w:color w:val="222222"/>
        </w:rPr>
        <w:t>of citations in the introduction but no definition is provided.</w:t>
      </w:r>
    </w:p>
    <w:p w14:paraId="19AFB3E2" w14:textId="77777777" w:rsidR="00E211CC" w:rsidRDefault="00E211CC" w:rsidP="00E211CC">
      <w:pPr>
        <w:pStyle w:val="BodyText"/>
        <w:spacing w:before="4" w:line="276" w:lineRule="auto"/>
      </w:pPr>
      <w:r>
        <w:rPr>
          <w:color w:val="4A86E8"/>
        </w:rPr>
        <w:t>We</w:t>
      </w:r>
      <w:r>
        <w:rPr>
          <w:color w:val="4A86E8"/>
          <w:spacing w:val="-3"/>
        </w:rPr>
        <w:t xml:space="preserve"> </w:t>
      </w:r>
      <w:r>
        <w:rPr>
          <w:color w:val="4A86E8"/>
        </w:rPr>
        <w:t>appreciate</w:t>
      </w:r>
      <w:r>
        <w:rPr>
          <w:color w:val="4A86E8"/>
          <w:spacing w:val="-3"/>
        </w:rPr>
        <w:t xml:space="preserve"> </w:t>
      </w:r>
      <w:r>
        <w:rPr>
          <w:color w:val="4A86E8"/>
        </w:rPr>
        <w:t>this</w:t>
      </w:r>
      <w:r>
        <w:rPr>
          <w:color w:val="4A86E8"/>
          <w:spacing w:val="-3"/>
        </w:rPr>
        <w:t xml:space="preserve"> </w:t>
      </w:r>
      <w:r>
        <w:rPr>
          <w:color w:val="4A86E8"/>
        </w:rPr>
        <w:t>suggestion</w:t>
      </w:r>
      <w:r>
        <w:rPr>
          <w:color w:val="4A86E8"/>
          <w:spacing w:val="-3"/>
        </w:rPr>
        <w:t xml:space="preserve"> </w:t>
      </w:r>
      <w:r>
        <w:rPr>
          <w:color w:val="4A86E8"/>
        </w:rPr>
        <w:t>and</w:t>
      </w:r>
      <w:r>
        <w:rPr>
          <w:color w:val="4A86E8"/>
          <w:spacing w:val="-3"/>
        </w:rPr>
        <w:t xml:space="preserve"> </w:t>
      </w:r>
      <w:r>
        <w:rPr>
          <w:color w:val="4A86E8"/>
        </w:rPr>
        <w:t>have</w:t>
      </w:r>
      <w:r>
        <w:rPr>
          <w:color w:val="4A86E8"/>
          <w:spacing w:val="-3"/>
        </w:rPr>
        <w:t xml:space="preserve"> </w:t>
      </w:r>
      <w:r>
        <w:rPr>
          <w:color w:val="4A86E8"/>
        </w:rPr>
        <w:t>added</w:t>
      </w:r>
      <w:r>
        <w:rPr>
          <w:color w:val="4A86E8"/>
          <w:spacing w:val="-3"/>
        </w:rPr>
        <w:t xml:space="preserve"> </w:t>
      </w:r>
      <w:r>
        <w:rPr>
          <w:color w:val="4A86E8"/>
        </w:rPr>
        <w:t>a</w:t>
      </w:r>
      <w:r>
        <w:rPr>
          <w:color w:val="4A86E8"/>
          <w:spacing w:val="-3"/>
        </w:rPr>
        <w:t xml:space="preserve"> </w:t>
      </w:r>
      <w:r>
        <w:rPr>
          <w:color w:val="4A86E8"/>
        </w:rPr>
        <w:t>brief</w:t>
      </w:r>
      <w:r>
        <w:rPr>
          <w:color w:val="4A86E8"/>
          <w:spacing w:val="-3"/>
        </w:rPr>
        <w:t xml:space="preserve"> </w:t>
      </w:r>
      <w:r>
        <w:rPr>
          <w:color w:val="4A86E8"/>
        </w:rPr>
        <w:t>description</w:t>
      </w:r>
      <w:r>
        <w:rPr>
          <w:color w:val="4A86E8"/>
          <w:spacing w:val="-3"/>
        </w:rPr>
        <w:t xml:space="preserve"> </w:t>
      </w:r>
      <w:r>
        <w:rPr>
          <w:color w:val="4A86E8"/>
        </w:rPr>
        <w:t>of</w:t>
      </w:r>
      <w:r>
        <w:rPr>
          <w:color w:val="4A86E8"/>
          <w:spacing w:val="-3"/>
        </w:rPr>
        <w:t xml:space="preserve"> </w:t>
      </w:r>
      <w:r>
        <w:rPr>
          <w:color w:val="4A86E8"/>
        </w:rPr>
        <w:t>negative</w:t>
      </w:r>
      <w:r>
        <w:rPr>
          <w:color w:val="4A86E8"/>
          <w:spacing w:val="-3"/>
        </w:rPr>
        <w:t xml:space="preserve"> </w:t>
      </w:r>
      <w:r>
        <w:rPr>
          <w:color w:val="4A86E8"/>
        </w:rPr>
        <w:t>transfer</w:t>
      </w:r>
      <w:r>
        <w:rPr>
          <w:color w:val="4A86E8"/>
          <w:spacing w:val="-3"/>
        </w:rPr>
        <w:t xml:space="preserve"> </w:t>
      </w:r>
      <w:r>
        <w:rPr>
          <w:color w:val="4A86E8"/>
        </w:rPr>
        <w:t>to</w:t>
      </w:r>
      <w:r>
        <w:rPr>
          <w:color w:val="4A86E8"/>
          <w:spacing w:val="-3"/>
        </w:rPr>
        <w:t xml:space="preserve"> </w:t>
      </w:r>
      <w:r>
        <w:rPr>
          <w:color w:val="4A86E8"/>
        </w:rPr>
        <w:t xml:space="preserve">the </w:t>
      </w:r>
      <w:r>
        <w:rPr>
          <w:color w:val="4A86E8"/>
          <w:spacing w:val="-2"/>
        </w:rPr>
        <w:t>introduction.</w:t>
      </w:r>
    </w:p>
    <w:p w14:paraId="04949E33" w14:textId="77777777" w:rsidR="00E211CC" w:rsidRDefault="00E211CC" w:rsidP="00E211CC">
      <w:pPr>
        <w:pStyle w:val="BodyText"/>
        <w:spacing w:before="34"/>
        <w:ind w:left="0"/>
      </w:pPr>
    </w:p>
    <w:p w14:paraId="5485CDBD" w14:textId="77777777" w:rsidR="00E211CC" w:rsidRDefault="00E211CC" w:rsidP="00E211CC">
      <w:pPr>
        <w:pStyle w:val="ListParagraph"/>
        <w:widowControl w:val="0"/>
        <w:numPr>
          <w:ilvl w:val="0"/>
          <w:numId w:val="11"/>
        </w:numPr>
        <w:tabs>
          <w:tab w:val="left" w:pos="343"/>
        </w:tabs>
        <w:autoSpaceDE w:val="0"/>
        <w:autoSpaceDN w:val="0"/>
        <w:spacing w:after="0" w:line="276" w:lineRule="auto"/>
        <w:ind w:right="98" w:firstLine="0"/>
        <w:contextualSpacing w:val="0"/>
      </w:pPr>
      <w:r>
        <w:rPr>
          <w:color w:val="222222"/>
        </w:rPr>
        <w:t>It is not clear that Supp. Fig. 17A supports the claim it is used to make. The argument is that</w:t>
      </w:r>
      <w:r>
        <w:rPr>
          <w:color w:val="222222"/>
          <w:spacing w:val="40"/>
        </w:rPr>
        <w:t xml:space="preserve"> </w:t>
      </w:r>
      <w:r>
        <w:rPr>
          <w:color w:val="222222"/>
        </w:rPr>
        <w:t>a TEAD-like motif is driving predictions for in both stromal and non-stromal cell types for multitask models, but only in stromal cell-types for the single-task models. However, from Supp. Fig. 17A, it looks like TEAD is not picked out by the single-task model at all, attributions at the TEAD motif are similar to or lesser than it's the surrounding nucleotides. Is it likely that the region looks similar in terms of attribution score distributions across cell-types and only differs in scale.</w:t>
      </w:r>
      <w:r>
        <w:rPr>
          <w:color w:val="222222"/>
          <w:spacing w:val="-3"/>
        </w:rPr>
        <w:t xml:space="preserve"> </w:t>
      </w:r>
      <w:r>
        <w:rPr>
          <w:color w:val="222222"/>
        </w:rPr>
        <w:t>I'd</w:t>
      </w:r>
      <w:r>
        <w:rPr>
          <w:color w:val="222222"/>
          <w:spacing w:val="-3"/>
        </w:rPr>
        <w:t xml:space="preserve"> </w:t>
      </w:r>
      <w:r>
        <w:rPr>
          <w:color w:val="222222"/>
        </w:rPr>
        <w:t>recommend</w:t>
      </w:r>
      <w:r>
        <w:rPr>
          <w:color w:val="222222"/>
          <w:spacing w:val="-3"/>
        </w:rPr>
        <w:t xml:space="preserve"> </w:t>
      </w:r>
      <w:r>
        <w:rPr>
          <w:color w:val="222222"/>
        </w:rPr>
        <w:t>providing</w:t>
      </w:r>
      <w:r>
        <w:rPr>
          <w:color w:val="222222"/>
          <w:spacing w:val="-3"/>
        </w:rPr>
        <w:t xml:space="preserve"> </w:t>
      </w:r>
      <w:r>
        <w:rPr>
          <w:color w:val="222222"/>
        </w:rPr>
        <w:t>a</w:t>
      </w:r>
      <w:r>
        <w:rPr>
          <w:color w:val="222222"/>
          <w:spacing w:val="-3"/>
        </w:rPr>
        <w:t xml:space="preserve"> </w:t>
      </w:r>
      <w:r>
        <w:rPr>
          <w:color w:val="222222"/>
        </w:rPr>
        <w:t>different</w:t>
      </w:r>
      <w:r>
        <w:rPr>
          <w:color w:val="222222"/>
          <w:spacing w:val="-3"/>
        </w:rPr>
        <w:t xml:space="preserve"> </w:t>
      </w:r>
      <w:r>
        <w:rPr>
          <w:color w:val="222222"/>
        </w:rPr>
        <w:t>example</w:t>
      </w:r>
      <w:r>
        <w:rPr>
          <w:color w:val="222222"/>
          <w:spacing w:val="-3"/>
        </w:rPr>
        <w:t xml:space="preserve"> </w:t>
      </w:r>
      <w:r>
        <w:rPr>
          <w:color w:val="222222"/>
        </w:rPr>
        <w:t>or</w:t>
      </w:r>
      <w:r>
        <w:rPr>
          <w:color w:val="222222"/>
          <w:spacing w:val="-3"/>
        </w:rPr>
        <w:t xml:space="preserve"> </w:t>
      </w:r>
      <w:r>
        <w:rPr>
          <w:color w:val="222222"/>
        </w:rPr>
        <w:t>using</w:t>
      </w:r>
      <w:r>
        <w:rPr>
          <w:color w:val="222222"/>
          <w:spacing w:val="-3"/>
        </w:rPr>
        <w:t xml:space="preserve"> </w:t>
      </w:r>
      <w:r>
        <w:rPr>
          <w:color w:val="222222"/>
        </w:rPr>
        <w:t>TF-MoDISco</w:t>
      </w:r>
      <w:r>
        <w:rPr>
          <w:color w:val="222222"/>
          <w:spacing w:val="-3"/>
        </w:rPr>
        <w:t xml:space="preserve"> </w:t>
      </w:r>
      <w:r>
        <w:rPr>
          <w:color w:val="222222"/>
        </w:rPr>
        <w:t>to</w:t>
      </w:r>
      <w:r>
        <w:rPr>
          <w:color w:val="222222"/>
          <w:spacing w:val="-3"/>
        </w:rPr>
        <w:t xml:space="preserve"> </w:t>
      </w:r>
      <w:r>
        <w:rPr>
          <w:color w:val="222222"/>
        </w:rPr>
        <w:t>do</w:t>
      </w:r>
      <w:r>
        <w:rPr>
          <w:color w:val="222222"/>
          <w:spacing w:val="-3"/>
        </w:rPr>
        <w:t xml:space="preserve"> </w:t>
      </w:r>
      <w:r>
        <w:rPr>
          <w:color w:val="222222"/>
        </w:rPr>
        <w:t>a</w:t>
      </w:r>
      <w:r>
        <w:rPr>
          <w:color w:val="222222"/>
          <w:spacing w:val="-3"/>
        </w:rPr>
        <w:t xml:space="preserve"> </w:t>
      </w:r>
      <w:r>
        <w:rPr>
          <w:color w:val="222222"/>
        </w:rPr>
        <w:t>global</w:t>
      </w:r>
      <w:r>
        <w:rPr>
          <w:color w:val="222222"/>
          <w:spacing w:val="-3"/>
        </w:rPr>
        <w:t xml:space="preserve"> </w:t>
      </w:r>
      <w:r>
        <w:rPr>
          <w:color w:val="222222"/>
        </w:rPr>
        <w:t>analysis in order to support this claim, or removing this claim.</w:t>
      </w:r>
    </w:p>
    <w:p w14:paraId="2C32A2E1" w14:textId="77777777" w:rsidR="00E211CC" w:rsidRDefault="00E211CC" w:rsidP="00E211CC">
      <w:pPr>
        <w:pStyle w:val="BodyText"/>
        <w:spacing w:before="1"/>
      </w:pPr>
      <w:r>
        <w:rPr>
          <w:color w:val="4A86E8"/>
        </w:rPr>
        <w:t>We</w:t>
      </w:r>
      <w:r>
        <w:rPr>
          <w:color w:val="4A86E8"/>
          <w:spacing w:val="-7"/>
        </w:rPr>
        <w:t xml:space="preserve"> </w:t>
      </w:r>
      <w:r>
        <w:rPr>
          <w:color w:val="4A86E8"/>
        </w:rPr>
        <w:t>thank</w:t>
      </w:r>
      <w:r>
        <w:rPr>
          <w:color w:val="4A86E8"/>
          <w:spacing w:val="-5"/>
        </w:rPr>
        <w:t xml:space="preserve"> </w:t>
      </w:r>
      <w:r>
        <w:rPr>
          <w:color w:val="4A86E8"/>
        </w:rPr>
        <w:t>the</w:t>
      </w:r>
      <w:r>
        <w:rPr>
          <w:color w:val="4A86E8"/>
          <w:spacing w:val="-5"/>
        </w:rPr>
        <w:t xml:space="preserve"> </w:t>
      </w:r>
      <w:r>
        <w:rPr>
          <w:color w:val="4A86E8"/>
        </w:rPr>
        <w:t>reviewer</w:t>
      </w:r>
      <w:r>
        <w:rPr>
          <w:color w:val="4A86E8"/>
          <w:spacing w:val="-4"/>
        </w:rPr>
        <w:t xml:space="preserve"> </w:t>
      </w:r>
      <w:r>
        <w:rPr>
          <w:color w:val="4A86E8"/>
        </w:rPr>
        <w:t>for</w:t>
      </w:r>
      <w:r>
        <w:rPr>
          <w:color w:val="4A86E8"/>
          <w:spacing w:val="-5"/>
        </w:rPr>
        <w:t xml:space="preserve"> </w:t>
      </w:r>
      <w:r>
        <w:rPr>
          <w:color w:val="4A86E8"/>
        </w:rPr>
        <w:t>their</w:t>
      </w:r>
      <w:r>
        <w:rPr>
          <w:color w:val="4A86E8"/>
          <w:spacing w:val="-5"/>
        </w:rPr>
        <w:t xml:space="preserve"> </w:t>
      </w:r>
      <w:r>
        <w:rPr>
          <w:color w:val="4A86E8"/>
        </w:rPr>
        <w:t>feedback</w:t>
      </w:r>
      <w:r>
        <w:rPr>
          <w:color w:val="4A86E8"/>
          <w:spacing w:val="-5"/>
        </w:rPr>
        <w:t xml:space="preserve"> </w:t>
      </w:r>
      <w:r>
        <w:rPr>
          <w:color w:val="4A86E8"/>
        </w:rPr>
        <w:t>and</w:t>
      </w:r>
      <w:r>
        <w:rPr>
          <w:color w:val="4A86E8"/>
          <w:spacing w:val="-4"/>
        </w:rPr>
        <w:t xml:space="preserve"> </w:t>
      </w:r>
      <w:r>
        <w:rPr>
          <w:color w:val="4A86E8"/>
        </w:rPr>
        <w:t>have</w:t>
      </w:r>
      <w:r>
        <w:rPr>
          <w:color w:val="4A86E8"/>
          <w:spacing w:val="-5"/>
        </w:rPr>
        <w:t xml:space="preserve"> </w:t>
      </w:r>
      <w:r>
        <w:rPr>
          <w:color w:val="4A86E8"/>
        </w:rPr>
        <w:t>toned</w:t>
      </w:r>
      <w:r>
        <w:rPr>
          <w:color w:val="4A86E8"/>
          <w:spacing w:val="-5"/>
        </w:rPr>
        <w:t xml:space="preserve"> </w:t>
      </w:r>
      <w:r>
        <w:rPr>
          <w:color w:val="4A86E8"/>
        </w:rPr>
        <w:t>down</w:t>
      </w:r>
      <w:r>
        <w:rPr>
          <w:color w:val="4A86E8"/>
          <w:spacing w:val="-5"/>
        </w:rPr>
        <w:t xml:space="preserve"> </w:t>
      </w:r>
      <w:r>
        <w:rPr>
          <w:color w:val="4A86E8"/>
        </w:rPr>
        <w:t>the</w:t>
      </w:r>
      <w:r>
        <w:rPr>
          <w:color w:val="4A86E8"/>
          <w:spacing w:val="-4"/>
        </w:rPr>
        <w:t xml:space="preserve"> </w:t>
      </w:r>
      <w:r>
        <w:rPr>
          <w:color w:val="4A86E8"/>
        </w:rPr>
        <w:t>language</w:t>
      </w:r>
      <w:r>
        <w:rPr>
          <w:color w:val="4A86E8"/>
          <w:spacing w:val="-5"/>
        </w:rPr>
        <w:t xml:space="preserve"> </w:t>
      </w:r>
      <w:r>
        <w:rPr>
          <w:color w:val="4A86E8"/>
        </w:rPr>
        <w:t>around</w:t>
      </w:r>
      <w:r>
        <w:rPr>
          <w:color w:val="4A86E8"/>
          <w:spacing w:val="-5"/>
        </w:rPr>
        <w:t xml:space="preserve"> </w:t>
      </w:r>
      <w:r>
        <w:rPr>
          <w:color w:val="4A86E8"/>
        </w:rPr>
        <w:t>this</w:t>
      </w:r>
      <w:r>
        <w:rPr>
          <w:color w:val="4A86E8"/>
          <w:spacing w:val="-4"/>
        </w:rPr>
        <w:t xml:space="preserve"> </w:t>
      </w:r>
      <w:r>
        <w:rPr>
          <w:color w:val="4A86E8"/>
          <w:spacing w:val="-2"/>
        </w:rPr>
        <w:t>point.</w:t>
      </w:r>
    </w:p>
    <w:p w14:paraId="2D9F55B3" w14:textId="77777777" w:rsidR="00E211CC" w:rsidRDefault="00E211CC" w:rsidP="00E211CC">
      <w:pPr>
        <w:pStyle w:val="BodyText"/>
        <w:spacing w:before="74"/>
        <w:ind w:left="0"/>
      </w:pPr>
    </w:p>
    <w:p w14:paraId="54A78433" w14:textId="77777777" w:rsidR="00E211CC" w:rsidRDefault="00E211CC" w:rsidP="00E211CC">
      <w:pPr>
        <w:pStyle w:val="ListParagraph"/>
        <w:widowControl w:val="0"/>
        <w:numPr>
          <w:ilvl w:val="0"/>
          <w:numId w:val="11"/>
        </w:numPr>
        <w:tabs>
          <w:tab w:val="left" w:pos="343"/>
        </w:tabs>
        <w:autoSpaceDE w:val="0"/>
        <w:autoSpaceDN w:val="0"/>
        <w:spacing w:before="1" w:after="0" w:line="240" w:lineRule="auto"/>
        <w:ind w:left="343" w:hanging="243"/>
        <w:contextualSpacing w:val="0"/>
      </w:pPr>
      <w:r>
        <w:rPr>
          <w:color w:val="222222"/>
        </w:rPr>
        <w:t>Add</w:t>
      </w:r>
      <w:r>
        <w:rPr>
          <w:color w:val="222222"/>
          <w:spacing w:val="-4"/>
        </w:rPr>
        <w:t xml:space="preserve"> </w:t>
      </w:r>
      <w:r>
        <w:rPr>
          <w:color w:val="222222"/>
        </w:rPr>
        <w:t>in</w:t>
      </w:r>
      <w:r>
        <w:rPr>
          <w:color w:val="222222"/>
          <w:spacing w:val="-4"/>
        </w:rPr>
        <w:t xml:space="preserve"> </w:t>
      </w:r>
      <w:r>
        <w:rPr>
          <w:color w:val="222222"/>
        </w:rPr>
        <w:t>values</w:t>
      </w:r>
      <w:r>
        <w:rPr>
          <w:color w:val="222222"/>
          <w:spacing w:val="-3"/>
        </w:rPr>
        <w:t xml:space="preserve"> </w:t>
      </w:r>
      <w:r>
        <w:rPr>
          <w:color w:val="222222"/>
        </w:rPr>
        <w:t>for</w:t>
      </w:r>
      <w:r>
        <w:rPr>
          <w:color w:val="222222"/>
          <w:spacing w:val="-4"/>
        </w:rPr>
        <w:t xml:space="preserve"> </w:t>
      </w:r>
      <w:r>
        <w:rPr>
          <w:color w:val="222222"/>
        </w:rPr>
        <w:t>the</w:t>
      </w:r>
      <w:r>
        <w:rPr>
          <w:color w:val="222222"/>
          <w:spacing w:val="-3"/>
        </w:rPr>
        <w:t xml:space="preserve"> </w:t>
      </w:r>
      <w:r>
        <w:rPr>
          <w:color w:val="222222"/>
        </w:rPr>
        <w:t>y-axis</w:t>
      </w:r>
      <w:r>
        <w:rPr>
          <w:color w:val="222222"/>
          <w:spacing w:val="-4"/>
        </w:rPr>
        <w:t xml:space="preserve"> </w:t>
      </w:r>
      <w:r>
        <w:rPr>
          <w:color w:val="222222"/>
        </w:rPr>
        <w:t>in</w:t>
      </w:r>
      <w:r>
        <w:rPr>
          <w:color w:val="222222"/>
          <w:spacing w:val="-3"/>
        </w:rPr>
        <w:t xml:space="preserve"> </w:t>
      </w:r>
      <w:r>
        <w:rPr>
          <w:color w:val="222222"/>
        </w:rPr>
        <w:t>Fig.</w:t>
      </w:r>
      <w:r>
        <w:rPr>
          <w:color w:val="222222"/>
          <w:spacing w:val="-4"/>
        </w:rPr>
        <w:t xml:space="preserve"> </w:t>
      </w:r>
      <w:r>
        <w:rPr>
          <w:color w:val="222222"/>
        </w:rPr>
        <w:t>3e,</w:t>
      </w:r>
      <w:r>
        <w:rPr>
          <w:color w:val="222222"/>
          <w:spacing w:val="-3"/>
        </w:rPr>
        <w:t xml:space="preserve"> </w:t>
      </w:r>
      <w:r>
        <w:rPr>
          <w:color w:val="222222"/>
          <w:spacing w:val="-5"/>
        </w:rPr>
        <w:t>f.</w:t>
      </w:r>
    </w:p>
    <w:p w14:paraId="39878001" w14:textId="77777777" w:rsidR="00E211CC" w:rsidRDefault="00E211CC" w:rsidP="00E211CC">
      <w:pPr>
        <w:pStyle w:val="BodyText"/>
        <w:spacing w:before="39"/>
      </w:pPr>
      <w:r>
        <w:rPr>
          <w:color w:val="4A86E8"/>
        </w:rPr>
        <w:t>We</w:t>
      </w:r>
      <w:r>
        <w:rPr>
          <w:color w:val="4A86E8"/>
          <w:spacing w:val="-7"/>
        </w:rPr>
        <w:t xml:space="preserve"> </w:t>
      </w:r>
      <w:r>
        <w:rPr>
          <w:color w:val="4A86E8"/>
        </w:rPr>
        <w:t>have</w:t>
      </w:r>
      <w:r>
        <w:rPr>
          <w:color w:val="4A86E8"/>
          <w:spacing w:val="-5"/>
        </w:rPr>
        <w:t xml:space="preserve"> </w:t>
      </w:r>
      <w:r>
        <w:rPr>
          <w:color w:val="4A86E8"/>
        </w:rPr>
        <w:t>updated</w:t>
      </w:r>
      <w:r>
        <w:rPr>
          <w:color w:val="4A86E8"/>
          <w:spacing w:val="-4"/>
        </w:rPr>
        <w:t xml:space="preserve"> </w:t>
      </w:r>
      <w:r>
        <w:rPr>
          <w:color w:val="4A86E8"/>
        </w:rPr>
        <w:t>the</w:t>
      </w:r>
      <w:r>
        <w:rPr>
          <w:color w:val="4A86E8"/>
          <w:spacing w:val="-5"/>
        </w:rPr>
        <w:t xml:space="preserve"> </w:t>
      </w:r>
      <w:r>
        <w:rPr>
          <w:color w:val="4A86E8"/>
        </w:rPr>
        <w:t>figure</w:t>
      </w:r>
      <w:r>
        <w:rPr>
          <w:color w:val="4A86E8"/>
          <w:spacing w:val="-5"/>
        </w:rPr>
        <w:t xml:space="preserve"> </w:t>
      </w:r>
      <w:r>
        <w:rPr>
          <w:color w:val="4A86E8"/>
        </w:rPr>
        <w:t>to</w:t>
      </w:r>
      <w:r>
        <w:rPr>
          <w:color w:val="4A86E8"/>
          <w:spacing w:val="-4"/>
        </w:rPr>
        <w:t xml:space="preserve"> </w:t>
      </w:r>
      <w:r>
        <w:rPr>
          <w:color w:val="4A86E8"/>
        </w:rPr>
        <w:t>include</w:t>
      </w:r>
      <w:r>
        <w:rPr>
          <w:color w:val="4A86E8"/>
          <w:spacing w:val="-5"/>
        </w:rPr>
        <w:t xml:space="preserve"> </w:t>
      </w:r>
      <w:r>
        <w:rPr>
          <w:color w:val="4A86E8"/>
        </w:rPr>
        <w:t>y-axis</w:t>
      </w:r>
      <w:r>
        <w:rPr>
          <w:color w:val="4A86E8"/>
          <w:spacing w:val="-4"/>
        </w:rPr>
        <w:t xml:space="preserve"> </w:t>
      </w:r>
      <w:r>
        <w:rPr>
          <w:color w:val="4A86E8"/>
          <w:spacing w:val="-2"/>
        </w:rPr>
        <w:t>values.</w:t>
      </w:r>
    </w:p>
    <w:p w14:paraId="1E467A49" w14:textId="77777777" w:rsidR="00E211CC" w:rsidRDefault="00E211CC" w:rsidP="00E211CC">
      <w:pPr>
        <w:pStyle w:val="BodyText"/>
        <w:spacing w:before="75"/>
        <w:ind w:left="0"/>
      </w:pPr>
    </w:p>
    <w:p w14:paraId="10CE06C8" w14:textId="77777777" w:rsidR="00E211CC" w:rsidRDefault="00E211CC" w:rsidP="00E211CC">
      <w:pPr>
        <w:pStyle w:val="ListParagraph"/>
        <w:widowControl w:val="0"/>
        <w:numPr>
          <w:ilvl w:val="0"/>
          <w:numId w:val="11"/>
        </w:numPr>
        <w:tabs>
          <w:tab w:val="left" w:pos="343"/>
        </w:tabs>
        <w:autoSpaceDE w:val="0"/>
        <w:autoSpaceDN w:val="0"/>
        <w:spacing w:after="0" w:line="271" w:lineRule="auto"/>
        <w:ind w:right="370" w:firstLine="0"/>
        <w:contextualSpacing w:val="0"/>
      </w:pPr>
      <w:r>
        <w:rPr>
          <w:color w:val="222222"/>
        </w:rPr>
        <w:t>The</w:t>
      </w:r>
      <w:r>
        <w:rPr>
          <w:color w:val="222222"/>
          <w:spacing w:val="-3"/>
        </w:rPr>
        <w:t xml:space="preserve"> </w:t>
      </w:r>
      <w:r>
        <w:rPr>
          <w:color w:val="222222"/>
        </w:rPr>
        <w:t>work</w:t>
      </w:r>
      <w:r>
        <w:rPr>
          <w:color w:val="222222"/>
          <w:spacing w:val="-3"/>
        </w:rPr>
        <w:t xml:space="preserve"> </w:t>
      </w:r>
      <w:r>
        <w:rPr>
          <w:color w:val="222222"/>
        </w:rPr>
        <w:t>relies</w:t>
      </w:r>
      <w:r>
        <w:rPr>
          <w:color w:val="222222"/>
          <w:spacing w:val="-3"/>
        </w:rPr>
        <w:t xml:space="preserve"> </w:t>
      </w:r>
      <w:r>
        <w:rPr>
          <w:color w:val="222222"/>
        </w:rPr>
        <w:t>on</w:t>
      </w:r>
      <w:r>
        <w:rPr>
          <w:color w:val="222222"/>
          <w:spacing w:val="-3"/>
        </w:rPr>
        <w:t xml:space="preserve"> </w:t>
      </w:r>
      <w:r>
        <w:rPr>
          <w:color w:val="222222"/>
        </w:rPr>
        <w:t>the</w:t>
      </w:r>
      <w:r>
        <w:rPr>
          <w:color w:val="222222"/>
          <w:spacing w:val="-3"/>
        </w:rPr>
        <w:t xml:space="preserve"> </w:t>
      </w:r>
      <w:r>
        <w:rPr>
          <w:color w:val="222222"/>
        </w:rPr>
        <w:t>Loeb</w:t>
      </w:r>
      <w:r>
        <w:rPr>
          <w:color w:val="222222"/>
          <w:spacing w:val="-3"/>
        </w:rPr>
        <w:t xml:space="preserve"> </w:t>
      </w:r>
      <w:r>
        <w:rPr>
          <w:color w:val="222222"/>
        </w:rPr>
        <w:t>et</w:t>
      </w:r>
      <w:r>
        <w:rPr>
          <w:color w:val="222222"/>
          <w:spacing w:val="-3"/>
        </w:rPr>
        <w:t xml:space="preserve"> </w:t>
      </w:r>
      <w:r>
        <w:rPr>
          <w:color w:val="222222"/>
        </w:rPr>
        <w:t>al.</w:t>
      </w:r>
      <w:r>
        <w:rPr>
          <w:color w:val="222222"/>
          <w:spacing w:val="-3"/>
        </w:rPr>
        <w:t xml:space="preserve"> </w:t>
      </w:r>
      <w:r>
        <w:rPr>
          <w:color w:val="222222"/>
        </w:rPr>
        <w:t>dataset,</w:t>
      </w:r>
      <w:r>
        <w:rPr>
          <w:color w:val="222222"/>
          <w:spacing w:val="-3"/>
        </w:rPr>
        <w:t xml:space="preserve"> </w:t>
      </w:r>
      <w:r>
        <w:rPr>
          <w:color w:val="222222"/>
        </w:rPr>
        <w:t>but</w:t>
      </w:r>
      <w:r>
        <w:rPr>
          <w:color w:val="222222"/>
          <w:spacing w:val="-3"/>
        </w:rPr>
        <w:t xml:space="preserve"> </w:t>
      </w:r>
      <w:r>
        <w:rPr>
          <w:color w:val="222222"/>
        </w:rPr>
        <w:t>this</w:t>
      </w:r>
      <w:r>
        <w:rPr>
          <w:color w:val="222222"/>
          <w:spacing w:val="-3"/>
        </w:rPr>
        <w:t xml:space="preserve"> </w:t>
      </w:r>
      <w:r>
        <w:rPr>
          <w:color w:val="222222"/>
        </w:rPr>
        <w:t>work</w:t>
      </w:r>
      <w:r>
        <w:rPr>
          <w:color w:val="222222"/>
          <w:spacing w:val="-3"/>
        </w:rPr>
        <w:t xml:space="preserve"> </w:t>
      </w:r>
      <w:r>
        <w:rPr>
          <w:color w:val="222222"/>
        </w:rPr>
        <w:t>is</w:t>
      </w:r>
      <w:r>
        <w:rPr>
          <w:color w:val="222222"/>
          <w:spacing w:val="-3"/>
        </w:rPr>
        <w:t xml:space="preserve"> </w:t>
      </w:r>
      <w:r>
        <w:rPr>
          <w:color w:val="222222"/>
        </w:rPr>
        <w:t>unpublished.</w:t>
      </w:r>
      <w:r>
        <w:rPr>
          <w:color w:val="222222"/>
          <w:spacing w:val="-3"/>
        </w:rPr>
        <w:t xml:space="preserve"> </w:t>
      </w:r>
      <w:r>
        <w:rPr>
          <w:color w:val="222222"/>
        </w:rPr>
        <w:t>Provide</w:t>
      </w:r>
      <w:r>
        <w:rPr>
          <w:color w:val="222222"/>
          <w:spacing w:val="-3"/>
        </w:rPr>
        <w:t xml:space="preserve"> </w:t>
      </w:r>
      <w:r>
        <w:rPr>
          <w:color w:val="222222"/>
        </w:rPr>
        <w:t>a</w:t>
      </w:r>
      <w:r>
        <w:rPr>
          <w:color w:val="222222"/>
          <w:spacing w:val="-3"/>
        </w:rPr>
        <w:t xml:space="preserve"> </w:t>
      </w:r>
      <w:r>
        <w:rPr>
          <w:color w:val="222222"/>
        </w:rPr>
        <w:t>preprint</w:t>
      </w:r>
      <w:r>
        <w:rPr>
          <w:color w:val="222222"/>
          <w:spacing w:val="-3"/>
        </w:rPr>
        <w:t xml:space="preserve"> </w:t>
      </w:r>
      <w:r>
        <w:rPr>
          <w:color w:val="222222"/>
        </w:rPr>
        <w:t>/ GEO accession.</w:t>
      </w:r>
    </w:p>
    <w:p w14:paraId="4AE6EC57" w14:textId="77777777" w:rsidR="00E211CC" w:rsidRDefault="00E211CC" w:rsidP="00E211CC">
      <w:pPr>
        <w:pStyle w:val="BodyText"/>
        <w:spacing w:before="4" w:line="276" w:lineRule="auto"/>
        <w:ind w:right="205"/>
      </w:pPr>
      <w:r>
        <w:rPr>
          <w:color w:val="4A86E8"/>
        </w:rPr>
        <w:t>We have updated the manuscript with a citation to the preprint (https</w:t>
      </w:r>
      <w:hyperlink r:id="rId14" w:history="1">
        <w:r>
          <w:rPr>
            <w:rStyle w:val="Hyperlink"/>
            <w:color w:val="4A86E8"/>
          </w:rPr>
          <w:t>://w</w:t>
        </w:r>
      </w:hyperlink>
      <w:r>
        <w:rPr>
          <w:color w:val="4A86E8"/>
        </w:rPr>
        <w:t>ww</w:t>
      </w:r>
      <w:hyperlink r:id="rId15" w:history="1">
        <w:r>
          <w:rPr>
            <w:rStyle w:val="Hyperlink"/>
            <w:color w:val="4A86E8"/>
          </w:rPr>
          <w:t>.b</w:t>
        </w:r>
      </w:hyperlink>
      <w:r>
        <w:rPr>
          <w:color w:val="4A86E8"/>
        </w:rPr>
        <w:t>i</w:t>
      </w:r>
      <w:hyperlink r:id="rId16" w:history="1">
        <w:r>
          <w:rPr>
            <w:rStyle w:val="Hyperlink"/>
            <w:color w:val="4A86E8"/>
          </w:rPr>
          <w:t>orxiv.org/content/10.1101/2024.06.18.599625v1)</w:t>
        </w:r>
      </w:hyperlink>
      <w:r>
        <w:rPr>
          <w:color w:val="4A86E8"/>
          <w:spacing w:val="-11"/>
        </w:rPr>
        <w:t xml:space="preserve"> </w:t>
      </w:r>
      <w:r>
        <w:rPr>
          <w:color w:val="4A86E8"/>
        </w:rPr>
        <w:t>and</w:t>
      </w:r>
      <w:r>
        <w:rPr>
          <w:color w:val="4A86E8"/>
          <w:spacing w:val="-11"/>
        </w:rPr>
        <w:t xml:space="preserve"> </w:t>
      </w:r>
      <w:r>
        <w:rPr>
          <w:color w:val="4A86E8"/>
        </w:rPr>
        <w:t>the</w:t>
      </w:r>
      <w:r>
        <w:rPr>
          <w:color w:val="4A86E8"/>
          <w:spacing w:val="-11"/>
        </w:rPr>
        <w:t xml:space="preserve"> </w:t>
      </w:r>
      <w:r>
        <w:rPr>
          <w:color w:val="4A86E8"/>
        </w:rPr>
        <w:t>GEO</w:t>
      </w:r>
      <w:r>
        <w:rPr>
          <w:color w:val="4A86E8"/>
          <w:spacing w:val="-11"/>
        </w:rPr>
        <w:t xml:space="preserve"> </w:t>
      </w:r>
      <w:r>
        <w:rPr>
          <w:color w:val="4A86E8"/>
        </w:rPr>
        <w:t>accession number for the Loeb et al. data.</w:t>
      </w:r>
    </w:p>
    <w:p w14:paraId="7E6D5D93" w14:textId="33FCEE49" w:rsidR="002C67AC" w:rsidRDefault="002C67AC"/>
    <w:sectPr w:rsidR="002C67AC" w:rsidSect="009F23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C07DB"/>
    <w:multiLevelType w:val="hybridMultilevel"/>
    <w:tmpl w:val="012AEE5A"/>
    <w:lvl w:ilvl="0" w:tplc="9D28815C">
      <w:start w:val="1"/>
      <w:numFmt w:val="decimal"/>
      <w:lvlText w:val="%1."/>
      <w:lvlJc w:val="left"/>
      <w:pPr>
        <w:ind w:left="820" w:hanging="245"/>
        <w:jc w:val="left"/>
      </w:pPr>
      <w:rPr>
        <w:rFonts w:ascii="Arial" w:eastAsia="Arial" w:hAnsi="Arial" w:cs="Arial" w:hint="default"/>
        <w:b w:val="0"/>
        <w:bCs w:val="0"/>
        <w:i w:val="0"/>
        <w:iCs w:val="0"/>
        <w:color w:val="222222"/>
        <w:spacing w:val="-1"/>
        <w:w w:val="100"/>
        <w:sz w:val="22"/>
        <w:szCs w:val="22"/>
        <w:lang w:val="en-US" w:eastAsia="en-US" w:bidi="ar-SA"/>
      </w:rPr>
    </w:lvl>
    <w:lvl w:ilvl="1" w:tplc="18C20898">
      <w:numFmt w:val="bullet"/>
      <w:lvlText w:val="•"/>
      <w:lvlJc w:val="left"/>
      <w:pPr>
        <w:ind w:left="1842" w:hanging="245"/>
      </w:pPr>
      <w:rPr>
        <w:rFonts w:hint="default"/>
        <w:lang w:val="en-US" w:eastAsia="en-US" w:bidi="ar-SA"/>
      </w:rPr>
    </w:lvl>
    <w:lvl w:ilvl="2" w:tplc="EF902486">
      <w:numFmt w:val="bullet"/>
      <w:lvlText w:val="•"/>
      <w:lvlJc w:val="left"/>
      <w:pPr>
        <w:ind w:left="2864" w:hanging="245"/>
      </w:pPr>
      <w:rPr>
        <w:rFonts w:hint="default"/>
        <w:lang w:val="en-US" w:eastAsia="en-US" w:bidi="ar-SA"/>
      </w:rPr>
    </w:lvl>
    <w:lvl w:ilvl="3" w:tplc="921246BE">
      <w:numFmt w:val="bullet"/>
      <w:lvlText w:val="•"/>
      <w:lvlJc w:val="left"/>
      <w:pPr>
        <w:ind w:left="3886" w:hanging="245"/>
      </w:pPr>
      <w:rPr>
        <w:rFonts w:hint="default"/>
        <w:lang w:val="en-US" w:eastAsia="en-US" w:bidi="ar-SA"/>
      </w:rPr>
    </w:lvl>
    <w:lvl w:ilvl="4" w:tplc="6E923892">
      <w:numFmt w:val="bullet"/>
      <w:lvlText w:val="•"/>
      <w:lvlJc w:val="left"/>
      <w:pPr>
        <w:ind w:left="4908" w:hanging="245"/>
      </w:pPr>
      <w:rPr>
        <w:rFonts w:hint="default"/>
        <w:lang w:val="en-US" w:eastAsia="en-US" w:bidi="ar-SA"/>
      </w:rPr>
    </w:lvl>
    <w:lvl w:ilvl="5" w:tplc="8CA6405A">
      <w:numFmt w:val="bullet"/>
      <w:lvlText w:val="•"/>
      <w:lvlJc w:val="left"/>
      <w:pPr>
        <w:ind w:left="5930" w:hanging="245"/>
      </w:pPr>
      <w:rPr>
        <w:rFonts w:hint="default"/>
        <w:lang w:val="en-US" w:eastAsia="en-US" w:bidi="ar-SA"/>
      </w:rPr>
    </w:lvl>
    <w:lvl w:ilvl="6" w:tplc="2E42018E">
      <w:numFmt w:val="bullet"/>
      <w:lvlText w:val="•"/>
      <w:lvlJc w:val="left"/>
      <w:pPr>
        <w:ind w:left="6952" w:hanging="245"/>
      </w:pPr>
      <w:rPr>
        <w:rFonts w:hint="default"/>
        <w:lang w:val="en-US" w:eastAsia="en-US" w:bidi="ar-SA"/>
      </w:rPr>
    </w:lvl>
    <w:lvl w:ilvl="7" w:tplc="105886CE">
      <w:numFmt w:val="bullet"/>
      <w:lvlText w:val="•"/>
      <w:lvlJc w:val="left"/>
      <w:pPr>
        <w:ind w:left="7974" w:hanging="245"/>
      </w:pPr>
      <w:rPr>
        <w:rFonts w:hint="default"/>
        <w:lang w:val="en-US" w:eastAsia="en-US" w:bidi="ar-SA"/>
      </w:rPr>
    </w:lvl>
    <w:lvl w:ilvl="8" w:tplc="1BFE2FC0">
      <w:numFmt w:val="bullet"/>
      <w:lvlText w:val="•"/>
      <w:lvlJc w:val="left"/>
      <w:pPr>
        <w:ind w:left="8996" w:hanging="245"/>
      </w:pPr>
      <w:rPr>
        <w:rFonts w:hint="default"/>
        <w:lang w:val="en-US" w:eastAsia="en-US" w:bidi="ar-SA"/>
      </w:rPr>
    </w:lvl>
  </w:abstractNum>
  <w:abstractNum w:abstractNumId="1" w15:restartNumberingAfterBreak="0">
    <w:nsid w:val="14C44C1B"/>
    <w:multiLevelType w:val="hybridMultilevel"/>
    <w:tmpl w:val="C5142AB8"/>
    <w:lvl w:ilvl="0" w:tplc="3D74D98A">
      <w:start w:val="1"/>
      <w:numFmt w:val="decimal"/>
      <w:lvlText w:val="%1."/>
      <w:lvlJc w:val="left"/>
      <w:pPr>
        <w:ind w:left="820" w:hanging="245"/>
        <w:jc w:val="left"/>
      </w:pPr>
      <w:rPr>
        <w:rFonts w:ascii="Arial" w:eastAsia="Arial" w:hAnsi="Arial" w:cs="Arial" w:hint="default"/>
        <w:b w:val="0"/>
        <w:bCs w:val="0"/>
        <w:i w:val="0"/>
        <w:iCs w:val="0"/>
        <w:color w:val="222222"/>
        <w:spacing w:val="-1"/>
        <w:w w:val="100"/>
        <w:sz w:val="22"/>
        <w:szCs w:val="22"/>
        <w:lang w:val="en-US" w:eastAsia="en-US" w:bidi="ar-SA"/>
      </w:rPr>
    </w:lvl>
    <w:lvl w:ilvl="1" w:tplc="23386ED8">
      <w:numFmt w:val="bullet"/>
      <w:lvlText w:val="•"/>
      <w:lvlJc w:val="left"/>
      <w:pPr>
        <w:ind w:left="1842" w:hanging="245"/>
      </w:pPr>
      <w:rPr>
        <w:rFonts w:hint="default"/>
        <w:lang w:val="en-US" w:eastAsia="en-US" w:bidi="ar-SA"/>
      </w:rPr>
    </w:lvl>
    <w:lvl w:ilvl="2" w:tplc="C228F6E4">
      <w:numFmt w:val="bullet"/>
      <w:lvlText w:val="•"/>
      <w:lvlJc w:val="left"/>
      <w:pPr>
        <w:ind w:left="2864" w:hanging="245"/>
      </w:pPr>
      <w:rPr>
        <w:rFonts w:hint="default"/>
        <w:lang w:val="en-US" w:eastAsia="en-US" w:bidi="ar-SA"/>
      </w:rPr>
    </w:lvl>
    <w:lvl w:ilvl="3" w:tplc="3DF2B81A">
      <w:numFmt w:val="bullet"/>
      <w:lvlText w:val="•"/>
      <w:lvlJc w:val="left"/>
      <w:pPr>
        <w:ind w:left="3886" w:hanging="245"/>
      </w:pPr>
      <w:rPr>
        <w:rFonts w:hint="default"/>
        <w:lang w:val="en-US" w:eastAsia="en-US" w:bidi="ar-SA"/>
      </w:rPr>
    </w:lvl>
    <w:lvl w:ilvl="4" w:tplc="2F8201E6">
      <w:numFmt w:val="bullet"/>
      <w:lvlText w:val="•"/>
      <w:lvlJc w:val="left"/>
      <w:pPr>
        <w:ind w:left="4908" w:hanging="245"/>
      </w:pPr>
      <w:rPr>
        <w:rFonts w:hint="default"/>
        <w:lang w:val="en-US" w:eastAsia="en-US" w:bidi="ar-SA"/>
      </w:rPr>
    </w:lvl>
    <w:lvl w:ilvl="5" w:tplc="4B008FAA">
      <w:numFmt w:val="bullet"/>
      <w:lvlText w:val="•"/>
      <w:lvlJc w:val="left"/>
      <w:pPr>
        <w:ind w:left="5930" w:hanging="245"/>
      </w:pPr>
      <w:rPr>
        <w:rFonts w:hint="default"/>
        <w:lang w:val="en-US" w:eastAsia="en-US" w:bidi="ar-SA"/>
      </w:rPr>
    </w:lvl>
    <w:lvl w:ilvl="6" w:tplc="F6B084DE">
      <w:numFmt w:val="bullet"/>
      <w:lvlText w:val="•"/>
      <w:lvlJc w:val="left"/>
      <w:pPr>
        <w:ind w:left="6952" w:hanging="245"/>
      </w:pPr>
      <w:rPr>
        <w:rFonts w:hint="default"/>
        <w:lang w:val="en-US" w:eastAsia="en-US" w:bidi="ar-SA"/>
      </w:rPr>
    </w:lvl>
    <w:lvl w:ilvl="7" w:tplc="B0E85D54">
      <w:numFmt w:val="bullet"/>
      <w:lvlText w:val="•"/>
      <w:lvlJc w:val="left"/>
      <w:pPr>
        <w:ind w:left="7974" w:hanging="245"/>
      </w:pPr>
      <w:rPr>
        <w:rFonts w:hint="default"/>
        <w:lang w:val="en-US" w:eastAsia="en-US" w:bidi="ar-SA"/>
      </w:rPr>
    </w:lvl>
    <w:lvl w:ilvl="8" w:tplc="F93E6324">
      <w:numFmt w:val="bullet"/>
      <w:lvlText w:val="•"/>
      <w:lvlJc w:val="left"/>
      <w:pPr>
        <w:ind w:left="8996" w:hanging="245"/>
      </w:pPr>
      <w:rPr>
        <w:rFonts w:hint="default"/>
        <w:lang w:val="en-US" w:eastAsia="en-US" w:bidi="ar-SA"/>
      </w:rPr>
    </w:lvl>
  </w:abstractNum>
  <w:abstractNum w:abstractNumId="2" w15:restartNumberingAfterBreak="0">
    <w:nsid w:val="37EA44A0"/>
    <w:multiLevelType w:val="hybridMultilevel"/>
    <w:tmpl w:val="FF3AF21E"/>
    <w:lvl w:ilvl="0" w:tplc="1FCAD932">
      <w:numFmt w:val="bullet"/>
      <w:lvlText w:val=""/>
      <w:lvlJc w:val="left"/>
      <w:pPr>
        <w:ind w:left="1540" w:hanging="360"/>
      </w:pPr>
      <w:rPr>
        <w:rFonts w:ascii="Symbol" w:eastAsia="Symbol" w:hAnsi="Symbol" w:cs="Symbol" w:hint="default"/>
        <w:b w:val="0"/>
        <w:bCs w:val="0"/>
        <w:i w:val="0"/>
        <w:iCs w:val="0"/>
        <w:color w:val="222222"/>
        <w:spacing w:val="0"/>
        <w:w w:val="100"/>
        <w:sz w:val="24"/>
        <w:szCs w:val="24"/>
        <w:lang w:val="en-US" w:eastAsia="en-US" w:bidi="ar-SA"/>
      </w:rPr>
    </w:lvl>
    <w:lvl w:ilvl="1" w:tplc="FAC05E38">
      <w:numFmt w:val="bullet"/>
      <w:lvlText w:val="•"/>
      <w:lvlJc w:val="left"/>
      <w:pPr>
        <w:ind w:left="2490" w:hanging="360"/>
      </w:pPr>
      <w:rPr>
        <w:rFonts w:hint="default"/>
        <w:lang w:val="en-US" w:eastAsia="en-US" w:bidi="ar-SA"/>
      </w:rPr>
    </w:lvl>
    <w:lvl w:ilvl="2" w:tplc="1B305590">
      <w:numFmt w:val="bullet"/>
      <w:lvlText w:val="•"/>
      <w:lvlJc w:val="left"/>
      <w:pPr>
        <w:ind w:left="3440" w:hanging="360"/>
      </w:pPr>
      <w:rPr>
        <w:rFonts w:hint="default"/>
        <w:lang w:val="en-US" w:eastAsia="en-US" w:bidi="ar-SA"/>
      </w:rPr>
    </w:lvl>
    <w:lvl w:ilvl="3" w:tplc="D02E1C9C">
      <w:numFmt w:val="bullet"/>
      <w:lvlText w:val="•"/>
      <w:lvlJc w:val="left"/>
      <w:pPr>
        <w:ind w:left="4390" w:hanging="360"/>
      </w:pPr>
      <w:rPr>
        <w:rFonts w:hint="default"/>
        <w:lang w:val="en-US" w:eastAsia="en-US" w:bidi="ar-SA"/>
      </w:rPr>
    </w:lvl>
    <w:lvl w:ilvl="4" w:tplc="D7661ABC">
      <w:numFmt w:val="bullet"/>
      <w:lvlText w:val="•"/>
      <w:lvlJc w:val="left"/>
      <w:pPr>
        <w:ind w:left="5340" w:hanging="360"/>
      </w:pPr>
      <w:rPr>
        <w:rFonts w:hint="default"/>
        <w:lang w:val="en-US" w:eastAsia="en-US" w:bidi="ar-SA"/>
      </w:rPr>
    </w:lvl>
    <w:lvl w:ilvl="5" w:tplc="01E03A4C">
      <w:numFmt w:val="bullet"/>
      <w:lvlText w:val="•"/>
      <w:lvlJc w:val="left"/>
      <w:pPr>
        <w:ind w:left="6290" w:hanging="360"/>
      </w:pPr>
      <w:rPr>
        <w:rFonts w:hint="default"/>
        <w:lang w:val="en-US" w:eastAsia="en-US" w:bidi="ar-SA"/>
      </w:rPr>
    </w:lvl>
    <w:lvl w:ilvl="6" w:tplc="00589654">
      <w:numFmt w:val="bullet"/>
      <w:lvlText w:val="•"/>
      <w:lvlJc w:val="left"/>
      <w:pPr>
        <w:ind w:left="7240" w:hanging="360"/>
      </w:pPr>
      <w:rPr>
        <w:rFonts w:hint="default"/>
        <w:lang w:val="en-US" w:eastAsia="en-US" w:bidi="ar-SA"/>
      </w:rPr>
    </w:lvl>
    <w:lvl w:ilvl="7" w:tplc="79CAAB40">
      <w:numFmt w:val="bullet"/>
      <w:lvlText w:val="•"/>
      <w:lvlJc w:val="left"/>
      <w:pPr>
        <w:ind w:left="8190" w:hanging="360"/>
      </w:pPr>
      <w:rPr>
        <w:rFonts w:hint="default"/>
        <w:lang w:val="en-US" w:eastAsia="en-US" w:bidi="ar-SA"/>
      </w:rPr>
    </w:lvl>
    <w:lvl w:ilvl="8" w:tplc="53E4C8E4">
      <w:numFmt w:val="bullet"/>
      <w:lvlText w:val="•"/>
      <w:lvlJc w:val="left"/>
      <w:pPr>
        <w:ind w:left="9140" w:hanging="360"/>
      </w:pPr>
      <w:rPr>
        <w:rFonts w:hint="default"/>
        <w:lang w:val="en-US" w:eastAsia="en-US" w:bidi="ar-SA"/>
      </w:rPr>
    </w:lvl>
  </w:abstractNum>
  <w:abstractNum w:abstractNumId="3" w15:restartNumberingAfterBreak="0">
    <w:nsid w:val="3F990BF5"/>
    <w:multiLevelType w:val="hybridMultilevel"/>
    <w:tmpl w:val="E304BCCE"/>
    <w:lvl w:ilvl="0" w:tplc="AE50B29C">
      <w:start w:val="1"/>
      <w:numFmt w:val="decimal"/>
      <w:lvlText w:val="%1."/>
      <w:lvlJc w:val="left"/>
      <w:pPr>
        <w:ind w:left="100" w:hanging="245"/>
      </w:pPr>
      <w:rPr>
        <w:rFonts w:ascii="Arial" w:eastAsia="Arial" w:hAnsi="Arial" w:cs="Arial" w:hint="default"/>
        <w:b w:val="0"/>
        <w:bCs w:val="0"/>
        <w:i w:val="0"/>
        <w:iCs w:val="0"/>
        <w:color w:val="222222"/>
        <w:spacing w:val="-1"/>
        <w:w w:val="100"/>
        <w:sz w:val="22"/>
        <w:szCs w:val="22"/>
        <w:lang w:val="en-US" w:eastAsia="en-US" w:bidi="ar-SA"/>
      </w:rPr>
    </w:lvl>
    <w:lvl w:ilvl="1" w:tplc="89E2139A">
      <w:start w:val="1"/>
      <w:numFmt w:val="lowerLetter"/>
      <w:lvlText w:val="%2."/>
      <w:lvlJc w:val="left"/>
      <w:pPr>
        <w:ind w:left="100" w:hanging="551"/>
      </w:pPr>
      <w:rPr>
        <w:rFonts w:ascii="Arial" w:eastAsia="Arial" w:hAnsi="Arial" w:cs="Arial" w:hint="default"/>
        <w:b w:val="0"/>
        <w:bCs w:val="0"/>
        <w:i w:val="0"/>
        <w:iCs w:val="0"/>
        <w:color w:val="222222"/>
        <w:spacing w:val="-1"/>
        <w:w w:val="100"/>
        <w:sz w:val="22"/>
        <w:szCs w:val="22"/>
        <w:lang w:val="en-US" w:eastAsia="en-US" w:bidi="ar-SA"/>
      </w:rPr>
    </w:lvl>
    <w:lvl w:ilvl="2" w:tplc="526A162E">
      <w:numFmt w:val="bullet"/>
      <w:lvlText w:val="•"/>
      <w:lvlJc w:val="left"/>
      <w:pPr>
        <w:ind w:left="1992" w:hanging="551"/>
      </w:pPr>
      <w:rPr>
        <w:lang w:val="en-US" w:eastAsia="en-US" w:bidi="ar-SA"/>
      </w:rPr>
    </w:lvl>
    <w:lvl w:ilvl="3" w:tplc="3D625172">
      <w:numFmt w:val="bullet"/>
      <w:lvlText w:val="•"/>
      <w:lvlJc w:val="left"/>
      <w:pPr>
        <w:ind w:left="2938" w:hanging="551"/>
      </w:pPr>
      <w:rPr>
        <w:lang w:val="en-US" w:eastAsia="en-US" w:bidi="ar-SA"/>
      </w:rPr>
    </w:lvl>
    <w:lvl w:ilvl="4" w:tplc="16AC1C7A">
      <w:numFmt w:val="bullet"/>
      <w:lvlText w:val="•"/>
      <w:lvlJc w:val="left"/>
      <w:pPr>
        <w:ind w:left="3884" w:hanging="551"/>
      </w:pPr>
      <w:rPr>
        <w:lang w:val="en-US" w:eastAsia="en-US" w:bidi="ar-SA"/>
      </w:rPr>
    </w:lvl>
    <w:lvl w:ilvl="5" w:tplc="C97AF078">
      <w:numFmt w:val="bullet"/>
      <w:lvlText w:val="•"/>
      <w:lvlJc w:val="left"/>
      <w:pPr>
        <w:ind w:left="4830" w:hanging="551"/>
      </w:pPr>
      <w:rPr>
        <w:lang w:val="en-US" w:eastAsia="en-US" w:bidi="ar-SA"/>
      </w:rPr>
    </w:lvl>
    <w:lvl w:ilvl="6" w:tplc="C798BB9C">
      <w:numFmt w:val="bullet"/>
      <w:lvlText w:val="•"/>
      <w:lvlJc w:val="left"/>
      <w:pPr>
        <w:ind w:left="5776" w:hanging="551"/>
      </w:pPr>
      <w:rPr>
        <w:lang w:val="en-US" w:eastAsia="en-US" w:bidi="ar-SA"/>
      </w:rPr>
    </w:lvl>
    <w:lvl w:ilvl="7" w:tplc="017EA05C">
      <w:numFmt w:val="bullet"/>
      <w:lvlText w:val="•"/>
      <w:lvlJc w:val="left"/>
      <w:pPr>
        <w:ind w:left="6722" w:hanging="551"/>
      </w:pPr>
      <w:rPr>
        <w:lang w:val="en-US" w:eastAsia="en-US" w:bidi="ar-SA"/>
      </w:rPr>
    </w:lvl>
    <w:lvl w:ilvl="8" w:tplc="513835DA">
      <w:numFmt w:val="bullet"/>
      <w:lvlText w:val="•"/>
      <w:lvlJc w:val="left"/>
      <w:pPr>
        <w:ind w:left="7668" w:hanging="551"/>
      </w:pPr>
      <w:rPr>
        <w:lang w:val="en-US" w:eastAsia="en-US" w:bidi="ar-SA"/>
      </w:rPr>
    </w:lvl>
  </w:abstractNum>
  <w:abstractNum w:abstractNumId="4" w15:restartNumberingAfterBreak="0">
    <w:nsid w:val="49FD3C77"/>
    <w:multiLevelType w:val="hybridMultilevel"/>
    <w:tmpl w:val="DF66F79A"/>
    <w:lvl w:ilvl="0" w:tplc="73DC23A0">
      <w:start w:val="1"/>
      <w:numFmt w:val="decimal"/>
      <w:lvlText w:val="%1."/>
      <w:lvlJc w:val="left"/>
      <w:pPr>
        <w:ind w:left="820" w:hanging="245"/>
        <w:jc w:val="left"/>
      </w:pPr>
      <w:rPr>
        <w:rFonts w:ascii="Arial" w:eastAsia="Arial" w:hAnsi="Arial" w:cs="Arial" w:hint="default"/>
        <w:b w:val="0"/>
        <w:bCs w:val="0"/>
        <w:i w:val="0"/>
        <w:iCs w:val="0"/>
        <w:color w:val="222222"/>
        <w:spacing w:val="-1"/>
        <w:w w:val="100"/>
        <w:sz w:val="22"/>
        <w:szCs w:val="22"/>
        <w:lang w:val="en-US" w:eastAsia="en-US" w:bidi="ar-SA"/>
      </w:rPr>
    </w:lvl>
    <w:lvl w:ilvl="1" w:tplc="113682E0">
      <w:numFmt w:val="bullet"/>
      <w:lvlText w:val="•"/>
      <w:lvlJc w:val="left"/>
      <w:pPr>
        <w:ind w:left="1842" w:hanging="245"/>
      </w:pPr>
      <w:rPr>
        <w:rFonts w:hint="default"/>
        <w:lang w:val="en-US" w:eastAsia="en-US" w:bidi="ar-SA"/>
      </w:rPr>
    </w:lvl>
    <w:lvl w:ilvl="2" w:tplc="2C18EE7C">
      <w:numFmt w:val="bullet"/>
      <w:lvlText w:val="•"/>
      <w:lvlJc w:val="left"/>
      <w:pPr>
        <w:ind w:left="2864" w:hanging="245"/>
      </w:pPr>
      <w:rPr>
        <w:rFonts w:hint="default"/>
        <w:lang w:val="en-US" w:eastAsia="en-US" w:bidi="ar-SA"/>
      </w:rPr>
    </w:lvl>
    <w:lvl w:ilvl="3" w:tplc="D172BAC8">
      <w:numFmt w:val="bullet"/>
      <w:lvlText w:val="•"/>
      <w:lvlJc w:val="left"/>
      <w:pPr>
        <w:ind w:left="3886" w:hanging="245"/>
      </w:pPr>
      <w:rPr>
        <w:rFonts w:hint="default"/>
        <w:lang w:val="en-US" w:eastAsia="en-US" w:bidi="ar-SA"/>
      </w:rPr>
    </w:lvl>
    <w:lvl w:ilvl="4" w:tplc="41385C0C">
      <w:numFmt w:val="bullet"/>
      <w:lvlText w:val="•"/>
      <w:lvlJc w:val="left"/>
      <w:pPr>
        <w:ind w:left="4908" w:hanging="245"/>
      </w:pPr>
      <w:rPr>
        <w:rFonts w:hint="default"/>
        <w:lang w:val="en-US" w:eastAsia="en-US" w:bidi="ar-SA"/>
      </w:rPr>
    </w:lvl>
    <w:lvl w:ilvl="5" w:tplc="B176AA38">
      <w:numFmt w:val="bullet"/>
      <w:lvlText w:val="•"/>
      <w:lvlJc w:val="left"/>
      <w:pPr>
        <w:ind w:left="5930" w:hanging="245"/>
      </w:pPr>
      <w:rPr>
        <w:rFonts w:hint="default"/>
        <w:lang w:val="en-US" w:eastAsia="en-US" w:bidi="ar-SA"/>
      </w:rPr>
    </w:lvl>
    <w:lvl w:ilvl="6" w:tplc="B46C4524">
      <w:numFmt w:val="bullet"/>
      <w:lvlText w:val="•"/>
      <w:lvlJc w:val="left"/>
      <w:pPr>
        <w:ind w:left="6952" w:hanging="245"/>
      </w:pPr>
      <w:rPr>
        <w:rFonts w:hint="default"/>
        <w:lang w:val="en-US" w:eastAsia="en-US" w:bidi="ar-SA"/>
      </w:rPr>
    </w:lvl>
    <w:lvl w:ilvl="7" w:tplc="D408C2D0">
      <w:numFmt w:val="bullet"/>
      <w:lvlText w:val="•"/>
      <w:lvlJc w:val="left"/>
      <w:pPr>
        <w:ind w:left="7974" w:hanging="245"/>
      </w:pPr>
      <w:rPr>
        <w:rFonts w:hint="default"/>
        <w:lang w:val="en-US" w:eastAsia="en-US" w:bidi="ar-SA"/>
      </w:rPr>
    </w:lvl>
    <w:lvl w:ilvl="8" w:tplc="3BFA5C56">
      <w:numFmt w:val="bullet"/>
      <w:lvlText w:val="•"/>
      <w:lvlJc w:val="left"/>
      <w:pPr>
        <w:ind w:left="8996" w:hanging="245"/>
      </w:pPr>
      <w:rPr>
        <w:rFonts w:hint="default"/>
        <w:lang w:val="en-US" w:eastAsia="en-US" w:bidi="ar-SA"/>
      </w:rPr>
    </w:lvl>
  </w:abstractNum>
  <w:abstractNum w:abstractNumId="5" w15:restartNumberingAfterBreak="0">
    <w:nsid w:val="52530506"/>
    <w:multiLevelType w:val="hybridMultilevel"/>
    <w:tmpl w:val="CBDEA0AC"/>
    <w:lvl w:ilvl="0" w:tplc="7CA430F2">
      <w:start w:val="1"/>
      <w:numFmt w:val="decimal"/>
      <w:lvlText w:val="%1."/>
      <w:lvlJc w:val="left"/>
      <w:pPr>
        <w:ind w:left="100" w:hanging="245"/>
      </w:pPr>
      <w:rPr>
        <w:rFonts w:ascii="Arial" w:eastAsia="Arial" w:hAnsi="Arial" w:cs="Arial" w:hint="default"/>
        <w:b w:val="0"/>
        <w:bCs w:val="0"/>
        <w:i w:val="0"/>
        <w:iCs w:val="0"/>
        <w:color w:val="222222"/>
        <w:spacing w:val="-1"/>
        <w:w w:val="100"/>
        <w:sz w:val="22"/>
        <w:szCs w:val="22"/>
        <w:lang w:val="en-US" w:eastAsia="en-US" w:bidi="ar-SA"/>
      </w:rPr>
    </w:lvl>
    <w:lvl w:ilvl="1" w:tplc="3C48ED9E">
      <w:numFmt w:val="bullet"/>
      <w:lvlText w:val="•"/>
      <w:lvlJc w:val="left"/>
      <w:pPr>
        <w:ind w:left="1046" w:hanging="245"/>
      </w:pPr>
      <w:rPr>
        <w:lang w:val="en-US" w:eastAsia="en-US" w:bidi="ar-SA"/>
      </w:rPr>
    </w:lvl>
    <w:lvl w:ilvl="2" w:tplc="7016596C">
      <w:numFmt w:val="bullet"/>
      <w:lvlText w:val="•"/>
      <w:lvlJc w:val="left"/>
      <w:pPr>
        <w:ind w:left="1992" w:hanging="245"/>
      </w:pPr>
      <w:rPr>
        <w:lang w:val="en-US" w:eastAsia="en-US" w:bidi="ar-SA"/>
      </w:rPr>
    </w:lvl>
    <w:lvl w:ilvl="3" w:tplc="F418F1A2">
      <w:numFmt w:val="bullet"/>
      <w:lvlText w:val="•"/>
      <w:lvlJc w:val="left"/>
      <w:pPr>
        <w:ind w:left="2938" w:hanging="245"/>
      </w:pPr>
      <w:rPr>
        <w:lang w:val="en-US" w:eastAsia="en-US" w:bidi="ar-SA"/>
      </w:rPr>
    </w:lvl>
    <w:lvl w:ilvl="4" w:tplc="5E78AC88">
      <w:numFmt w:val="bullet"/>
      <w:lvlText w:val="•"/>
      <w:lvlJc w:val="left"/>
      <w:pPr>
        <w:ind w:left="3884" w:hanging="245"/>
      </w:pPr>
      <w:rPr>
        <w:lang w:val="en-US" w:eastAsia="en-US" w:bidi="ar-SA"/>
      </w:rPr>
    </w:lvl>
    <w:lvl w:ilvl="5" w:tplc="6AC20940">
      <w:numFmt w:val="bullet"/>
      <w:lvlText w:val="•"/>
      <w:lvlJc w:val="left"/>
      <w:pPr>
        <w:ind w:left="4830" w:hanging="245"/>
      </w:pPr>
      <w:rPr>
        <w:lang w:val="en-US" w:eastAsia="en-US" w:bidi="ar-SA"/>
      </w:rPr>
    </w:lvl>
    <w:lvl w:ilvl="6" w:tplc="45289512">
      <w:numFmt w:val="bullet"/>
      <w:lvlText w:val="•"/>
      <w:lvlJc w:val="left"/>
      <w:pPr>
        <w:ind w:left="5776" w:hanging="245"/>
      </w:pPr>
      <w:rPr>
        <w:lang w:val="en-US" w:eastAsia="en-US" w:bidi="ar-SA"/>
      </w:rPr>
    </w:lvl>
    <w:lvl w:ilvl="7" w:tplc="47445C78">
      <w:numFmt w:val="bullet"/>
      <w:lvlText w:val="•"/>
      <w:lvlJc w:val="left"/>
      <w:pPr>
        <w:ind w:left="6722" w:hanging="245"/>
      </w:pPr>
      <w:rPr>
        <w:lang w:val="en-US" w:eastAsia="en-US" w:bidi="ar-SA"/>
      </w:rPr>
    </w:lvl>
    <w:lvl w:ilvl="8" w:tplc="E0F82E98">
      <w:numFmt w:val="bullet"/>
      <w:lvlText w:val="•"/>
      <w:lvlJc w:val="left"/>
      <w:pPr>
        <w:ind w:left="7668" w:hanging="245"/>
      </w:pPr>
      <w:rPr>
        <w:lang w:val="en-US" w:eastAsia="en-US" w:bidi="ar-SA"/>
      </w:rPr>
    </w:lvl>
  </w:abstractNum>
  <w:abstractNum w:abstractNumId="6" w15:restartNumberingAfterBreak="0">
    <w:nsid w:val="63D07F18"/>
    <w:multiLevelType w:val="hybridMultilevel"/>
    <w:tmpl w:val="1E90D3C2"/>
    <w:lvl w:ilvl="0" w:tplc="7368F258">
      <w:start w:val="1"/>
      <w:numFmt w:val="decimal"/>
      <w:lvlText w:val="%1)"/>
      <w:lvlJc w:val="left"/>
      <w:pPr>
        <w:ind w:left="1540" w:hanging="360"/>
        <w:jc w:val="left"/>
      </w:pPr>
      <w:rPr>
        <w:rFonts w:ascii="Arial" w:eastAsia="Arial" w:hAnsi="Arial" w:cs="Arial" w:hint="default"/>
        <w:b w:val="0"/>
        <w:bCs w:val="0"/>
        <w:i w:val="0"/>
        <w:iCs w:val="0"/>
        <w:color w:val="4A86E8"/>
        <w:spacing w:val="-1"/>
        <w:w w:val="100"/>
        <w:sz w:val="22"/>
        <w:szCs w:val="22"/>
        <w:lang w:val="en-US" w:eastAsia="en-US" w:bidi="ar-SA"/>
      </w:rPr>
    </w:lvl>
    <w:lvl w:ilvl="1" w:tplc="CE4A9CB4">
      <w:numFmt w:val="bullet"/>
      <w:lvlText w:val="•"/>
      <w:lvlJc w:val="left"/>
      <w:pPr>
        <w:ind w:left="2490" w:hanging="360"/>
      </w:pPr>
      <w:rPr>
        <w:rFonts w:hint="default"/>
        <w:lang w:val="en-US" w:eastAsia="en-US" w:bidi="ar-SA"/>
      </w:rPr>
    </w:lvl>
    <w:lvl w:ilvl="2" w:tplc="2D88047A">
      <w:numFmt w:val="bullet"/>
      <w:lvlText w:val="•"/>
      <w:lvlJc w:val="left"/>
      <w:pPr>
        <w:ind w:left="3440" w:hanging="360"/>
      </w:pPr>
      <w:rPr>
        <w:rFonts w:hint="default"/>
        <w:lang w:val="en-US" w:eastAsia="en-US" w:bidi="ar-SA"/>
      </w:rPr>
    </w:lvl>
    <w:lvl w:ilvl="3" w:tplc="215C0906">
      <w:numFmt w:val="bullet"/>
      <w:lvlText w:val="•"/>
      <w:lvlJc w:val="left"/>
      <w:pPr>
        <w:ind w:left="4390" w:hanging="360"/>
      </w:pPr>
      <w:rPr>
        <w:rFonts w:hint="default"/>
        <w:lang w:val="en-US" w:eastAsia="en-US" w:bidi="ar-SA"/>
      </w:rPr>
    </w:lvl>
    <w:lvl w:ilvl="4" w:tplc="820472F2">
      <w:numFmt w:val="bullet"/>
      <w:lvlText w:val="•"/>
      <w:lvlJc w:val="left"/>
      <w:pPr>
        <w:ind w:left="5340" w:hanging="360"/>
      </w:pPr>
      <w:rPr>
        <w:rFonts w:hint="default"/>
        <w:lang w:val="en-US" w:eastAsia="en-US" w:bidi="ar-SA"/>
      </w:rPr>
    </w:lvl>
    <w:lvl w:ilvl="5" w:tplc="0FDE2D02">
      <w:numFmt w:val="bullet"/>
      <w:lvlText w:val="•"/>
      <w:lvlJc w:val="left"/>
      <w:pPr>
        <w:ind w:left="6290" w:hanging="360"/>
      </w:pPr>
      <w:rPr>
        <w:rFonts w:hint="default"/>
        <w:lang w:val="en-US" w:eastAsia="en-US" w:bidi="ar-SA"/>
      </w:rPr>
    </w:lvl>
    <w:lvl w:ilvl="6" w:tplc="E97CE6C8">
      <w:numFmt w:val="bullet"/>
      <w:lvlText w:val="•"/>
      <w:lvlJc w:val="left"/>
      <w:pPr>
        <w:ind w:left="7240" w:hanging="360"/>
      </w:pPr>
      <w:rPr>
        <w:rFonts w:hint="default"/>
        <w:lang w:val="en-US" w:eastAsia="en-US" w:bidi="ar-SA"/>
      </w:rPr>
    </w:lvl>
    <w:lvl w:ilvl="7" w:tplc="3BAA6374">
      <w:numFmt w:val="bullet"/>
      <w:lvlText w:val="•"/>
      <w:lvlJc w:val="left"/>
      <w:pPr>
        <w:ind w:left="8190" w:hanging="360"/>
      </w:pPr>
      <w:rPr>
        <w:rFonts w:hint="default"/>
        <w:lang w:val="en-US" w:eastAsia="en-US" w:bidi="ar-SA"/>
      </w:rPr>
    </w:lvl>
    <w:lvl w:ilvl="8" w:tplc="B5C27D38">
      <w:numFmt w:val="bullet"/>
      <w:lvlText w:val="•"/>
      <w:lvlJc w:val="left"/>
      <w:pPr>
        <w:ind w:left="9140" w:hanging="360"/>
      </w:pPr>
      <w:rPr>
        <w:rFonts w:hint="default"/>
        <w:lang w:val="en-US" w:eastAsia="en-US" w:bidi="ar-SA"/>
      </w:rPr>
    </w:lvl>
  </w:abstractNum>
  <w:abstractNum w:abstractNumId="7" w15:restartNumberingAfterBreak="0">
    <w:nsid w:val="6B630B3E"/>
    <w:multiLevelType w:val="hybridMultilevel"/>
    <w:tmpl w:val="E3DE4F6C"/>
    <w:lvl w:ilvl="0" w:tplc="59AA6B3A">
      <w:start w:val="1"/>
      <w:numFmt w:val="decimal"/>
      <w:lvlText w:val="%1."/>
      <w:lvlJc w:val="left"/>
      <w:pPr>
        <w:ind w:left="820" w:hanging="245"/>
        <w:jc w:val="left"/>
      </w:pPr>
      <w:rPr>
        <w:rFonts w:ascii="Arial" w:eastAsia="Arial" w:hAnsi="Arial" w:cs="Arial" w:hint="default"/>
        <w:b w:val="0"/>
        <w:bCs w:val="0"/>
        <w:i w:val="0"/>
        <w:iCs w:val="0"/>
        <w:color w:val="222222"/>
        <w:spacing w:val="-1"/>
        <w:w w:val="100"/>
        <w:sz w:val="22"/>
        <w:szCs w:val="22"/>
        <w:lang w:val="en-US" w:eastAsia="en-US" w:bidi="ar-SA"/>
      </w:rPr>
    </w:lvl>
    <w:lvl w:ilvl="1" w:tplc="EF60E646">
      <w:numFmt w:val="bullet"/>
      <w:lvlText w:val="•"/>
      <w:lvlJc w:val="left"/>
      <w:pPr>
        <w:ind w:left="1842" w:hanging="245"/>
      </w:pPr>
      <w:rPr>
        <w:rFonts w:hint="default"/>
        <w:lang w:val="en-US" w:eastAsia="en-US" w:bidi="ar-SA"/>
      </w:rPr>
    </w:lvl>
    <w:lvl w:ilvl="2" w:tplc="C4E4F8D2">
      <w:numFmt w:val="bullet"/>
      <w:lvlText w:val="•"/>
      <w:lvlJc w:val="left"/>
      <w:pPr>
        <w:ind w:left="2864" w:hanging="245"/>
      </w:pPr>
      <w:rPr>
        <w:rFonts w:hint="default"/>
        <w:lang w:val="en-US" w:eastAsia="en-US" w:bidi="ar-SA"/>
      </w:rPr>
    </w:lvl>
    <w:lvl w:ilvl="3" w:tplc="11A2C458">
      <w:numFmt w:val="bullet"/>
      <w:lvlText w:val="•"/>
      <w:lvlJc w:val="left"/>
      <w:pPr>
        <w:ind w:left="3886" w:hanging="245"/>
      </w:pPr>
      <w:rPr>
        <w:rFonts w:hint="default"/>
        <w:lang w:val="en-US" w:eastAsia="en-US" w:bidi="ar-SA"/>
      </w:rPr>
    </w:lvl>
    <w:lvl w:ilvl="4" w:tplc="1392485C">
      <w:numFmt w:val="bullet"/>
      <w:lvlText w:val="•"/>
      <w:lvlJc w:val="left"/>
      <w:pPr>
        <w:ind w:left="4908" w:hanging="245"/>
      </w:pPr>
      <w:rPr>
        <w:rFonts w:hint="default"/>
        <w:lang w:val="en-US" w:eastAsia="en-US" w:bidi="ar-SA"/>
      </w:rPr>
    </w:lvl>
    <w:lvl w:ilvl="5" w:tplc="455EBC10">
      <w:numFmt w:val="bullet"/>
      <w:lvlText w:val="•"/>
      <w:lvlJc w:val="left"/>
      <w:pPr>
        <w:ind w:left="5930" w:hanging="245"/>
      </w:pPr>
      <w:rPr>
        <w:rFonts w:hint="default"/>
        <w:lang w:val="en-US" w:eastAsia="en-US" w:bidi="ar-SA"/>
      </w:rPr>
    </w:lvl>
    <w:lvl w:ilvl="6" w:tplc="38AEF6FC">
      <w:numFmt w:val="bullet"/>
      <w:lvlText w:val="•"/>
      <w:lvlJc w:val="left"/>
      <w:pPr>
        <w:ind w:left="6952" w:hanging="245"/>
      </w:pPr>
      <w:rPr>
        <w:rFonts w:hint="default"/>
        <w:lang w:val="en-US" w:eastAsia="en-US" w:bidi="ar-SA"/>
      </w:rPr>
    </w:lvl>
    <w:lvl w:ilvl="7" w:tplc="A2229596">
      <w:numFmt w:val="bullet"/>
      <w:lvlText w:val="•"/>
      <w:lvlJc w:val="left"/>
      <w:pPr>
        <w:ind w:left="7974" w:hanging="245"/>
      </w:pPr>
      <w:rPr>
        <w:rFonts w:hint="default"/>
        <w:lang w:val="en-US" w:eastAsia="en-US" w:bidi="ar-SA"/>
      </w:rPr>
    </w:lvl>
    <w:lvl w:ilvl="8" w:tplc="1624A416">
      <w:numFmt w:val="bullet"/>
      <w:lvlText w:val="•"/>
      <w:lvlJc w:val="left"/>
      <w:pPr>
        <w:ind w:left="8996" w:hanging="245"/>
      </w:pPr>
      <w:rPr>
        <w:rFonts w:hint="default"/>
        <w:lang w:val="en-US" w:eastAsia="en-US" w:bidi="ar-SA"/>
      </w:rPr>
    </w:lvl>
  </w:abstractNum>
  <w:abstractNum w:abstractNumId="8" w15:restartNumberingAfterBreak="0">
    <w:nsid w:val="73927ACD"/>
    <w:multiLevelType w:val="hybridMultilevel"/>
    <w:tmpl w:val="96305ABA"/>
    <w:lvl w:ilvl="0" w:tplc="F600FECC">
      <w:start w:val="1"/>
      <w:numFmt w:val="decimal"/>
      <w:lvlText w:val="%1."/>
      <w:lvlJc w:val="left"/>
      <w:pPr>
        <w:ind w:left="820" w:hanging="245"/>
        <w:jc w:val="left"/>
      </w:pPr>
      <w:rPr>
        <w:rFonts w:ascii="Arial" w:eastAsia="Arial" w:hAnsi="Arial" w:cs="Arial" w:hint="default"/>
        <w:b w:val="0"/>
        <w:bCs w:val="0"/>
        <w:i w:val="0"/>
        <w:iCs w:val="0"/>
        <w:color w:val="222222"/>
        <w:spacing w:val="-1"/>
        <w:w w:val="100"/>
        <w:sz w:val="22"/>
        <w:szCs w:val="22"/>
        <w:lang w:val="en-US" w:eastAsia="en-US" w:bidi="ar-SA"/>
      </w:rPr>
    </w:lvl>
    <w:lvl w:ilvl="1" w:tplc="7C540FB2">
      <w:numFmt w:val="bullet"/>
      <w:lvlText w:val="•"/>
      <w:lvlJc w:val="left"/>
      <w:pPr>
        <w:ind w:left="1842" w:hanging="245"/>
      </w:pPr>
      <w:rPr>
        <w:rFonts w:hint="default"/>
        <w:lang w:val="en-US" w:eastAsia="en-US" w:bidi="ar-SA"/>
      </w:rPr>
    </w:lvl>
    <w:lvl w:ilvl="2" w:tplc="79D43F7C">
      <w:numFmt w:val="bullet"/>
      <w:lvlText w:val="•"/>
      <w:lvlJc w:val="left"/>
      <w:pPr>
        <w:ind w:left="2864" w:hanging="245"/>
      </w:pPr>
      <w:rPr>
        <w:rFonts w:hint="default"/>
        <w:lang w:val="en-US" w:eastAsia="en-US" w:bidi="ar-SA"/>
      </w:rPr>
    </w:lvl>
    <w:lvl w:ilvl="3" w:tplc="E84C3B56">
      <w:numFmt w:val="bullet"/>
      <w:lvlText w:val="•"/>
      <w:lvlJc w:val="left"/>
      <w:pPr>
        <w:ind w:left="3886" w:hanging="245"/>
      </w:pPr>
      <w:rPr>
        <w:rFonts w:hint="default"/>
        <w:lang w:val="en-US" w:eastAsia="en-US" w:bidi="ar-SA"/>
      </w:rPr>
    </w:lvl>
    <w:lvl w:ilvl="4" w:tplc="CC80F0BA">
      <w:numFmt w:val="bullet"/>
      <w:lvlText w:val="•"/>
      <w:lvlJc w:val="left"/>
      <w:pPr>
        <w:ind w:left="4908" w:hanging="245"/>
      </w:pPr>
      <w:rPr>
        <w:rFonts w:hint="default"/>
        <w:lang w:val="en-US" w:eastAsia="en-US" w:bidi="ar-SA"/>
      </w:rPr>
    </w:lvl>
    <w:lvl w:ilvl="5" w:tplc="92F2F836">
      <w:numFmt w:val="bullet"/>
      <w:lvlText w:val="•"/>
      <w:lvlJc w:val="left"/>
      <w:pPr>
        <w:ind w:left="5930" w:hanging="245"/>
      </w:pPr>
      <w:rPr>
        <w:rFonts w:hint="default"/>
        <w:lang w:val="en-US" w:eastAsia="en-US" w:bidi="ar-SA"/>
      </w:rPr>
    </w:lvl>
    <w:lvl w:ilvl="6" w:tplc="D362E644">
      <w:numFmt w:val="bullet"/>
      <w:lvlText w:val="•"/>
      <w:lvlJc w:val="left"/>
      <w:pPr>
        <w:ind w:left="6952" w:hanging="245"/>
      </w:pPr>
      <w:rPr>
        <w:rFonts w:hint="default"/>
        <w:lang w:val="en-US" w:eastAsia="en-US" w:bidi="ar-SA"/>
      </w:rPr>
    </w:lvl>
    <w:lvl w:ilvl="7" w:tplc="4F1449EE">
      <w:numFmt w:val="bullet"/>
      <w:lvlText w:val="•"/>
      <w:lvlJc w:val="left"/>
      <w:pPr>
        <w:ind w:left="7974" w:hanging="245"/>
      </w:pPr>
      <w:rPr>
        <w:rFonts w:hint="default"/>
        <w:lang w:val="en-US" w:eastAsia="en-US" w:bidi="ar-SA"/>
      </w:rPr>
    </w:lvl>
    <w:lvl w:ilvl="8" w:tplc="98CA11EA">
      <w:numFmt w:val="bullet"/>
      <w:lvlText w:val="•"/>
      <w:lvlJc w:val="left"/>
      <w:pPr>
        <w:ind w:left="8996" w:hanging="245"/>
      </w:pPr>
      <w:rPr>
        <w:rFonts w:hint="default"/>
        <w:lang w:val="en-US" w:eastAsia="en-US" w:bidi="ar-SA"/>
      </w:rPr>
    </w:lvl>
  </w:abstractNum>
  <w:abstractNum w:abstractNumId="9" w15:restartNumberingAfterBreak="0">
    <w:nsid w:val="7D073D1B"/>
    <w:multiLevelType w:val="hybridMultilevel"/>
    <w:tmpl w:val="0D4C86FC"/>
    <w:lvl w:ilvl="0" w:tplc="11404558">
      <w:start w:val="1"/>
      <w:numFmt w:val="decimal"/>
      <w:lvlText w:val="%1."/>
      <w:lvlJc w:val="left"/>
      <w:pPr>
        <w:ind w:left="820" w:hanging="551"/>
        <w:jc w:val="left"/>
      </w:pPr>
      <w:rPr>
        <w:rFonts w:ascii="Arial" w:eastAsia="Arial" w:hAnsi="Arial" w:cs="Arial" w:hint="default"/>
        <w:b w:val="0"/>
        <w:bCs w:val="0"/>
        <w:i w:val="0"/>
        <w:iCs w:val="0"/>
        <w:color w:val="222222"/>
        <w:spacing w:val="-1"/>
        <w:w w:val="100"/>
        <w:sz w:val="22"/>
        <w:szCs w:val="22"/>
        <w:lang w:val="en-US" w:eastAsia="en-US" w:bidi="ar-SA"/>
      </w:rPr>
    </w:lvl>
    <w:lvl w:ilvl="1" w:tplc="CF1262EC">
      <w:numFmt w:val="bullet"/>
      <w:lvlText w:val="•"/>
      <w:lvlJc w:val="left"/>
      <w:pPr>
        <w:ind w:left="1842" w:hanging="551"/>
      </w:pPr>
      <w:rPr>
        <w:rFonts w:hint="default"/>
        <w:lang w:val="en-US" w:eastAsia="en-US" w:bidi="ar-SA"/>
      </w:rPr>
    </w:lvl>
    <w:lvl w:ilvl="2" w:tplc="5F8E1E76">
      <w:numFmt w:val="bullet"/>
      <w:lvlText w:val="•"/>
      <w:lvlJc w:val="left"/>
      <w:pPr>
        <w:ind w:left="2864" w:hanging="551"/>
      </w:pPr>
      <w:rPr>
        <w:rFonts w:hint="default"/>
        <w:lang w:val="en-US" w:eastAsia="en-US" w:bidi="ar-SA"/>
      </w:rPr>
    </w:lvl>
    <w:lvl w:ilvl="3" w:tplc="015A22B2">
      <w:numFmt w:val="bullet"/>
      <w:lvlText w:val="•"/>
      <w:lvlJc w:val="left"/>
      <w:pPr>
        <w:ind w:left="3886" w:hanging="551"/>
      </w:pPr>
      <w:rPr>
        <w:rFonts w:hint="default"/>
        <w:lang w:val="en-US" w:eastAsia="en-US" w:bidi="ar-SA"/>
      </w:rPr>
    </w:lvl>
    <w:lvl w:ilvl="4" w:tplc="529245FE">
      <w:numFmt w:val="bullet"/>
      <w:lvlText w:val="•"/>
      <w:lvlJc w:val="left"/>
      <w:pPr>
        <w:ind w:left="4908" w:hanging="551"/>
      </w:pPr>
      <w:rPr>
        <w:rFonts w:hint="default"/>
        <w:lang w:val="en-US" w:eastAsia="en-US" w:bidi="ar-SA"/>
      </w:rPr>
    </w:lvl>
    <w:lvl w:ilvl="5" w:tplc="882C88DC">
      <w:numFmt w:val="bullet"/>
      <w:lvlText w:val="•"/>
      <w:lvlJc w:val="left"/>
      <w:pPr>
        <w:ind w:left="5930" w:hanging="551"/>
      </w:pPr>
      <w:rPr>
        <w:rFonts w:hint="default"/>
        <w:lang w:val="en-US" w:eastAsia="en-US" w:bidi="ar-SA"/>
      </w:rPr>
    </w:lvl>
    <w:lvl w:ilvl="6" w:tplc="08D42046">
      <w:numFmt w:val="bullet"/>
      <w:lvlText w:val="•"/>
      <w:lvlJc w:val="left"/>
      <w:pPr>
        <w:ind w:left="6952" w:hanging="551"/>
      </w:pPr>
      <w:rPr>
        <w:rFonts w:hint="default"/>
        <w:lang w:val="en-US" w:eastAsia="en-US" w:bidi="ar-SA"/>
      </w:rPr>
    </w:lvl>
    <w:lvl w:ilvl="7" w:tplc="95929AC8">
      <w:numFmt w:val="bullet"/>
      <w:lvlText w:val="•"/>
      <w:lvlJc w:val="left"/>
      <w:pPr>
        <w:ind w:left="7974" w:hanging="551"/>
      </w:pPr>
      <w:rPr>
        <w:rFonts w:hint="default"/>
        <w:lang w:val="en-US" w:eastAsia="en-US" w:bidi="ar-SA"/>
      </w:rPr>
    </w:lvl>
    <w:lvl w:ilvl="8" w:tplc="8E7EE5AC">
      <w:numFmt w:val="bullet"/>
      <w:lvlText w:val="•"/>
      <w:lvlJc w:val="left"/>
      <w:pPr>
        <w:ind w:left="8996" w:hanging="551"/>
      </w:pPr>
      <w:rPr>
        <w:rFonts w:hint="default"/>
        <w:lang w:val="en-US" w:eastAsia="en-US" w:bidi="ar-SA"/>
      </w:rPr>
    </w:lvl>
  </w:abstractNum>
  <w:abstractNum w:abstractNumId="10" w15:restartNumberingAfterBreak="0">
    <w:nsid w:val="7D906240"/>
    <w:multiLevelType w:val="hybridMultilevel"/>
    <w:tmpl w:val="1CB6F050"/>
    <w:lvl w:ilvl="0" w:tplc="CF58FE4A">
      <w:start w:val="1"/>
      <w:numFmt w:val="decimal"/>
      <w:lvlText w:val="%1."/>
      <w:lvlJc w:val="left"/>
      <w:pPr>
        <w:ind w:left="344" w:hanging="245"/>
      </w:pPr>
      <w:rPr>
        <w:rFonts w:ascii="Arial" w:eastAsia="Arial" w:hAnsi="Arial" w:cs="Arial" w:hint="default"/>
        <w:b w:val="0"/>
        <w:bCs w:val="0"/>
        <w:i w:val="0"/>
        <w:iCs w:val="0"/>
        <w:color w:val="222222"/>
        <w:spacing w:val="-1"/>
        <w:w w:val="100"/>
        <w:sz w:val="22"/>
        <w:szCs w:val="22"/>
        <w:lang w:val="en-US" w:eastAsia="en-US" w:bidi="ar-SA"/>
      </w:rPr>
    </w:lvl>
    <w:lvl w:ilvl="1" w:tplc="F1422D14">
      <w:numFmt w:val="bullet"/>
      <w:lvlText w:val="•"/>
      <w:lvlJc w:val="left"/>
      <w:pPr>
        <w:ind w:left="1262" w:hanging="245"/>
      </w:pPr>
      <w:rPr>
        <w:lang w:val="en-US" w:eastAsia="en-US" w:bidi="ar-SA"/>
      </w:rPr>
    </w:lvl>
    <w:lvl w:ilvl="2" w:tplc="D27A5338">
      <w:numFmt w:val="bullet"/>
      <w:lvlText w:val="•"/>
      <w:lvlJc w:val="left"/>
      <w:pPr>
        <w:ind w:left="2184" w:hanging="245"/>
      </w:pPr>
      <w:rPr>
        <w:lang w:val="en-US" w:eastAsia="en-US" w:bidi="ar-SA"/>
      </w:rPr>
    </w:lvl>
    <w:lvl w:ilvl="3" w:tplc="FC002C90">
      <w:numFmt w:val="bullet"/>
      <w:lvlText w:val="•"/>
      <w:lvlJc w:val="left"/>
      <w:pPr>
        <w:ind w:left="3106" w:hanging="245"/>
      </w:pPr>
      <w:rPr>
        <w:lang w:val="en-US" w:eastAsia="en-US" w:bidi="ar-SA"/>
      </w:rPr>
    </w:lvl>
    <w:lvl w:ilvl="4" w:tplc="1D56C096">
      <w:numFmt w:val="bullet"/>
      <w:lvlText w:val="•"/>
      <w:lvlJc w:val="left"/>
      <w:pPr>
        <w:ind w:left="4028" w:hanging="245"/>
      </w:pPr>
      <w:rPr>
        <w:lang w:val="en-US" w:eastAsia="en-US" w:bidi="ar-SA"/>
      </w:rPr>
    </w:lvl>
    <w:lvl w:ilvl="5" w:tplc="E452B820">
      <w:numFmt w:val="bullet"/>
      <w:lvlText w:val="•"/>
      <w:lvlJc w:val="left"/>
      <w:pPr>
        <w:ind w:left="4950" w:hanging="245"/>
      </w:pPr>
      <w:rPr>
        <w:lang w:val="en-US" w:eastAsia="en-US" w:bidi="ar-SA"/>
      </w:rPr>
    </w:lvl>
    <w:lvl w:ilvl="6" w:tplc="21CAB972">
      <w:numFmt w:val="bullet"/>
      <w:lvlText w:val="•"/>
      <w:lvlJc w:val="left"/>
      <w:pPr>
        <w:ind w:left="5872" w:hanging="245"/>
      </w:pPr>
      <w:rPr>
        <w:lang w:val="en-US" w:eastAsia="en-US" w:bidi="ar-SA"/>
      </w:rPr>
    </w:lvl>
    <w:lvl w:ilvl="7" w:tplc="D2A6BF76">
      <w:numFmt w:val="bullet"/>
      <w:lvlText w:val="•"/>
      <w:lvlJc w:val="left"/>
      <w:pPr>
        <w:ind w:left="6794" w:hanging="245"/>
      </w:pPr>
      <w:rPr>
        <w:lang w:val="en-US" w:eastAsia="en-US" w:bidi="ar-SA"/>
      </w:rPr>
    </w:lvl>
    <w:lvl w:ilvl="8" w:tplc="AE708154">
      <w:numFmt w:val="bullet"/>
      <w:lvlText w:val="•"/>
      <w:lvlJc w:val="left"/>
      <w:pPr>
        <w:ind w:left="7716" w:hanging="245"/>
      </w:pPr>
      <w:rPr>
        <w:lang w:val="en-US" w:eastAsia="en-US" w:bidi="ar-SA"/>
      </w:rPr>
    </w:lvl>
  </w:abstractNum>
  <w:num w:numId="1" w16cid:durableId="2071996850">
    <w:abstractNumId w:val="7"/>
  </w:num>
  <w:num w:numId="2" w16cid:durableId="231358903">
    <w:abstractNumId w:val="1"/>
  </w:num>
  <w:num w:numId="3" w16cid:durableId="371465357">
    <w:abstractNumId w:val="4"/>
  </w:num>
  <w:num w:numId="4" w16cid:durableId="1257396402">
    <w:abstractNumId w:val="0"/>
  </w:num>
  <w:num w:numId="5" w16cid:durableId="1754932867">
    <w:abstractNumId w:val="8"/>
  </w:num>
  <w:num w:numId="6" w16cid:durableId="1775663861">
    <w:abstractNumId w:val="9"/>
  </w:num>
  <w:num w:numId="7" w16cid:durableId="374619868">
    <w:abstractNumId w:val="6"/>
  </w:num>
  <w:num w:numId="8" w16cid:durableId="771823480">
    <w:abstractNumId w:val="2"/>
  </w:num>
  <w:num w:numId="9" w16cid:durableId="135542546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1234663797">
    <w:abstractNumId w:val="10"/>
    <w:lvlOverride w:ilvl="0">
      <w:startOverride w:val="1"/>
    </w:lvlOverride>
    <w:lvlOverride w:ilvl="1"/>
    <w:lvlOverride w:ilvl="2"/>
    <w:lvlOverride w:ilvl="3"/>
    <w:lvlOverride w:ilvl="4"/>
    <w:lvlOverride w:ilvl="5"/>
    <w:lvlOverride w:ilvl="6"/>
    <w:lvlOverride w:ilvl="7"/>
    <w:lvlOverride w:ilvl="8"/>
  </w:num>
  <w:num w:numId="11" w16cid:durableId="124433832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C66"/>
    <w:rsid w:val="002C67AC"/>
    <w:rsid w:val="0080625D"/>
    <w:rsid w:val="009F23DA"/>
    <w:rsid w:val="00AB0C66"/>
    <w:rsid w:val="00AD4DEF"/>
    <w:rsid w:val="00B0285D"/>
    <w:rsid w:val="00B071A6"/>
    <w:rsid w:val="00E211CC"/>
    <w:rsid w:val="00E85EAE"/>
    <w:rsid w:val="00E90A3F"/>
    <w:rsid w:val="00EB788A"/>
    <w:rsid w:val="00EC5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5338"/>
  <w15:chartTrackingRefBased/>
  <w15:docId w15:val="{4391D0C1-1FA5-43F4-8005-C236FE9A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3DA"/>
    <w:rPr>
      <w:kern w:val="0"/>
      <w14:ligatures w14:val="none"/>
    </w:rPr>
  </w:style>
  <w:style w:type="paragraph" w:styleId="Heading1">
    <w:name w:val="heading 1"/>
    <w:basedOn w:val="Normal"/>
    <w:next w:val="Normal"/>
    <w:link w:val="Heading1Char"/>
    <w:uiPriority w:val="9"/>
    <w:qFormat/>
    <w:rsid w:val="00AB0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AB0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C66"/>
    <w:rPr>
      <w:rFonts w:eastAsiaTheme="majorEastAsia" w:cstheme="majorBidi"/>
      <w:color w:val="272727" w:themeColor="text1" w:themeTint="D8"/>
    </w:rPr>
  </w:style>
  <w:style w:type="paragraph" w:styleId="Title">
    <w:name w:val="Title"/>
    <w:basedOn w:val="Normal"/>
    <w:next w:val="Normal"/>
    <w:link w:val="TitleChar"/>
    <w:uiPriority w:val="10"/>
    <w:qFormat/>
    <w:rsid w:val="00AB0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C66"/>
    <w:pPr>
      <w:spacing w:before="160"/>
      <w:jc w:val="center"/>
    </w:pPr>
    <w:rPr>
      <w:i/>
      <w:iCs/>
      <w:color w:val="404040" w:themeColor="text1" w:themeTint="BF"/>
    </w:rPr>
  </w:style>
  <w:style w:type="character" w:customStyle="1" w:styleId="QuoteChar">
    <w:name w:val="Quote Char"/>
    <w:basedOn w:val="DefaultParagraphFont"/>
    <w:link w:val="Quote"/>
    <w:uiPriority w:val="29"/>
    <w:rsid w:val="00AB0C66"/>
    <w:rPr>
      <w:i/>
      <w:iCs/>
      <w:color w:val="404040" w:themeColor="text1" w:themeTint="BF"/>
    </w:rPr>
  </w:style>
  <w:style w:type="paragraph" w:styleId="ListParagraph">
    <w:name w:val="List Paragraph"/>
    <w:basedOn w:val="Normal"/>
    <w:uiPriority w:val="1"/>
    <w:qFormat/>
    <w:rsid w:val="00AB0C66"/>
    <w:pPr>
      <w:ind w:left="720"/>
      <w:contextualSpacing/>
    </w:pPr>
  </w:style>
  <w:style w:type="character" w:styleId="IntenseEmphasis">
    <w:name w:val="Intense Emphasis"/>
    <w:basedOn w:val="DefaultParagraphFont"/>
    <w:uiPriority w:val="21"/>
    <w:qFormat/>
    <w:rsid w:val="00AB0C66"/>
    <w:rPr>
      <w:i/>
      <w:iCs/>
      <w:color w:val="0F4761" w:themeColor="accent1" w:themeShade="BF"/>
    </w:rPr>
  </w:style>
  <w:style w:type="paragraph" w:styleId="IntenseQuote">
    <w:name w:val="Intense Quote"/>
    <w:basedOn w:val="Normal"/>
    <w:next w:val="Normal"/>
    <w:link w:val="IntenseQuoteChar"/>
    <w:uiPriority w:val="30"/>
    <w:qFormat/>
    <w:rsid w:val="00AB0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C66"/>
    <w:rPr>
      <w:i/>
      <w:iCs/>
      <w:color w:val="0F4761" w:themeColor="accent1" w:themeShade="BF"/>
    </w:rPr>
  </w:style>
  <w:style w:type="character" w:styleId="IntenseReference">
    <w:name w:val="Intense Reference"/>
    <w:basedOn w:val="DefaultParagraphFont"/>
    <w:uiPriority w:val="32"/>
    <w:qFormat/>
    <w:rsid w:val="00AB0C66"/>
    <w:rPr>
      <w:b/>
      <w:bCs/>
      <w:smallCaps/>
      <w:color w:val="0F4761" w:themeColor="accent1" w:themeShade="BF"/>
      <w:spacing w:val="5"/>
    </w:rPr>
  </w:style>
  <w:style w:type="paragraph" w:styleId="BodyText">
    <w:name w:val="Body Text"/>
    <w:basedOn w:val="Normal"/>
    <w:link w:val="BodyTextChar"/>
    <w:uiPriority w:val="1"/>
    <w:qFormat/>
    <w:rsid w:val="00E211CC"/>
    <w:pPr>
      <w:widowControl w:val="0"/>
      <w:autoSpaceDE w:val="0"/>
      <w:autoSpaceDN w:val="0"/>
      <w:spacing w:after="0" w:line="240" w:lineRule="auto"/>
      <w:ind w:left="820"/>
    </w:pPr>
    <w:rPr>
      <w:rFonts w:ascii="Arial" w:eastAsia="Arial" w:hAnsi="Arial" w:cs="Arial"/>
      <w:lang w:val="en-US"/>
    </w:rPr>
  </w:style>
  <w:style w:type="character" w:customStyle="1" w:styleId="BodyTextChar">
    <w:name w:val="Body Text Char"/>
    <w:basedOn w:val="DefaultParagraphFont"/>
    <w:link w:val="BodyText"/>
    <w:uiPriority w:val="1"/>
    <w:rsid w:val="00E211CC"/>
    <w:rPr>
      <w:rFonts w:ascii="Arial" w:eastAsia="Arial" w:hAnsi="Arial" w:cs="Arial"/>
      <w:kern w:val="0"/>
      <w:lang w:val="en-US"/>
      <w14:ligatures w14:val="none"/>
    </w:rPr>
  </w:style>
  <w:style w:type="paragraph" w:customStyle="1" w:styleId="TableParagraph">
    <w:name w:val="Table Paragraph"/>
    <w:basedOn w:val="Normal"/>
    <w:uiPriority w:val="1"/>
    <w:qFormat/>
    <w:rsid w:val="00E211CC"/>
    <w:pPr>
      <w:widowControl w:val="0"/>
      <w:autoSpaceDE w:val="0"/>
      <w:autoSpaceDN w:val="0"/>
      <w:spacing w:before="100" w:after="0" w:line="240" w:lineRule="auto"/>
      <w:ind w:left="100"/>
    </w:pPr>
    <w:rPr>
      <w:rFonts w:ascii="Arial" w:eastAsia="Arial" w:hAnsi="Arial" w:cs="Arial"/>
      <w:lang w:val="en-US"/>
    </w:rPr>
  </w:style>
  <w:style w:type="character" w:styleId="Hyperlink">
    <w:name w:val="Hyperlink"/>
    <w:basedOn w:val="DefaultParagraphFont"/>
    <w:uiPriority w:val="99"/>
    <w:semiHidden/>
    <w:unhideWhenUsed/>
    <w:rsid w:val="00E211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781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nas.org/doi/abs/10.1073/pnas.2311219120)"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orxiv.org/content/10.1101/2024.06.18.599625v1)" TargetMode="External"/><Relationship Id="rId1" Type="http://schemas.openxmlformats.org/officeDocument/2006/relationships/numbering" Target="numbering.xml"/><Relationship Id="rId6" Type="http://schemas.openxmlformats.org/officeDocument/2006/relationships/hyperlink" Target="http://www.biorxiv.org/content/10.1101/2023.07.19.549677v2.abstract)" TargetMode="External"/><Relationship Id="rId11" Type="http://schemas.openxmlformats.org/officeDocument/2006/relationships/image" Target="media/image4.png"/><Relationship Id="rId5" Type="http://schemas.openxmlformats.org/officeDocument/2006/relationships/hyperlink" Target="http://www.nature.com/articles/s41576-021-00434-9" TargetMode="External"/><Relationship Id="rId15" Type="http://schemas.openxmlformats.org/officeDocument/2006/relationships/hyperlink" Target="http://www.biorxiv.org/content/10.1101/2024.06.18.599625v1)"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biorxiv.org/content/10.1101/2024.06.18.599625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31</Pages>
  <Words>14077</Words>
  <Characters>80240</Characters>
  <Application>Microsoft Office Word</Application>
  <DocSecurity>0</DocSecurity>
  <Lines>668</Lines>
  <Paragraphs>188</Paragraphs>
  <ScaleCrop>false</ScaleCrop>
  <Company>Springer Nature</Company>
  <LinksUpToDate>false</LinksUpToDate>
  <CharactersWithSpaces>94129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8</cp:revision>
  <dcterms:created xsi:type="dcterms:W3CDTF">2024-07-10T13:47:00Z</dcterms:created>
  <dcterms:modified xsi:type="dcterms:W3CDTF">2024-07-10T14:08:00Z</dcterms:modified>
</cp:coreProperties>
</file>