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0FB1C" w14:textId="553B6638" w:rsidR="00020F7B" w:rsidRDefault="00020F7B" w:rsidP="00386CD4">
      <w:pPr>
        <w:spacing w:line="360" w:lineRule="auto"/>
        <w:rPr>
          <w:b/>
          <w:bCs/>
          <w:lang w:val="en-CA"/>
        </w:rPr>
      </w:pPr>
      <w:r>
        <w:rPr>
          <w:b/>
          <w:bCs/>
          <w:noProof/>
          <w:lang w:val="en-CA"/>
        </w:rPr>
        <w:drawing>
          <wp:inline distT="0" distB="0" distL="0" distR="0" wp14:anchorId="40FDDDA1" wp14:editId="049B4F3C">
            <wp:extent cx="3609340" cy="3127375"/>
            <wp:effectExtent l="0" t="0" r="0" b="0"/>
            <wp:docPr id="1720370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FA0B02" w14:textId="06A0EB56" w:rsidR="00386CD4" w:rsidRDefault="00386CD4" w:rsidP="00386CD4">
      <w:pPr>
        <w:spacing w:line="360" w:lineRule="auto"/>
        <w:rPr>
          <w:b/>
          <w:bCs/>
          <w:lang w:val="en-CA"/>
        </w:rPr>
      </w:pPr>
      <w:r w:rsidRPr="00D0117E">
        <w:rPr>
          <w:b/>
          <w:bCs/>
          <w:lang w:val="en-CA"/>
        </w:rPr>
        <w:t xml:space="preserve">Figure </w:t>
      </w:r>
      <w:r>
        <w:rPr>
          <w:b/>
          <w:bCs/>
          <w:lang w:val="en-CA"/>
        </w:rPr>
        <w:t xml:space="preserve">S1. GC content in the open reading frame. </w:t>
      </w:r>
    </w:p>
    <w:p w14:paraId="608524BD" w14:textId="77777777" w:rsidR="00386CD4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>T</w:t>
      </w:r>
      <w:r w:rsidRPr="008D4AC5">
        <w:rPr>
          <w:lang w:val="en-CA"/>
        </w:rPr>
        <w:t xml:space="preserve">he average GC-content </w:t>
      </w:r>
      <w:r>
        <w:rPr>
          <w:lang w:val="en-CA"/>
        </w:rPr>
        <w:t>for all human protein coding genes</w:t>
      </w:r>
      <w:r w:rsidRPr="008D4AC5">
        <w:rPr>
          <w:lang w:val="en-CA"/>
        </w:rPr>
        <w:t xml:space="preserve"> (</w:t>
      </w:r>
      <w:r w:rsidRPr="000D1B7E">
        <w:rPr>
          <w:i/>
          <w:iCs/>
          <w:lang w:val="en-CA"/>
        </w:rPr>
        <w:t>y-axis</w:t>
      </w:r>
      <w:r w:rsidRPr="008D4AC5">
        <w:rPr>
          <w:lang w:val="en-CA"/>
        </w:rPr>
        <w:t xml:space="preserve">) was plotted against the normalized </w:t>
      </w:r>
      <w:r>
        <w:rPr>
          <w:lang w:val="en-CA"/>
        </w:rPr>
        <w:t xml:space="preserve">open reading frame length </w:t>
      </w:r>
      <w:r w:rsidRPr="008D4AC5">
        <w:rPr>
          <w:lang w:val="en-CA"/>
        </w:rPr>
        <w:t xml:space="preserve">(from 5’ end to 3’ end in 20 bins; </w:t>
      </w:r>
      <w:r w:rsidRPr="000D1B7E">
        <w:rPr>
          <w:i/>
          <w:iCs/>
          <w:lang w:val="en-CA"/>
        </w:rPr>
        <w:t>x-axis</w:t>
      </w:r>
      <w:r w:rsidRPr="008D4AC5">
        <w:rPr>
          <w:lang w:val="en-CA"/>
        </w:rPr>
        <w:t>)</w:t>
      </w:r>
      <w:r>
        <w:rPr>
          <w:lang w:val="en-CA"/>
        </w:rPr>
        <w:t>, further divided into genes that contain a signal sequence coding region (</w:t>
      </w:r>
      <w:r w:rsidRPr="00ED7C5F">
        <w:rPr>
          <w:lang w:val="en-CA"/>
        </w:rPr>
        <w:t>N=</w:t>
      </w:r>
      <w:r>
        <w:rPr>
          <w:lang w:val="en-CA"/>
        </w:rPr>
        <w:t>5754) and those without (</w:t>
      </w:r>
      <w:r w:rsidRPr="00ED7C5F">
        <w:rPr>
          <w:lang w:val="en-CA"/>
        </w:rPr>
        <w:t>N=</w:t>
      </w:r>
      <w:r>
        <w:rPr>
          <w:lang w:val="en-CA"/>
        </w:rPr>
        <w:t xml:space="preserve">17627). </w:t>
      </w:r>
    </w:p>
    <w:p w14:paraId="6EDF5EC5" w14:textId="2046EC54" w:rsidR="00935F1C" w:rsidRDefault="00935F1C">
      <w:pPr>
        <w:widowControl/>
        <w:spacing w:after="160" w:line="360" w:lineRule="auto"/>
        <w:rPr>
          <w:b/>
          <w:bCs/>
          <w:lang w:val="en-CA"/>
        </w:rPr>
      </w:pPr>
      <w:r>
        <w:rPr>
          <w:b/>
          <w:bCs/>
          <w:lang w:val="en-CA"/>
        </w:rPr>
        <w:br w:type="page"/>
      </w:r>
    </w:p>
    <w:p w14:paraId="5BE527DC" w14:textId="77777777" w:rsidR="00386CD4" w:rsidRDefault="00386CD4" w:rsidP="00386CD4">
      <w:pPr>
        <w:spacing w:line="360" w:lineRule="auto"/>
        <w:rPr>
          <w:b/>
          <w:bCs/>
          <w:lang w:val="en-CA"/>
        </w:rPr>
      </w:pPr>
    </w:p>
    <w:p w14:paraId="2A1F063E" w14:textId="302B5E25" w:rsidR="00020F7B" w:rsidRPr="00D0117E" w:rsidRDefault="00935F1C" w:rsidP="00386CD4">
      <w:pPr>
        <w:spacing w:line="360" w:lineRule="auto"/>
        <w:rPr>
          <w:b/>
          <w:bCs/>
          <w:lang w:val="en-CA"/>
        </w:rPr>
      </w:pPr>
      <w:r>
        <w:rPr>
          <w:b/>
          <w:bCs/>
          <w:noProof/>
          <w:lang w:val="en-CA"/>
        </w:rPr>
        <w:drawing>
          <wp:inline distT="0" distB="0" distL="0" distR="0" wp14:anchorId="3E77C6A8" wp14:editId="0136F87F">
            <wp:extent cx="5734800" cy="3376800"/>
            <wp:effectExtent l="0" t="0" r="0" b="0"/>
            <wp:docPr id="4363895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00" cy="33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38BEE" w14:textId="5E43DADF" w:rsidR="00386CD4" w:rsidRDefault="00386CD4" w:rsidP="00386CD4">
      <w:pPr>
        <w:spacing w:line="360" w:lineRule="auto"/>
        <w:rPr>
          <w:b/>
          <w:bCs/>
          <w:lang w:val="en-CA"/>
        </w:rPr>
      </w:pPr>
      <w:r w:rsidRPr="00D0117E">
        <w:rPr>
          <w:b/>
          <w:bCs/>
          <w:lang w:val="en-CA"/>
        </w:rPr>
        <w:t xml:space="preserve">Figure </w:t>
      </w:r>
      <w:r>
        <w:rPr>
          <w:b/>
          <w:bCs/>
          <w:lang w:val="en-CA"/>
        </w:rPr>
        <w:t>S2. Transition substitution numbers and rates surrounding</w:t>
      </w:r>
      <w:r w:rsidRPr="0059157A">
        <w:rPr>
          <w:b/>
          <w:bCs/>
          <w:lang w:val="en-CA"/>
        </w:rPr>
        <w:t xml:space="preserve"> TSSs </w:t>
      </w:r>
      <w:r>
        <w:rPr>
          <w:b/>
          <w:bCs/>
          <w:lang w:val="en-CA"/>
        </w:rPr>
        <w:t xml:space="preserve">from various mammalian genomes </w:t>
      </w:r>
      <w:r w:rsidRPr="0059157A">
        <w:rPr>
          <w:b/>
          <w:bCs/>
          <w:lang w:val="en-CA"/>
        </w:rPr>
        <w:t>according to comparative phylogenetic analys</w:t>
      </w:r>
      <w:r>
        <w:rPr>
          <w:b/>
          <w:bCs/>
          <w:lang w:val="en-CA"/>
        </w:rPr>
        <w:t>es.</w:t>
      </w:r>
    </w:p>
    <w:p w14:paraId="5C5BCD5A" w14:textId="77777777" w:rsidR="00386CD4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 xml:space="preserve">A-F) </w:t>
      </w:r>
      <w:r w:rsidRPr="00C71EBC">
        <w:rPr>
          <w:lang w:val="en-CA"/>
        </w:rPr>
        <w:t>Average number of A to G (orange), T to C (yellow), G to A (blue) and C to T (purple) substitutions</w:t>
      </w:r>
      <w:r>
        <w:rPr>
          <w:lang w:val="en-CA"/>
        </w:rPr>
        <w:t xml:space="preserve"> in human (A), chimpanzee (B), mouse (C), rat (D), dox (E), and fox (F) divided by the number of genes analyzed (</w:t>
      </w:r>
      <w:r w:rsidRPr="000D1B7E">
        <w:rPr>
          <w:i/>
          <w:iCs/>
          <w:lang w:val="en-CA"/>
        </w:rPr>
        <w:t>y-axis</w:t>
      </w:r>
      <w:r>
        <w:rPr>
          <w:lang w:val="en-CA"/>
        </w:rPr>
        <w:t>) using a sliding window of 100 bp and plotted along genomic regions surrounding the TSS (</w:t>
      </w:r>
      <w:r w:rsidRPr="000D1B7E">
        <w:rPr>
          <w:i/>
          <w:iCs/>
          <w:lang w:val="en-CA"/>
        </w:rPr>
        <w:t>x-axis</w:t>
      </w:r>
      <w:r>
        <w:rPr>
          <w:lang w:val="en-CA"/>
        </w:rPr>
        <w:t>).</w:t>
      </w:r>
    </w:p>
    <w:p w14:paraId="48E1CFC2" w14:textId="77777777" w:rsidR="00386CD4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 xml:space="preserve">G-L) </w:t>
      </w:r>
      <w:r w:rsidRPr="00C71EBC">
        <w:rPr>
          <w:lang w:val="en-CA"/>
        </w:rPr>
        <w:t>Rates of each substitution</w:t>
      </w:r>
      <w:r>
        <w:rPr>
          <w:lang w:val="en-CA"/>
        </w:rPr>
        <w:t xml:space="preserve"> (number of nucleotide substitutions/total mutable nucleotides, </w:t>
      </w:r>
      <w:r>
        <w:t>e.g., [G to A]/[G]</w:t>
      </w:r>
      <w:r>
        <w:rPr>
          <w:lang w:val="en-CA"/>
        </w:rPr>
        <w:t>) from A-F</w:t>
      </w:r>
      <w:r w:rsidRPr="00C71EBC">
        <w:rPr>
          <w:lang w:val="en-CA"/>
        </w:rPr>
        <w:t xml:space="preserve"> were plotted around the TSS </w:t>
      </w:r>
      <w:r>
        <w:rPr>
          <w:lang w:val="en-CA"/>
        </w:rPr>
        <w:t>for the species indicated.</w:t>
      </w:r>
    </w:p>
    <w:p w14:paraId="19EC2C0E" w14:textId="77777777" w:rsidR="00386CD4" w:rsidRDefault="00386CD4" w:rsidP="00386CD4">
      <w:pPr>
        <w:spacing w:line="360" w:lineRule="auto"/>
        <w:rPr>
          <w:lang w:val="en-CA"/>
        </w:rPr>
      </w:pPr>
    </w:p>
    <w:p w14:paraId="297241DE" w14:textId="0AE1C783" w:rsidR="00AA15B1" w:rsidRPr="00C71EBC" w:rsidRDefault="00AA15B1" w:rsidP="00386CD4">
      <w:pPr>
        <w:spacing w:line="360" w:lineRule="auto"/>
        <w:rPr>
          <w:lang w:val="en-CA"/>
        </w:rPr>
      </w:pPr>
      <w:r>
        <w:rPr>
          <w:noProof/>
          <w:lang w:val="en-CA"/>
        </w:rPr>
        <w:lastRenderedPageBreak/>
        <w:drawing>
          <wp:inline distT="0" distB="0" distL="0" distR="0" wp14:anchorId="328E6F8E" wp14:editId="12AF956E">
            <wp:extent cx="6080400" cy="8215200"/>
            <wp:effectExtent l="0" t="0" r="0" b="0"/>
            <wp:docPr id="681831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400" cy="82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2E21D" w14:textId="52F4253F" w:rsidR="00386CD4" w:rsidRPr="0059157A" w:rsidRDefault="00386CD4" w:rsidP="00386CD4">
      <w:pPr>
        <w:spacing w:line="360" w:lineRule="auto"/>
        <w:rPr>
          <w:b/>
          <w:bCs/>
          <w:lang w:val="en-CA"/>
        </w:rPr>
      </w:pPr>
      <w:r w:rsidRPr="00D0117E">
        <w:rPr>
          <w:b/>
          <w:bCs/>
          <w:lang w:val="en-CA"/>
        </w:rPr>
        <w:lastRenderedPageBreak/>
        <w:t xml:space="preserve">Figure </w:t>
      </w:r>
      <w:r>
        <w:rPr>
          <w:b/>
          <w:bCs/>
          <w:lang w:val="en-CA"/>
        </w:rPr>
        <w:t xml:space="preserve">S3. </w:t>
      </w:r>
      <w:r w:rsidRPr="0059157A">
        <w:rPr>
          <w:b/>
          <w:bCs/>
          <w:lang w:val="en-CA"/>
        </w:rPr>
        <w:t xml:space="preserve">Changes in GC-content </w:t>
      </w:r>
      <w:r>
        <w:rPr>
          <w:b/>
          <w:bCs/>
          <w:lang w:val="en-CA"/>
        </w:rPr>
        <w:t>surrounding</w:t>
      </w:r>
      <w:r w:rsidRPr="0059157A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>intergenic regions</w:t>
      </w:r>
      <w:r w:rsidRPr="0059157A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 xml:space="preserve">from various mammalian genomes </w:t>
      </w:r>
      <w:r w:rsidRPr="0059157A">
        <w:rPr>
          <w:b/>
          <w:bCs/>
          <w:lang w:val="en-CA"/>
        </w:rPr>
        <w:t>according to comparative phylogenetic analys</w:t>
      </w:r>
      <w:r>
        <w:rPr>
          <w:b/>
          <w:bCs/>
          <w:lang w:val="en-CA"/>
        </w:rPr>
        <w:t>es.</w:t>
      </w:r>
    </w:p>
    <w:p w14:paraId="308941E3" w14:textId="77777777" w:rsidR="00386CD4" w:rsidRPr="007B1A33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 xml:space="preserve">A-F) The total change in </w:t>
      </w:r>
      <w:proofErr w:type="spellStart"/>
      <w:r>
        <w:rPr>
          <w:lang w:val="en-CA"/>
        </w:rPr>
        <w:t>Gs</w:t>
      </w:r>
      <w:proofErr w:type="spellEnd"/>
      <w:r>
        <w:rPr>
          <w:lang w:val="en-CA"/>
        </w:rPr>
        <w:t xml:space="preserve"> and Cs in human (A), chimpanzee (B), mouse (C), rat (D), dox (E), and fox (F) were compiled and divided by the number of genes analyzed (</w:t>
      </w:r>
      <w:r w:rsidRPr="000D1B7E">
        <w:rPr>
          <w:i/>
          <w:iCs/>
          <w:lang w:val="en-CA"/>
        </w:rPr>
        <w:t>y-axis</w:t>
      </w:r>
      <w:r>
        <w:rPr>
          <w:lang w:val="en-CA"/>
        </w:rPr>
        <w:t>) using a sliding window of 100 bp and plotted along genomic regions surrounding random intergenic points (</w:t>
      </w:r>
      <w:r w:rsidRPr="000D1B7E">
        <w:rPr>
          <w:i/>
          <w:iCs/>
          <w:lang w:val="en-CA"/>
        </w:rPr>
        <w:t>x-axis</w:t>
      </w:r>
      <w:r>
        <w:rPr>
          <w:lang w:val="en-CA"/>
        </w:rPr>
        <w:t>). Total number of intergenic regions is equal to the number of analyzed genes for each species in Figure 4A-F. The overall average change in GC-content for each plot</w:t>
      </w:r>
      <w:r w:rsidRPr="007B1A33">
        <w:rPr>
          <w:lang w:val="en-CA"/>
        </w:rPr>
        <w:t xml:space="preserve"> (dotted line) were plotted</w:t>
      </w:r>
      <w:r>
        <w:rPr>
          <w:lang w:val="en-CA"/>
        </w:rPr>
        <w:t xml:space="preserve"> – these are also plotted in Figure 4A-F</w:t>
      </w:r>
      <w:r w:rsidRPr="007B1A33">
        <w:rPr>
          <w:lang w:val="en-CA"/>
        </w:rPr>
        <w:t>.</w:t>
      </w:r>
    </w:p>
    <w:p w14:paraId="1CB162A8" w14:textId="77777777" w:rsidR="00386CD4" w:rsidRPr="007B1A33" w:rsidRDefault="00386CD4" w:rsidP="00386CD4">
      <w:pPr>
        <w:spacing w:line="360" w:lineRule="auto"/>
      </w:pPr>
      <w:r w:rsidRPr="007B1A33">
        <w:rPr>
          <w:lang w:val="en-CA"/>
        </w:rPr>
        <w:t>G) Permutation test</w:t>
      </w:r>
      <w:r>
        <w:rPr>
          <w:lang w:val="en-CA"/>
        </w:rPr>
        <w:t xml:space="preserve"> results</w:t>
      </w:r>
      <w:r w:rsidRPr="007B1A33">
        <w:rPr>
          <w:lang w:val="en-CA"/>
        </w:rPr>
        <w:t xml:space="preserve"> comparing net change of GC </w:t>
      </w:r>
      <w:r>
        <w:rPr>
          <w:lang w:val="en-CA"/>
        </w:rPr>
        <w:t>substitutions</w:t>
      </w:r>
      <w:r w:rsidRPr="007B1A33">
        <w:rPr>
          <w:lang w:val="en-CA"/>
        </w:rPr>
        <w:t xml:space="preserve"> around the 0 point for each treatment group</w:t>
      </w:r>
      <w:r>
        <w:rPr>
          <w:lang w:val="en-CA"/>
        </w:rPr>
        <w:t xml:space="preserve"> in (A-F)</w:t>
      </w:r>
      <w:r w:rsidRPr="007B1A33">
        <w:rPr>
          <w:lang w:val="en-CA"/>
        </w:rPr>
        <w:t xml:space="preserve">. </w:t>
      </w:r>
      <w:r>
        <w:rPr>
          <w:lang w:val="en-CA"/>
        </w:rPr>
        <w:t>Distribution of differences from 1000 randomized permutations are displayed in box and whisker plots. Actual differences are plotted with red dots. P-</w:t>
      </w:r>
      <w:r w:rsidRPr="007B1A33">
        <w:rPr>
          <w:lang w:val="en-CA"/>
        </w:rPr>
        <w:t>valu</w:t>
      </w:r>
      <w:r>
        <w:rPr>
          <w:lang w:val="en-CA"/>
        </w:rPr>
        <w:t xml:space="preserve">es are indicated. Intergenic GC-matched plots are not shown. </w:t>
      </w:r>
    </w:p>
    <w:p w14:paraId="5C227B8E" w14:textId="77777777" w:rsidR="00386CD4" w:rsidRDefault="00386CD4" w:rsidP="00386CD4">
      <w:pPr>
        <w:spacing w:line="360" w:lineRule="auto"/>
        <w:rPr>
          <w:b/>
          <w:bCs/>
          <w:lang w:val="en-CA"/>
        </w:rPr>
      </w:pPr>
    </w:p>
    <w:p w14:paraId="41860ABF" w14:textId="4964FF1D" w:rsidR="00AA15B1" w:rsidRPr="00D0117E" w:rsidRDefault="00AA15B1" w:rsidP="00386CD4">
      <w:pPr>
        <w:spacing w:line="360" w:lineRule="auto"/>
        <w:rPr>
          <w:b/>
          <w:bCs/>
          <w:lang w:val="en-CA"/>
        </w:rPr>
      </w:pPr>
      <w:r>
        <w:rPr>
          <w:b/>
          <w:bCs/>
          <w:noProof/>
          <w:lang w:val="en-CA"/>
        </w:rPr>
        <w:drawing>
          <wp:inline distT="0" distB="0" distL="0" distR="0" wp14:anchorId="00883D0E" wp14:editId="429BD7C6">
            <wp:extent cx="6033600" cy="2278800"/>
            <wp:effectExtent l="0" t="0" r="0" b="0"/>
            <wp:docPr id="1603854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27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ADD17" w14:textId="67A177FA" w:rsidR="00386CD4" w:rsidRDefault="00386CD4" w:rsidP="00386CD4">
      <w:pPr>
        <w:spacing w:line="360" w:lineRule="auto"/>
        <w:rPr>
          <w:b/>
          <w:bCs/>
          <w:lang w:val="en-CA"/>
        </w:rPr>
      </w:pPr>
      <w:r w:rsidRPr="00D0117E">
        <w:rPr>
          <w:b/>
          <w:bCs/>
          <w:lang w:val="en-CA"/>
        </w:rPr>
        <w:t xml:space="preserve">Figure </w:t>
      </w:r>
      <w:r>
        <w:rPr>
          <w:b/>
          <w:bCs/>
          <w:lang w:val="en-CA"/>
        </w:rPr>
        <w:t xml:space="preserve">S4. </w:t>
      </w:r>
      <w:r w:rsidRPr="0059157A">
        <w:rPr>
          <w:b/>
          <w:bCs/>
          <w:lang w:val="en-CA"/>
        </w:rPr>
        <w:t xml:space="preserve">Changes in GC-content </w:t>
      </w:r>
      <w:r>
        <w:rPr>
          <w:b/>
          <w:bCs/>
          <w:lang w:val="en-CA"/>
        </w:rPr>
        <w:t>surrounding</w:t>
      </w:r>
      <w:r w:rsidRPr="0059157A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 xml:space="preserve">mouse recombination hotspots </w:t>
      </w:r>
      <w:r w:rsidRPr="0059157A">
        <w:rPr>
          <w:b/>
          <w:bCs/>
          <w:lang w:val="en-CA"/>
        </w:rPr>
        <w:t>according to comparative phylogenetic analysis</w:t>
      </w:r>
      <w:r>
        <w:rPr>
          <w:b/>
          <w:bCs/>
          <w:lang w:val="en-CA"/>
        </w:rPr>
        <w:t>.</w:t>
      </w:r>
    </w:p>
    <w:p w14:paraId="1A30816B" w14:textId="77777777" w:rsidR="00386CD4" w:rsidRPr="008B3DC6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>A)</w:t>
      </w:r>
      <w:r w:rsidRPr="008B3DC6">
        <w:rPr>
          <w:lang w:val="en-CA"/>
        </w:rPr>
        <w:t xml:space="preserve"> The total change in </w:t>
      </w:r>
      <w:proofErr w:type="spellStart"/>
      <w:r w:rsidRPr="008B3DC6">
        <w:rPr>
          <w:lang w:val="en-CA"/>
        </w:rPr>
        <w:t>Gs</w:t>
      </w:r>
      <w:proofErr w:type="spellEnd"/>
      <w:r w:rsidRPr="008B3DC6">
        <w:rPr>
          <w:lang w:val="en-CA"/>
        </w:rPr>
        <w:t xml:space="preserve"> and Cs in mouse </w:t>
      </w:r>
      <w:r>
        <w:rPr>
          <w:lang w:val="en-CA"/>
        </w:rPr>
        <w:t xml:space="preserve">from mouse-rat-hamster trio analysis, </w:t>
      </w:r>
      <w:r w:rsidRPr="008B3DC6">
        <w:rPr>
          <w:lang w:val="en-CA"/>
        </w:rPr>
        <w:t xml:space="preserve">were compiled </w:t>
      </w:r>
      <w:r>
        <w:rPr>
          <w:lang w:val="en-CA"/>
        </w:rPr>
        <w:t>surrounding recombination hotspots (</w:t>
      </w:r>
      <w:r w:rsidRPr="00ED7C5F">
        <w:rPr>
          <w:lang w:val="en-CA"/>
        </w:rPr>
        <w:t>N=</w:t>
      </w:r>
      <w:r>
        <w:rPr>
          <w:lang w:val="en-CA"/>
        </w:rPr>
        <w:t xml:space="preserve">2668). Change in G and C </w:t>
      </w:r>
      <w:r w:rsidRPr="008B3DC6">
        <w:rPr>
          <w:lang w:val="en-CA"/>
        </w:rPr>
        <w:t xml:space="preserve">divided by the number of </w:t>
      </w:r>
      <w:r>
        <w:rPr>
          <w:lang w:val="en-CA"/>
        </w:rPr>
        <w:t>regions</w:t>
      </w:r>
      <w:r w:rsidRPr="008B3DC6">
        <w:rPr>
          <w:lang w:val="en-CA"/>
        </w:rPr>
        <w:t xml:space="preserve"> analyzed </w:t>
      </w:r>
      <w:r>
        <w:rPr>
          <w:lang w:val="en-CA"/>
        </w:rPr>
        <w:t xml:space="preserve">was plotted </w:t>
      </w:r>
      <w:r w:rsidRPr="008B3DC6">
        <w:rPr>
          <w:lang w:val="en-CA"/>
        </w:rPr>
        <w:t>(</w:t>
      </w:r>
      <w:r w:rsidRPr="000D1B7E">
        <w:rPr>
          <w:i/>
          <w:iCs/>
          <w:lang w:val="en-CA"/>
        </w:rPr>
        <w:t>y-axis</w:t>
      </w:r>
      <w:r w:rsidRPr="008B3DC6">
        <w:rPr>
          <w:lang w:val="en-CA"/>
        </w:rPr>
        <w:t>)</w:t>
      </w:r>
      <w:r>
        <w:rPr>
          <w:lang w:val="en-CA"/>
        </w:rPr>
        <w:t xml:space="preserve"> over a</w:t>
      </w:r>
      <w:r w:rsidRPr="008B3DC6">
        <w:rPr>
          <w:lang w:val="en-CA"/>
        </w:rPr>
        <w:t xml:space="preserve"> sliding window of 100 bp along genomic regions surrounding </w:t>
      </w:r>
      <w:r>
        <w:rPr>
          <w:lang w:val="en-CA"/>
        </w:rPr>
        <w:t xml:space="preserve">recombination hotspots </w:t>
      </w:r>
      <w:r w:rsidRPr="008B3DC6">
        <w:rPr>
          <w:lang w:val="en-CA"/>
        </w:rPr>
        <w:t>(</w:t>
      </w:r>
      <w:r w:rsidRPr="000D1B7E">
        <w:rPr>
          <w:i/>
          <w:iCs/>
          <w:lang w:val="en-CA"/>
        </w:rPr>
        <w:t>x-axis</w:t>
      </w:r>
      <w:r w:rsidRPr="008B3DC6">
        <w:rPr>
          <w:lang w:val="en-CA"/>
        </w:rPr>
        <w:t>).</w:t>
      </w:r>
      <w:r>
        <w:rPr>
          <w:lang w:val="en-CA"/>
        </w:rPr>
        <w:t xml:space="preserve"> The overall average change in GC-content </w:t>
      </w:r>
      <w:r w:rsidRPr="007B1A33">
        <w:rPr>
          <w:lang w:val="en-CA"/>
        </w:rPr>
        <w:t>in</w:t>
      </w:r>
      <w:r>
        <w:rPr>
          <w:lang w:val="en-CA"/>
        </w:rPr>
        <w:t xml:space="preserve"> mouse at a</w:t>
      </w:r>
      <w:r w:rsidRPr="007B1A33">
        <w:rPr>
          <w:lang w:val="en-CA"/>
        </w:rPr>
        <w:t xml:space="preserve"> random intergenic</w:t>
      </w:r>
      <w:r>
        <w:rPr>
          <w:lang w:val="en-CA"/>
        </w:rPr>
        <w:t xml:space="preserve"> spot</w:t>
      </w:r>
      <w:r w:rsidRPr="007B1A33">
        <w:rPr>
          <w:lang w:val="en-CA"/>
        </w:rPr>
        <w:t xml:space="preserve"> (dotted line) </w:t>
      </w:r>
      <w:r>
        <w:rPr>
          <w:lang w:val="en-CA"/>
        </w:rPr>
        <w:t>was</w:t>
      </w:r>
      <w:r w:rsidRPr="007B1A33">
        <w:rPr>
          <w:lang w:val="en-CA"/>
        </w:rPr>
        <w:t xml:space="preserve"> plotted.</w:t>
      </w:r>
    </w:p>
    <w:p w14:paraId="51E192FA" w14:textId="77777777" w:rsidR="00386CD4" w:rsidRPr="008B3DC6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>B)</w:t>
      </w:r>
      <w:r w:rsidRPr="008B3DC6">
        <w:rPr>
          <w:lang w:val="en-CA"/>
        </w:rPr>
        <w:t xml:space="preserve"> Similar to (A) except plotted along intergenic regions that are GC-matched to the GC content of house recombination hotpots (</w:t>
      </w:r>
      <w:r w:rsidRPr="000D1B7E">
        <w:rPr>
          <w:i/>
          <w:iCs/>
          <w:lang w:val="en-CA"/>
        </w:rPr>
        <w:t>x-axis</w:t>
      </w:r>
      <w:r w:rsidRPr="008B3DC6">
        <w:rPr>
          <w:lang w:val="en-CA"/>
        </w:rPr>
        <w:t>)</w:t>
      </w:r>
      <w:r>
        <w:rPr>
          <w:lang w:val="en-CA"/>
        </w:rPr>
        <w:t xml:space="preserve"> (</w:t>
      </w:r>
      <w:r w:rsidRPr="00ED7C5F">
        <w:rPr>
          <w:lang w:val="en-CA"/>
        </w:rPr>
        <w:t>N=</w:t>
      </w:r>
      <w:r>
        <w:rPr>
          <w:lang w:val="en-CA"/>
        </w:rPr>
        <w:t>4543)</w:t>
      </w:r>
      <w:r w:rsidRPr="008B3DC6">
        <w:rPr>
          <w:lang w:val="en-CA"/>
        </w:rPr>
        <w:t>.</w:t>
      </w:r>
    </w:p>
    <w:p w14:paraId="55D067FF" w14:textId="0B1D261C" w:rsidR="00386CD4" w:rsidRDefault="00AA15B1" w:rsidP="00386CD4">
      <w:pPr>
        <w:spacing w:line="360" w:lineRule="auto"/>
        <w:rPr>
          <w:b/>
          <w:bCs/>
          <w:lang w:val="en-CA"/>
        </w:rPr>
      </w:pPr>
      <w:r>
        <w:rPr>
          <w:b/>
          <w:bCs/>
          <w:noProof/>
          <w:lang w:val="en-CA"/>
        </w:rPr>
        <w:lastRenderedPageBreak/>
        <w:drawing>
          <wp:inline distT="0" distB="0" distL="0" distR="0" wp14:anchorId="6484EDC0" wp14:editId="784BA63B">
            <wp:extent cx="6354000" cy="8168400"/>
            <wp:effectExtent l="0" t="0" r="0" b="0"/>
            <wp:docPr id="3247891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00" cy="8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431C1" w14:textId="77777777" w:rsidR="00AA15B1" w:rsidRDefault="00AA15B1" w:rsidP="00386CD4">
      <w:pPr>
        <w:spacing w:line="360" w:lineRule="auto"/>
        <w:rPr>
          <w:b/>
          <w:bCs/>
          <w:lang w:val="en-CA"/>
        </w:rPr>
      </w:pPr>
    </w:p>
    <w:p w14:paraId="3732800C" w14:textId="0379F46C" w:rsidR="00386CD4" w:rsidRDefault="00386CD4" w:rsidP="00386CD4">
      <w:pPr>
        <w:spacing w:line="360" w:lineRule="auto"/>
        <w:rPr>
          <w:b/>
          <w:bCs/>
          <w:lang w:val="en-CA"/>
        </w:rPr>
      </w:pPr>
      <w:r w:rsidRPr="00D0117E">
        <w:rPr>
          <w:b/>
          <w:bCs/>
          <w:lang w:val="en-CA"/>
        </w:rPr>
        <w:t xml:space="preserve">Figure </w:t>
      </w:r>
      <w:r>
        <w:rPr>
          <w:b/>
          <w:bCs/>
          <w:lang w:val="en-CA"/>
        </w:rPr>
        <w:t xml:space="preserve">S5. Transition </w:t>
      </w:r>
      <w:r w:rsidRPr="0007514E">
        <w:rPr>
          <w:b/>
          <w:bCs/>
          <w:i/>
          <w:iCs/>
          <w:lang w:val="en-CA"/>
        </w:rPr>
        <w:t>de novo</w:t>
      </w:r>
      <w:r>
        <w:rPr>
          <w:b/>
          <w:bCs/>
          <w:lang w:val="en-CA"/>
        </w:rPr>
        <w:t xml:space="preserve"> mutations, numbers and rates, surrounding</w:t>
      </w:r>
      <w:r w:rsidRPr="0059157A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 xml:space="preserve">human </w:t>
      </w:r>
      <w:r w:rsidRPr="0059157A">
        <w:rPr>
          <w:b/>
          <w:bCs/>
          <w:lang w:val="en-CA"/>
        </w:rPr>
        <w:t xml:space="preserve">TSSs according </w:t>
      </w:r>
      <w:r>
        <w:rPr>
          <w:b/>
          <w:bCs/>
          <w:lang w:val="en-CA"/>
        </w:rPr>
        <w:t>to parent-offspring trio analyses.</w:t>
      </w:r>
    </w:p>
    <w:p w14:paraId="2767211B" w14:textId="77777777" w:rsidR="00386CD4" w:rsidRPr="00345887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>A)</w:t>
      </w:r>
      <w:r w:rsidRPr="00345887">
        <w:rPr>
          <w:lang w:val="en-CA"/>
        </w:rPr>
        <w:t xml:space="preserve"> Average number of A to G (orange), T to C (yellow), G to A (blue) and C to T (purple) human </w:t>
      </w:r>
      <w:r w:rsidRPr="0007514E">
        <w:rPr>
          <w:i/>
          <w:iCs/>
          <w:lang w:val="en-CA"/>
        </w:rPr>
        <w:t>de novo</w:t>
      </w:r>
      <w:r w:rsidRPr="00345887">
        <w:rPr>
          <w:lang w:val="en-CA"/>
        </w:rPr>
        <w:t xml:space="preserve"> mutations divided by the number of genes analyzed (</w:t>
      </w:r>
      <w:r w:rsidRPr="000D1B7E">
        <w:rPr>
          <w:i/>
          <w:iCs/>
          <w:lang w:val="en-CA"/>
        </w:rPr>
        <w:t>y-axis</w:t>
      </w:r>
      <w:r w:rsidRPr="00345887">
        <w:rPr>
          <w:lang w:val="en-CA"/>
        </w:rPr>
        <w:t>) using a sliding window of 100 bp and plotted along genomic regions surrounding the TSS (</w:t>
      </w:r>
      <w:r w:rsidRPr="000D1B7E">
        <w:rPr>
          <w:i/>
          <w:iCs/>
          <w:lang w:val="en-CA"/>
        </w:rPr>
        <w:t>x-axis</w:t>
      </w:r>
      <w:r w:rsidRPr="00345887">
        <w:rPr>
          <w:lang w:val="en-CA"/>
        </w:rPr>
        <w:t>).</w:t>
      </w:r>
    </w:p>
    <w:p w14:paraId="3A6DCCFE" w14:textId="77777777" w:rsidR="00386CD4" w:rsidRPr="00345887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 xml:space="preserve">B) Rates of each </w:t>
      </w:r>
      <w:r w:rsidRPr="0007514E">
        <w:rPr>
          <w:i/>
          <w:iCs/>
          <w:lang w:val="en-CA"/>
        </w:rPr>
        <w:t>de novo</w:t>
      </w:r>
      <w:r>
        <w:rPr>
          <w:lang w:val="en-CA"/>
        </w:rPr>
        <w:t xml:space="preserve"> mutation (number of nucleotide substitutions/total mutable nucleotides, </w:t>
      </w:r>
      <w:r>
        <w:t>e.g., [G to A]/[G]</w:t>
      </w:r>
      <w:r>
        <w:rPr>
          <w:lang w:val="en-CA"/>
        </w:rPr>
        <w:t>) from (A).</w:t>
      </w:r>
    </w:p>
    <w:p w14:paraId="215E115B" w14:textId="77777777" w:rsidR="00386CD4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>C-D) Similar to (A-B) except plotted around random intergenic region (</w:t>
      </w:r>
      <w:r w:rsidRPr="000D1B7E">
        <w:rPr>
          <w:i/>
          <w:iCs/>
          <w:lang w:val="en-CA"/>
        </w:rPr>
        <w:t>x-axis</w:t>
      </w:r>
      <w:r>
        <w:rPr>
          <w:lang w:val="en-CA"/>
        </w:rPr>
        <w:t>).</w:t>
      </w:r>
    </w:p>
    <w:p w14:paraId="30CC84CF" w14:textId="77777777" w:rsidR="00386CD4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 xml:space="preserve">E-H) Similar to (A-D) except that C to T and G to A mutations in </w:t>
      </w:r>
      <w:proofErr w:type="spellStart"/>
      <w:r>
        <w:rPr>
          <w:lang w:val="en-CA"/>
        </w:rPr>
        <w:t>CpGs</w:t>
      </w:r>
      <w:proofErr w:type="spellEnd"/>
      <w:r>
        <w:rPr>
          <w:lang w:val="en-CA"/>
        </w:rPr>
        <w:t xml:space="preserve"> were omitted.</w:t>
      </w:r>
    </w:p>
    <w:p w14:paraId="310FCE3E" w14:textId="77777777" w:rsidR="00386CD4" w:rsidRDefault="00386CD4" w:rsidP="00386CD4">
      <w:pPr>
        <w:spacing w:line="360" w:lineRule="auto"/>
        <w:rPr>
          <w:b/>
          <w:bCs/>
          <w:lang w:val="en-CA"/>
        </w:rPr>
      </w:pPr>
    </w:p>
    <w:p w14:paraId="58841DDB" w14:textId="46CED861" w:rsidR="00AA15B1" w:rsidRDefault="00AA15B1" w:rsidP="00386CD4">
      <w:pPr>
        <w:spacing w:line="360" w:lineRule="auto"/>
        <w:rPr>
          <w:b/>
          <w:bCs/>
          <w:lang w:val="en-CA"/>
        </w:rPr>
      </w:pPr>
      <w:r>
        <w:rPr>
          <w:b/>
          <w:bCs/>
          <w:noProof/>
          <w:lang w:val="en-CA"/>
        </w:rPr>
        <w:lastRenderedPageBreak/>
        <w:drawing>
          <wp:inline distT="0" distB="0" distL="0" distR="0" wp14:anchorId="17945412" wp14:editId="5DF2BB52">
            <wp:extent cx="5565600" cy="6710400"/>
            <wp:effectExtent l="0" t="0" r="0" b="0"/>
            <wp:docPr id="19022368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600" cy="67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9960F" w14:textId="77777777" w:rsidR="00AA15B1" w:rsidRDefault="00AA15B1" w:rsidP="00386CD4">
      <w:pPr>
        <w:spacing w:line="360" w:lineRule="auto"/>
        <w:rPr>
          <w:b/>
          <w:bCs/>
          <w:lang w:val="en-CA"/>
        </w:rPr>
      </w:pPr>
    </w:p>
    <w:p w14:paraId="46680095" w14:textId="23D21C94" w:rsidR="00386CD4" w:rsidRDefault="00386CD4" w:rsidP="00386CD4">
      <w:pPr>
        <w:spacing w:line="360" w:lineRule="auto"/>
        <w:rPr>
          <w:b/>
          <w:bCs/>
          <w:lang w:val="en-CA"/>
        </w:rPr>
      </w:pPr>
      <w:r w:rsidRPr="00D0117E">
        <w:rPr>
          <w:b/>
          <w:bCs/>
          <w:lang w:val="en-CA"/>
        </w:rPr>
        <w:t xml:space="preserve">Figure </w:t>
      </w:r>
      <w:r>
        <w:rPr>
          <w:b/>
          <w:bCs/>
          <w:lang w:val="en-CA"/>
        </w:rPr>
        <w:t>S</w:t>
      </w:r>
      <w:r w:rsidRPr="00D0117E">
        <w:rPr>
          <w:b/>
          <w:bCs/>
          <w:lang w:val="en-CA"/>
        </w:rPr>
        <w:t>6</w:t>
      </w:r>
      <w:r>
        <w:rPr>
          <w:b/>
          <w:bCs/>
          <w:lang w:val="en-CA"/>
        </w:rPr>
        <w:t xml:space="preserve">. Change in GC content in exon 1 and exon 4 of protein coding genes in different organisms </w:t>
      </w:r>
      <w:r w:rsidRPr="0059157A">
        <w:rPr>
          <w:b/>
          <w:bCs/>
          <w:lang w:val="en-CA"/>
        </w:rPr>
        <w:t>according to comparative phylogenetic analys</w:t>
      </w:r>
      <w:r>
        <w:rPr>
          <w:b/>
          <w:bCs/>
          <w:lang w:val="en-CA"/>
        </w:rPr>
        <w:t>e</w:t>
      </w:r>
      <w:r w:rsidRPr="0059157A">
        <w:rPr>
          <w:b/>
          <w:bCs/>
          <w:lang w:val="en-CA"/>
        </w:rPr>
        <w:t>s</w:t>
      </w:r>
      <w:r>
        <w:rPr>
          <w:b/>
          <w:bCs/>
          <w:lang w:val="en-CA"/>
        </w:rPr>
        <w:t>.</w:t>
      </w:r>
    </w:p>
    <w:p w14:paraId="1EEB28BA" w14:textId="77777777" w:rsidR="00386CD4" w:rsidRPr="006D5663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>A)</w:t>
      </w:r>
      <w:r w:rsidRPr="006D5663">
        <w:rPr>
          <w:lang w:val="en-CA"/>
        </w:rPr>
        <w:t xml:space="preserve"> The total change in </w:t>
      </w:r>
      <w:proofErr w:type="spellStart"/>
      <w:r w:rsidRPr="006D5663">
        <w:rPr>
          <w:lang w:val="en-CA"/>
        </w:rPr>
        <w:t>Gs</w:t>
      </w:r>
      <w:proofErr w:type="spellEnd"/>
      <w:r w:rsidRPr="006D5663">
        <w:rPr>
          <w:lang w:val="en-CA"/>
        </w:rPr>
        <w:t xml:space="preserve"> and Cs in exon</w:t>
      </w:r>
      <w:r>
        <w:rPr>
          <w:lang w:val="en-CA"/>
        </w:rPr>
        <w:t xml:space="preserve"> </w:t>
      </w:r>
      <w:r w:rsidRPr="006D5663">
        <w:rPr>
          <w:lang w:val="en-CA"/>
        </w:rPr>
        <w:t>1 and exon 4</w:t>
      </w:r>
      <w:r>
        <w:rPr>
          <w:lang w:val="en-CA"/>
        </w:rPr>
        <w:t xml:space="preserve"> of genes,</w:t>
      </w:r>
      <w:r w:rsidRPr="006D5663">
        <w:rPr>
          <w:lang w:val="en-CA"/>
        </w:rPr>
        <w:t xml:space="preserve"> divided by the lengths of the corresponding exons and the total number of genes analyzed</w:t>
      </w:r>
      <w:r>
        <w:rPr>
          <w:lang w:val="en-CA"/>
        </w:rPr>
        <w:t xml:space="preserve"> (Table 3)</w:t>
      </w:r>
      <w:r w:rsidRPr="006D5663">
        <w:rPr>
          <w:lang w:val="en-CA"/>
        </w:rPr>
        <w:t>.</w:t>
      </w:r>
      <w:r>
        <w:rPr>
          <w:lang w:val="en-CA"/>
        </w:rPr>
        <w:t xml:space="preserve"> Only genes with the ORF </w:t>
      </w:r>
      <w:r>
        <w:rPr>
          <w:lang w:val="en-CA"/>
        </w:rPr>
        <w:lastRenderedPageBreak/>
        <w:t>starting in exon 1, and genes that contain at least 4 exons, were included in the analysis.</w:t>
      </w:r>
    </w:p>
    <w:p w14:paraId="3E861DD2" w14:textId="77777777" w:rsidR="00386CD4" w:rsidRPr="002B7D86" w:rsidRDefault="00386CD4" w:rsidP="00386CD4">
      <w:pPr>
        <w:spacing w:line="360" w:lineRule="auto"/>
        <w:rPr>
          <w:lang w:val="en-CA"/>
        </w:rPr>
      </w:pPr>
      <w:r>
        <w:rPr>
          <w:lang w:val="en-CA"/>
        </w:rPr>
        <w:t xml:space="preserve">B) Similar to (A) except only analyzing 4-fold degenerate codon positions (GC4) in exon 1 and exon 4 (Table 3). </w:t>
      </w:r>
      <w:r w:rsidRPr="0071332A">
        <w:rPr>
          <w:lang w:val="en-CA"/>
        </w:rPr>
        <w:t xml:space="preserve">P-values </w:t>
      </w:r>
      <w:r>
        <w:rPr>
          <w:lang w:val="en-CA"/>
        </w:rPr>
        <w:t xml:space="preserve">are from </w:t>
      </w:r>
      <w:r w:rsidRPr="003E1C4A">
        <w:rPr>
          <w:lang w:val="en-CA"/>
        </w:rPr>
        <w:t>Wilcoxon signed-rank test</w:t>
      </w:r>
      <w:r>
        <w:rPr>
          <w:lang w:val="en-CA"/>
        </w:rPr>
        <w:t>s</w:t>
      </w:r>
      <w:r w:rsidRPr="003E1C4A">
        <w:rPr>
          <w:lang w:val="en-CA"/>
        </w:rPr>
        <w:t xml:space="preserve"> of changes in GC content between exon 1 and exon 4 of protein coding genes in different organisms</w:t>
      </w:r>
      <w:r>
        <w:rPr>
          <w:lang w:val="en-CA"/>
        </w:rPr>
        <w:t xml:space="preserve"> (see methods, Table 1).</w:t>
      </w:r>
    </w:p>
    <w:p w14:paraId="0028B9F4" w14:textId="77777777" w:rsidR="007618F4" w:rsidRPr="00386CD4" w:rsidRDefault="007618F4">
      <w:pPr>
        <w:rPr>
          <w:lang w:val="en-CA"/>
        </w:rPr>
      </w:pPr>
    </w:p>
    <w:sectPr w:rsidR="007618F4" w:rsidRPr="00386C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FE9E2" w14:textId="77777777" w:rsidR="00E136A5" w:rsidRDefault="00E136A5" w:rsidP="00020F7B">
      <w:r>
        <w:separator/>
      </w:r>
    </w:p>
  </w:endnote>
  <w:endnote w:type="continuationSeparator" w:id="0">
    <w:p w14:paraId="7F66C8F2" w14:textId="77777777" w:rsidR="00E136A5" w:rsidRDefault="00E136A5" w:rsidP="0002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CE108" w14:textId="77777777" w:rsidR="00E136A5" w:rsidRDefault="00E136A5" w:rsidP="00020F7B">
      <w:r>
        <w:separator/>
      </w:r>
    </w:p>
  </w:footnote>
  <w:footnote w:type="continuationSeparator" w:id="0">
    <w:p w14:paraId="3AE059F5" w14:textId="77777777" w:rsidR="00E136A5" w:rsidRDefault="00E136A5" w:rsidP="00020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D4"/>
    <w:rsid w:val="00020F7B"/>
    <w:rsid w:val="00057CE3"/>
    <w:rsid w:val="00065B28"/>
    <w:rsid w:val="000A0167"/>
    <w:rsid w:val="000F02B8"/>
    <w:rsid w:val="00106F2E"/>
    <w:rsid w:val="001D6E01"/>
    <w:rsid w:val="00253AE8"/>
    <w:rsid w:val="00286B7D"/>
    <w:rsid w:val="00290EDC"/>
    <w:rsid w:val="00386CD4"/>
    <w:rsid w:val="005D03F9"/>
    <w:rsid w:val="006A1AE0"/>
    <w:rsid w:val="007618F4"/>
    <w:rsid w:val="009205B5"/>
    <w:rsid w:val="00935F1C"/>
    <w:rsid w:val="00A66927"/>
    <w:rsid w:val="00AA15B1"/>
    <w:rsid w:val="00B432A9"/>
    <w:rsid w:val="00C22E84"/>
    <w:rsid w:val="00DD2D3E"/>
    <w:rsid w:val="00E136A5"/>
    <w:rsid w:val="00E52E0D"/>
    <w:rsid w:val="00F25FD5"/>
    <w:rsid w:val="00FB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38043"/>
  <w15:chartTrackingRefBased/>
  <w15:docId w15:val="{5EC707A6-3EF6-4974-A2BE-9B02A921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lang w:val="en-CA" w:eastAsia="zh-CN" w:bidi="hi-IN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CD4"/>
    <w:pPr>
      <w:widowControl w:val="0"/>
      <w:spacing w:after="0" w:line="240" w:lineRule="auto"/>
    </w:pPr>
    <w:rPr>
      <w:rFonts w:ascii="Times New Roman" w:eastAsia="SimSun" w:hAnsi="Times New Roman"/>
      <w:kern w:val="0"/>
      <w:szCs w:val="22"/>
      <w:lang w:val="en-US"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CD4"/>
    <w:pPr>
      <w:keepNext/>
      <w:keepLines/>
      <w:widowControl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36"/>
      <w:lang w:val="en-CA" w:eastAsia="zh-CN" w:bidi="hi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CD4"/>
    <w:pPr>
      <w:keepNext/>
      <w:keepLines/>
      <w:widowControl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29"/>
      <w:lang w:val="en-CA" w:eastAsia="zh-CN" w:bidi="hi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CD4"/>
    <w:pPr>
      <w:keepNext/>
      <w:keepLines/>
      <w:widowControl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5"/>
      <w:lang w:val="en-CA" w:eastAsia="zh-CN" w:bidi="hi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CD4"/>
    <w:pPr>
      <w:keepNext/>
      <w:keepLines/>
      <w:widowControl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0"/>
      <w:lang w:val="en-CA" w:eastAsia="zh-CN" w:bidi="hi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CD4"/>
    <w:pPr>
      <w:keepNext/>
      <w:keepLines/>
      <w:widowControl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0"/>
      <w:lang w:val="en-CA" w:eastAsia="zh-CN" w:bidi="hi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CD4"/>
    <w:pPr>
      <w:keepNext/>
      <w:keepLines/>
      <w:widowControl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:lang w:val="en-CA" w:eastAsia="zh-CN" w:bidi="hi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CD4"/>
    <w:pPr>
      <w:keepNext/>
      <w:keepLines/>
      <w:widowControl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:lang w:val="en-CA" w:eastAsia="zh-CN" w:bidi="hi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CD4"/>
    <w:pPr>
      <w:keepNext/>
      <w:keepLines/>
      <w:widowControl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:lang w:val="en-CA" w:eastAsia="zh-CN" w:bidi="hi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CD4"/>
    <w:pPr>
      <w:keepNext/>
      <w:keepLines/>
      <w:widowControl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:lang w:val="en-CA" w:eastAsia="zh-CN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CD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CD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CD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CD4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CA" w:eastAsia="zh-CN" w:bidi="hi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6CD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CD4"/>
    <w:pPr>
      <w:widowControl/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CA" w:eastAsia="zh-CN" w:bidi="hi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6CD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86CD4"/>
    <w:pPr>
      <w:widowControl/>
      <w:spacing w:before="160" w:after="160" w:line="360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0"/>
      <w:lang w:val="en-CA" w:eastAsia="zh-CN" w:bidi="hi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6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CD4"/>
    <w:pPr>
      <w:widowControl/>
      <w:spacing w:after="160" w:line="360" w:lineRule="auto"/>
      <w:ind w:left="720"/>
      <w:contextualSpacing/>
    </w:pPr>
    <w:rPr>
      <w:rFonts w:asciiTheme="minorHAnsi" w:eastAsiaTheme="minorEastAsia" w:hAnsiTheme="minorHAnsi"/>
      <w:kern w:val="2"/>
      <w:szCs w:val="20"/>
      <w:lang w:val="en-CA" w:eastAsia="zh-CN" w:bidi="hi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6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CD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0"/>
      <w:lang w:val="en-CA" w:eastAsia="zh-CN" w:bidi="hi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C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0F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F7B"/>
    <w:rPr>
      <w:rFonts w:ascii="Times New Roman" w:eastAsia="SimSun" w:hAnsi="Times New Roman"/>
      <w:kern w:val="0"/>
      <w:szCs w:val="22"/>
      <w:lang w:val="en-US"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0F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F7B"/>
    <w:rPr>
      <w:rFonts w:ascii="Times New Roman" w:eastAsia="SimSun" w:hAnsi="Times New Roman"/>
      <w:kern w:val="0"/>
      <w:szCs w:val="22"/>
      <w:lang w:val="en-US"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Palazzo</dc:creator>
  <cp:keywords/>
  <dc:description/>
  <cp:lastModifiedBy>Alexander Palazzo</cp:lastModifiedBy>
  <cp:revision>4</cp:revision>
  <dcterms:created xsi:type="dcterms:W3CDTF">2024-07-17T15:59:00Z</dcterms:created>
  <dcterms:modified xsi:type="dcterms:W3CDTF">2024-07-18T15:56:00Z</dcterms:modified>
</cp:coreProperties>
</file>