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9F3CDE" w14:textId="4CEEE3AB" w:rsidR="005C0EDA" w:rsidRDefault="005C0EDA" w:rsidP="005C0EDA">
      <w:pPr>
        <w:spacing w:after="0" w:line="240" w:lineRule="auto"/>
        <w:rPr>
          <w:rFonts w:ascii="Calibri" w:hAnsi="Calibri" w:cs="Calibri"/>
          <w:b/>
          <w:bCs/>
          <w:sz w:val="22"/>
          <w:szCs w:val="22"/>
          <w:u w:val="single"/>
        </w:rPr>
      </w:pPr>
      <w:r>
        <w:rPr>
          <w:rFonts w:ascii="Calibri" w:hAnsi="Calibri" w:cs="Calibri"/>
          <w:b/>
          <w:bCs/>
          <w:sz w:val="22"/>
          <w:szCs w:val="22"/>
          <w:u w:val="single"/>
        </w:rPr>
        <w:t>1</w:t>
      </w:r>
      <w:r w:rsidRPr="005C0EDA">
        <w:rPr>
          <w:rFonts w:ascii="Calibri" w:hAnsi="Calibri" w:cs="Calibri"/>
          <w:b/>
          <w:bCs/>
          <w:sz w:val="22"/>
          <w:szCs w:val="22"/>
          <w:u w:val="single"/>
          <w:vertAlign w:val="superscript"/>
        </w:rPr>
        <w:t>st</w:t>
      </w:r>
      <w:r>
        <w:rPr>
          <w:rFonts w:ascii="Calibri" w:hAnsi="Calibri" w:cs="Calibri"/>
          <w:b/>
          <w:bCs/>
          <w:sz w:val="22"/>
          <w:szCs w:val="22"/>
          <w:u w:val="single"/>
        </w:rPr>
        <w:t xml:space="preserve"> round</w:t>
      </w:r>
    </w:p>
    <w:p w14:paraId="1E652F16" w14:textId="6542A9BE" w:rsidR="005C0EDA" w:rsidRDefault="005C0EDA" w:rsidP="005C0EDA">
      <w:pPr>
        <w:spacing w:after="0" w:line="240" w:lineRule="auto"/>
        <w:rPr>
          <w:rFonts w:ascii="Calibri" w:hAnsi="Calibri" w:cs="Calibri"/>
          <w:b/>
          <w:bCs/>
          <w:sz w:val="22"/>
          <w:szCs w:val="22"/>
        </w:rPr>
      </w:pPr>
      <w:r>
        <w:rPr>
          <w:rFonts w:ascii="Calibri" w:hAnsi="Calibri" w:cs="Calibri"/>
          <w:b/>
          <w:bCs/>
          <w:sz w:val="22"/>
          <w:szCs w:val="22"/>
        </w:rPr>
        <w:t>Reviewer 1</w:t>
      </w:r>
    </w:p>
    <w:p w14:paraId="6E805C87" w14:textId="15AABC09" w:rsid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The authors describe a project evaluating the performance of various methods for differential abundance (DA) analysis in microbiome studies. While this step of analysis is extremely important for any group interested in studying natural populations of microbes, there has not yet been (to my knowledge) an independent evaluation effort such has been performed for other parts of the analysis process (such as CAMI for taxonomic classification or binning).</w:t>
      </w:r>
      <w:r w:rsidRPr="005C0EDA">
        <w:rPr>
          <w:rFonts w:ascii="Calibri" w:hAnsi="Calibri" w:cs="Calibri"/>
          <w:sz w:val="22"/>
          <w:szCs w:val="22"/>
        </w:rPr>
        <w:br/>
      </w:r>
      <w:r w:rsidRPr="005C0EDA">
        <w:rPr>
          <w:rFonts w:ascii="Calibri" w:hAnsi="Calibri" w:cs="Calibri"/>
          <w:sz w:val="22"/>
          <w:szCs w:val="22"/>
        </w:rPr>
        <w:br/>
        <w:t>My understanding of the literature is that most evaluation efforts are conducted by groups which are primarily concerned with presenting a novel DA approach, which may bias their design of an evaluation framework.</w:t>
      </w:r>
      <w:r w:rsidRPr="005C0EDA">
        <w:rPr>
          <w:rFonts w:ascii="Calibri" w:hAnsi="Calibri" w:cs="Calibri"/>
          <w:sz w:val="22"/>
          <w:szCs w:val="22"/>
        </w:rPr>
        <w:br/>
      </w:r>
      <w:r w:rsidRPr="005C0EDA">
        <w:rPr>
          <w:rFonts w:ascii="Calibri" w:hAnsi="Calibri" w:cs="Calibri"/>
          <w:sz w:val="22"/>
          <w:szCs w:val="22"/>
        </w:rPr>
        <w:br/>
        <w:t>The key innovation presented by the authors is an in silico spike-in approach by which the abundance of specific taxa are manipulated from real-world microbiome datasets, which provides a strong basis to evaluate the sensitivity of signal detection.</w:t>
      </w:r>
      <w:r w:rsidRPr="005C0EDA">
        <w:rPr>
          <w:rFonts w:ascii="Calibri" w:hAnsi="Calibri" w:cs="Calibri"/>
          <w:sz w:val="22"/>
          <w:szCs w:val="22"/>
        </w:rPr>
        <w:br/>
      </w:r>
      <w:r w:rsidRPr="005C0EDA">
        <w:rPr>
          <w:rFonts w:ascii="Calibri" w:hAnsi="Calibri" w:cs="Calibri"/>
          <w:sz w:val="22"/>
          <w:szCs w:val="22"/>
        </w:rPr>
        <w:br/>
        <w:t>Point 1.</w:t>
      </w:r>
      <w:r w:rsidRPr="005C0EDA">
        <w:rPr>
          <w:rFonts w:ascii="Calibri" w:hAnsi="Calibri" w:cs="Calibri"/>
          <w:sz w:val="22"/>
          <w:szCs w:val="22"/>
        </w:rPr>
        <w:br/>
        <w:t>The motivation for the implantation approach described by the authors seems well founded, but I was left with a lingering question about the methodological details for this approach. Reading over the methods on pages marked 17-18, I was left with the impression that signal implantation was performed in only one of randomly selected groups. In other words, it seemed like abundances were scaled up by a known factor for 10% of features in a random 50% of samples. Then, "the number of counts for each sample was scaled down to the original value of the unaltered sample by rarefaction". Assuming that my understanding is correct, my concern is that if abundances are scaled up and then back down then the magnitude of the implanted signal is not as large as originally intended. Moreover, the features which were not selected for scaling up would effectively be scaled down as a side-effect (which could have unintended side-effects for FDR estimation).</w:t>
      </w:r>
      <w:r w:rsidRPr="005C0EDA">
        <w:rPr>
          <w:rFonts w:ascii="Calibri" w:hAnsi="Calibri" w:cs="Calibri"/>
          <w:sz w:val="22"/>
          <w:szCs w:val="22"/>
        </w:rPr>
        <w:br/>
      </w:r>
      <w:r w:rsidRPr="005C0EDA">
        <w:rPr>
          <w:rFonts w:ascii="Calibri" w:hAnsi="Calibri" w:cs="Calibri"/>
          <w:sz w:val="22"/>
          <w:szCs w:val="22"/>
        </w:rPr>
        <w:br/>
        <w:t>Of course, the authors may be able to address this by describing the degree of rarefaction that was required, which may be low depending on which features were selected. If my understanding of the text is incorrect and some factors were scaled up while others were scaled down (as would seem more obvious to me), then it might be good to update the text to make this evident. I would appreciate any clarification on this point which can be offered.</w:t>
      </w:r>
      <w:r w:rsidRPr="005C0EDA">
        <w:rPr>
          <w:rFonts w:ascii="Calibri" w:hAnsi="Calibri" w:cs="Calibri"/>
          <w:sz w:val="22"/>
          <w:szCs w:val="22"/>
        </w:rPr>
        <w:br/>
      </w:r>
      <w:r w:rsidRPr="005C0EDA">
        <w:rPr>
          <w:rFonts w:ascii="Calibri" w:hAnsi="Calibri" w:cs="Calibri"/>
          <w:sz w:val="22"/>
          <w:szCs w:val="22"/>
        </w:rPr>
        <w:br/>
        <w:t>Point 2.</w:t>
      </w:r>
      <w:r w:rsidRPr="005C0EDA">
        <w:rPr>
          <w:rFonts w:ascii="Calibri" w:hAnsi="Calibri" w:cs="Calibri"/>
          <w:sz w:val="22"/>
          <w:szCs w:val="22"/>
        </w:rPr>
        <w:br/>
        <w:t xml:space="preserve">Figure 2 a-c is not formatted in a way that can be easily comprehended due to the large number of </w:t>
      </w:r>
      <w:proofErr w:type="spellStart"/>
      <w:r w:rsidRPr="005C0EDA">
        <w:rPr>
          <w:rFonts w:ascii="Calibri" w:hAnsi="Calibri" w:cs="Calibri"/>
          <w:sz w:val="22"/>
          <w:szCs w:val="22"/>
        </w:rPr>
        <w:t>colors</w:t>
      </w:r>
      <w:proofErr w:type="spellEnd"/>
      <w:r w:rsidRPr="005C0EDA">
        <w:rPr>
          <w:rFonts w:ascii="Calibri" w:hAnsi="Calibri" w:cs="Calibri"/>
          <w:sz w:val="22"/>
          <w:szCs w:val="22"/>
        </w:rPr>
        <w:t xml:space="preserve"> that are used (let alone the accommodation of </w:t>
      </w:r>
      <w:proofErr w:type="spellStart"/>
      <w:r w:rsidRPr="005C0EDA">
        <w:rPr>
          <w:rFonts w:ascii="Calibri" w:hAnsi="Calibri" w:cs="Calibri"/>
          <w:sz w:val="22"/>
          <w:szCs w:val="22"/>
        </w:rPr>
        <w:t>colorblind</w:t>
      </w:r>
      <w:proofErr w:type="spellEnd"/>
      <w:r w:rsidRPr="005C0EDA">
        <w:rPr>
          <w:rFonts w:ascii="Calibri" w:hAnsi="Calibri" w:cs="Calibri"/>
          <w:sz w:val="22"/>
          <w:szCs w:val="22"/>
        </w:rPr>
        <w:t xml:space="preserve"> people). One suggestion would be to add a marginal annotation pointing the method label for each line. This figure needs to be updated in some way if the reader is to gain any sort of understanding from it.</w:t>
      </w:r>
      <w:r w:rsidRPr="005C0EDA">
        <w:rPr>
          <w:rFonts w:ascii="Calibri" w:hAnsi="Calibri" w:cs="Calibri"/>
          <w:sz w:val="22"/>
          <w:szCs w:val="22"/>
        </w:rPr>
        <w:br/>
      </w:r>
      <w:r w:rsidRPr="005C0EDA">
        <w:rPr>
          <w:rFonts w:ascii="Calibri" w:hAnsi="Calibri" w:cs="Calibri"/>
          <w:sz w:val="22"/>
          <w:szCs w:val="22"/>
        </w:rPr>
        <w:br/>
        <w:t>Point 3.</w:t>
      </w:r>
      <w:r w:rsidRPr="005C0EDA">
        <w:rPr>
          <w:rFonts w:ascii="Calibri" w:hAnsi="Calibri" w:cs="Calibri"/>
          <w:sz w:val="22"/>
          <w:szCs w:val="22"/>
        </w:rPr>
        <w:br/>
        <w:t>Figure 2d seems incomplete -- I do not understand why values are not shown for all methods and why values have been censored for some methods and some simulations. Rather than presenting incomplete data it seems like the authors should simply present the complete table and pair it with the FDR metrics which are currently being used as the basis for filtering.</w:t>
      </w:r>
      <w:r w:rsidRPr="005C0EDA">
        <w:rPr>
          <w:rFonts w:ascii="Calibri" w:hAnsi="Calibri" w:cs="Calibri"/>
          <w:sz w:val="22"/>
          <w:szCs w:val="22"/>
        </w:rPr>
        <w:br/>
      </w:r>
      <w:r w:rsidRPr="005C0EDA">
        <w:rPr>
          <w:rFonts w:ascii="Calibri" w:hAnsi="Calibri" w:cs="Calibri"/>
          <w:sz w:val="22"/>
          <w:szCs w:val="22"/>
        </w:rPr>
        <w:br/>
        <w:t>Point 4.</w:t>
      </w:r>
      <w:r w:rsidRPr="005C0EDA">
        <w:rPr>
          <w:rFonts w:ascii="Calibri" w:hAnsi="Calibri" w:cs="Calibri"/>
          <w:sz w:val="22"/>
          <w:szCs w:val="22"/>
        </w:rPr>
        <w:br/>
        <w:t>I'm curious why corncob was not included in the confounder analysis? I only bring it up because corncob is the method with which I am most familiar (full disclosure, I have published papers with the corncob author) and it seems easily compatible with confounders (by adding the confounder as a term in the formula)</w:t>
      </w:r>
    </w:p>
    <w:p w14:paraId="5F21541B" w14:textId="223DAE05" w:rsidR="005C0EDA" w:rsidRDefault="005C0EDA" w:rsidP="005C0EDA">
      <w:pPr>
        <w:spacing w:after="0" w:line="240" w:lineRule="auto"/>
        <w:rPr>
          <w:rFonts w:ascii="Calibri" w:hAnsi="Calibri" w:cs="Calibri"/>
          <w:b/>
          <w:bCs/>
          <w:sz w:val="22"/>
          <w:szCs w:val="22"/>
        </w:rPr>
      </w:pPr>
      <w:r>
        <w:rPr>
          <w:rFonts w:ascii="Calibri" w:hAnsi="Calibri" w:cs="Calibri"/>
          <w:b/>
          <w:bCs/>
          <w:sz w:val="22"/>
          <w:szCs w:val="22"/>
        </w:rPr>
        <w:lastRenderedPageBreak/>
        <w:t>Reviewer 2</w:t>
      </w:r>
    </w:p>
    <w:p w14:paraId="301DC3CF" w14:textId="7770C0F5" w:rsid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Wirbel</w:t>
      </w:r>
      <w:proofErr w:type="spellEnd"/>
      <w:r w:rsidRPr="005C0EDA">
        <w:rPr>
          <w:rFonts w:ascii="Calibri" w:hAnsi="Calibri" w:cs="Calibri"/>
          <w:sz w:val="22"/>
          <w:szCs w:val="22"/>
        </w:rPr>
        <w:t xml:space="preserve"> et al have reviewed several prior simulation / benchmarking studies on WGS and 16S DA methods in a comprehensive report, "A realistic benchmark for the identification of differentially abundant taxa in (confounded) human microbiome studies". This reviewer believes the claimed uniqueness to their study is in the claim that 'previous DA benchmarks relying on simulated datasets did not quantitatively evaluate the similarity to real data, which undermines their recommendations'. Leveraging that premise, they shift, scale, sample etc. from existing datasets to and then evaluate common methods. There are several major concerns that I believe can be addressed; however, previous reports have already performed simulations on 'existing' datasets perturbed or randomly sampled with shifts leading to similar results.</w:t>
      </w:r>
      <w:r w:rsidRPr="005C0EDA">
        <w:rPr>
          <w:rFonts w:ascii="Calibri" w:hAnsi="Calibri" w:cs="Calibri"/>
          <w:sz w:val="22"/>
          <w:szCs w:val="22"/>
        </w:rPr>
        <w:br/>
      </w:r>
      <w:r w:rsidRPr="005C0EDA">
        <w:rPr>
          <w:rFonts w:ascii="Calibri" w:hAnsi="Calibri" w:cs="Calibri"/>
          <w:sz w:val="22"/>
          <w:szCs w:val="22"/>
        </w:rPr>
        <w:br/>
        <w:t>Major concerns:</w:t>
      </w:r>
      <w:r w:rsidRPr="005C0EDA">
        <w:rPr>
          <w:rFonts w:ascii="Calibri" w:hAnsi="Calibri" w:cs="Calibri"/>
          <w:sz w:val="22"/>
          <w:szCs w:val="22"/>
        </w:rPr>
        <w:br/>
        <w:t xml:space="preserve">1. Quite a few benchmarking studies that have been performed in the past. This includes leveraging very similar approaches to that of </w:t>
      </w:r>
      <w:proofErr w:type="spellStart"/>
      <w:r w:rsidRPr="005C0EDA">
        <w:rPr>
          <w:rFonts w:ascii="Calibri" w:hAnsi="Calibri" w:cs="Calibri"/>
          <w:sz w:val="22"/>
          <w:szCs w:val="22"/>
        </w:rPr>
        <w:t>Wirbel</w:t>
      </w:r>
      <w:proofErr w:type="spellEnd"/>
      <w:r w:rsidRPr="005C0EDA">
        <w:rPr>
          <w:rFonts w:ascii="Calibri" w:hAnsi="Calibri" w:cs="Calibri"/>
          <w:sz w:val="22"/>
          <w:szCs w:val="22"/>
        </w:rPr>
        <w:t xml:space="preserve"> et al. The novelty in assessing the </w:t>
      </w:r>
      <w:proofErr w:type="spellStart"/>
      <w:r w:rsidRPr="005C0EDA">
        <w:rPr>
          <w:rFonts w:ascii="Calibri" w:hAnsi="Calibri" w:cs="Calibri"/>
          <w:sz w:val="22"/>
          <w:szCs w:val="22"/>
        </w:rPr>
        <w:t>PCo</w:t>
      </w:r>
      <w:proofErr w:type="spellEnd"/>
      <w:r w:rsidRPr="005C0EDA">
        <w:rPr>
          <w:rFonts w:ascii="Calibri" w:hAnsi="Calibri" w:cs="Calibri"/>
          <w:sz w:val="22"/>
          <w:szCs w:val="22"/>
        </w:rPr>
        <w:t xml:space="preserve"> coordinates of 'real', 'simulation / perturbation', etc. is unique. However, the reviewer has a difficulty in reviewing prior benchmarking studies assessed and is aware of one in particular that has randomly sampled existing study samples and assigned novel case status and scaled abundances. </w:t>
      </w:r>
      <w:r w:rsidRPr="005C0EDA">
        <w:rPr>
          <w:rFonts w:ascii="Calibri" w:hAnsi="Calibri" w:cs="Calibri"/>
          <w:sz w:val="22"/>
          <w:szCs w:val="22"/>
        </w:rPr>
        <w:br/>
        <w:t xml:space="preserve">a. Some of the more simple benchmarking studies have occurred as far back as 2016 where samples underwent the same process as described in </w:t>
      </w:r>
      <w:proofErr w:type="spellStart"/>
      <w:r w:rsidRPr="005C0EDA">
        <w:rPr>
          <w:rFonts w:ascii="Calibri" w:hAnsi="Calibri" w:cs="Calibri"/>
          <w:sz w:val="22"/>
          <w:szCs w:val="22"/>
        </w:rPr>
        <w:t>Wirbel</w:t>
      </w:r>
      <w:proofErr w:type="spellEnd"/>
      <w:r w:rsidRPr="005C0EDA">
        <w:rPr>
          <w:rFonts w:ascii="Calibri" w:hAnsi="Calibri" w:cs="Calibri"/>
          <w:sz w:val="22"/>
          <w:szCs w:val="22"/>
        </w:rPr>
        <w:t xml:space="preserve"> et al https://link.springer.com/article/10.1186/s40168-016-0208-8#Fig1</w:t>
      </w:r>
      <w:r w:rsidRPr="005C0EDA">
        <w:rPr>
          <w:rFonts w:ascii="Calibri" w:hAnsi="Calibri" w:cs="Calibri"/>
          <w:sz w:val="22"/>
          <w:szCs w:val="22"/>
        </w:rPr>
        <w:br/>
        <w:t xml:space="preserve">b. I am not suggesting a multi-'true' cohort (think n-dimensional comparison with multiple underlying studies, </w:t>
      </w:r>
      <w:proofErr w:type="spellStart"/>
      <w:r w:rsidRPr="005C0EDA">
        <w:rPr>
          <w:rFonts w:ascii="Calibri" w:hAnsi="Calibri" w:cs="Calibri"/>
          <w:sz w:val="22"/>
          <w:szCs w:val="22"/>
        </w:rPr>
        <w:t>ie</w:t>
      </w:r>
      <w:proofErr w:type="spellEnd"/>
      <w:r w:rsidRPr="005C0EDA">
        <w:rPr>
          <w:rFonts w:ascii="Calibri" w:hAnsi="Calibri" w:cs="Calibri"/>
          <w:sz w:val="22"/>
          <w:szCs w:val="22"/>
        </w:rPr>
        <w:t xml:space="preserve">. Not just the </w:t>
      </w:r>
      <w:proofErr w:type="spellStart"/>
      <w:r w:rsidRPr="005C0EDA">
        <w:rPr>
          <w:rFonts w:ascii="Calibri" w:hAnsi="Calibri" w:cs="Calibri"/>
          <w:sz w:val="22"/>
          <w:szCs w:val="22"/>
        </w:rPr>
        <w:t>zeevi</w:t>
      </w:r>
      <w:proofErr w:type="spellEnd"/>
      <w:r w:rsidRPr="005C0EDA">
        <w:rPr>
          <w:rFonts w:ascii="Calibri" w:hAnsi="Calibri" w:cs="Calibri"/>
          <w:sz w:val="22"/>
          <w:szCs w:val="22"/>
        </w:rPr>
        <w:t xml:space="preserve"> et al study), but I would include at a minimum a table of all prior benchmarking studies and their approaches.</w:t>
      </w:r>
      <w:r w:rsidRPr="005C0EDA">
        <w:rPr>
          <w:rFonts w:ascii="Calibri" w:hAnsi="Calibri" w:cs="Calibri"/>
          <w:sz w:val="22"/>
          <w:szCs w:val="22"/>
        </w:rPr>
        <w:br/>
        <w:t>2. Missing methods:</w:t>
      </w:r>
      <w:r w:rsidRPr="005C0EDA">
        <w:rPr>
          <w:rFonts w:ascii="Calibri" w:hAnsi="Calibri" w:cs="Calibri"/>
          <w:sz w:val="22"/>
          <w:szCs w:val="22"/>
        </w:rPr>
        <w:br/>
        <w:t xml:space="preserve">a. While </w:t>
      </w:r>
      <w:proofErr w:type="spellStart"/>
      <w:r w:rsidRPr="005C0EDA">
        <w:rPr>
          <w:rFonts w:ascii="Calibri" w:hAnsi="Calibri" w:cs="Calibri"/>
          <w:sz w:val="22"/>
          <w:szCs w:val="22"/>
        </w:rPr>
        <w:t>Wirbel</w:t>
      </w:r>
      <w:proofErr w:type="spellEnd"/>
      <w:r w:rsidRPr="005C0EDA">
        <w:rPr>
          <w:rFonts w:ascii="Calibri" w:hAnsi="Calibri" w:cs="Calibri"/>
          <w:sz w:val="22"/>
          <w:szCs w:val="22"/>
        </w:rPr>
        <w:t xml:space="preserve"> et al have cited the </w:t>
      </w:r>
      <w:proofErr w:type="spellStart"/>
      <w:r w:rsidRPr="005C0EDA">
        <w:rPr>
          <w:rFonts w:ascii="Calibri" w:hAnsi="Calibri" w:cs="Calibri"/>
          <w:sz w:val="22"/>
          <w:szCs w:val="22"/>
        </w:rPr>
        <w:t>biorxiv</w:t>
      </w:r>
      <w:proofErr w:type="spellEnd"/>
      <w:r w:rsidRPr="005C0EDA">
        <w:rPr>
          <w:rFonts w:ascii="Calibri" w:hAnsi="Calibri" w:cs="Calibri"/>
          <w:sz w:val="22"/>
          <w:szCs w:val="22"/>
        </w:rPr>
        <w:t xml:space="preserve"> paper of Mallick H et al (MaAslin2) and used several methods implemented within the R package. The paper has however, was accepted in 2021 and has over 700 google citations. This reviewer would appreciate the inclusion of the primary Maaslin2 method for comparison.</w:t>
      </w:r>
      <w:r w:rsidRPr="005C0EDA">
        <w:rPr>
          <w:rFonts w:ascii="Calibri" w:hAnsi="Calibri" w:cs="Calibri"/>
          <w:sz w:val="22"/>
          <w:szCs w:val="22"/>
        </w:rPr>
        <w:br/>
      </w:r>
      <w:proofErr w:type="spellStart"/>
      <w:r w:rsidRPr="005C0EDA">
        <w:rPr>
          <w:rFonts w:ascii="Calibri" w:hAnsi="Calibri" w:cs="Calibri"/>
          <w:sz w:val="22"/>
          <w:szCs w:val="22"/>
        </w:rPr>
        <w:t>i</w:t>
      </w:r>
      <w:proofErr w:type="spellEnd"/>
      <w:r w:rsidRPr="005C0EDA">
        <w:rPr>
          <w:rFonts w:ascii="Calibri" w:hAnsi="Calibri" w:cs="Calibri"/>
          <w:sz w:val="22"/>
          <w:szCs w:val="22"/>
        </w:rPr>
        <w:t>. Personally, I believe the standard t-test to be robust, but this method is catching the microbiome community by storm and is relevant enough to compare to</w:t>
      </w:r>
      <w:r w:rsidRPr="005C0EDA">
        <w:rPr>
          <w:rFonts w:ascii="Calibri" w:hAnsi="Calibri" w:cs="Calibri"/>
          <w:sz w:val="22"/>
          <w:szCs w:val="22"/>
        </w:rPr>
        <w:br/>
        <w:t>3. The authors do not provide enough evidence in the discussion surrounding their claims that, 'Based on our results, we argue that the failure to produce consensus is partially explained by their reliance on unvalidated and ultimately unrealistic parametric simulations of microbiome data as ground truth.'</w:t>
      </w:r>
      <w:r w:rsidRPr="005C0EDA">
        <w:rPr>
          <w:rFonts w:ascii="Calibri" w:hAnsi="Calibri" w:cs="Calibri"/>
          <w:sz w:val="22"/>
          <w:szCs w:val="22"/>
        </w:rPr>
        <w:br/>
        <w:t>a. Authors have not performed an exhaustive analysis of similar disease cohorts and assessed the heterogeneity in raw abundances. There exist many meta-analyses, e.g. https://www.nature.com/articles/s41467-017-01973-8 that have adequately come to conclusions of relevant organisms implicated in disease</w:t>
      </w:r>
      <w:r w:rsidRPr="005C0EDA">
        <w:rPr>
          <w:rFonts w:ascii="Calibri" w:hAnsi="Calibri" w:cs="Calibri"/>
          <w:sz w:val="22"/>
          <w:szCs w:val="22"/>
        </w:rPr>
        <w:br/>
        <w:t xml:space="preserve">4. The inclusion of the methods scripts is nice, but for true broad generalizability and impact / use the authors should create a sustainable Bioconductor (at a minimum CRAN) R package like </w:t>
      </w:r>
      <w:proofErr w:type="spellStart"/>
      <w:r w:rsidRPr="005C0EDA">
        <w:rPr>
          <w:rFonts w:ascii="Calibri" w:hAnsi="Calibri" w:cs="Calibri"/>
          <w:sz w:val="22"/>
          <w:szCs w:val="22"/>
        </w:rPr>
        <w:t>sparsedossa</w:t>
      </w:r>
      <w:proofErr w:type="spellEnd"/>
      <w:r w:rsidRPr="005C0EDA">
        <w:rPr>
          <w:rFonts w:ascii="Calibri" w:hAnsi="Calibri" w:cs="Calibri"/>
          <w:sz w:val="22"/>
          <w:szCs w:val="22"/>
        </w:rPr>
        <w:t xml:space="preserve"> or </w:t>
      </w:r>
      <w:hyperlink r:id="rId4" w:history="1">
        <w:r w:rsidRPr="00A57AB0">
          <w:rPr>
            <w:rStyle w:val="Hyperlink"/>
            <w:rFonts w:ascii="Calibri" w:hAnsi="Calibri" w:cs="Calibri"/>
            <w:sz w:val="22"/>
            <w:szCs w:val="22"/>
          </w:rPr>
          <w:t>https://www.ncbi.nlm.nih.gov/pmc/articles/PMC7047923/</w:t>
        </w:r>
      </w:hyperlink>
    </w:p>
    <w:p w14:paraId="2E1E7935" w14:textId="77777777" w:rsidR="005C0EDA" w:rsidRDefault="005C0EDA" w:rsidP="005C0EDA">
      <w:pPr>
        <w:spacing w:after="0" w:line="240" w:lineRule="auto"/>
        <w:rPr>
          <w:rFonts w:ascii="Calibri" w:hAnsi="Calibri" w:cs="Calibri"/>
          <w:sz w:val="22"/>
          <w:szCs w:val="22"/>
        </w:rPr>
      </w:pPr>
    </w:p>
    <w:p w14:paraId="2141CD43" w14:textId="352577CF" w:rsidR="005C0EDA" w:rsidRDefault="005C0EDA" w:rsidP="005C0EDA">
      <w:pPr>
        <w:spacing w:after="0" w:line="240" w:lineRule="auto"/>
        <w:rPr>
          <w:rFonts w:ascii="Calibri" w:hAnsi="Calibri" w:cs="Calibri"/>
          <w:b/>
          <w:bCs/>
          <w:sz w:val="22"/>
          <w:szCs w:val="22"/>
        </w:rPr>
      </w:pPr>
      <w:r>
        <w:rPr>
          <w:rFonts w:ascii="Calibri" w:hAnsi="Calibri" w:cs="Calibri"/>
          <w:b/>
          <w:bCs/>
          <w:sz w:val="22"/>
          <w:szCs w:val="22"/>
        </w:rPr>
        <w:t>Reviewer 3</w:t>
      </w:r>
    </w:p>
    <w:p w14:paraId="2419441C"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This is a well </w:t>
      </w:r>
      <w:proofErr w:type="spellStart"/>
      <w:r w:rsidRPr="005C0EDA">
        <w:rPr>
          <w:rFonts w:ascii="Calibri" w:hAnsi="Calibri" w:cs="Calibri"/>
          <w:sz w:val="22"/>
          <w:szCs w:val="22"/>
        </w:rPr>
        <w:t>wri+en</w:t>
      </w:r>
      <w:proofErr w:type="spellEnd"/>
      <w:r w:rsidRPr="005C0EDA">
        <w:rPr>
          <w:rFonts w:ascii="Calibri" w:hAnsi="Calibri" w:cs="Calibri"/>
          <w:sz w:val="22"/>
          <w:szCs w:val="22"/>
        </w:rPr>
        <w:t xml:space="preserve"> and </w:t>
      </w:r>
      <w:proofErr w:type="spellStart"/>
      <w:r w:rsidRPr="005C0EDA">
        <w:rPr>
          <w:rFonts w:ascii="Calibri" w:hAnsi="Calibri" w:cs="Calibri"/>
          <w:sz w:val="22"/>
          <w:szCs w:val="22"/>
        </w:rPr>
        <w:t>interes</w:t>
      </w:r>
      <w:proofErr w:type="spellEnd"/>
      <w:r w:rsidRPr="005C0EDA">
        <w:rPr>
          <w:rFonts w:ascii="Calibri" w:hAnsi="Calibri" w:cs="Calibri"/>
          <w:sz w:val="22"/>
          <w:szCs w:val="22"/>
        </w:rPr>
        <w:t xml:space="preserve">/ng manuscript. It contains two important </w:t>
      </w:r>
      <w:proofErr w:type="spellStart"/>
      <w:r w:rsidRPr="005C0EDA">
        <w:rPr>
          <w:rFonts w:ascii="Calibri" w:hAnsi="Calibri" w:cs="Calibri"/>
          <w:sz w:val="22"/>
          <w:szCs w:val="22"/>
        </w:rPr>
        <w:t>contribu</w:t>
      </w:r>
      <w:proofErr w:type="spellEnd"/>
      <w:r w:rsidRPr="005C0EDA">
        <w:rPr>
          <w:rFonts w:ascii="Calibri" w:hAnsi="Calibri" w:cs="Calibri"/>
          <w:sz w:val="22"/>
          <w:szCs w:val="22"/>
        </w:rPr>
        <w:t>/</w:t>
      </w:r>
      <w:proofErr w:type="spellStart"/>
      <w:r w:rsidRPr="005C0EDA">
        <w:rPr>
          <w:rFonts w:ascii="Calibri" w:hAnsi="Calibri" w:cs="Calibri"/>
          <w:sz w:val="22"/>
          <w:szCs w:val="22"/>
        </w:rPr>
        <w:t>ons</w:t>
      </w:r>
      <w:proofErr w:type="spellEnd"/>
      <w:r w:rsidRPr="005C0EDA">
        <w:rPr>
          <w:rFonts w:ascii="Calibri" w:hAnsi="Calibri" w:cs="Calibri"/>
          <w:sz w:val="22"/>
          <w:szCs w:val="22"/>
        </w:rPr>
        <w:t>: (1)</w:t>
      </w:r>
    </w:p>
    <w:p w14:paraId="7856A077"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 new </w:t>
      </w:r>
      <w:proofErr w:type="spellStart"/>
      <w:r w:rsidRPr="005C0EDA">
        <w:rPr>
          <w:rFonts w:ascii="Calibri" w:hAnsi="Calibri" w:cs="Calibri"/>
          <w:sz w:val="22"/>
          <w:szCs w:val="22"/>
        </w:rPr>
        <w:t>simula</w:t>
      </w:r>
      <w:proofErr w:type="spellEnd"/>
      <w:r w:rsidRPr="005C0EDA">
        <w:rPr>
          <w:rFonts w:ascii="Calibri" w:hAnsi="Calibri" w:cs="Calibri"/>
          <w:sz w:val="22"/>
          <w:szCs w:val="22"/>
        </w:rPr>
        <w:t xml:space="preserve">/on framework for </w:t>
      </w:r>
      <w:proofErr w:type="spellStart"/>
      <w:r w:rsidRPr="005C0EDA">
        <w:rPr>
          <w:rFonts w:ascii="Calibri" w:hAnsi="Calibri" w:cs="Calibri"/>
          <w:sz w:val="22"/>
          <w:szCs w:val="22"/>
        </w:rPr>
        <w:t>simula</w:t>
      </w:r>
      <w:proofErr w:type="spellEnd"/>
      <w:r w:rsidRPr="005C0EDA">
        <w:rPr>
          <w:rFonts w:ascii="Calibri" w:hAnsi="Calibri" w:cs="Calibri"/>
          <w:sz w:val="22"/>
          <w:szCs w:val="22"/>
        </w:rPr>
        <w:t>/ng realis/c microbiome data, and (2) a benchmark</w:t>
      </w:r>
    </w:p>
    <w:p w14:paraId="2E56DB3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of many DA methods. Moreover, it also evaluates methods in the presence of confounding</w:t>
      </w:r>
    </w:p>
    <w:p w14:paraId="5524625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effects.</w:t>
      </w:r>
    </w:p>
    <w:p w14:paraId="6FDD4E2A"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Comments:</w:t>
      </w:r>
    </w:p>
    <w:p w14:paraId="180C81B1"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1. There is one more microbiome </w:t>
      </w:r>
      <w:proofErr w:type="spellStart"/>
      <w:r w:rsidRPr="005C0EDA">
        <w:rPr>
          <w:rFonts w:ascii="Calibri" w:hAnsi="Calibri" w:cs="Calibri"/>
          <w:sz w:val="22"/>
          <w:szCs w:val="22"/>
        </w:rPr>
        <w:t>simula</w:t>
      </w:r>
      <w:proofErr w:type="spellEnd"/>
      <w:r w:rsidRPr="005C0EDA">
        <w:rPr>
          <w:rFonts w:ascii="Calibri" w:hAnsi="Calibri" w:cs="Calibri"/>
          <w:sz w:val="22"/>
          <w:szCs w:val="22"/>
        </w:rPr>
        <w:t>/on method that I am aware of, and which also</w:t>
      </w:r>
    </w:p>
    <w:p w14:paraId="32D8347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succeeds well in </w:t>
      </w:r>
      <w:proofErr w:type="spellStart"/>
      <w:r w:rsidRPr="005C0EDA">
        <w:rPr>
          <w:rFonts w:ascii="Calibri" w:hAnsi="Calibri" w:cs="Calibri"/>
          <w:sz w:val="22"/>
          <w:szCs w:val="22"/>
        </w:rPr>
        <w:t>simula</w:t>
      </w:r>
      <w:proofErr w:type="spellEnd"/>
      <w:r w:rsidRPr="005C0EDA">
        <w:rPr>
          <w:rFonts w:ascii="Calibri" w:hAnsi="Calibri" w:cs="Calibri"/>
          <w:sz w:val="22"/>
          <w:szCs w:val="22"/>
        </w:rPr>
        <w:t xml:space="preserve">/ng realis/c data. </w:t>
      </w:r>
      <w:proofErr w:type="spellStart"/>
      <w:r w:rsidRPr="005C0EDA">
        <w:rPr>
          <w:rFonts w:ascii="Calibri" w:hAnsi="Calibri" w:cs="Calibri"/>
          <w:sz w:val="22"/>
          <w:szCs w:val="22"/>
        </w:rPr>
        <w:t>SPSimSeq</w:t>
      </w:r>
      <w:proofErr w:type="spellEnd"/>
      <w:r w:rsidRPr="005C0EDA">
        <w:rPr>
          <w:rFonts w:ascii="Calibri" w:hAnsi="Calibri" w:cs="Calibri"/>
          <w:sz w:val="22"/>
          <w:szCs w:val="22"/>
        </w:rPr>
        <w:t xml:space="preserve"> (Assefa et al., 2020, 2023) was</w:t>
      </w:r>
    </w:p>
    <w:p w14:paraId="2B60EEC1"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originally developed for </w:t>
      </w:r>
      <w:proofErr w:type="spellStart"/>
      <w:r w:rsidRPr="005C0EDA">
        <w:rPr>
          <w:rFonts w:ascii="Calibri" w:hAnsi="Calibri" w:cs="Calibri"/>
          <w:sz w:val="22"/>
          <w:szCs w:val="22"/>
        </w:rPr>
        <w:t>simula</w:t>
      </w:r>
      <w:proofErr w:type="spellEnd"/>
      <w:r w:rsidRPr="005C0EDA">
        <w:rPr>
          <w:rFonts w:ascii="Calibri" w:hAnsi="Calibri" w:cs="Calibri"/>
          <w:sz w:val="22"/>
          <w:szCs w:val="22"/>
        </w:rPr>
        <w:t xml:space="preserve">/ng (bulk) </w:t>
      </w:r>
      <w:proofErr w:type="spellStart"/>
      <w:r w:rsidRPr="005C0EDA">
        <w:rPr>
          <w:rFonts w:ascii="Calibri" w:hAnsi="Calibri" w:cs="Calibri"/>
          <w:sz w:val="22"/>
          <w:szCs w:val="22"/>
        </w:rPr>
        <w:t>RNASeq</w:t>
      </w:r>
      <w:proofErr w:type="spellEnd"/>
      <w:r w:rsidRPr="005C0EDA">
        <w:rPr>
          <w:rFonts w:ascii="Calibri" w:hAnsi="Calibri" w:cs="Calibri"/>
          <w:sz w:val="22"/>
          <w:szCs w:val="22"/>
        </w:rPr>
        <w:t xml:space="preserve"> data, but it has been demonstrated</w:t>
      </w:r>
    </w:p>
    <w:p w14:paraId="40B426D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lastRenderedPageBreak/>
        <w:t xml:space="preserve">to work also well for microbiome data (16S rRNA sequencing); see </w:t>
      </w:r>
      <w:proofErr w:type="spellStart"/>
      <w:r w:rsidRPr="005C0EDA">
        <w:rPr>
          <w:rFonts w:ascii="Calibri" w:hAnsi="Calibri" w:cs="Calibri"/>
          <w:sz w:val="22"/>
          <w:szCs w:val="22"/>
        </w:rPr>
        <w:t>Kodalci</w:t>
      </w:r>
      <w:proofErr w:type="spellEnd"/>
      <w:r w:rsidRPr="005C0EDA">
        <w:rPr>
          <w:rFonts w:ascii="Calibri" w:hAnsi="Calibri" w:cs="Calibri"/>
          <w:sz w:val="22"/>
          <w:szCs w:val="22"/>
        </w:rPr>
        <w:t xml:space="preserve"> and </w:t>
      </w:r>
      <w:proofErr w:type="spellStart"/>
      <w:r w:rsidRPr="005C0EDA">
        <w:rPr>
          <w:rFonts w:ascii="Calibri" w:hAnsi="Calibri" w:cs="Calibri"/>
          <w:sz w:val="22"/>
          <w:szCs w:val="22"/>
        </w:rPr>
        <w:t>Thas</w:t>
      </w:r>
      <w:proofErr w:type="spellEnd"/>
    </w:p>
    <w:p w14:paraId="5A4235C8"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(2023).</w:t>
      </w:r>
    </w:p>
    <w:p w14:paraId="39161E49"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2. For the performance </w:t>
      </w:r>
      <w:proofErr w:type="spellStart"/>
      <w:r w:rsidRPr="005C0EDA">
        <w:rPr>
          <w:rFonts w:ascii="Calibri" w:hAnsi="Calibri" w:cs="Calibri"/>
          <w:sz w:val="22"/>
          <w:szCs w:val="22"/>
        </w:rPr>
        <w:t>evalua</w:t>
      </w:r>
      <w:proofErr w:type="spellEnd"/>
      <w:r w:rsidRPr="005C0EDA">
        <w:rPr>
          <w:rFonts w:ascii="Calibri" w:hAnsi="Calibri" w:cs="Calibri"/>
          <w:sz w:val="22"/>
          <w:szCs w:val="22"/>
        </w:rPr>
        <w:t xml:space="preserve">/on you compare the empirical FDR with the </w:t>
      </w:r>
      <w:proofErr w:type="spellStart"/>
      <w:r w:rsidRPr="005C0EDA">
        <w:rPr>
          <w:rFonts w:ascii="Calibri" w:hAnsi="Calibri" w:cs="Calibri"/>
          <w:sz w:val="22"/>
          <w:szCs w:val="22"/>
        </w:rPr>
        <w:t>es#mated</w:t>
      </w:r>
      <w:proofErr w:type="spellEnd"/>
    </w:p>
    <w:p w14:paraId="2094AE30"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FDR. What is the </w:t>
      </w:r>
      <w:proofErr w:type="spellStart"/>
      <w:r w:rsidRPr="005C0EDA">
        <w:rPr>
          <w:rFonts w:ascii="Calibri" w:hAnsi="Calibri" w:cs="Calibri"/>
          <w:sz w:val="22"/>
          <w:szCs w:val="22"/>
        </w:rPr>
        <w:t>es#mated</w:t>
      </w:r>
      <w:proofErr w:type="spellEnd"/>
      <w:r w:rsidRPr="005C0EDA">
        <w:rPr>
          <w:rFonts w:ascii="Calibri" w:hAnsi="Calibri" w:cs="Calibri"/>
          <w:sz w:val="22"/>
          <w:szCs w:val="22"/>
        </w:rPr>
        <w:t xml:space="preserve"> FDR?</w:t>
      </w:r>
    </w:p>
    <w:p w14:paraId="02EB2ED9"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3. Lin and </w:t>
      </w:r>
      <w:proofErr w:type="spellStart"/>
      <w:r w:rsidRPr="005C0EDA">
        <w:rPr>
          <w:rFonts w:ascii="Calibri" w:hAnsi="Calibri" w:cs="Calibri"/>
          <w:sz w:val="22"/>
          <w:szCs w:val="22"/>
        </w:rPr>
        <w:t>Peddada</w:t>
      </w:r>
      <w:proofErr w:type="spellEnd"/>
      <w:r w:rsidRPr="005C0EDA">
        <w:rPr>
          <w:rFonts w:ascii="Calibri" w:hAnsi="Calibri" w:cs="Calibri"/>
          <w:sz w:val="22"/>
          <w:szCs w:val="22"/>
        </w:rPr>
        <w:t xml:space="preserve"> (2020) argue that microbiome data </w:t>
      </w:r>
      <w:proofErr w:type="spellStart"/>
      <w:r w:rsidRPr="005C0EDA">
        <w:rPr>
          <w:rFonts w:ascii="Calibri" w:hAnsi="Calibri" w:cs="Calibri"/>
          <w:sz w:val="22"/>
          <w:szCs w:val="22"/>
        </w:rPr>
        <w:t>oVen</w:t>
      </w:r>
      <w:proofErr w:type="spellEnd"/>
      <w:r w:rsidRPr="005C0EDA">
        <w:rPr>
          <w:rFonts w:ascii="Calibri" w:hAnsi="Calibri" w:cs="Calibri"/>
          <w:sz w:val="22"/>
          <w:szCs w:val="22"/>
        </w:rPr>
        <w:t xml:space="preserve"> shows a </w:t>
      </w:r>
      <w:proofErr w:type="spellStart"/>
      <w:r w:rsidRPr="005C0EDA">
        <w:rPr>
          <w:rFonts w:ascii="Calibri" w:hAnsi="Calibri" w:cs="Calibri"/>
          <w:sz w:val="22"/>
          <w:szCs w:val="22"/>
        </w:rPr>
        <w:t>differen</w:t>
      </w:r>
      <w:proofErr w:type="spellEnd"/>
      <w:r w:rsidRPr="005C0EDA">
        <w:rPr>
          <w:rFonts w:ascii="Calibri" w:hAnsi="Calibri" w:cs="Calibri"/>
          <w:sz w:val="22"/>
          <w:szCs w:val="22"/>
        </w:rPr>
        <w:t>/al</w:t>
      </w:r>
    </w:p>
    <w:p w14:paraId="1370F248"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sampling frac/on between the two groups. Their method (ANCOM-BS), which is also</w:t>
      </w:r>
    </w:p>
    <w:p w14:paraId="6F0B7784"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included in your study, is supposed to adjust for it. Does your </w:t>
      </w:r>
      <w:proofErr w:type="spellStart"/>
      <w:r w:rsidRPr="005C0EDA">
        <w:rPr>
          <w:rFonts w:ascii="Calibri" w:hAnsi="Calibri" w:cs="Calibri"/>
          <w:sz w:val="22"/>
          <w:szCs w:val="22"/>
        </w:rPr>
        <w:t>simula</w:t>
      </w:r>
      <w:proofErr w:type="spellEnd"/>
      <w:r w:rsidRPr="005C0EDA">
        <w:rPr>
          <w:rFonts w:ascii="Calibri" w:hAnsi="Calibri" w:cs="Calibri"/>
          <w:sz w:val="22"/>
          <w:szCs w:val="22"/>
        </w:rPr>
        <w:t>/on method</w:t>
      </w:r>
    </w:p>
    <w:p w14:paraId="25F4FF1C"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allow for the </w:t>
      </w:r>
      <w:proofErr w:type="spellStart"/>
      <w:r w:rsidRPr="005C0EDA">
        <w:rPr>
          <w:rFonts w:ascii="Calibri" w:hAnsi="Calibri" w:cs="Calibri"/>
          <w:sz w:val="22"/>
          <w:szCs w:val="22"/>
        </w:rPr>
        <w:t>introduc</w:t>
      </w:r>
      <w:proofErr w:type="spellEnd"/>
      <w:r w:rsidRPr="005C0EDA">
        <w:rPr>
          <w:rFonts w:ascii="Calibri" w:hAnsi="Calibri" w:cs="Calibri"/>
          <w:sz w:val="22"/>
          <w:szCs w:val="22"/>
        </w:rPr>
        <w:t>/</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 </w:t>
      </w:r>
      <w:proofErr w:type="spellStart"/>
      <w:r w:rsidRPr="005C0EDA">
        <w:rPr>
          <w:rFonts w:ascii="Calibri" w:hAnsi="Calibri" w:cs="Calibri"/>
          <w:sz w:val="22"/>
          <w:szCs w:val="22"/>
        </w:rPr>
        <w:t>differen</w:t>
      </w:r>
      <w:proofErr w:type="spellEnd"/>
      <w:r w:rsidRPr="005C0EDA">
        <w:rPr>
          <w:rFonts w:ascii="Calibri" w:hAnsi="Calibri" w:cs="Calibri"/>
          <w:sz w:val="22"/>
          <w:szCs w:val="22"/>
        </w:rPr>
        <w:t>/al sampling frac/</w:t>
      </w:r>
      <w:proofErr w:type="spellStart"/>
      <w:r w:rsidRPr="005C0EDA">
        <w:rPr>
          <w:rFonts w:ascii="Calibri" w:hAnsi="Calibri" w:cs="Calibri"/>
          <w:sz w:val="22"/>
          <w:szCs w:val="22"/>
        </w:rPr>
        <w:t>ons</w:t>
      </w:r>
      <w:proofErr w:type="spellEnd"/>
      <w:r w:rsidRPr="005C0EDA">
        <w:rPr>
          <w:rFonts w:ascii="Calibri" w:hAnsi="Calibri" w:cs="Calibri"/>
          <w:sz w:val="22"/>
          <w:szCs w:val="22"/>
        </w:rPr>
        <w:t>? A related issue: the</w:t>
      </w:r>
    </w:p>
    <w:p w14:paraId="42EBAE4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library size </w:t>
      </w:r>
      <w:proofErr w:type="spellStart"/>
      <w:r w:rsidRPr="005C0EDA">
        <w:rPr>
          <w:rFonts w:ascii="Calibri" w:hAnsi="Calibri" w:cs="Calibri"/>
          <w:sz w:val="22"/>
          <w:szCs w:val="22"/>
        </w:rPr>
        <w:t>distribu</w:t>
      </w:r>
      <w:proofErr w:type="spellEnd"/>
      <w:r w:rsidRPr="005C0EDA">
        <w:rPr>
          <w:rFonts w:ascii="Calibri" w:hAnsi="Calibri" w:cs="Calibri"/>
          <w:sz w:val="22"/>
          <w:szCs w:val="22"/>
        </w:rPr>
        <w:t>/on may be different between the two groups. If this happens,</w:t>
      </w:r>
    </w:p>
    <w:p w14:paraId="6689190E"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then it is either by coincidence, or because of technical issues. Anyway, it may affect</w:t>
      </w:r>
    </w:p>
    <w:p w14:paraId="34930A5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the DA results. Your </w:t>
      </w:r>
      <w:proofErr w:type="spellStart"/>
      <w:r w:rsidRPr="005C0EDA">
        <w:rPr>
          <w:rFonts w:ascii="Calibri" w:hAnsi="Calibri" w:cs="Calibri"/>
          <w:sz w:val="22"/>
          <w:szCs w:val="22"/>
        </w:rPr>
        <w:t>simula</w:t>
      </w:r>
      <w:proofErr w:type="spellEnd"/>
      <w:r w:rsidRPr="005C0EDA">
        <w:rPr>
          <w:rFonts w:ascii="Calibri" w:hAnsi="Calibri" w:cs="Calibri"/>
          <w:sz w:val="22"/>
          <w:szCs w:val="22"/>
        </w:rPr>
        <w:t xml:space="preserve">/on method starts with randomly </w:t>
      </w:r>
      <w:proofErr w:type="spellStart"/>
      <w:r w:rsidRPr="005C0EDA">
        <w:rPr>
          <w:rFonts w:ascii="Calibri" w:hAnsi="Calibri" w:cs="Calibri"/>
          <w:sz w:val="22"/>
          <w:szCs w:val="22"/>
        </w:rPr>
        <w:t>spli</w:t>
      </w:r>
      <w:proofErr w:type="spellEnd"/>
      <w:r w:rsidRPr="005C0EDA">
        <w:rPr>
          <w:rFonts w:ascii="Calibri" w:hAnsi="Calibri" w:cs="Calibri"/>
          <w:sz w:val="22"/>
          <w:szCs w:val="22"/>
        </w:rPr>
        <w:t>]ng the set of all</w:t>
      </w:r>
    </w:p>
    <w:p w14:paraId="07FFDCA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samples into two groups, and hence, on average, no difference between the</w:t>
      </w:r>
    </w:p>
    <w:p w14:paraId="7DBFFB74"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sampling </w:t>
      </w:r>
      <w:proofErr w:type="spellStart"/>
      <w:r w:rsidRPr="005C0EDA">
        <w:rPr>
          <w:rFonts w:ascii="Calibri" w:hAnsi="Calibri" w:cs="Calibri"/>
          <w:sz w:val="22"/>
          <w:szCs w:val="22"/>
        </w:rPr>
        <w:t>distribu</w:t>
      </w:r>
      <w:proofErr w:type="spellEnd"/>
      <w:r w:rsidRPr="005C0EDA">
        <w:rPr>
          <w:rFonts w:ascii="Calibri" w:hAnsi="Calibri" w:cs="Calibri"/>
          <w:sz w:val="22"/>
          <w:szCs w:val="22"/>
        </w:rPr>
        <w:t>/</w:t>
      </w:r>
      <w:proofErr w:type="spellStart"/>
      <w:r w:rsidRPr="005C0EDA">
        <w:rPr>
          <w:rFonts w:ascii="Calibri" w:hAnsi="Calibri" w:cs="Calibri"/>
          <w:sz w:val="22"/>
          <w:szCs w:val="22"/>
        </w:rPr>
        <w:t>ons</w:t>
      </w:r>
      <w:proofErr w:type="spellEnd"/>
      <w:r w:rsidRPr="005C0EDA">
        <w:rPr>
          <w:rFonts w:ascii="Calibri" w:hAnsi="Calibri" w:cs="Calibri"/>
          <w:sz w:val="22"/>
          <w:szCs w:val="22"/>
        </w:rPr>
        <w:t xml:space="preserve"> is expected. Would it be possible to introduce this flexibility in</w:t>
      </w:r>
    </w:p>
    <w:p w14:paraId="491E91B8"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the R </w:t>
      </w:r>
      <w:proofErr w:type="spellStart"/>
      <w:r w:rsidRPr="005C0EDA">
        <w:rPr>
          <w:rFonts w:ascii="Calibri" w:hAnsi="Calibri" w:cs="Calibri"/>
          <w:sz w:val="22"/>
          <w:szCs w:val="22"/>
        </w:rPr>
        <w:t>implementa</w:t>
      </w:r>
      <w:proofErr w:type="spellEnd"/>
      <w:r w:rsidRPr="005C0EDA">
        <w:rPr>
          <w:rFonts w:ascii="Calibri" w:hAnsi="Calibri" w:cs="Calibri"/>
          <w:sz w:val="22"/>
          <w:szCs w:val="22"/>
        </w:rPr>
        <w:t xml:space="preserve">/on? I am not necessarily </w:t>
      </w:r>
      <w:proofErr w:type="spellStart"/>
      <w:r w:rsidRPr="005C0EDA">
        <w:rPr>
          <w:rFonts w:ascii="Calibri" w:hAnsi="Calibri" w:cs="Calibri"/>
          <w:sz w:val="22"/>
          <w:szCs w:val="22"/>
        </w:rPr>
        <w:t>sugges</w:t>
      </w:r>
      <w:proofErr w:type="spellEnd"/>
      <w:r w:rsidRPr="005C0EDA">
        <w:rPr>
          <w:rFonts w:ascii="Calibri" w:hAnsi="Calibri" w:cs="Calibri"/>
          <w:sz w:val="22"/>
          <w:szCs w:val="22"/>
        </w:rPr>
        <w:t>/ng that you need to extend your</w:t>
      </w:r>
    </w:p>
    <w:p w14:paraId="34C90DFF"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simula</w:t>
      </w:r>
      <w:proofErr w:type="spellEnd"/>
      <w:r w:rsidRPr="005C0EDA">
        <w:rPr>
          <w:rFonts w:ascii="Calibri" w:hAnsi="Calibri" w:cs="Calibri"/>
          <w:sz w:val="22"/>
          <w:szCs w:val="22"/>
        </w:rPr>
        <w:t>/on study in this way, but it could be added to the discussion sec/on.</w:t>
      </w:r>
    </w:p>
    <w:p w14:paraId="202AB46C"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4. In the Methods sec/on you give a clear </w:t>
      </w:r>
      <w:proofErr w:type="spellStart"/>
      <w:r w:rsidRPr="005C0EDA">
        <w:rPr>
          <w:rFonts w:ascii="Calibri" w:hAnsi="Calibri" w:cs="Calibri"/>
          <w:sz w:val="22"/>
          <w:szCs w:val="22"/>
        </w:rPr>
        <w:t>descrip</w:t>
      </w:r>
      <w:proofErr w:type="spellEnd"/>
      <w:r w:rsidRPr="005C0EDA">
        <w:rPr>
          <w:rFonts w:ascii="Calibri" w:hAnsi="Calibri" w:cs="Calibri"/>
          <w:sz w:val="22"/>
          <w:szCs w:val="22"/>
        </w:rPr>
        <w:t>/</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 the </w:t>
      </w:r>
      <w:proofErr w:type="spellStart"/>
      <w:r w:rsidRPr="005C0EDA">
        <w:rPr>
          <w:rFonts w:ascii="Calibri" w:hAnsi="Calibri" w:cs="Calibri"/>
          <w:sz w:val="22"/>
          <w:szCs w:val="22"/>
        </w:rPr>
        <w:t>simula</w:t>
      </w:r>
      <w:proofErr w:type="spellEnd"/>
      <w:r w:rsidRPr="005C0EDA">
        <w:rPr>
          <w:rFonts w:ascii="Calibri" w:hAnsi="Calibri" w:cs="Calibri"/>
          <w:sz w:val="22"/>
          <w:szCs w:val="22"/>
        </w:rPr>
        <w:t>/on method. It is</w:t>
      </w:r>
    </w:p>
    <w:p w14:paraId="2158635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men/</w:t>
      </w:r>
      <w:proofErr w:type="spellStart"/>
      <w:r w:rsidRPr="005C0EDA">
        <w:rPr>
          <w:rFonts w:ascii="Calibri" w:hAnsi="Calibri" w:cs="Calibri"/>
          <w:sz w:val="22"/>
          <w:szCs w:val="22"/>
        </w:rPr>
        <w:t>oned</w:t>
      </w:r>
      <w:proofErr w:type="spellEnd"/>
      <w:r w:rsidRPr="005C0EDA">
        <w:rPr>
          <w:rFonts w:ascii="Calibri" w:hAnsi="Calibri" w:cs="Calibri"/>
          <w:sz w:val="22"/>
          <w:szCs w:val="22"/>
        </w:rPr>
        <w:t xml:space="preserve"> that </w:t>
      </w:r>
      <w:proofErr w:type="spellStart"/>
      <w:r w:rsidRPr="005C0EDA">
        <w:rPr>
          <w:rFonts w:ascii="Calibri" w:hAnsi="Calibri" w:cs="Calibri"/>
          <w:sz w:val="22"/>
          <w:szCs w:val="22"/>
        </w:rPr>
        <w:t>aVer</w:t>
      </w:r>
      <w:proofErr w:type="spellEnd"/>
      <w:r w:rsidRPr="005C0EDA">
        <w:rPr>
          <w:rFonts w:ascii="Calibri" w:hAnsi="Calibri" w:cs="Calibri"/>
          <w:sz w:val="22"/>
          <w:szCs w:val="22"/>
        </w:rPr>
        <w:t xml:space="preserve"> scaling and </w:t>
      </w:r>
      <w:proofErr w:type="spellStart"/>
      <w:r w:rsidRPr="005C0EDA">
        <w:rPr>
          <w:rFonts w:ascii="Calibri" w:hAnsi="Calibri" w:cs="Calibri"/>
          <w:sz w:val="22"/>
          <w:szCs w:val="22"/>
        </w:rPr>
        <w:t>shiVing</w:t>
      </w:r>
      <w:proofErr w:type="spellEnd"/>
      <w:r w:rsidRPr="005C0EDA">
        <w:rPr>
          <w:rFonts w:ascii="Calibri" w:hAnsi="Calibri" w:cs="Calibri"/>
          <w:sz w:val="22"/>
          <w:szCs w:val="22"/>
        </w:rPr>
        <w:t>, the generalised fold change is computed</w:t>
      </w:r>
    </w:p>
    <w:p w14:paraId="56E7946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for all taxa, and if a fold change for a an implanted feature is smaller than 0.001, then</w:t>
      </w:r>
    </w:p>
    <w:p w14:paraId="0D347202"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that feature is removed. This makes sense to me, but what about the other way</w:t>
      </w:r>
    </w:p>
    <w:p w14:paraId="30067A9D"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around? Suppose that </w:t>
      </w:r>
      <w:proofErr w:type="spellStart"/>
      <w:r w:rsidRPr="005C0EDA">
        <w:rPr>
          <w:rFonts w:ascii="Calibri" w:hAnsi="Calibri" w:cs="Calibri"/>
          <w:sz w:val="22"/>
          <w:szCs w:val="22"/>
        </w:rPr>
        <w:t>aVer</w:t>
      </w:r>
      <w:proofErr w:type="spellEnd"/>
      <w:r w:rsidRPr="005C0EDA">
        <w:rPr>
          <w:rFonts w:ascii="Calibri" w:hAnsi="Calibri" w:cs="Calibri"/>
          <w:sz w:val="22"/>
          <w:szCs w:val="22"/>
        </w:rPr>
        <w:t xml:space="preserve"> randomly </w:t>
      </w:r>
      <w:proofErr w:type="spellStart"/>
      <w:r w:rsidRPr="005C0EDA">
        <w:rPr>
          <w:rFonts w:ascii="Calibri" w:hAnsi="Calibri" w:cs="Calibri"/>
          <w:sz w:val="22"/>
          <w:szCs w:val="22"/>
        </w:rPr>
        <w:t>spli</w:t>
      </w:r>
      <w:proofErr w:type="spellEnd"/>
      <w:r w:rsidRPr="005C0EDA">
        <w:rPr>
          <w:rFonts w:ascii="Calibri" w:hAnsi="Calibri" w:cs="Calibri"/>
          <w:sz w:val="22"/>
          <w:szCs w:val="22"/>
        </w:rPr>
        <w:t>]ng samples into two groups, a non-DA</w:t>
      </w:r>
    </w:p>
    <w:p w14:paraId="039AA23E"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feature shows – by coincidence – a large fold change?</w:t>
      </w:r>
    </w:p>
    <w:p w14:paraId="5E4EE9C1"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5. Whereas the </w:t>
      </w:r>
      <w:proofErr w:type="spellStart"/>
      <w:r w:rsidRPr="005C0EDA">
        <w:rPr>
          <w:rFonts w:ascii="Calibri" w:hAnsi="Calibri" w:cs="Calibri"/>
          <w:sz w:val="22"/>
          <w:szCs w:val="22"/>
        </w:rPr>
        <w:t>descrip</w:t>
      </w:r>
      <w:proofErr w:type="spellEnd"/>
      <w:r w:rsidRPr="005C0EDA">
        <w:rPr>
          <w:rFonts w:ascii="Calibri" w:hAnsi="Calibri" w:cs="Calibri"/>
          <w:sz w:val="22"/>
          <w:szCs w:val="22"/>
        </w:rPr>
        <w:t>/</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 the </w:t>
      </w:r>
      <w:proofErr w:type="spellStart"/>
      <w:r w:rsidRPr="005C0EDA">
        <w:rPr>
          <w:rFonts w:ascii="Calibri" w:hAnsi="Calibri" w:cs="Calibri"/>
          <w:sz w:val="22"/>
          <w:szCs w:val="22"/>
        </w:rPr>
        <w:t>simula</w:t>
      </w:r>
      <w:proofErr w:type="spellEnd"/>
      <w:r w:rsidRPr="005C0EDA">
        <w:rPr>
          <w:rFonts w:ascii="Calibri" w:hAnsi="Calibri" w:cs="Calibri"/>
          <w:sz w:val="22"/>
          <w:szCs w:val="22"/>
        </w:rPr>
        <w:t>/on method in the absence of confounders is</w:t>
      </w:r>
    </w:p>
    <w:p w14:paraId="146A8B0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very clear to me, this does not apply to the </w:t>
      </w:r>
      <w:proofErr w:type="spellStart"/>
      <w:r w:rsidRPr="005C0EDA">
        <w:rPr>
          <w:rFonts w:ascii="Calibri" w:hAnsi="Calibri" w:cs="Calibri"/>
          <w:sz w:val="22"/>
          <w:szCs w:val="22"/>
        </w:rPr>
        <w:t>descrip</w:t>
      </w:r>
      <w:proofErr w:type="spellEnd"/>
      <w:r w:rsidRPr="005C0EDA">
        <w:rPr>
          <w:rFonts w:ascii="Calibri" w:hAnsi="Calibri" w:cs="Calibri"/>
          <w:sz w:val="22"/>
          <w:szCs w:val="22"/>
        </w:rPr>
        <w:t>/</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 the genera/</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w:t>
      </w:r>
    </w:p>
    <w:p w14:paraId="56642CF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confounding effects (p. 21). Although I think I can more or less what you did, I am</w:t>
      </w:r>
    </w:p>
    <w:p w14:paraId="5C1DB3A8"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afraid that the </w:t>
      </w:r>
      <w:proofErr w:type="spellStart"/>
      <w:r w:rsidRPr="005C0EDA">
        <w:rPr>
          <w:rFonts w:ascii="Calibri" w:hAnsi="Calibri" w:cs="Calibri"/>
          <w:sz w:val="22"/>
          <w:szCs w:val="22"/>
        </w:rPr>
        <w:t>descrip</w:t>
      </w:r>
      <w:proofErr w:type="spellEnd"/>
      <w:r w:rsidRPr="005C0EDA">
        <w:rPr>
          <w:rFonts w:ascii="Calibri" w:hAnsi="Calibri" w:cs="Calibri"/>
          <w:sz w:val="22"/>
          <w:szCs w:val="22"/>
        </w:rPr>
        <w:t>/on is insufficiently clear for most people to reproduce the</w:t>
      </w:r>
    </w:p>
    <w:p w14:paraId="7A820926"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simula</w:t>
      </w:r>
      <w:proofErr w:type="spellEnd"/>
      <w:r w:rsidRPr="005C0EDA">
        <w:rPr>
          <w:rFonts w:ascii="Calibri" w:hAnsi="Calibri" w:cs="Calibri"/>
          <w:sz w:val="22"/>
          <w:szCs w:val="22"/>
        </w:rPr>
        <w:t>/</w:t>
      </w:r>
      <w:proofErr w:type="spellStart"/>
      <w:r w:rsidRPr="005C0EDA">
        <w:rPr>
          <w:rFonts w:ascii="Calibri" w:hAnsi="Calibri" w:cs="Calibri"/>
          <w:sz w:val="22"/>
          <w:szCs w:val="22"/>
        </w:rPr>
        <w:t>ons</w:t>
      </w:r>
      <w:proofErr w:type="spellEnd"/>
      <w:r w:rsidRPr="005C0EDA">
        <w:rPr>
          <w:rFonts w:ascii="Calibri" w:hAnsi="Calibri" w:cs="Calibri"/>
          <w:sz w:val="22"/>
          <w:szCs w:val="22"/>
        </w:rPr>
        <w:t xml:space="preserve">, and reproducibility is important. Can you please try to provide a </w:t>
      </w:r>
      <w:proofErr w:type="spellStart"/>
      <w:r w:rsidRPr="005C0EDA">
        <w:rPr>
          <w:rFonts w:ascii="Calibri" w:hAnsi="Calibri" w:cs="Calibri"/>
          <w:sz w:val="22"/>
          <w:szCs w:val="22"/>
        </w:rPr>
        <w:t>be+er</w:t>
      </w:r>
      <w:proofErr w:type="spellEnd"/>
    </w:p>
    <w:p w14:paraId="69A5DDD4"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descrip</w:t>
      </w:r>
      <w:proofErr w:type="spellEnd"/>
      <w:r w:rsidRPr="005C0EDA">
        <w:rPr>
          <w:rFonts w:ascii="Calibri" w:hAnsi="Calibri" w:cs="Calibri"/>
          <w:sz w:val="22"/>
          <w:szCs w:val="22"/>
        </w:rPr>
        <w:t>/on?</w:t>
      </w:r>
    </w:p>
    <w:p w14:paraId="1B3C04EE"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6. With the linear models, I wonder why you have chosen to adjust for confounders by</w:t>
      </w:r>
    </w:p>
    <w:p w14:paraId="6895DC0D"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adding them as random effects to the model? Don’t most people add the confounder</w:t>
      </w:r>
    </w:p>
    <w:p w14:paraId="5827C46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as a fixed effect to the model? For the Wilcoxon rank sum test, you have chosen for</w:t>
      </w:r>
    </w:p>
    <w:p w14:paraId="08A6698E"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stra</w:t>
      </w:r>
      <w:proofErr w:type="spellEnd"/>
      <w:r w:rsidRPr="005C0EDA">
        <w:rPr>
          <w:rFonts w:ascii="Calibri" w:hAnsi="Calibri" w:cs="Calibri"/>
          <w:sz w:val="22"/>
          <w:szCs w:val="22"/>
        </w:rPr>
        <w:t>/</w:t>
      </w:r>
      <w:proofErr w:type="spellStart"/>
      <w:r w:rsidRPr="005C0EDA">
        <w:rPr>
          <w:rFonts w:ascii="Calibri" w:hAnsi="Calibri" w:cs="Calibri"/>
          <w:sz w:val="22"/>
          <w:szCs w:val="22"/>
        </w:rPr>
        <w:t>fica</w:t>
      </w:r>
      <w:proofErr w:type="spellEnd"/>
      <w:r w:rsidRPr="005C0EDA">
        <w:rPr>
          <w:rFonts w:ascii="Calibri" w:hAnsi="Calibri" w:cs="Calibri"/>
          <w:sz w:val="22"/>
          <w:szCs w:val="22"/>
        </w:rPr>
        <w:t>/on if I am correct. This is more like considering the confounder as a fixed</w:t>
      </w:r>
    </w:p>
    <w:p w14:paraId="732C20A9"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effect. By the way, note that </w:t>
      </w:r>
      <w:proofErr w:type="spellStart"/>
      <w:r w:rsidRPr="005C0EDA">
        <w:rPr>
          <w:rFonts w:ascii="Calibri" w:hAnsi="Calibri" w:cs="Calibri"/>
          <w:sz w:val="22"/>
          <w:szCs w:val="22"/>
        </w:rPr>
        <w:t>Kodalci</w:t>
      </w:r>
      <w:proofErr w:type="spellEnd"/>
      <w:r w:rsidRPr="005C0EDA">
        <w:rPr>
          <w:rFonts w:ascii="Calibri" w:hAnsi="Calibri" w:cs="Calibri"/>
          <w:sz w:val="22"/>
          <w:szCs w:val="22"/>
        </w:rPr>
        <w:t xml:space="preserve"> and </w:t>
      </w:r>
      <w:proofErr w:type="spellStart"/>
      <w:r w:rsidRPr="005C0EDA">
        <w:rPr>
          <w:rFonts w:ascii="Calibri" w:hAnsi="Calibri" w:cs="Calibri"/>
          <w:sz w:val="22"/>
          <w:szCs w:val="22"/>
        </w:rPr>
        <w:t>Thas</w:t>
      </w:r>
      <w:proofErr w:type="spellEnd"/>
      <w:r w:rsidRPr="005C0EDA">
        <w:rPr>
          <w:rFonts w:ascii="Calibri" w:hAnsi="Calibri" w:cs="Calibri"/>
          <w:sz w:val="22"/>
          <w:szCs w:val="22"/>
        </w:rPr>
        <w:t xml:space="preserve"> (2023) proposed extensions of the</w:t>
      </w:r>
    </w:p>
    <w:p w14:paraId="7EEDD672"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Wilcoxon rank sum test that allows for the adjustment of con/</w:t>
      </w:r>
      <w:proofErr w:type="spellStart"/>
      <w:r w:rsidRPr="005C0EDA">
        <w:rPr>
          <w:rFonts w:ascii="Calibri" w:hAnsi="Calibri" w:cs="Calibri"/>
          <w:sz w:val="22"/>
          <w:szCs w:val="22"/>
        </w:rPr>
        <w:t>nuous</w:t>
      </w:r>
      <w:proofErr w:type="spellEnd"/>
    </w:p>
    <w:p w14:paraId="0548D8B7"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confounders/covariates.</w:t>
      </w:r>
    </w:p>
    <w:p w14:paraId="56AE9D5A"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7. When using linear models, the confounders are added as </w:t>
      </w:r>
      <w:proofErr w:type="spellStart"/>
      <w:r w:rsidRPr="005C0EDA">
        <w:rPr>
          <w:rFonts w:ascii="Calibri" w:hAnsi="Calibri" w:cs="Calibri"/>
          <w:sz w:val="22"/>
          <w:szCs w:val="22"/>
        </w:rPr>
        <w:t>addi</w:t>
      </w:r>
      <w:proofErr w:type="spellEnd"/>
      <w:r w:rsidRPr="005C0EDA">
        <w:rPr>
          <w:rFonts w:ascii="Calibri" w:hAnsi="Calibri" w:cs="Calibri"/>
          <w:sz w:val="22"/>
          <w:szCs w:val="22"/>
        </w:rPr>
        <w:t>/</w:t>
      </w:r>
      <w:proofErr w:type="spellStart"/>
      <w:r w:rsidRPr="005C0EDA">
        <w:rPr>
          <w:rFonts w:ascii="Calibri" w:hAnsi="Calibri" w:cs="Calibri"/>
          <w:sz w:val="22"/>
          <w:szCs w:val="22"/>
        </w:rPr>
        <w:t>ve</w:t>
      </w:r>
      <w:proofErr w:type="spellEnd"/>
      <w:r w:rsidRPr="005C0EDA">
        <w:rPr>
          <w:rFonts w:ascii="Calibri" w:hAnsi="Calibri" w:cs="Calibri"/>
          <w:sz w:val="22"/>
          <w:szCs w:val="22"/>
        </w:rPr>
        <w:t>, linear effects.</w:t>
      </w:r>
    </w:p>
    <w:p w14:paraId="03D75A5E"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Does this agree with the way the data is simulated? For the real data analyses, you</w:t>
      </w:r>
    </w:p>
    <w:p w14:paraId="77B2855D"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could e.g. make residual plots to check this </w:t>
      </w:r>
      <w:proofErr w:type="spellStart"/>
      <w:r w:rsidRPr="005C0EDA">
        <w:rPr>
          <w:rFonts w:ascii="Calibri" w:hAnsi="Calibri" w:cs="Calibri"/>
          <w:sz w:val="22"/>
          <w:szCs w:val="22"/>
        </w:rPr>
        <w:t>assump</w:t>
      </w:r>
      <w:proofErr w:type="spellEnd"/>
      <w:r w:rsidRPr="005C0EDA">
        <w:rPr>
          <w:rFonts w:ascii="Calibri" w:hAnsi="Calibri" w:cs="Calibri"/>
          <w:sz w:val="22"/>
          <w:szCs w:val="22"/>
        </w:rPr>
        <w:t>/on.</w:t>
      </w:r>
    </w:p>
    <w:p w14:paraId="16B329FD"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8. Throughout the manuscript you use the term “post hoc” adjustment. I have doubts</w:t>
      </w:r>
    </w:p>
    <w:p w14:paraId="725E8348"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about this terminology. Post hoc seems to suggest that the analysis is done in a</w:t>
      </w:r>
    </w:p>
    <w:p w14:paraId="2EDF601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second-stage, </w:t>
      </w:r>
      <w:proofErr w:type="spellStart"/>
      <w:r w:rsidRPr="005C0EDA">
        <w:rPr>
          <w:rFonts w:ascii="Calibri" w:hAnsi="Calibri" w:cs="Calibri"/>
          <w:sz w:val="22"/>
          <w:szCs w:val="22"/>
        </w:rPr>
        <w:t>aVer</w:t>
      </w:r>
      <w:proofErr w:type="spellEnd"/>
      <w:r w:rsidRPr="005C0EDA">
        <w:rPr>
          <w:rFonts w:ascii="Calibri" w:hAnsi="Calibri" w:cs="Calibri"/>
          <w:sz w:val="22"/>
          <w:szCs w:val="22"/>
        </w:rPr>
        <w:t xml:space="preserve"> having seen the results of the first-stage data analysis. For</w:t>
      </w:r>
    </w:p>
    <w:p w14:paraId="4A75FA71"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example, in a classical ANOVA, </w:t>
      </w:r>
      <w:proofErr w:type="spellStart"/>
      <w:r w:rsidRPr="005C0EDA">
        <w:rPr>
          <w:rFonts w:ascii="Calibri" w:hAnsi="Calibri" w:cs="Calibri"/>
          <w:sz w:val="22"/>
          <w:szCs w:val="22"/>
        </w:rPr>
        <w:t>mul</w:t>
      </w:r>
      <w:proofErr w:type="spellEnd"/>
      <w:r w:rsidRPr="005C0EDA">
        <w:rPr>
          <w:rFonts w:ascii="Calibri" w:hAnsi="Calibri" w:cs="Calibri"/>
          <w:sz w:val="22"/>
          <w:szCs w:val="22"/>
        </w:rPr>
        <w:t>/</w:t>
      </w:r>
      <w:proofErr w:type="spellStart"/>
      <w:r w:rsidRPr="005C0EDA">
        <w:rPr>
          <w:rFonts w:ascii="Calibri" w:hAnsi="Calibri" w:cs="Calibri"/>
          <w:sz w:val="22"/>
          <w:szCs w:val="22"/>
        </w:rPr>
        <w:t>ple</w:t>
      </w:r>
      <w:proofErr w:type="spellEnd"/>
      <w:r w:rsidRPr="005C0EDA">
        <w:rPr>
          <w:rFonts w:ascii="Calibri" w:hAnsi="Calibri" w:cs="Calibri"/>
          <w:sz w:val="22"/>
          <w:szCs w:val="22"/>
        </w:rPr>
        <w:t xml:space="preserve"> comparisons of means is some/</w:t>
      </w:r>
      <w:proofErr w:type="spellStart"/>
      <w:r w:rsidRPr="005C0EDA">
        <w:rPr>
          <w:rFonts w:ascii="Calibri" w:hAnsi="Calibri" w:cs="Calibri"/>
          <w:sz w:val="22"/>
          <w:szCs w:val="22"/>
        </w:rPr>
        <w:t>mes</w:t>
      </w:r>
      <w:proofErr w:type="spellEnd"/>
      <w:r w:rsidRPr="005C0EDA">
        <w:rPr>
          <w:rFonts w:ascii="Calibri" w:hAnsi="Calibri" w:cs="Calibri"/>
          <w:sz w:val="22"/>
          <w:szCs w:val="22"/>
        </w:rPr>
        <w:t xml:space="preserve"> referred</w:t>
      </w:r>
    </w:p>
    <w:p w14:paraId="2B15A1B6"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to as post hoc </w:t>
      </w:r>
      <w:proofErr w:type="spellStart"/>
      <w:r w:rsidRPr="005C0EDA">
        <w:rPr>
          <w:rFonts w:ascii="Calibri" w:hAnsi="Calibri" w:cs="Calibri"/>
          <w:sz w:val="22"/>
          <w:szCs w:val="22"/>
        </w:rPr>
        <w:t>tes</w:t>
      </w:r>
      <w:proofErr w:type="spellEnd"/>
      <w:r w:rsidRPr="005C0EDA">
        <w:rPr>
          <w:rFonts w:ascii="Calibri" w:hAnsi="Calibri" w:cs="Calibri"/>
          <w:sz w:val="22"/>
          <w:szCs w:val="22"/>
        </w:rPr>
        <w:t>/ng, because in the first stage the ANOVA F-test indicated an effect</w:t>
      </w:r>
    </w:p>
    <w:p w14:paraId="77E982BA"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of the factor variable.</w:t>
      </w:r>
    </w:p>
    <w:p w14:paraId="544921F0"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References</w:t>
      </w:r>
    </w:p>
    <w:p w14:paraId="14A7E482"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Assefa, A. T., </w:t>
      </w:r>
      <w:proofErr w:type="spellStart"/>
      <w:r w:rsidRPr="005C0EDA">
        <w:rPr>
          <w:rFonts w:ascii="Calibri" w:hAnsi="Calibri" w:cs="Calibri"/>
          <w:sz w:val="22"/>
          <w:szCs w:val="22"/>
        </w:rPr>
        <w:t>Vandesompele</w:t>
      </w:r>
      <w:proofErr w:type="spellEnd"/>
      <w:r w:rsidRPr="005C0EDA">
        <w:rPr>
          <w:rFonts w:ascii="Calibri" w:hAnsi="Calibri" w:cs="Calibri"/>
          <w:sz w:val="22"/>
          <w:szCs w:val="22"/>
        </w:rPr>
        <w:t xml:space="preserve">, J., &amp; </w:t>
      </w:r>
      <w:proofErr w:type="spellStart"/>
      <w:r w:rsidRPr="005C0EDA">
        <w:rPr>
          <w:rFonts w:ascii="Calibri" w:hAnsi="Calibri" w:cs="Calibri"/>
          <w:sz w:val="22"/>
          <w:szCs w:val="22"/>
        </w:rPr>
        <w:t>Thas</w:t>
      </w:r>
      <w:proofErr w:type="spellEnd"/>
      <w:r w:rsidRPr="005C0EDA">
        <w:rPr>
          <w:rFonts w:ascii="Calibri" w:hAnsi="Calibri" w:cs="Calibri"/>
          <w:sz w:val="22"/>
          <w:szCs w:val="22"/>
        </w:rPr>
        <w:t xml:space="preserve">, O. (2020). </w:t>
      </w:r>
      <w:proofErr w:type="spellStart"/>
      <w:r w:rsidRPr="005C0EDA">
        <w:rPr>
          <w:rFonts w:ascii="Calibri" w:hAnsi="Calibri" w:cs="Calibri"/>
          <w:sz w:val="22"/>
          <w:szCs w:val="22"/>
        </w:rPr>
        <w:t>SPsimSeq</w:t>
      </w:r>
      <w:proofErr w:type="spellEnd"/>
      <w:r w:rsidRPr="005C0EDA">
        <w:rPr>
          <w:rFonts w:ascii="Calibri" w:hAnsi="Calibri" w:cs="Calibri"/>
          <w:sz w:val="22"/>
          <w:szCs w:val="22"/>
        </w:rPr>
        <w:t xml:space="preserve">: semi-parametric </w:t>
      </w:r>
      <w:proofErr w:type="spellStart"/>
      <w:r w:rsidRPr="005C0EDA">
        <w:rPr>
          <w:rFonts w:ascii="Calibri" w:hAnsi="Calibri" w:cs="Calibri"/>
          <w:sz w:val="22"/>
          <w:szCs w:val="22"/>
        </w:rPr>
        <w:t>simula</w:t>
      </w:r>
      <w:proofErr w:type="spellEnd"/>
      <w:r w:rsidRPr="005C0EDA">
        <w:rPr>
          <w:rFonts w:ascii="Calibri" w:hAnsi="Calibri" w:cs="Calibri"/>
          <w:sz w:val="22"/>
          <w:szCs w:val="22"/>
        </w:rPr>
        <w:t>/</w:t>
      </w:r>
      <w:proofErr w:type="spellStart"/>
      <w:r w:rsidRPr="005C0EDA">
        <w:rPr>
          <w:rFonts w:ascii="Calibri" w:hAnsi="Calibri" w:cs="Calibri"/>
          <w:sz w:val="22"/>
          <w:szCs w:val="22"/>
        </w:rPr>
        <w:t>on</w:t>
      </w:r>
      <w:proofErr w:type="spellEnd"/>
      <w:r w:rsidRPr="005C0EDA">
        <w:rPr>
          <w:rFonts w:ascii="Calibri" w:hAnsi="Calibri" w:cs="Calibri"/>
          <w:sz w:val="22"/>
          <w:szCs w:val="22"/>
        </w:rPr>
        <w:t xml:space="preserve"> of</w:t>
      </w:r>
    </w:p>
    <w:p w14:paraId="07F60D6C"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bulk and single-cell RNA-sequencing data. </w:t>
      </w:r>
      <w:proofErr w:type="spellStart"/>
      <w:r w:rsidRPr="005C0EDA">
        <w:rPr>
          <w:rFonts w:ascii="Calibri" w:hAnsi="Calibri" w:cs="Calibri"/>
          <w:sz w:val="22"/>
          <w:szCs w:val="22"/>
        </w:rPr>
        <w:t>Bioinforma#cs</w:t>
      </w:r>
      <w:proofErr w:type="spellEnd"/>
      <w:r w:rsidRPr="005C0EDA">
        <w:rPr>
          <w:rFonts w:ascii="Calibri" w:hAnsi="Calibri" w:cs="Calibri"/>
          <w:sz w:val="22"/>
          <w:szCs w:val="22"/>
        </w:rPr>
        <w:t>, 36(10), 3276-3278.</w:t>
      </w:r>
    </w:p>
    <w:p w14:paraId="056D9293"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Assefa A, </w:t>
      </w:r>
      <w:proofErr w:type="spellStart"/>
      <w:r w:rsidRPr="005C0EDA">
        <w:rPr>
          <w:rFonts w:ascii="Calibri" w:hAnsi="Calibri" w:cs="Calibri"/>
          <w:sz w:val="22"/>
          <w:szCs w:val="22"/>
        </w:rPr>
        <w:t>Hawinkel</w:t>
      </w:r>
      <w:proofErr w:type="spellEnd"/>
      <w:r w:rsidRPr="005C0EDA">
        <w:rPr>
          <w:rFonts w:ascii="Calibri" w:hAnsi="Calibri" w:cs="Calibri"/>
          <w:sz w:val="22"/>
          <w:szCs w:val="22"/>
        </w:rPr>
        <w:t xml:space="preserve"> S, </w:t>
      </w:r>
      <w:proofErr w:type="spellStart"/>
      <w:r w:rsidRPr="005C0EDA">
        <w:rPr>
          <w:rFonts w:ascii="Calibri" w:hAnsi="Calibri" w:cs="Calibri"/>
          <w:sz w:val="22"/>
          <w:szCs w:val="22"/>
        </w:rPr>
        <w:t>Vandesompele</w:t>
      </w:r>
      <w:proofErr w:type="spellEnd"/>
      <w:r w:rsidRPr="005C0EDA">
        <w:rPr>
          <w:rFonts w:ascii="Calibri" w:hAnsi="Calibri" w:cs="Calibri"/>
          <w:sz w:val="22"/>
          <w:szCs w:val="22"/>
        </w:rPr>
        <w:t xml:space="preserve"> J, </w:t>
      </w:r>
      <w:proofErr w:type="spellStart"/>
      <w:r w:rsidRPr="005C0EDA">
        <w:rPr>
          <w:rFonts w:ascii="Calibri" w:hAnsi="Calibri" w:cs="Calibri"/>
          <w:sz w:val="22"/>
          <w:szCs w:val="22"/>
        </w:rPr>
        <w:t>Thas</w:t>
      </w:r>
      <w:proofErr w:type="spellEnd"/>
      <w:r w:rsidRPr="005C0EDA">
        <w:rPr>
          <w:rFonts w:ascii="Calibri" w:hAnsi="Calibri" w:cs="Calibri"/>
          <w:sz w:val="22"/>
          <w:szCs w:val="22"/>
        </w:rPr>
        <w:t xml:space="preserve"> O, R Core Team (2023). </w:t>
      </w:r>
      <w:proofErr w:type="spellStart"/>
      <w:r w:rsidRPr="005C0EDA">
        <w:rPr>
          <w:rFonts w:ascii="Calibri" w:hAnsi="Calibri" w:cs="Calibri"/>
          <w:sz w:val="22"/>
          <w:szCs w:val="22"/>
        </w:rPr>
        <w:t>SPsimSeq</w:t>
      </w:r>
      <w:proofErr w:type="spellEnd"/>
      <w:r w:rsidRPr="005C0EDA">
        <w:rPr>
          <w:rFonts w:ascii="Calibri" w:hAnsi="Calibri" w:cs="Calibri"/>
          <w:sz w:val="22"/>
          <w:szCs w:val="22"/>
        </w:rPr>
        <w:t>: Semi-</w:t>
      </w:r>
    </w:p>
    <w:p w14:paraId="579CB691"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 xml:space="preserve">parametric </w:t>
      </w:r>
      <w:proofErr w:type="spellStart"/>
      <w:r w:rsidRPr="005C0EDA">
        <w:rPr>
          <w:rFonts w:ascii="Calibri" w:hAnsi="Calibri" w:cs="Calibri"/>
          <w:sz w:val="22"/>
          <w:szCs w:val="22"/>
        </w:rPr>
        <w:t>simula#on</w:t>
      </w:r>
      <w:proofErr w:type="spellEnd"/>
      <w:r w:rsidRPr="005C0EDA">
        <w:rPr>
          <w:rFonts w:ascii="Calibri" w:hAnsi="Calibri" w:cs="Calibri"/>
          <w:sz w:val="22"/>
          <w:szCs w:val="22"/>
        </w:rPr>
        <w:t xml:space="preserve"> tool for bulk and single-cell RNA sequencing data. R package version</w:t>
      </w:r>
    </w:p>
    <w:p w14:paraId="3214B61D"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t>1.12.0.</w:t>
      </w:r>
    </w:p>
    <w:p w14:paraId="5F9B3D6A"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Kodalci</w:t>
      </w:r>
      <w:proofErr w:type="spellEnd"/>
      <w:r w:rsidRPr="005C0EDA">
        <w:rPr>
          <w:rFonts w:ascii="Calibri" w:hAnsi="Calibri" w:cs="Calibri"/>
          <w:sz w:val="22"/>
          <w:szCs w:val="22"/>
        </w:rPr>
        <w:t xml:space="preserve">, L., &amp; </w:t>
      </w:r>
      <w:proofErr w:type="spellStart"/>
      <w:r w:rsidRPr="005C0EDA">
        <w:rPr>
          <w:rFonts w:ascii="Calibri" w:hAnsi="Calibri" w:cs="Calibri"/>
          <w:sz w:val="22"/>
          <w:szCs w:val="22"/>
        </w:rPr>
        <w:t>Thas</w:t>
      </w:r>
      <w:proofErr w:type="spellEnd"/>
      <w:r w:rsidRPr="005C0EDA">
        <w:rPr>
          <w:rFonts w:ascii="Calibri" w:hAnsi="Calibri" w:cs="Calibri"/>
          <w:sz w:val="22"/>
          <w:szCs w:val="22"/>
        </w:rPr>
        <w:t xml:space="preserve">, O. (2023). Simple and flexible sign and rank-based methods for </w:t>
      </w:r>
      <w:proofErr w:type="spellStart"/>
      <w:r w:rsidRPr="005C0EDA">
        <w:rPr>
          <w:rFonts w:ascii="Calibri" w:hAnsi="Calibri" w:cs="Calibri"/>
          <w:sz w:val="22"/>
          <w:szCs w:val="22"/>
        </w:rPr>
        <w:t>tes</w:t>
      </w:r>
      <w:proofErr w:type="spellEnd"/>
      <w:r w:rsidRPr="005C0EDA">
        <w:rPr>
          <w:rFonts w:ascii="Calibri" w:hAnsi="Calibri" w:cs="Calibri"/>
          <w:sz w:val="22"/>
          <w:szCs w:val="22"/>
        </w:rPr>
        <w:t>/ng for</w:t>
      </w:r>
    </w:p>
    <w:p w14:paraId="61900544" w14:textId="77777777" w:rsidR="005C0EDA" w:rsidRP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differen</w:t>
      </w:r>
      <w:proofErr w:type="spellEnd"/>
      <w:r w:rsidRPr="005C0EDA">
        <w:rPr>
          <w:rFonts w:ascii="Calibri" w:hAnsi="Calibri" w:cs="Calibri"/>
          <w:sz w:val="22"/>
          <w:szCs w:val="22"/>
        </w:rPr>
        <w:t xml:space="preserve">/al abundance in microbiome studies. </w:t>
      </w:r>
      <w:proofErr w:type="spellStart"/>
      <w:r w:rsidRPr="005C0EDA">
        <w:rPr>
          <w:rFonts w:ascii="Calibri" w:hAnsi="Calibri" w:cs="Calibri"/>
          <w:sz w:val="22"/>
          <w:szCs w:val="22"/>
        </w:rPr>
        <w:t>Plos</w:t>
      </w:r>
      <w:proofErr w:type="spellEnd"/>
      <w:r w:rsidRPr="005C0EDA">
        <w:rPr>
          <w:rFonts w:ascii="Calibri" w:hAnsi="Calibri" w:cs="Calibri"/>
          <w:sz w:val="22"/>
          <w:szCs w:val="22"/>
        </w:rPr>
        <w:t xml:space="preserve"> one, 18(9), e0292055.</w:t>
      </w:r>
    </w:p>
    <w:p w14:paraId="6D26E1E9" w14:textId="77777777" w:rsidR="005C0EDA" w:rsidRPr="005C0EDA" w:rsidRDefault="005C0EDA" w:rsidP="005C0EDA">
      <w:pPr>
        <w:spacing w:after="0" w:line="240" w:lineRule="auto"/>
        <w:rPr>
          <w:rFonts w:ascii="Calibri" w:hAnsi="Calibri" w:cs="Calibri"/>
          <w:sz w:val="22"/>
          <w:szCs w:val="22"/>
        </w:rPr>
      </w:pPr>
      <w:r w:rsidRPr="005C0EDA">
        <w:rPr>
          <w:rFonts w:ascii="Calibri" w:hAnsi="Calibri" w:cs="Calibri"/>
          <w:sz w:val="22"/>
          <w:szCs w:val="22"/>
        </w:rPr>
        <w:lastRenderedPageBreak/>
        <w:t xml:space="preserve">Lin, H., &amp; </w:t>
      </w:r>
      <w:proofErr w:type="spellStart"/>
      <w:r w:rsidRPr="005C0EDA">
        <w:rPr>
          <w:rFonts w:ascii="Calibri" w:hAnsi="Calibri" w:cs="Calibri"/>
          <w:sz w:val="22"/>
          <w:szCs w:val="22"/>
        </w:rPr>
        <w:t>Peddada</w:t>
      </w:r>
      <w:proofErr w:type="spellEnd"/>
      <w:r w:rsidRPr="005C0EDA">
        <w:rPr>
          <w:rFonts w:ascii="Calibri" w:hAnsi="Calibri" w:cs="Calibri"/>
          <w:sz w:val="22"/>
          <w:szCs w:val="22"/>
        </w:rPr>
        <w:t xml:space="preserve">, S. D. (2020). Analysis of </w:t>
      </w:r>
      <w:proofErr w:type="spellStart"/>
      <w:r w:rsidRPr="005C0EDA">
        <w:rPr>
          <w:rFonts w:ascii="Calibri" w:hAnsi="Calibri" w:cs="Calibri"/>
          <w:sz w:val="22"/>
          <w:szCs w:val="22"/>
        </w:rPr>
        <w:t>composi</w:t>
      </w:r>
      <w:proofErr w:type="spellEnd"/>
      <w:r w:rsidRPr="005C0EDA">
        <w:rPr>
          <w:rFonts w:ascii="Calibri" w:hAnsi="Calibri" w:cs="Calibri"/>
          <w:sz w:val="22"/>
          <w:szCs w:val="22"/>
        </w:rPr>
        <w:t>/</w:t>
      </w:r>
      <w:proofErr w:type="spellStart"/>
      <w:r w:rsidRPr="005C0EDA">
        <w:rPr>
          <w:rFonts w:ascii="Calibri" w:hAnsi="Calibri" w:cs="Calibri"/>
          <w:sz w:val="22"/>
          <w:szCs w:val="22"/>
        </w:rPr>
        <w:t>ons</w:t>
      </w:r>
      <w:proofErr w:type="spellEnd"/>
      <w:r w:rsidRPr="005C0EDA">
        <w:rPr>
          <w:rFonts w:ascii="Calibri" w:hAnsi="Calibri" w:cs="Calibri"/>
          <w:sz w:val="22"/>
          <w:szCs w:val="22"/>
        </w:rPr>
        <w:t xml:space="preserve"> of microbiomes with bias</w:t>
      </w:r>
    </w:p>
    <w:p w14:paraId="269D82FE" w14:textId="07B58A2E" w:rsidR="005C0EDA" w:rsidRDefault="005C0EDA" w:rsidP="005C0EDA">
      <w:pPr>
        <w:spacing w:after="0" w:line="240" w:lineRule="auto"/>
        <w:rPr>
          <w:rFonts w:ascii="Calibri" w:hAnsi="Calibri" w:cs="Calibri"/>
          <w:sz w:val="22"/>
          <w:szCs w:val="22"/>
        </w:rPr>
      </w:pPr>
      <w:proofErr w:type="spellStart"/>
      <w:r w:rsidRPr="005C0EDA">
        <w:rPr>
          <w:rFonts w:ascii="Calibri" w:hAnsi="Calibri" w:cs="Calibri"/>
          <w:sz w:val="22"/>
          <w:szCs w:val="22"/>
        </w:rPr>
        <w:t>correc</w:t>
      </w:r>
      <w:proofErr w:type="spellEnd"/>
      <w:r w:rsidRPr="005C0EDA">
        <w:rPr>
          <w:rFonts w:ascii="Calibri" w:hAnsi="Calibri" w:cs="Calibri"/>
          <w:sz w:val="22"/>
          <w:szCs w:val="22"/>
        </w:rPr>
        <w:t xml:space="preserve">/on. Nature </w:t>
      </w:r>
      <w:proofErr w:type="spellStart"/>
      <w:r w:rsidRPr="005C0EDA">
        <w:rPr>
          <w:rFonts w:ascii="Calibri" w:hAnsi="Calibri" w:cs="Calibri"/>
          <w:sz w:val="22"/>
          <w:szCs w:val="22"/>
        </w:rPr>
        <w:t>communica#ons</w:t>
      </w:r>
      <w:proofErr w:type="spellEnd"/>
      <w:r w:rsidRPr="005C0EDA">
        <w:rPr>
          <w:rFonts w:ascii="Calibri" w:hAnsi="Calibri" w:cs="Calibri"/>
          <w:sz w:val="22"/>
          <w:szCs w:val="22"/>
        </w:rPr>
        <w:t>, 11(1), 3514.</w:t>
      </w:r>
    </w:p>
    <w:p w14:paraId="635E9E6B" w14:textId="77777777" w:rsidR="005C0EDA" w:rsidRDefault="005C0EDA" w:rsidP="005C0EDA">
      <w:pPr>
        <w:spacing w:after="0" w:line="240" w:lineRule="auto"/>
        <w:rPr>
          <w:rFonts w:ascii="Calibri" w:hAnsi="Calibri" w:cs="Calibri"/>
          <w:sz w:val="22"/>
          <w:szCs w:val="22"/>
        </w:rPr>
      </w:pPr>
    </w:p>
    <w:p w14:paraId="0449CFF1" w14:textId="0F60ABB1" w:rsidR="005C0EDA" w:rsidRDefault="005C0EDA" w:rsidP="005C0EDA">
      <w:pPr>
        <w:spacing w:after="0" w:line="240" w:lineRule="auto"/>
        <w:rPr>
          <w:rFonts w:ascii="Calibri" w:hAnsi="Calibri" w:cs="Calibri"/>
          <w:b/>
          <w:bCs/>
          <w:sz w:val="22"/>
          <w:szCs w:val="22"/>
        </w:rPr>
      </w:pPr>
      <w:r>
        <w:rPr>
          <w:rFonts w:ascii="Calibri" w:hAnsi="Calibri" w:cs="Calibri"/>
          <w:b/>
          <w:bCs/>
          <w:sz w:val="22"/>
          <w:szCs w:val="22"/>
        </w:rPr>
        <w:t>Authors’ response</w:t>
      </w:r>
    </w:p>
    <w:p w14:paraId="52D74703" w14:textId="40A5359B" w:rsidR="005C0EDA" w:rsidRDefault="00D0207B" w:rsidP="005C0EDA">
      <w:pPr>
        <w:spacing w:after="0" w:line="240" w:lineRule="auto"/>
        <w:rPr>
          <w:rFonts w:ascii="Calibri" w:hAnsi="Calibri" w:cs="Calibri"/>
          <w:sz w:val="22"/>
          <w:szCs w:val="22"/>
        </w:rPr>
      </w:pPr>
      <w:r>
        <w:rPr>
          <w:rFonts w:ascii="Calibri" w:hAnsi="Calibri" w:cs="Calibri"/>
          <w:sz w:val="22"/>
          <w:szCs w:val="22"/>
        </w:rPr>
        <w:t>Reviewer 1</w:t>
      </w:r>
    </w:p>
    <w:p w14:paraId="5BDC600F"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The authors describe a project evaluating the performance of various methods for differential</w:t>
      </w:r>
    </w:p>
    <w:p w14:paraId="305DFE7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abundance (DA) analysis in microbiome studies. While this step of analysis is extremely</w:t>
      </w:r>
    </w:p>
    <w:p w14:paraId="20F7B4A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important for any group interested in studying natural populations of microbes, there has not</w:t>
      </w:r>
    </w:p>
    <w:p w14:paraId="59D9746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yet been (to my knowledge) an independent evaluation effort such has been performed for</w:t>
      </w:r>
    </w:p>
    <w:p w14:paraId="0654880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other parts of the analysis process (such as CAMI for taxonomic classification or binning).</w:t>
      </w:r>
    </w:p>
    <w:p w14:paraId="73F3A69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My understanding of the literature is that most evaluation efforts are conducted by groups</w:t>
      </w:r>
    </w:p>
    <w:p w14:paraId="654A1F0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which are primarily concerned with presenting a novel DA approach, which may bias their</w:t>
      </w:r>
    </w:p>
    <w:p w14:paraId="67964B3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design of an evaluation framework.</w:t>
      </w:r>
    </w:p>
    <w:p w14:paraId="0BCFF20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The key innovation presented by the authors is an in silico spike-in approach by which the</w:t>
      </w:r>
    </w:p>
    <w:p w14:paraId="438555E8"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abundance of specific taxa are manipulated from real-world microbiome datasets, which</w:t>
      </w:r>
    </w:p>
    <w:p w14:paraId="6D3D6AD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provides a strong basis to evaluate the sensitivity of signal detection.</w:t>
      </w:r>
    </w:p>
    <w:p w14:paraId="68379CF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would like to thank the reviewer for their positive feedback on our manuscript and their</w:t>
      </w:r>
    </w:p>
    <w:p w14:paraId="15A19421" w14:textId="388E26EB"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valuable and constructive comments.</w:t>
      </w:r>
    </w:p>
    <w:p w14:paraId="5310FCE6" w14:textId="77777777" w:rsidR="00D0207B" w:rsidRDefault="00D0207B" w:rsidP="00D0207B">
      <w:pPr>
        <w:spacing w:after="0" w:line="240" w:lineRule="auto"/>
        <w:rPr>
          <w:rFonts w:ascii="Calibri" w:hAnsi="Calibri" w:cs="Calibri"/>
          <w:sz w:val="22"/>
          <w:szCs w:val="22"/>
        </w:rPr>
      </w:pPr>
    </w:p>
    <w:p w14:paraId="451AE66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Point 1.</w:t>
      </w:r>
    </w:p>
    <w:p w14:paraId="34056CB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The motivation for the implantation approach described by the authors seems well founded,</w:t>
      </w:r>
    </w:p>
    <w:p w14:paraId="4F28488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but I was left with a lingering question about the methodological details for this approach.</w:t>
      </w:r>
    </w:p>
    <w:p w14:paraId="5774192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Reading over the methods on pages marked 17-18, I was left with the impression that</w:t>
      </w:r>
    </w:p>
    <w:p w14:paraId="1BF67F8F"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signal implantation was performed in only one of randomly selected groups. In other</w:t>
      </w:r>
    </w:p>
    <w:p w14:paraId="5A884AD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words, it seemed like abundances were scaled up by a known factor for 10% of features in a</w:t>
      </w:r>
    </w:p>
    <w:p w14:paraId="39AD102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random 50% of samples. Then, "the number of counts for each sample was scaled down to</w:t>
      </w:r>
    </w:p>
    <w:p w14:paraId="3F51520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the original value of the unaltered sample by rarefaction". Assuming that my understanding</w:t>
      </w:r>
    </w:p>
    <w:p w14:paraId="2DC5AB2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is correct, my concern is that if abundances are scaled up and then back down then the</w:t>
      </w:r>
    </w:p>
    <w:p w14:paraId="1344606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magnitude of the implanted signal is not as large as originally intended. Moreover, the</w:t>
      </w:r>
    </w:p>
    <w:p w14:paraId="4133D3D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features which were not selected for scaling up would effectively be scaled down as a side-</w:t>
      </w:r>
    </w:p>
    <w:p w14:paraId="7C53D42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effect (which could have unintended side-effects for FDR estimation).</w:t>
      </w:r>
    </w:p>
    <w:p w14:paraId="36FF84B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Of course, the authors may be able to address this by describing the degree of rarefaction</w:t>
      </w:r>
    </w:p>
    <w:p w14:paraId="0393F7B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that was required, which may be low depending on which features were selected. If my</w:t>
      </w:r>
    </w:p>
    <w:p w14:paraId="5E93E68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understanding of the text is incorrect and some factors were scaled up while others were</w:t>
      </w:r>
    </w:p>
    <w:p w14:paraId="6AFF8CD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scaled down (as would seem more obvious to me), then it might be good to update the text</w:t>
      </w:r>
    </w:p>
    <w:p w14:paraId="68CB6FC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to make this evident. I would appreciate any clarification on this point which can be offered.</w:t>
      </w:r>
    </w:p>
    <w:p w14:paraId="5F8CAE7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330DDE6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attention to detail here and hope we can clarify. Per default in</w:t>
      </w:r>
    </w:p>
    <w:p w14:paraId="3619E0B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its implementation, our method alternates between the randomly selected groups when</w:t>
      </w:r>
    </w:p>
    <w:p w14:paraId="19CEE1B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implanting signals in order to mitigate the precise side-effect the reviewer mentions</w:t>
      </w:r>
    </w:p>
    <w:p w14:paraId="30B6E2E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(described on page 8, lines 294-296). This was inspired by Weiss et al., who made a similar</w:t>
      </w:r>
    </w:p>
    <w:p w14:paraId="732BB08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adjustment to the simulation strategy of McMurdie and Holmes to rectify the issue the</w:t>
      </w:r>
    </w:p>
    <w:p w14:paraId="48E20FC9" w14:textId="6E20FBFE"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reviewer is concerned with.</w:t>
      </w:r>
    </w:p>
    <w:p w14:paraId="0544F34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text that the reviewer cites refers to a non-default implementation that we carried out to</w:t>
      </w:r>
    </w:p>
    <w:p w14:paraId="4134E9C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characterise the side-effect in question (see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9), namely confounding by compositional</w:t>
      </w:r>
    </w:p>
    <w:p w14:paraId="25F8F4A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effects. We found that this imbalanced introduction of signals in this particular simulation of</w:t>
      </w:r>
    </w:p>
    <w:p w14:paraId="5ACEACA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ours (signal implantation into only one group) led to all methods unilaterally producing more</w:t>
      </w:r>
    </w:p>
    <w:p w14:paraId="45C2FB9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false discoveries, exactly as expected by the reviewer (and ourselves).</w:t>
      </w:r>
    </w:p>
    <w:p w14:paraId="643A465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AA94ED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adjusted the wording in the Methods section to better clarify the distinction between the</w:t>
      </w:r>
    </w:p>
    <w:p w14:paraId="3C41B89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different implantation strategies (page 17, lines 638-641).</w:t>
      </w:r>
    </w:p>
    <w:p w14:paraId="40542F3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lastRenderedPageBreak/>
        <w:t>Point 2.</w:t>
      </w:r>
    </w:p>
    <w:p w14:paraId="78A3EBB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Figure 2 a-c is not formatted in a way that can be easily comprehended due to the large</w:t>
      </w:r>
    </w:p>
    <w:p w14:paraId="439738D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number of </w:t>
      </w:r>
      <w:proofErr w:type="spellStart"/>
      <w:r w:rsidRPr="00D0207B">
        <w:rPr>
          <w:rFonts w:ascii="Calibri" w:hAnsi="Calibri" w:cs="Calibri"/>
          <w:sz w:val="22"/>
          <w:szCs w:val="22"/>
        </w:rPr>
        <w:t>colors</w:t>
      </w:r>
      <w:proofErr w:type="spellEnd"/>
      <w:r w:rsidRPr="00D0207B">
        <w:rPr>
          <w:rFonts w:ascii="Calibri" w:hAnsi="Calibri" w:cs="Calibri"/>
          <w:sz w:val="22"/>
          <w:szCs w:val="22"/>
        </w:rPr>
        <w:t xml:space="preserve"> that are used (let alone the accommodation of </w:t>
      </w:r>
      <w:proofErr w:type="spellStart"/>
      <w:r w:rsidRPr="00D0207B">
        <w:rPr>
          <w:rFonts w:ascii="Calibri" w:hAnsi="Calibri" w:cs="Calibri"/>
          <w:sz w:val="22"/>
          <w:szCs w:val="22"/>
        </w:rPr>
        <w:t>colorblind</w:t>
      </w:r>
      <w:proofErr w:type="spellEnd"/>
      <w:r w:rsidRPr="00D0207B">
        <w:rPr>
          <w:rFonts w:ascii="Calibri" w:hAnsi="Calibri" w:cs="Calibri"/>
          <w:sz w:val="22"/>
          <w:szCs w:val="22"/>
        </w:rPr>
        <w:t xml:space="preserve"> people). One</w:t>
      </w:r>
    </w:p>
    <w:p w14:paraId="1B6CEDD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suggestion would be to add a marginal annotation pointing the method label for each line.</w:t>
      </w:r>
    </w:p>
    <w:p w14:paraId="3CEC56F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This figure needs to be updated in some way if the reader is to gain any sort of</w:t>
      </w:r>
    </w:p>
    <w:p w14:paraId="51D1657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understanding from it.</w:t>
      </w:r>
    </w:p>
    <w:p w14:paraId="692DC23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1B7FD4B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feedback and agree that the figure panels were difficult to</w:t>
      </w:r>
    </w:p>
    <w:p w14:paraId="120FBD6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parse without annotations.</w:t>
      </w:r>
    </w:p>
    <w:p w14:paraId="00E110B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554B64E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As suggested, we added marginal annotations to Figure 2a-c, focusing on poorly performing</w:t>
      </w:r>
    </w:p>
    <w:p w14:paraId="486B71C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methods in panels a) and b). We additionally changed the figure legend for Figure 2 to</w:t>
      </w:r>
    </w:p>
    <w:p w14:paraId="5CF9900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reflect those changes (pages 7-8).</w:t>
      </w:r>
    </w:p>
    <w:p w14:paraId="23E62431" w14:textId="77777777" w:rsidR="00DD1899" w:rsidRDefault="00DD1899" w:rsidP="00D0207B">
      <w:pPr>
        <w:spacing w:after="0" w:line="240" w:lineRule="auto"/>
        <w:rPr>
          <w:rFonts w:ascii="Calibri" w:hAnsi="Calibri" w:cs="Calibri"/>
          <w:sz w:val="22"/>
          <w:szCs w:val="22"/>
        </w:rPr>
      </w:pPr>
    </w:p>
    <w:p w14:paraId="6D172C1D" w14:textId="3D8EA1E8"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Point 3.</w:t>
      </w:r>
    </w:p>
    <w:p w14:paraId="2D0450F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Figure 2d seems incomplete -- I do not understand why values are not shown for all methods</w:t>
      </w:r>
    </w:p>
    <w:p w14:paraId="19A3EEE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and why values have been censored for some methods and some simulations. Rather than</w:t>
      </w:r>
    </w:p>
    <w:p w14:paraId="410FCF9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presenting incomplete data it seems like the authors should simply present the complete</w:t>
      </w:r>
    </w:p>
    <w:p w14:paraId="169C4B0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table and pair it with the FDR metrics which are currently being used as the basis for</w:t>
      </w:r>
    </w:p>
    <w:p w14:paraId="04F7C7C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filtering.</w:t>
      </w:r>
    </w:p>
    <w:p w14:paraId="30B6FA0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76A299E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thank the reviewer for this comment and agree that the previous figure seemed to</w:t>
      </w:r>
    </w:p>
    <w:p w14:paraId="56F66DE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present incomplete data. For our ranking, we had not included those methods that exhibited</w:t>
      </w:r>
    </w:p>
    <w:p w14:paraId="46E3526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elevated FDR values based on a relatively lenient filtering criterion and we welcome the</w:t>
      </w:r>
    </w:p>
    <w:p w14:paraId="19DCC2D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opportunity to clarify that methods with poor FDR control were not considered for ranking</w:t>
      </w:r>
    </w:p>
    <w:p w14:paraId="452C476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and subsequent analyses (see response to the next point).</w:t>
      </w:r>
    </w:p>
    <w:p w14:paraId="4EBC910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During the revision, we noticed that some values were left empty because the mean AUROC</w:t>
      </w:r>
    </w:p>
    <w:p w14:paraId="3314025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for the method was smaller than 0.5 (the colour gradient ranges from 0.5 to 1) and in two</w:t>
      </w:r>
    </w:p>
    <w:p w14:paraId="21A9E2A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cases, the ANCOM method could not produce results due to its extreme runtime</w:t>
      </w:r>
    </w:p>
    <w:p w14:paraId="0D68D28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requirements. For each combination of effect size, sample size, and repetition, we allotted</w:t>
      </w:r>
    </w:p>
    <w:p w14:paraId="096023F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48 hours of runtime per method, which was sufficient for all methods to produce results –</w:t>
      </w:r>
    </w:p>
    <w:p w14:paraId="4850555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except for ANCOM on two simulations. We indicated those cases in the revised figure.</w:t>
      </w:r>
    </w:p>
    <w:p w14:paraId="265447AC" w14:textId="4CE663DD"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6CF63F6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adjusted Figure 2d by adding the AUROC values also for those methods that were</w:t>
      </w:r>
    </w:p>
    <w:p w14:paraId="3DEA752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filtered out for ranking based on a high FDR, indicating the distinction between these</w:t>
      </w:r>
    </w:p>
    <w:p w14:paraId="669C6DC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methods and all others by using a grey-scale colour-scheme instead of the green colour</w:t>
      </w:r>
    </w:p>
    <w:p w14:paraId="1A2CF9C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gradient used for methods not violating the FDR thresholds (pages 7-8).</w:t>
      </w:r>
    </w:p>
    <w:p w14:paraId="0EB11506" w14:textId="77777777" w:rsidR="00DD1899" w:rsidRDefault="00DD1899" w:rsidP="00D0207B">
      <w:pPr>
        <w:spacing w:after="0" w:line="240" w:lineRule="auto"/>
        <w:rPr>
          <w:rFonts w:ascii="Calibri" w:hAnsi="Calibri" w:cs="Calibri"/>
          <w:sz w:val="22"/>
          <w:szCs w:val="22"/>
        </w:rPr>
      </w:pPr>
    </w:p>
    <w:p w14:paraId="4A776338" w14:textId="3D58B1FD"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Point 4.</w:t>
      </w:r>
    </w:p>
    <w:p w14:paraId="612634F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I'm curious why corncob was not included in the confounder analysis? I only bring it up</w:t>
      </w:r>
    </w:p>
    <w:p w14:paraId="11CA7E2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because corncob is the method with which I am most familiar (full disclosure, I have</w:t>
      </w:r>
    </w:p>
    <w:p w14:paraId="2055C41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published papers with the corncob author) and it seems easily compatible with confounders</w:t>
      </w:r>
    </w:p>
    <w:p w14:paraId="15510CE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(by adding the confounder as a term in the formula).</w:t>
      </w:r>
    </w:p>
    <w:p w14:paraId="61691CF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1888ECC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thank the reviewer for the opportunity to clarify our approach for the confounded</w:t>
      </w:r>
    </w:p>
    <w:p w14:paraId="57F1295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simulations. As the reviewer stated correctly, corncob’s implementation allows for a</w:t>
      </w:r>
    </w:p>
    <w:p w14:paraId="59CD047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confounder to be added to the model formula. Indeed, several of the models included in our</w:t>
      </w:r>
    </w:p>
    <w:p w14:paraId="29322D9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non-confounded (“naive”) benchmark can be adjusted for confounders, but were not</w:t>
      </w:r>
    </w:p>
    <w:p w14:paraId="050BCF3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included in our confounded benchmarking based on their performance in the “naive”</w:t>
      </w:r>
    </w:p>
    <w:p w14:paraId="3118AD1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benchmark. We reasoned that a method that produces excess false positive discoveries in</w:t>
      </w:r>
    </w:p>
    <w:p w14:paraId="1AB55C3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non-confounded condition would not be able to produce satisfactory results given the</w:t>
      </w:r>
    </w:p>
    <w:p w14:paraId="3A9EA1E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additional challenge of confounding factors.</w:t>
      </w:r>
    </w:p>
    <w:p w14:paraId="72B646E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transparency and therefore implemented corncob for the</w:t>
      </w:r>
    </w:p>
    <w:p w14:paraId="55C9FA6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confounded simulations as well. The confounder variable was added as an additional term in</w:t>
      </w:r>
    </w:p>
    <w:p w14:paraId="40984B8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model formula and we ran corncob on a single iteration of the confounded simulation</w:t>
      </w:r>
    </w:p>
    <w:p w14:paraId="2D95B15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based on the Zeevi WGS dataset, abundance scaling of 2, prevalence shift of 0.2, sample</w:t>
      </w:r>
    </w:p>
    <w:p w14:paraId="62C20F4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size 200 (equivalent to the results shown in Figure 3c). Even though inclusion of the</w:t>
      </w:r>
    </w:p>
    <w:p w14:paraId="49D1167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confounding variable in the model formula improved the precision of corncob compared to</w:t>
      </w:r>
    </w:p>
    <w:p w14:paraId="7557E73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“naive” implementation, corncob’s confounder-adjusted precision was still much worse</w:t>
      </w:r>
    </w:p>
    <w:p w14:paraId="484DF8D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than the theoretically expected value of 0.95 and for moderately strong confounding (φ=0.4)</w:t>
      </w:r>
    </w:p>
    <w:p w14:paraId="7250B54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even worse than the other method’s precision for their “naive” implementation. In short, the</w:t>
      </w:r>
    </w:p>
    <w:p w14:paraId="1D488A0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issues with precision and AUROC we had observed for corncob in the non-confounded</w:t>
      </w:r>
    </w:p>
    <w:p w14:paraId="208FC752" w14:textId="02E482AB"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benchmark also appeared in the confounded benchmark.</w:t>
      </w:r>
    </w:p>
    <w:p w14:paraId="21108963" w14:textId="77777777" w:rsidR="00D0207B" w:rsidRDefault="00D0207B" w:rsidP="00D0207B">
      <w:pPr>
        <w:spacing w:after="0" w:line="240" w:lineRule="auto"/>
        <w:rPr>
          <w:rFonts w:ascii="Calibri" w:hAnsi="Calibri" w:cs="Calibri"/>
          <w:sz w:val="22"/>
          <w:szCs w:val="22"/>
        </w:rPr>
      </w:pPr>
    </w:p>
    <w:p w14:paraId="6DEE0733" w14:textId="6D3B8010" w:rsid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drawing>
          <wp:inline distT="0" distB="0" distL="0" distR="0" wp14:anchorId="1EACE2F2" wp14:editId="4FC11632">
            <wp:extent cx="5731510" cy="2200910"/>
            <wp:effectExtent l="0" t="0" r="2540" b="8890"/>
            <wp:docPr id="2045399084"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399084" name="Picture 1" descr="A graph of different colored lines&#10;&#10;Description automatically generated"/>
                    <pic:cNvPicPr/>
                  </pic:nvPicPr>
                  <pic:blipFill>
                    <a:blip r:embed="rId5"/>
                    <a:stretch>
                      <a:fillRect/>
                    </a:stretch>
                  </pic:blipFill>
                  <pic:spPr>
                    <a:xfrm>
                      <a:off x="0" y="0"/>
                      <a:ext cx="5731510" cy="2200910"/>
                    </a:xfrm>
                    <a:prstGeom prst="rect">
                      <a:avLst/>
                    </a:prstGeom>
                  </pic:spPr>
                </pic:pic>
              </a:graphicData>
            </a:graphic>
          </wp:inline>
        </w:drawing>
      </w:r>
    </w:p>
    <w:p w14:paraId="29A46AB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39EE70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clarified the inclusion and exclusion of methods for the confounded benchmark in the</w:t>
      </w:r>
    </w:p>
    <w:p w14:paraId="30267E1E" w14:textId="22124E70"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revised manuscript (page 9, lines 323-327).</w:t>
      </w:r>
    </w:p>
    <w:p w14:paraId="5095A856" w14:textId="77777777" w:rsidR="00D0207B" w:rsidRDefault="00D0207B" w:rsidP="00D0207B">
      <w:pPr>
        <w:spacing w:after="0" w:line="240" w:lineRule="auto"/>
        <w:rPr>
          <w:rFonts w:ascii="Calibri" w:hAnsi="Calibri" w:cs="Calibri"/>
          <w:sz w:val="22"/>
          <w:szCs w:val="22"/>
        </w:rPr>
      </w:pPr>
    </w:p>
    <w:p w14:paraId="5FFAC88F" w14:textId="6AA86BC0" w:rsidR="00D0207B" w:rsidRDefault="00D0207B" w:rsidP="00D0207B">
      <w:pPr>
        <w:spacing w:after="0" w:line="240" w:lineRule="auto"/>
        <w:rPr>
          <w:rFonts w:ascii="Calibri" w:hAnsi="Calibri" w:cs="Calibri"/>
          <w:sz w:val="22"/>
          <w:szCs w:val="22"/>
        </w:rPr>
      </w:pPr>
      <w:r>
        <w:rPr>
          <w:rFonts w:ascii="Calibri" w:hAnsi="Calibri" w:cs="Calibri"/>
          <w:sz w:val="22"/>
          <w:szCs w:val="22"/>
        </w:rPr>
        <w:t>Reviewer 2</w:t>
      </w:r>
    </w:p>
    <w:p w14:paraId="2EFAB5A1" w14:textId="77777777" w:rsidR="00D0207B" w:rsidRPr="00D0207B" w:rsidRDefault="00D0207B" w:rsidP="00D0207B">
      <w:pPr>
        <w:spacing w:after="0" w:line="240" w:lineRule="auto"/>
        <w:rPr>
          <w:rFonts w:ascii="Calibri" w:hAnsi="Calibri" w:cs="Calibri"/>
          <w:sz w:val="22"/>
          <w:szCs w:val="22"/>
        </w:rPr>
      </w:pPr>
      <w:proofErr w:type="spellStart"/>
      <w:r w:rsidRPr="00D0207B">
        <w:rPr>
          <w:rFonts w:ascii="Calibri" w:hAnsi="Calibri" w:cs="Calibri"/>
          <w:sz w:val="22"/>
          <w:szCs w:val="22"/>
        </w:rPr>
        <w:t>Wirbel</w:t>
      </w:r>
      <w:proofErr w:type="spellEnd"/>
      <w:r w:rsidRPr="00D0207B">
        <w:rPr>
          <w:rFonts w:ascii="Calibri" w:hAnsi="Calibri" w:cs="Calibri"/>
          <w:sz w:val="22"/>
          <w:szCs w:val="22"/>
        </w:rPr>
        <w:t xml:space="preserve"> et al have reviewed several prior simulation / benchmarking studies on WGS and 16S</w:t>
      </w:r>
    </w:p>
    <w:p w14:paraId="6316B43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DA methods in a comprehensive report, "A realistic benchmark for the identification of</w:t>
      </w:r>
    </w:p>
    <w:p w14:paraId="790C51D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differentially abundant taxa in (confounded) human microbiome studies". This reviewer</w:t>
      </w:r>
    </w:p>
    <w:p w14:paraId="68AD416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believes the claimed uniqueness to their study is in the claim that 'previous DA benchmarks</w:t>
      </w:r>
    </w:p>
    <w:p w14:paraId="59B22C2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relying on simulated datasets did not quantitatively evaluate the similarity to real data, which</w:t>
      </w:r>
    </w:p>
    <w:p w14:paraId="235404E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undermines their recommendations'. Leveraging that premise, they shift, scale, sample etc.</w:t>
      </w:r>
    </w:p>
    <w:p w14:paraId="694C984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from existing datasets to and then evaluate common methods. There are several major</w:t>
      </w:r>
    </w:p>
    <w:p w14:paraId="3A7B1338"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concerns that I believe can be addressed; however, previous reports have already</w:t>
      </w:r>
    </w:p>
    <w:p w14:paraId="1E9D17FF"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performed simulations on 'existing' datasets perturbed or randomly sampled with shifts</w:t>
      </w:r>
    </w:p>
    <w:p w14:paraId="0BAE648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leading to similar results.</w:t>
      </w:r>
    </w:p>
    <w:p w14:paraId="3C52A50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thank the reviewer for their critical assessment of our manuscript and the very</w:t>
      </w:r>
    </w:p>
    <w:p w14:paraId="499189D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constructive feedback.</w:t>
      </w:r>
    </w:p>
    <w:p w14:paraId="65260764" w14:textId="77777777" w:rsidR="00DD1899" w:rsidRDefault="00DD1899" w:rsidP="00D0207B">
      <w:pPr>
        <w:spacing w:after="0" w:line="240" w:lineRule="auto"/>
        <w:rPr>
          <w:rFonts w:ascii="Calibri" w:hAnsi="Calibri" w:cs="Calibri"/>
          <w:sz w:val="22"/>
          <w:szCs w:val="22"/>
        </w:rPr>
      </w:pPr>
    </w:p>
    <w:p w14:paraId="6F618220" w14:textId="3A80400D"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Major concerns:</w:t>
      </w:r>
    </w:p>
    <w:p w14:paraId="0AC9E5F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1. Quite a few benchmarking studies that have been performed in the past. This</w:t>
      </w:r>
    </w:p>
    <w:p w14:paraId="7E88BEC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includes leveraging very similar approaches to that of </w:t>
      </w:r>
      <w:proofErr w:type="spellStart"/>
      <w:r w:rsidRPr="00D0207B">
        <w:rPr>
          <w:rFonts w:ascii="Calibri" w:hAnsi="Calibri" w:cs="Calibri"/>
          <w:sz w:val="22"/>
          <w:szCs w:val="22"/>
        </w:rPr>
        <w:t>Wirbel</w:t>
      </w:r>
      <w:proofErr w:type="spellEnd"/>
      <w:r w:rsidRPr="00D0207B">
        <w:rPr>
          <w:rFonts w:ascii="Calibri" w:hAnsi="Calibri" w:cs="Calibri"/>
          <w:sz w:val="22"/>
          <w:szCs w:val="22"/>
        </w:rPr>
        <w:t xml:space="preserve"> et al. The novelty in assessing</w:t>
      </w:r>
    </w:p>
    <w:p w14:paraId="5F0C988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the </w:t>
      </w:r>
      <w:proofErr w:type="spellStart"/>
      <w:r w:rsidRPr="00D0207B">
        <w:rPr>
          <w:rFonts w:ascii="Calibri" w:hAnsi="Calibri" w:cs="Calibri"/>
          <w:sz w:val="22"/>
          <w:szCs w:val="22"/>
        </w:rPr>
        <w:t>PCo</w:t>
      </w:r>
      <w:proofErr w:type="spellEnd"/>
      <w:r w:rsidRPr="00D0207B">
        <w:rPr>
          <w:rFonts w:ascii="Calibri" w:hAnsi="Calibri" w:cs="Calibri"/>
          <w:sz w:val="22"/>
          <w:szCs w:val="22"/>
        </w:rPr>
        <w:t xml:space="preserve"> coordinates of 'real', 'simulation / perturbation', etc. is unique. However, the</w:t>
      </w:r>
    </w:p>
    <w:p w14:paraId="0144A68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reviewer has a difficulty in reviewing prior benchmarking studies assessed and is aware of</w:t>
      </w:r>
    </w:p>
    <w:p w14:paraId="41B4311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one in particular that has randomly sampled existing study samples and assigned novel case</w:t>
      </w:r>
    </w:p>
    <w:p w14:paraId="38CC798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status and scaled abundances.</w:t>
      </w:r>
    </w:p>
    <w:p w14:paraId="176009F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 Some of the more simple benchmarking studies have occurred as far back as 2016</w:t>
      </w:r>
    </w:p>
    <w:p w14:paraId="5A6BFAB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lastRenderedPageBreak/>
        <w:t xml:space="preserve">where samples underwent the same process as described in </w:t>
      </w:r>
      <w:proofErr w:type="spellStart"/>
      <w:r w:rsidRPr="00D0207B">
        <w:rPr>
          <w:rFonts w:ascii="Calibri" w:hAnsi="Calibri" w:cs="Calibri"/>
          <w:sz w:val="22"/>
          <w:szCs w:val="22"/>
        </w:rPr>
        <w:t>Wirbel</w:t>
      </w:r>
      <w:proofErr w:type="spellEnd"/>
      <w:r w:rsidRPr="00D0207B">
        <w:rPr>
          <w:rFonts w:ascii="Calibri" w:hAnsi="Calibri" w:cs="Calibri"/>
          <w:sz w:val="22"/>
          <w:szCs w:val="22"/>
        </w:rPr>
        <w:t xml:space="preserve"> et al</w:t>
      </w:r>
    </w:p>
    <w:p w14:paraId="7B7EF79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https://link.springer.com/article/10.1186/s40168-016-0208-8#Fig1</w:t>
      </w:r>
    </w:p>
    <w:p w14:paraId="50EDD212"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 I am not suggesting a multi-'true' cohort (think n-dimensional comparison with</w:t>
      </w:r>
    </w:p>
    <w:p w14:paraId="4EA0D19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multiple underlying studies, </w:t>
      </w:r>
      <w:proofErr w:type="spellStart"/>
      <w:r w:rsidRPr="00D0207B">
        <w:rPr>
          <w:rFonts w:ascii="Calibri" w:hAnsi="Calibri" w:cs="Calibri"/>
          <w:sz w:val="22"/>
          <w:szCs w:val="22"/>
        </w:rPr>
        <w:t>ie</w:t>
      </w:r>
      <w:proofErr w:type="spellEnd"/>
      <w:r w:rsidRPr="00D0207B">
        <w:rPr>
          <w:rFonts w:ascii="Calibri" w:hAnsi="Calibri" w:cs="Calibri"/>
          <w:sz w:val="22"/>
          <w:szCs w:val="22"/>
        </w:rPr>
        <w:t xml:space="preserve">. Not just the </w:t>
      </w:r>
      <w:proofErr w:type="spellStart"/>
      <w:r w:rsidRPr="00D0207B">
        <w:rPr>
          <w:rFonts w:ascii="Calibri" w:hAnsi="Calibri" w:cs="Calibri"/>
          <w:sz w:val="22"/>
          <w:szCs w:val="22"/>
        </w:rPr>
        <w:t>zeevi</w:t>
      </w:r>
      <w:proofErr w:type="spellEnd"/>
      <w:r w:rsidRPr="00D0207B">
        <w:rPr>
          <w:rFonts w:ascii="Calibri" w:hAnsi="Calibri" w:cs="Calibri"/>
          <w:sz w:val="22"/>
          <w:szCs w:val="22"/>
        </w:rPr>
        <w:t xml:space="preserve"> et al study), but I would include at a</w:t>
      </w:r>
    </w:p>
    <w:p w14:paraId="0A95213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minimum a table of all prior benchmarking studies and their approaches.</w:t>
      </w:r>
    </w:p>
    <w:p w14:paraId="1627030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71AC268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this feedback from the reviewer, as well as the citation of Thorsen et al.,</w:t>
      </w:r>
    </w:p>
    <w:p w14:paraId="744E834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which we had regrettably overlooked in our original manuscript but is now included.</w:t>
      </w:r>
    </w:p>
    <w:p w14:paraId="030EEED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Indeed the approach of Thorsen et al. is similar to ours in its use of additive and/or</w:t>
      </w:r>
    </w:p>
    <w:p w14:paraId="6EEE9DC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multiplicative spike-in effects to generate differential abundance effects. However, an</w:t>
      </w:r>
    </w:p>
    <w:p w14:paraId="5327C10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important difference is that they generated signals in only one of their two randomly</w:t>
      </w:r>
    </w:p>
    <w:p w14:paraId="3725CD8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determined groups before rescaling samples to their original counts. This is practically</w:t>
      </w:r>
    </w:p>
    <w:p w14:paraId="404AFB5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identical to the implementation we carried out to examine the impact of compositionality on</w:t>
      </w:r>
    </w:p>
    <w:p w14:paraId="17998BD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DA method </w:t>
      </w:r>
      <w:proofErr w:type="spellStart"/>
      <w:r w:rsidRPr="00DD1899">
        <w:rPr>
          <w:rFonts w:ascii="Calibri" w:hAnsi="Calibri" w:cs="Calibri"/>
          <w:color w:val="0F9ED5" w:themeColor="accent4"/>
          <w:sz w:val="22"/>
          <w:szCs w:val="22"/>
        </w:rPr>
        <w:t>behavior</w:t>
      </w:r>
      <w:proofErr w:type="spellEnd"/>
      <w:r w:rsidRPr="00DD1899">
        <w:rPr>
          <w:rFonts w:ascii="Calibri" w:hAnsi="Calibri" w:cs="Calibri"/>
          <w:color w:val="0F9ED5" w:themeColor="accent4"/>
          <w:sz w:val="22"/>
          <w:szCs w:val="22"/>
        </w:rPr>
        <w:t>. Our results strongly suggest that this approach, as expected, induces</w:t>
      </w:r>
    </w:p>
    <w:p w14:paraId="78961F9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unwanted compositional effects (also discussed in our response to Reviewer 1’s Point 1),</w:t>
      </w:r>
    </w:p>
    <w:p w14:paraId="12FFE28C" w14:textId="32464942"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which is problematic for benchmarking DA methods.</w:t>
      </w:r>
    </w:p>
    <w:p w14:paraId="23CDFD6A" w14:textId="77777777" w:rsidR="00D0207B" w:rsidRDefault="00D0207B" w:rsidP="00D0207B">
      <w:pPr>
        <w:spacing w:after="0" w:line="240" w:lineRule="auto"/>
        <w:rPr>
          <w:rFonts w:ascii="Calibri" w:hAnsi="Calibri" w:cs="Calibri"/>
          <w:sz w:val="22"/>
          <w:szCs w:val="22"/>
        </w:rPr>
      </w:pPr>
    </w:p>
    <w:p w14:paraId="0AA53AD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particular we appreciate the reviewer’s suggestion to include tables that provide a better</w:t>
      </w:r>
    </w:p>
    <w:p w14:paraId="7FD0251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overview of the somewhat crowded and diverse DA benchmark landscape. We have now</w:t>
      </w:r>
    </w:p>
    <w:p w14:paraId="6F2C10B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included two supplementary tables comparing what we would consider some key attributes</w:t>
      </w:r>
    </w:p>
    <w:p w14:paraId="088B08C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of both DA benchmarks / simulation strategies, and DA methods covered in our study.</w:t>
      </w:r>
    </w:p>
    <w:p w14:paraId="58DCF70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FFE035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included a reference to Thorsen et al. in the revised manuscript (page 4, line 152). We</w:t>
      </w:r>
    </w:p>
    <w:p w14:paraId="3ED1F53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additionally added Supplementary Tables 1 and 2, which provide an overview of previous</w:t>
      </w:r>
    </w:p>
    <w:p w14:paraId="17BA3BE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simulation and benchmarking studies, respectively.</w:t>
      </w:r>
    </w:p>
    <w:p w14:paraId="4E702F7B" w14:textId="77777777" w:rsidR="00DD1899" w:rsidRDefault="00DD1899" w:rsidP="00D0207B">
      <w:pPr>
        <w:spacing w:after="0" w:line="240" w:lineRule="auto"/>
        <w:rPr>
          <w:rFonts w:ascii="Calibri" w:hAnsi="Calibri" w:cs="Calibri"/>
          <w:sz w:val="22"/>
          <w:szCs w:val="22"/>
        </w:rPr>
      </w:pPr>
    </w:p>
    <w:p w14:paraId="5E996B87" w14:textId="7EF66AE8"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2. Missing methods:</w:t>
      </w:r>
    </w:p>
    <w:p w14:paraId="3EBF0CF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a. While </w:t>
      </w:r>
      <w:proofErr w:type="spellStart"/>
      <w:r w:rsidRPr="00D0207B">
        <w:rPr>
          <w:rFonts w:ascii="Calibri" w:hAnsi="Calibri" w:cs="Calibri"/>
          <w:sz w:val="22"/>
          <w:szCs w:val="22"/>
        </w:rPr>
        <w:t>Wirbel</w:t>
      </w:r>
      <w:proofErr w:type="spellEnd"/>
      <w:r w:rsidRPr="00D0207B">
        <w:rPr>
          <w:rFonts w:ascii="Calibri" w:hAnsi="Calibri" w:cs="Calibri"/>
          <w:sz w:val="22"/>
          <w:szCs w:val="22"/>
        </w:rPr>
        <w:t xml:space="preserve"> et al have cited the </w:t>
      </w:r>
      <w:proofErr w:type="spellStart"/>
      <w:r w:rsidRPr="00D0207B">
        <w:rPr>
          <w:rFonts w:ascii="Calibri" w:hAnsi="Calibri" w:cs="Calibri"/>
          <w:sz w:val="22"/>
          <w:szCs w:val="22"/>
        </w:rPr>
        <w:t>biorxiv</w:t>
      </w:r>
      <w:proofErr w:type="spellEnd"/>
      <w:r w:rsidRPr="00D0207B">
        <w:rPr>
          <w:rFonts w:ascii="Calibri" w:hAnsi="Calibri" w:cs="Calibri"/>
          <w:sz w:val="22"/>
          <w:szCs w:val="22"/>
        </w:rPr>
        <w:t xml:space="preserve"> paper of Mallick H et al (MaAslin2) and used</w:t>
      </w:r>
    </w:p>
    <w:p w14:paraId="4261EB7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several methods implemented within the R package. The paper has however, was</w:t>
      </w:r>
    </w:p>
    <w:p w14:paraId="419274B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accepted in 2021 and has over 700 google citations. This reviewer would appreciate</w:t>
      </w:r>
    </w:p>
    <w:p w14:paraId="2A9382F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the inclusion of the primary Maaslin2 method for comparison.</w:t>
      </w:r>
    </w:p>
    <w:p w14:paraId="78132CD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 Personally, I believe the standard t-test to be robust, but this method is catching the</w:t>
      </w:r>
    </w:p>
    <w:p w14:paraId="12AB42E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microbiome community by storm and is relevant enough to compare to.</w:t>
      </w:r>
    </w:p>
    <w:p w14:paraId="4F31ED2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4963160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feedback and suggestions here and apologize for this outdated</w:t>
      </w:r>
    </w:p>
    <w:p w14:paraId="7951F5B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citation. With regard to Point 2a, we have updated the citation and added Mallick et al. to our</w:t>
      </w:r>
    </w:p>
    <w:p w14:paraId="584C7D7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new Supplementary Table 1. We would like to clarify that the TSS-normalized and log-</w:t>
      </w:r>
    </w:p>
    <w:p w14:paraId="0977291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transformed linear model(s) in our benchmark (i.e. the LM as described in e.g. main text Fig.</w:t>
      </w:r>
    </w:p>
    <w:p w14:paraId="3B70E4F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2) are identical to the default settings of MaAsLin2, as specified in the main text of their</w:t>
      </w:r>
    </w:p>
    <w:p w14:paraId="750C069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manuscript and codebase on GitHub.</w:t>
      </w:r>
    </w:p>
    <w:p w14:paraId="696566D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From Mallick et al., “While the default MaAsLin2 implementation uses a log-transformed</w:t>
      </w:r>
    </w:p>
    <w:p w14:paraId="7226D80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linear model on TSS-normalized quality-controlled data, the software supports several other</w:t>
      </w:r>
    </w:p>
    <w:p w14:paraId="5739D4B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statistical models including count models” (e.g. the negative binomial GLM, which we also</w:t>
      </w:r>
    </w:p>
    <w:p w14:paraId="60A334F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tested). Since other tools make use of the same pre-processing and base R linear model in</w:t>
      </w:r>
    </w:p>
    <w:p w14:paraId="7034E86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their differential abundance testing framework (e.g. the updated SIAMCAT R package</w:t>
      </w:r>
    </w:p>
    <w:p w14:paraId="38C4F2D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developed in our group) and because it is not the only implementation MaAsLin2 offers, we</w:t>
      </w:r>
    </w:p>
    <w:p w14:paraId="76A3FA5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thought it best to use the broader term LM. For the confounded simulations we also chose to</w:t>
      </w:r>
    </w:p>
    <w:p w14:paraId="0BC7C13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implement the </w:t>
      </w:r>
      <w:proofErr w:type="spellStart"/>
      <w:r w:rsidRPr="00DD1899">
        <w:rPr>
          <w:rFonts w:ascii="Calibri" w:hAnsi="Calibri" w:cs="Calibri"/>
          <w:color w:val="0F9ED5" w:themeColor="accent4"/>
          <w:sz w:val="22"/>
          <w:szCs w:val="22"/>
        </w:rPr>
        <w:t>lmerTest</w:t>
      </w:r>
      <w:proofErr w:type="spellEnd"/>
      <w:r w:rsidRPr="00DD1899">
        <w:rPr>
          <w:rFonts w:ascii="Calibri" w:hAnsi="Calibri" w:cs="Calibri"/>
          <w:color w:val="0F9ED5" w:themeColor="accent4"/>
          <w:sz w:val="22"/>
          <w:szCs w:val="22"/>
        </w:rPr>
        <w:t>::</w:t>
      </w:r>
      <w:proofErr w:type="spellStart"/>
      <w:r w:rsidRPr="00DD1899">
        <w:rPr>
          <w:rFonts w:ascii="Calibri" w:hAnsi="Calibri" w:cs="Calibri"/>
          <w:color w:val="0F9ED5" w:themeColor="accent4"/>
          <w:sz w:val="22"/>
          <w:szCs w:val="22"/>
        </w:rPr>
        <w:t>lmer</w:t>
      </w:r>
      <w:proofErr w:type="spellEnd"/>
      <w:r w:rsidRPr="00DD1899">
        <w:rPr>
          <w:rFonts w:ascii="Calibri" w:hAnsi="Calibri" w:cs="Calibri"/>
          <w:color w:val="0F9ED5" w:themeColor="accent4"/>
          <w:sz w:val="22"/>
          <w:szCs w:val="22"/>
        </w:rPr>
        <w:t>() mixed effects model over the also-popular lme4::</w:t>
      </w:r>
      <w:proofErr w:type="spellStart"/>
      <w:r w:rsidRPr="00DD1899">
        <w:rPr>
          <w:rFonts w:ascii="Calibri" w:hAnsi="Calibri" w:cs="Calibri"/>
          <w:color w:val="0F9ED5" w:themeColor="accent4"/>
          <w:sz w:val="22"/>
          <w:szCs w:val="22"/>
        </w:rPr>
        <w:t>lmer</w:t>
      </w:r>
      <w:proofErr w:type="spellEnd"/>
      <w:r w:rsidRPr="00DD1899">
        <w:rPr>
          <w:rFonts w:ascii="Calibri" w:hAnsi="Calibri" w:cs="Calibri"/>
          <w:color w:val="0F9ED5" w:themeColor="accent4"/>
          <w:sz w:val="22"/>
          <w:szCs w:val="22"/>
        </w:rPr>
        <w:t>()</w:t>
      </w:r>
    </w:p>
    <w:p w14:paraId="094BF3C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method to specifically improve comparability with MaAsLin2.</w:t>
      </w:r>
    </w:p>
    <w:p w14:paraId="41D41E3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Since readers may share the reviewer’s concern, given the popularity of MaAsLin2, we have</w:t>
      </w:r>
    </w:p>
    <w:p w14:paraId="019806A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more explicitly pointed out in our manuscript that we replicate the MaAsLin2 defaults. We</w:t>
      </w:r>
    </w:p>
    <w:p w14:paraId="404463B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moreover verified that our implementation behaved as expected (demonstrated below,</w:t>
      </w:r>
    </w:p>
    <w:p w14:paraId="1AB1AFD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showing P-values derived from our implementation of the linear model and using the</w:t>
      </w:r>
    </w:p>
    <w:p w14:paraId="2898BFCE" w14:textId="2DB44418"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MaAsLin2 tool on our simulations), and this is now mentioned in our revised manuscript.</w:t>
      </w:r>
    </w:p>
    <w:p w14:paraId="136C48A7" w14:textId="77777777" w:rsidR="00D0207B" w:rsidRDefault="00D0207B" w:rsidP="00D0207B">
      <w:pPr>
        <w:spacing w:after="0" w:line="240" w:lineRule="auto"/>
        <w:rPr>
          <w:rFonts w:ascii="Calibri" w:hAnsi="Calibri" w:cs="Calibri"/>
          <w:sz w:val="22"/>
          <w:szCs w:val="22"/>
        </w:rPr>
      </w:pPr>
    </w:p>
    <w:p w14:paraId="7D1919E2" w14:textId="51A86B53" w:rsid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drawing>
          <wp:inline distT="0" distB="0" distL="0" distR="0" wp14:anchorId="452A2133" wp14:editId="4BA95990">
            <wp:extent cx="5731510" cy="3356610"/>
            <wp:effectExtent l="0" t="0" r="2540" b="0"/>
            <wp:docPr id="947227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27550" name=""/>
                    <pic:cNvPicPr/>
                  </pic:nvPicPr>
                  <pic:blipFill>
                    <a:blip r:embed="rId6"/>
                    <a:stretch>
                      <a:fillRect/>
                    </a:stretch>
                  </pic:blipFill>
                  <pic:spPr>
                    <a:xfrm>
                      <a:off x="0" y="0"/>
                      <a:ext cx="5731510" cy="3356610"/>
                    </a:xfrm>
                    <a:prstGeom prst="rect">
                      <a:avLst/>
                    </a:prstGeom>
                  </pic:spPr>
                </pic:pic>
              </a:graphicData>
            </a:graphic>
          </wp:inline>
        </w:drawing>
      </w:r>
    </w:p>
    <w:p w14:paraId="6889015B" w14:textId="77777777" w:rsidR="00D0207B" w:rsidRDefault="00D0207B" w:rsidP="00D0207B">
      <w:pPr>
        <w:spacing w:after="0" w:line="240" w:lineRule="auto"/>
        <w:rPr>
          <w:rFonts w:ascii="Calibri" w:hAnsi="Calibri" w:cs="Calibri"/>
          <w:sz w:val="22"/>
          <w:szCs w:val="22"/>
        </w:rPr>
      </w:pPr>
    </w:p>
    <w:p w14:paraId="26D5726A"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6</w:t>
      </w:r>
    </w:p>
    <w:p w14:paraId="659319C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With regard to Point 2b, we thank the reviewer for their suggestion. After adding the</w:t>
      </w:r>
    </w:p>
    <w:p w14:paraId="57500BB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Student’s t-test to our benchmarks (implemented with defaults as </w:t>
      </w:r>
      <w:proofErr w:type="spellStart"/>
      <w:r w:rsidRPr="00DD1899">
        <w:rPr>
          <w:rFonts w:ascii="Calibri" w:hAnsi="Calibri" w:cs="Calibri"/>
          <w:color w:val="0F9ED5" w:themeColor="accent4"/>
          <w:sz w:val="22"/>
          <w:szCs w:val="22"/>
        </w:rPr>
        <w:t>t.test</w:t>
      </w:r>
      <w:proofErr w:type="spellEnd"/>
      <w:r w:rsidRPr="00DD1899">
        <w:rPr>
          <w:rFonts w:ascii="Calibri" w:hAnsi="Calibri" w:cs="Calibri"/>
          <w:color w:val="0F9ED5" w:themeColor="accent4"/>
          <w:sz w:val="22"/>
          <w:szCs w:val="22"/>
        </w:rPr>
        <w:t xml:space="preserve"> in base R), we found</w:t>
      </w:r>
    </w:p>
    <w:p w14:paraId="34DEE01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that it outperformed a majority of parametric and microbiome-specific methods (e.g. ANCOM</w:t>
      </w:r>
    </w:p>
    <w:p w14:paraId="6548E14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tools), analogous to other classical statistical methods we included. As a result, we updated</w:t>
      </w:r>
    </w:p>
    <w:p w14:paraId="37F7165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all main and supplementary figures showing the results of the benchmark (e.g. Fig. 2) and</w:t>
      </w:r>
    </w:p>
    <w:p w14:paraId="1D21E91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main text to reflect this more general performance trend.</w:t>
      </w:r>
    </w:p>
    <w:p w14:paraId="38F8FCF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430E4EA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included MaAsLin2 in our new Supplementary Table 1. We also specified that our</w:t>
      </w:r>
    </w:p>
    <w:p w14:paraId="16EB2C5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implementation of the linear model mirrors and exactly replicates the default settings in</w:t>
      </w:r>
    </w:p>
    <w:p w14:paraId="5711B64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MaAsLin2 in the Methods and Discussion (page 14, lines 510-511 and page 18, line 679-</w:t>
      </w:r>
    </w:p>
    <w:p w14:paraId="5D8A174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680). Additionally, we added the t-test to the non-confounded benchmark. We updated all</w:t>
      </w:r>
    </w:p>
    <w:p w14:paraId="15AD0BE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relevant figures (Fig. 2, </w:t>
      </w:r>
      <w:proofErr w:type="spellStart"/>
      <w:r w:rsidRPr="00DD1899">
        <w:rPr>
          <w:rFonts w:ascii="Calibri" w:hAnsi="Calibri" w:cs="Calibri"/>
          <w:color w:val="0F9ED5" w:themeColor="accent4"/>
          <w:sz w:val="22"/>
          <w:szCs w:val="22"/>
        </w:rPr>
        <w:t>SFigs</w:t>
      </w:r>
      <w:proofErr w:type="spellEnd"/>
      <w:r w:rsidRPr="00DD1899">
        <w:rPr>
          <w:rFonts w:ascii="Calibri" w:hAnsi="Calibri" w:cs="Calibri"/>
          <w:color w:val="0F9ED5" w:themeColor="accent4"/>
          <w:sz w:val="22"/>
          <w:szCs w:val="22"/>
        </w:rPr>
        <w:t>. 5-9,15) and made several changes to the text (e.g. page 7,</w:t>
      </w:r>
    </w:p>
    <w:p w14:paraId="2AAEDE2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lines 243-244) as well as the Abstract (page 2, lines 59-60).</w:t>
      </w:r>
    </w:p>
    <w:p w14:paraId="141873CD" w14:textId="77777777" w:rsidR="00DD1899" w:rsidRDefault="00DD1899" w:rsidP="00D0207B">
      <w:pPr>
        <w:spacing w:after="0" w:line="240" w:lineRule="auto"/>
        <w:rPr>
          <w:rFonts w:ascii="Calibri" w:hAnsi="Calibri" w:cs="Calibri"/>
          <w:sz w:val="22"/>
          <w:szCs w:val="22"/>
        </w:rPr>
      </w:pPr>
    </w:p>
    <w:p w14:paraId="118D8FAF" w14:textId="40DA5C6C"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3. The authors do not provide enough evidence in the discussion surrounding their</w:t>
      </w:r>
    </w:p>
    <w:p w14:paraId="7ECDD64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claims that, 'Based on our results, we argue that the failure to produce consensus is partially</w:t>
      </w:r>
    </w:p>
    <w:p w14:paraId="39A3753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explained by their reliance on unvalidated and ultimately unrealistic parametric simulations of</w:t>
      </w:r>
    </w:p>
    <w:p w14:paraId="4ED44A4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microbiome data as ground truth.'</w:t>
      </w:r>
    </w:p>
    <w:p w14:paraId="4133097F"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 Authors have not performed an exhaustive analysis of similar disease cohorts and</w:t>
      </w:r>
    </w:p>
    <w:p w14:paraId="5E001657"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assessed the heterogeneity in raw abundances. There exist many meta-analyses,</w:t>
      </w:r>
    </w:p>
    <w:p w14:paraId="4465F33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e.g. https://www.nature.com/articles/s41467-017-01973-8 that have adequately come</w:t>
      </w:r>
    </w:p>
    <w:p w14:paraId="162FE57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to conclusions of relevant organisms implicated in disease</w:t>
      </w:r>
    </w:p>
    <w:p w14:paraId="4681C17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7AE7F2E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feedback and the chance to clarify our writing, which we think</w:t>
      </w:r>
    </w:p>
    <w:p w14:paraId="2F5D9D3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may have been misunderstood in its original context. We agree with the reviewer (and the</w:t>
      </w:r>
    </w:p>
    <w:p w14:paraId="3565545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authors of the referenced publication, ref. 9 in our original submission) that it is possible to</w:t>
      </w:r>
    </w:p>
    <w:p w14:paraId="0B6290F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achieve consensus in terms of biological results (i.e., which microbial organisms might be</w:t>
      </w:r>
    </w:p>
    <w:p w14:paraId="5F60F08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related to a disease). Indeed, our group has previously published on microbiome meta-</w:t>
      </w:r>
    </w:p>
    <w:p w14:paraId="24F87B3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analyses, for example for colorectal cancer, and we believe that a consensus concerning</w:t>
      </w:r>
    </w:p>
    <w:p w14:paraId="16621AB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colorectal cancer-associated bacteria has emerged in the field – also given that meta-analyses by other groups resulted in very similar results (see</w:t>
      </w:r>
    </w:p>
    <w:p w14:paraId="4CA8251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https://www.nature.com/articles/s41591-019-0406-6 and</w:t>
      </w:r>
    </w:p>
    <w:p w14:paraId="69A4B7A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https://www.nature.com/articles/s41591-019-0405-7).Of course, the DA methodology for</w:t>
      </w:r>
    </w:p>
    <w:p w14:paraId="6F27687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meta-analyses needs to be validated as well, as a meta-analysis relying on a DA tool that</w:t>
      </w:r>
    </w:p>
    <w:p w14:paraId="55E0CB9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produces an excess of false positive discoveries will be methodologically flawed as well.</w:t>
      </w:r>
    </w:p>
    <w:p w14:paraId="2BF0536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claim in question intended to highlight the lack of consensus among DA benchmarks,</w:t>
      </w:r>
    </w:p>
    <w:p w14:paraId="3DBD4D1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meaning that there is no consensus on which DA methodology is best-performing for</w:t>
      </w:r>
    </w:p>
    <w:p w14:paraId="2242888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microbiome data. We argue (and we believe we show) that this is partially due to</w:t>
      </w:r>
    </w:p>
    <w:p w14:paraId="6D7C667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heterogeneity among the (unvalidated) parametric simulation strategies employed earlier</w:t>
      </w:r>
    </w:p>
    <w:p w14:paraId="5874427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(see page 8, lines 272-281 and Fig. 2d).</w:t>
      </w:r>
    </w:p>
    <w:p w14:paraId="7F25C71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67536F4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updated the sentence in question in our Discussion (page 13, lines 450-453) to improve</w:t>
      </w:r>
    </w:p>
    <w:p w14:paraId="06E00FE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clarity for readers. Additionally, we highlighted that meta-analyses (with validated</w:t>
      </w:r>
    </w:p>
    <w:p w14:paraId="5CCF752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methodology) are good tools to overcome discrepant findings from individual studies (page</w:t>
      </w:r>
    </w:p>
    <w:p w14:paraId="1DCE174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14, lines 517-523) provided that they are based on valid statistical methods.</w:t>
      </w:r>
    </w:p>
    <w:p w14:paraId="10F777A7" w14:textId="77777777" w:rsidR="00DD1899" w:rsidRDefault="00DD1899" w:rsidP="00D0207B">
      <w:pPr>
        <w:spacing w:after="0" w:line="240" w:lineRule="auto"/>
        <w:rPr>
          <w:rFonts w:ascii="Calibri" w:hAnsi="Calibri" w:cs="Calibri"/>
          <w:sz w:val="22"/>
          <w:szCs w:val="22"/>
        </w:rPr>
      </w:pPr>
    </w:p>
    <w:p w14:paraId="06601541" w14:textId="091F4DC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4. The inclusion of the methods scripts is nice, but for true broad generalizability and</w:t>
      </w:r>
    </w:p>
    <w:p w14:paraId="2F1C07E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impact / use the authors should create a sustainable Bioconductor (at a minimum CRAN) R</w:t>
      </w:r>
    </w:p>
    <w:p w14:paraId="6167DF9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package like </w:t>
      </w:r>
      <w:proofErr w:type="spellStart"/>
      <w:r w:rsidRPr="00D0207B">
        <w:rPr>
          <w:rFonts w:ascii="Calibri" w:hAnsi="Calibri" w:cs="Calibri"/>
          <w:sz w:val="22"/>
          <w:szCs w:val="22"/>
        </w:rPr>
        <w:t>sparsedossa</w:t>
      </w:r>
      <w:proofErr w:type="spellEnd"/>
      <w:r w:rsidRPr="00D0207B">
        <w:rPr>
          <w:rFonts w:ascii="Calibri" w:hAnsi="Calibri" w:cs="Calibri"/>
          <w:sz w:val="22"/>
          <w:szCs w:val="22"/>
        </w:rPr>
        <w:t xml:space="preserve"> or https://www.ncbi.nlm.nih.gov/pmc/articles/PMC7047923/</w:t>
      </w:r>
    </w:p>
    <w:p w14:paraId="68FA7AC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6C45F27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agree with the reviewer and thank them for the comment. We have submitted SIMBA to</w:t>
      </w:r>
    </w:p>
    <w:p w14:paraId="5273EA4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CRAN, as it was already formatted as an R package (and could be installed from GitHub</w:t>
      </w:r>
    </w:p>
    <w:p w14:paraId="43F00D1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using the </w:t>
      </w:r>
      <w:proofErr w:type="spellStart"/>
      <w:r w:rsidRPr="00DD1899">
        <w:rPr>
          <w:rFonts w:ascii="Calibri" w:hAnsi="Calibri" w:cs="Calibri"/>
          <w:color w:val="0F9ED5" w:themeColor="accent4"/>
          <w:sz w:val="22"/>
          <w:szCs w:val="22"/>
        </w:rPr>
        <w:t>devtools</w:t>
      </w:r>
      <w:proofErr w:type="spellEnd"/>
      <w:r w:rsidRPr="00DD1899">
        <w:rPr>
          <w:rFonts w:ascii="Calibri" w:hAnsi="Calibri" w:cs="Calibri"/>
          <w:color w:val="0F9ED5" w:themeColor="accent4"/>
          <w:sz w:val="22"/>
          <w:szCs w:val="22"/>
        </w:rPr>
        <w:t xml:space="preserve"> package). The BAMBI part of the project is a collection of scripts that</w:t>
      </w:r>
    </w:p>
    <w:p w14:paraId="6B33475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allow for the execution of several cluster jobs that make use of SIMBA functions and is by its</w:t>
      </w:r>
    </w:p>
    <w:p w14:paraId="29454EA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nature not an R package, but rather a set of scripts that we used in this project. For</w:t>
      </w:r>
    </w:p>
    <w:p w14:paraId="62E6C8A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reproducibility, the exact same environment as used in our project can be re-created from</w:t>
      </w:r>
    </w:p>
    <w:p w14:paraId="4AACE87D" w14:textId="77777777" w:rsidR="00D0207B" w:rsidRPr="00DD1899" w:rsidRDefault="00D0207B" w:rsidP="00D0207B">
      <w:pPr>
        <w:spacing w:after="0" w:line="240" w:lineRule="auto"/>
        <w:rPr>
          <w:rFonts w:ascii="Calibri" w:hAnsi="Calibri" w:cs="Calibri"/>
          <w:color w:val="0F9ED5" w:themeColor="accent4"/>
          <w:sz w:val="22"/>
          <w:szCs w:val="22"/>
        </w:rPr>
      </w:pPr>
      <w:proofErr w:type="spellStart"/>
      <w:r w:rsidRPr="00DD1899">
        <w:rPr>
          <w:rFonts w:ascii="Calibri" w:hAnsi="Calibri" w:cs="Calibri"/>
          <w:color w:val="0F9ED5" w:themeColor="accent4"/>
          <w:sz w:val="22"/>
          <w:szCs w:val="22"/>
        </w:rPr>
        <w:t>renv.lock</w:t>
      </w:r>
      <w:proofErr w:type="spellEnd"/>
      <w:r w:rsidRPr="00DD1899">
        <w:rPr>
          <w:rFonts w:ascii="Calibri" w:hAnsi="Calibri" w:cs="Calibri"/>
          <w:color w:val="0F9ED5" w:themeColor="accent4"/>
          <w:sz w:val="22"/>
          <w:szCs w:val="22"/>
        </w:rPr>
        <w:t xml:space="preserve"> file included in the BAMBI project.</w:t>
      </w:r>
    </w:p>
    <w:p w14:paraId="665FEF3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096992E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have submitted SIMBA to CRAN and have specified this in our revised methods (page</w:t>
      </w:r>
    </w:p>
    <w:p w14:paraId="3234C9E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22, line 902).</w:t>
      </w:r>
    </w:p>
    <w:p w14:paraId="5CEC428D" w14:textId="32B0D9D0" w:rsidR="00D0207B" w:rsidRDefault="00D0207B" w:rsidP="00D0207B">
      <w:pPr>
        <w:spacing w:after="0" w:line="240" w:lineRule="auto"/>
        <w:rPr>
          <w:rFonts w:ascii="Calibri" w:hAnsi="Calibri" w:cs="Calibri"/>
          <w:sz w:val="22"/>
          <w:szCs w:val="22"/>
        </w:rPr>
      </w:pPr>
    </w:p>
    <w:p w14:paraId="47DEA7F8" w14:textId="0A566A87" w:rsidR="00D0207B" w:rsidRDefault="00D0207B" w:rsidP="00D0207B">
      <w:pPr>
        <w:spacing w:after="0" w:line="240" w:lineRule="auto"/>
        <w:rPr>
          <w:rFonts w:ascii="Calibri" w:hAnsi="Calibri" w:cs="Calibri"/>
          <w:sz w:val="22"/>
          <w:szCs w:val="22"/>
        </w:rPr>
      </w:pPr>
      <w:r>
        <w:rPr>
          <w:rFonts w:ascii="Calibri" w:hAnsi="Calibri" w:cs="Calibri"/>
          <w:sz w:val="22"/>
          <w:szCs w:val="22"/>
        </w:rPr>
        <w:t>Reviewer 3</w:t>
      </w:r>
    </w:p>
    <w:p w14:paraId="42AE1F9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This is a well written and interesting manuscript. It contains two important contributions: (1) a</w:t>
      </w:r>
    </w:p>
    <w:p w14:paraId="2CFF091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new simulation framework for simulating realistic microbiome data, and (2) a benchmark of</w:t>
      </w:r>
    </w:p>
    <w:p w14:paraId="4F0BE53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many DA methods. Moreover, it also evaluates methods in the presence of confounding</w:t>
      </w:r>
    </w:p>
    <w:p w14:paraId="166605A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effects.</w:t>
      </w:r>
    </w:p>
    <w:p w14:paraId="62F32C0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25EE203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would like to thank the reviewer sincerely for their thoughtful consideration of our work,</w:t>
      </w:r>
    </w:p>
    <w:p w14:paraId="3B5736A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and especially for their polite, constructive communication.</w:t>
      </w:r>
    </w:p>
    <w:p w14:paraId="62983AEF" w14:textId="77777777" w:rsidR="00DD1899" w:rsidRDefault="00DD1899" w:rsidP="00D0207B">
      <w:pPr>
        <w:spacing w:after="0" w:line="240" w:lineRule="auto"/>
        <w:rPr>
          <w:rFonts w:ascii="Calibri" w:hAnsi="Calibri" w:cs="Calibri"/>
          <w:sz w:val="22"/>
          <w:szCs w:val="22"/>
        </w:rPr>
      </w:pPr>
    </w:p>
    <w:p w14:paraId="581C4048" w14:textId="00B60987" w:rsid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Comments:</w:t>
      </w:r>
    </w:p>
    <w:p w14:paraId="3FA7BF1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1. There is one more microbiome simulation method that I am aware of, and which also</w:t>
      </w:r>
    </w:p>
    <w:p w14:paraId="215B94A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succeeds well in simulating realistic data. </w:t>
      </w:r>
      <w:proofErr w:type="spellStart"/>
      <w:r w:rsidRPr="00D0207B">
        <w:rPr>
          <w:rFonts w:ascii="Calibri" w:hAnsi="Calibri" w:cs="Calibri"/>
          <w:sz w:val="22"/>
          <w:szCs w:val="22"/>
        </w:rPr>
        <w:t>SPSimSeq</w:t>
      </w:r>
      <w:proofErr w:type="spellEnd"/>
      <w:r w:rsidRPr="00D0207B">
        <w:rPr>
          <w:rFonts w:ascii="Calibri" w:hAnsi="Calibri" w:cs="Calibri"/>
          <w:sz w:val="22"/>
          <w:szCs w:val="22"/>
        </w:rPr>
        <w:t xml:space="preserve"> (Assefa et al., 2020, 2023) was</w:t>
      </w:r>
    </w:p>
    <w:p w14:paraId="516196D7"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originally developed for simulating (bulk) </w:t>
      </w:r>
      <w:proofErr w:type="spellStart"/>
      <w:r w:rsidRPr="00D0207B">
        <w:rPr>
          <w:rFonts w:ascii="Calibri" w:hAnsi="Calibri" w:cs="Calibri"/>
          <w:sz w:val="22"/>
          <w:szCs w:val="22"/>
        </w:rPr>
        <w:t>RNASeq</w:t>
      </w:r>
      <w:proofErr w:type="spellEnd"/>
      <w:r w:rsidRPr="00D0207B">
        <w:rPr>
          <w:rFonts w:ascii="Calibri" w:hAnsi="Calibri" w:cs="Calibri"/>
          <w:sz w:val="22"/>
          <w:szCs w:val="22"/>
        </w:rPr>
        <w:t xml:space="preserve"> data, but it has been demonstrated to</w:t>
      </w:r>
    </w:p>
    <w:p w14:paraId="27E49258"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work also well for microbiome data (16S rRNA sequencing); see </w:t>
      </w:r>
      <w:proofErr w:type="spellStart"/>
      <w:r w:rsidRPr="00D0207B">
        <w:rPr>
          <w:rFonts w:ascii="Calibri" w:hAnsi="Calibri" w:cs="Calibri"/>
          <w:sz w:val="22"/>
          <w:szCs w:val="22"/>
        </w:rPr>
        <w:t>Kodalci</w:t>
      </w:r>
      <w:proofErr w:type="spellEnd"/>
      <w:r w:rsidRPr="00D0207B">
        <w:rPr>
          <w:rFonts w:ascii="Calibri" w:hAnsi="Calibri" w:cs="Calibri"/>
          <w:sz w:val="22"/>
          <w:szCs w:val="22"/>
        </w:rPr>
        <w:t xml:space="preserve"> and </w:t>
      </w:r>
      <w:proofErr w:type="spellStart"/>
      <w:r w:rsidRPr="00D0207B">
        <w:rPr>
          <w:rFonts w:ascii="Calibri" w:hAnsi="Calibri" w:cs="Calibri"/>
          <w:sz w:val="22"/>
          <w:szCs w:val="22"/>
        </w:rPr>
        <w:t>Thas</w:t>
      </w:r>
      <w:proofErr w:type="spellEnd"/>
      <w:r w:rsidRPr="00D0207B">
        <w:rPr>
          <w:rFonts w:ascii="Calibri" w:hAnsi="Calibri" w:cs="Calibri"/>
          <w:sz w:val="22"/>
          <w:szCs w:val="22"/>
        </w:rPr>
        <w:t xml:space="preserve"> (2023).</w:t>
      </w:r>
    </w:p>
    <w:p w14:paraId="06CF047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4EEA786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 bringing this interesting simulation framework to our attention.</w:t>
      </w:r>
    </w:p>
    <w:p w14:paraId="141921D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 xml:space="preserve">We agree with the reviewer that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managed to simulate quite realistic microbiome</w:t>
      </w:r>
    </w:p>
    <w:p w14:paraId="23331D1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data. We applied it to the Zeevi WGS dataset and simulated a dataset without any signal.</w:t>
      </w:r>
    </w:p>
    <w:p w14:paraId="7AEF4D0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evaluated the realism in a similar way to the other simulation methods included in Fig. 1</w:t>
      </w:r>
    </w:p>
    <w:p w14:paraId="496BBBD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the main text (see Figure below). The feature variance (panel a) values very closely mimic</w:t>
      </w:r>
    </w:p>
    <w:p w14:paraId="451147D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those of real data; sample sparsity (panel b) from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was also fairly similar to real</w:t>
      </w:r>
    </w:p>
    <w:p w14:paraId="42FF150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data. Likewise, the </w:t>
      </w:r>
      <w:proofErr w:type="spellStart"/>
      <w:r w:rsidRPr="00DD1899">
        <w:rPr>
          <w:rFonts w:ascii="Calibri" w:hAnsi="Calibri" w:cs="Calibri"/>
          <w:color w:val="0F9ED5" w:themeColor="accent4"/>
          <w:sz w:val="22"/>
          <w:szCs w:val="22"/>
        </w:rPr>
        <w:t>PCoA</w:t>
      </w:r>
      <w:proofErr w:type="spellEnd"/>
      <w:r w:rsidRPr="00DD1899">
        <w:rPr>
          <w:rFonts w:ascii="Calibri" w:hAnsi="Calibri" w:cs="Calibri"/>
          <w:color w:val="0F9ED5" w:themeColor="accent4"/>
          <w:sz w:val="22"/>
          <w:szCs w:val="22"/>
        </w:rPr>
        <w:t xml:space="preserve"> shows the real and simulated data overlapping (panel c). A</w:t>
      </w:r>
    </w:p>
    <w:p w14:paraId="4ED646F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machine learning-based comparison resulted in an AUROC of 1, but this was due to</w:t>
      </w:r>
    </w:p>
    <w:p w14:paraId="0D6C7B7F" w14:textId="77777777" w:rsidR="00D0207B" w:rsidRPr="00DD1899" w:rsidRDefault="00D0207B" w:rsidP="00D0207B">
      <w:pPr>
        <w:spacing w:after="0" w:line="240" w:lineRule="auto"/>
        <w:rPr>
          <w:rFonts w:ascii="Calibri" w:hAnsi="Calibri" w:cs="Calibri"/>
          <w:color w:val="0F9ED5" w:themeColor="accent4"/>
          <w:sz w:val="22"/>
          <w:szCs w:val="22"/>
        </w:rPr>
      </w:pP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reordering and randomly resampling features for simulation, so that a direct</w:t>
      </w:r>
    </w:p>
    <w:p w14:paraId="683F49FC" w14:textId="15CA78DA"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feature-aware comparison was impossible.</w:t>
      </w:r>
    </w:p>
    <w:p w14:paraId="56DDC25E" w14:textId="2097ED53" w:rsid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drawing>
          <wp:inline distT="0" distB="0" distL="0" distR="0" wp14:anchorId="7F7857C0" wp14:editId="233AF9CE">
            <wp:extent cx="5731510" cy="1891665"/>
            <wp:effectExtent l="0" t="0" r="2540" b="0"/>
            <wp:docPr id="223970224"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70224" name="Picture 1" descr="A diagram of a graph&#10;&#10;Description automatically generated"/>
                    <pic:cNvPicPr/>
                  </pic:nvPicPr>
                  <pic:blipFill>
                    <a:blip r:embed="rId7"/>
                    <a:stretch>
                      <a:fillRect/>
                    </a:stretch>
                  </pic:blipFill>
                  <pic:spPr>
                    <a:xfrm>
                      <a:off x="0" y="0"/>
                      <a:ext cx="5731510" cy="1891665"/>
                    </a:xfrm>
                    <a:prstGeom prst="rect">
                      <a:avLst/>
                    </a:prstGeom>
                  </pic:spPr>
                </pic:pic>
              </a:graphicData>
            </a:graphic>
          </wp:inline>
        </w:drawing>
      </w:r>
    </w:p>
    <w:p w14:paraId="6865EAE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If we understood correctly, for its use in benchmarking DA tests,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requires the</w:t>
      </w:r>
    </w:p>
    <w:p w14:paraId="28F13FD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input data to have a biological signal present (i.e. differential gene expression between two</w:t>
      </w:r>
    </w:p>
    <w:p w14:paraId="4A2ADD1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measured conditions, and extensible to differential microbial abundances), which is first</w:t>
      </w:r>
    </w:p>
    <w:p w14:paraId="6971A2B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identified (via a linear model) and then used to simulate either background features (based</w:t>
      </w:r>
    </w:p>
    <w:p w14:paraId="477BFFA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on those without differential expression detected) or differentially abundant features (based</w:t>
      </w:r>
    </w:p>
    <w:p w14:paraId="7B0B73D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on those features identified in the first step). This is complementary to our approach, which</w:t>
      </w:r>
    </w:p>
    <w:p w14:paraId="01681EE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by necessity takes input data without differential biological signal before implanting fully</w:t>
      </w:r>
    </w:p>
    <w:p w14:paraId="127754E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synthetic effects.</w:t>
      </w:r>
    </w:p>
    <w:p w14:paraId="06FFC2A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The complementary nature of the two approaches made it difficult to include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in</w:t>
      </w:r>
    </w:p>
    <w:p w14:paraId="1CDA9B1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comparison of simulation frameworks, because our approach was intentionally based on</w:t>
      </w:r>
    </w:p>
    <w:p w14:paraId="097D194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datasets without biological signal (e.g. Zeevi et al., Schirmer et al., or the HMP datasets) to</w:t>
      </w:r>
    </w:p>
    <w:p w14:paraId="1F3EF53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be able to flexibly control the implanted effect sizes. We therefore did not include </w:t>
      </w:r>
      <w:proofErr w:type="spellStart"/>
      <w:r w:rsidRPr="00DD1899">
        <w:rPr>
          <w:rFonts w:ascii="Calibri" w:hAnsi="Calibri" w:cs="Calibri"/>
          <w:color w:val="0F9ED5" w:themeColor="accent4"/>
          <w:sz w:val="22"/>
          <w:szCs w:val="22"/>
        </w:rPr>
        <w:t>SPSimSeq</w:t>
      </w:r>
      <w:proofErr w:type="spellEnd"/>
    </w:p>
    <w:p w14:paraId="4D53422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our benchmark of simulation approach, but instead refer to it in the main text and the new</w:t>
      </w:r>
    </w:p>
    <w:p w14:paraId="0E1E70B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Supplementary Tables.</w:t>
      </w:r>
    </w:p>
    <w:p w14:paraId="40D796E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9C4845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We added a references to </w:t>
      </w:r>
      <w:proofErr w:type="spellStart"/>
      <w:r w:rsidRPr="00DD1899">
        <w:rPr>
          <w:rFonts w:ascii="Calibri" w:hAnsi="Calibri" w:cs="Calibri"/>
          <w:color w:val="0F9ED5" w:themeColor="accent4"/>
          <w:sz w:val="22"/>
          <w:szCs w:val="22"/>
        </w:rPr>
        <w:t>Kodalci</w:t>
      </w:r>
      <w:proofErr w:type="spellEnd"/>
      <w:r w:rsidRPr="00DD1899">
        <w:rPr>
          <w:rFonts w:ascii="Calibri" w:hAnsi="Calibri" w:cs="Calibri"/>
          <w:color w:val="0F9ED5" w:themeColor="accent4"/>
          <w:sz w:val="22"/>
          <w:szCs w:val="22"/>
        </w:rPr>
        <w:t xml:space="preserve"> and </w:t>
      </w: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xml:space="preserve"> to the Discussion (see page 14, lines 506-508)</w:t>
      </w:r>
    </w:p>
    <w:p w14:paraId="7314E8F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as well as our new Supplementary Table 1, which also references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xml:space="preserve"> (Assefa et</w:t>
      </w:r>
    </w:p>
    <w:p w14:paraId="6BD258B3" w14:textId="04397DBC"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al.).</w:t>
      </w:r>
    </w:p>
    <w:p w14:paraId="0F0B2B4C" w14:textId="77777777" w:rsidR="00D0207B" w:rsidRDefault="00D0207B" w:rsidP="00D0207B">
      <w:pPr>
        <w:spacing w:after="0" w:line="240" w:lineRule="auto"/>
        <w:rPr>
          <w:rFonts w:ascii="Calibri" w:hAnsi="Calibri" w:cs="Calibri"/>
          <w:sz w:val="22"/>
          <w:szCs w:val="22"/>
        </w:rPr>
      </w:pPr>
    </w:p>
    <w:p w14:paraId="0EAD1E1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2. For the performance evaluation you compare the empirical FDR with the estimated FDR.</w:t>
      </w:r>
    </w:p>
    <w:p w14:paraId="226709C8"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What is the estimated FDR?</w:t>
      </w:r>
    </w:p>
    <w:p w14:paraId="65EEF97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1BE488AC"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this feedback from the reviewer and welcome the opportunity to clarify this.</w:t>
      </w:r>
    </w:p>
    <w:p w14:paraId="295BE46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present terminology was introduced in an earlier revision, and we agree it could be more</w:t>
      </w:r>
    </w:p>
    <w:p w14:paraId="455747C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intuitive. In our manuscript, the estimated FDR is the result of applying a multiple hypothesis</w:t>
      </w:r>
    </w:p>
    <w:p w14:paraId="40693B6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testing correction procedure to the P values obtained from the DA testing methods, and thus</w:t>
      </w:r>
    </w:p>
    <w:p w14:paraId="20192C1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represents the expected proportion of false positives among all discoveries based on the</w:t>
      </w:r>
    </w:p>
    <w:p w14:paraId="00BD85B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method’s assumptions. The empirical FDR, in contrast, is observed in our benchmark (i.e.</w:t>
      </w:r>
    </w:p>
    <w:p w14:paraId="01BF6DA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calculated using the simulated ground truth), and represents the actual proportion of false</w:t>
      </w:r>
    </w:p>
    <w:p w14:paraId="27DEBE5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positives among all discoveries made by a method at a given estimated FDR cutoff.</w:t>
      </w:r>
    </w:p>
    <w:p w14:paraId="2739F68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75B4349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We have replaced “empirical” with “observed” everywhere in the manuscript to make the</w:t>
      </w:r>
    </w:p>
    <w:p w14:paraId="1D531B67"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distinction between these concepts clearer for readers (page 6, lines 214-225).</w:t>
      </w:r>
    </w:p>
    <w:p w14:paraId="4BD42FF0" w14:textId="77777777" w:rsidR="00DD1899" w:rsidRDefault="00DD1899" w:rsidP="00D0207B">
      <w:pPr>
        <w:spacing w:after="0" w:line="240" w:lineRule="auto"/>
        <w:rPr>
          <w:rFonts w:ascii="Calibri" w:hAnsi="Calibri" w:cs="Calibri"/>
          <w:sz w:val="22"/>
          <w:szCs w:val="22"/>
        </w:rPr>
      </w:pPr>
    </w:p>
    <w:p w14:paraId="184F0EAB" w14:textId="0519DA31"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 xml:space="preserve">3. Lin and </w:t>
      </w:r>
      <w:proofErr w:type="spellStart"/>
      <w:r w:rsidRPr="00D0207B">
        <w:rPr>
          <w:rFonts w:ascii="Calibri" w:hAnsi="Calibri" w:cs="Calibri"/>
          <w:sz w:val="22"/>
          <w:szCs w:val="22"/>
        </w:rPr>
        <w:t>Peddada</w:t>
      </w:r>
      <w:proofErr w:type="spellEnd"/>
      <w:r w:rsidRPr="00D0207B">
        <w:rPr>
          <w:rFonts w:ascii="Calibri" w:hAnsi="Calibri" w:cs="Calibri"/>
          <w:sz w:val="22"/>
          <w:szCs w:val="22"/>
        </w:rPr>
        <w:t xml:space="preserve"> (2020) argue that microbiome data often shows a differential sampling</w:t>
      </w:r>
    </w:p>
    <w:p w14:paraId="2BF27E34"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fraction between the two groups. Their method (ANCOM-BS), which is also included in your</w:t>
      </w:r>
    </w:p>
    <w:p w14:paraId="10E060B1"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study, is supposed to adjust for it. Does your simulation method allow for the introduction of</w:t>
      </w:r>
    </w:p>
    <w:p w14:paraId="0AEA2AF0"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differential sampling fractions? A related issue: the library size distribution may be different</w:t>
      </w:r>
    </w:p>
    <w:p w14:paraId="547DFB5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between the two groups. If this happens, then it is either by coincidence, or because of</w:t>
      </w:r>
    </w:p>
    <w:p w14:paraId="00206E16"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technical issues. Anyway, it may affect the DA results. Your simulation method starts with</w:t>
      </w:r>
    </w:p>
    <w:p w14:paraId="772BF2E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randomly splitting the set of all samples into two groups, and hence, on average, no</w:t>
      </w:r>
    </w:p>
    <w:p w14:paraId="6C1312A9"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difference between the sampling distributions is expected. Would it be possible to introduce</w:t>
      </w:r>
    </w:p>
    <w:p w14:paraId="32BFDE3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this flexibility in the R implementation? I am not necessarily suggesting that you need to</w:t>
      </w:r>
    </w:p>
    <w:p w14:paraId="05BC074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extend your simulation study in this way, but it could be added to the discussion section.</w:t>
      </w:r>
    </w:p>
    <w:p w14:paraId="1970AE0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12D0031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reviewer’s perspective on this issue – this is indeed an interesting aspect.</w:t>
      </w:r>
    </w:p>
    <w:p w14:paraId="5113D2C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fact, our simulation method does allow for the introduction of differential sampling</w:t>
      </w:r>
    </w:p>
    <w:p w14:paraId="0089664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fractions.</w:t>
      </w:r>
    </w:p>
    <w:p w14:paraId="3225405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While this wasn’t a major focus of our simulation studies, by implanting signal into only one</w:t>
      </w:r>
    </w:p>
    <w:p w14:paraId="5A21B97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of our two random groups and then rescaling samples to their original library sizes, we were</w:t>
      </w:r>
    </w:p>
    <w:p w14:paraId="5AD62074"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showed, that due to compositionality, secondary differential abundances are introduced in</w:t>
      </w:r>
    </w:p>
    <w:p w14:paraId="63A7E61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the background taxa (see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9, also our responses to Point 1 by Reviewers 1 and 2). If</w:t>
      </w:r>
    </w:p>
    <w:p w14:paraId="3B330C6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the rescaling step were to be removed, it would be analogous to what the reviewer</w:t>
      </w:r>
    </w:p>
    <w:p w14:paraId="306F6B3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describes. Additionally, for follow-up studies aiming to explore this further, it would of course</w:t>
      </w:r>
    </w:p>
    <w:p w14:paraId="3D6FEAE0"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be easily possible to </w:t>
      </w:r>
      <w:proofErr w:type="spellStart"/>
      <w:r w:rsidRPr="00DD1899">
        <w:rPr>
          <w:rFonts w:ascii="Calibri" w:hAnsi="Calibri" w:cs="Calibri"/>
          <w:color w:val="0F9ED5" w:themeColor="accent4"/>
          <w:sz w:val="22"/>
          <w:szCs w:val="22"/>
        </w:rPr>
        <w:t>downsample</w:t>
      </w:r>
      <w:proofErr w:type="spellEnd"/>
      <w:r w:rsidRPr="00DD1899">
        <w:rPr>
          <w:rFonts w:ascii="Calibri" w:hAnsi="Calibri" w:cs="Calibri"/>
          <w:color w:val="0F9ED5" w:themeColor="accent4"/>
          <w:sz w:val="22"/>
          <w:szCs w:val="22"/>
        </w:rPr>
        <w:t xml:space="preserve"> reads from one of the groups (to simulate library size</w:t>
      </w:r>
    </w:p>
    <w:p w14:paraId="0992766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differences) after feature implantation.</w:t>
      </w:r>
    </w:p>
    <w:p w14:paraId="52D638BF"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7F4BC89B"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updated the Methods section (page 17, lines 643-644) and the Discussion section (page</w:t>
      </w:r>
    </w:p>
    <w:p w14:paraId="195BDE9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14, lines 495-497) to point out this possibility.</w:t>
      </w:r>
    </w:p>
    <w:p w14:paraId="7EB97414" w14:textId="77777777" w:rsidR="00DD1899" w:rsidRDefault="00DD1899" w:rsidP="00D0207B">
      <w:pPr>
        <w:spacing w:after="0" w:line="240" w:lineRule="auto"/>
        <w:rPr>
          <w:rFonts w:ascii="Calibri" w:hAnsi="Calibri" w:cs="Calibri"/>
          <w:sz w:val="22"/>
          <w:szCs w:val="22"/>
        </w:rPr>
      </w:pPr>
    </w:p>
    <w:p w14:paraId="7478140F" w14:textId="263FF57D"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4. In the Methods section you give a clear description of the simulation method. It is</w:t>
      </w:r>
    </w:p>
    <w:p w14:paraId="4684026D"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mentioned that after scaling and shifting, the generalised fold change is computed for all</w:t>
      </w:r>
      <w:r>
        <w:rPr>
          <w:rFonts w:ascii="Calibri" w:hAnsi="Calibri" w:cs="Calibri"/>
          <w:sz w:val="22"/>
          <w:szCs w:val="22"/>
        </w:rPr>
        <w:t xml:space="preserve"> </w:t>
      </w:r>
      <w:r w:rsidRPr="00D0207B">
        <w:rPr>
          <w:rFonts w:ascii="Calibri" w:hAnsi="Calibri" w:cs="Calibri"/>
          <w:sz w:val="22"/>
          <w:szCs w:val="22"/>
        </w:rPr>
        <w:t>taxa, and if a fold change for an implanted feature is smaller than 0.001, then that feature is</w:t>
      </w:r>
    </w:p>
    <w:p w14:paraId="515DEDB5"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removed. This makes sense to me, but what about the other way around? Suppose that</w:t>
      </w:r>
    </w:p>
    <w:p w14:paraId="1B7517FE"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after randomly splitting samples into two groups, a non-DA feature shows – by coincidence –</w:t>
      </w:r>
    </w:p>
    <w:p w14:paraId="76261993"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a large fold change?</w:t>
      </w:r>
    </w:p>
    <w:p w14:paraId="2EB0265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36BBE73E"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thank the reviewer for this comment. We investigated to which extent background</w:t>
      </w:r>
    </w:p>
    <w:p w14:paraId="61A3173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features might have larger fold change than the implemented features. We calculated the</w:t>
      </w:r>
    </w:p>
    <w:p w14:paraId="48BF06E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AUROC for distinguishing implanted from background features based on the </w:t>
      </w:r>
      <w:proofErr w:type="spellStart"/>
      <w:r w:rsidRPr="00DD1899">
        <w:rPr>
          <w:rFonts w:ascii="Calibri" w:hAnsi="Calibri" w:cs="Calibri"/>
          <w:color w:val="0F9ED5" w:themeColor="accent4"/>
          <w:sz w:val="22"/>
          <w:szCs w:val="22"/>
        </w:rPr>
        <w:t>gFC</w:t>
      </w:r>
      <w:proofErr w:type="spellEnd"/>
      <w:r w:rsidRPr="00DD1899">
        <w:rPr>
          <w:rFonts w:ascii="Calibri" w:hAnsi="Calibri" w:cs="Calibri"/>
          <w:color w:val="0F9ED5" w:themeColor="accent4"/>
          <w:sz w:val="22"/>
          <w:szCs w:val="22"/>
        </w:rPr>
        <w:t xml:space="preserve"> across</w:t>
      </w:r>
    </w:p>
    <w:p w14:paraId="6377B46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different effect sizes. Except for the very low effect sizes, we observed an almost perfect</w:t>
      </w:r>
    </w:p>
    <w:p w14:paraId="025115B6"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separation between implanted and background features as shown below, indicating that</w:t>
      </w:r>
    </w:p>
    <w:p w14:paraId="7BBA9A5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implanted signals are consistently above the background. We added this plot as panel b to</w:t>
      </w:r>
    </w:p>
    <w:p w14:paraId="40C0EB48" w14:textId="77777777" w:rsidR="00D0207B" w:rsidRPr="00DD1899" w:rsidRDefault="00D0207B" w:rsidP="00D0207B">
      <w:pPr>
        <w:spacing w:after="0" w:line="240" w:lineRule="auto"/>
        <w:rPr>
          <w:rFonts w:ascii="Calibri" w:hAnsi="Calibri" w:cs="Calibri"/>
          <w:color w:val="0F9ED5" w:themeColor="accent4"/>
          <w:sz w:val="22"/>
          <w:szCs w:val="22"/>
        </w:rPr>
      </w:pP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4 in the revised manuscript and highlighted the effect size that is chosen as an</w:t>
      </w:r>
    </w:p>
    <w:p w14:paraId="281A8E8C" w14:textId="440EFF8C"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example in the main figure panels.</w:t>
      </w:r>
    </w:p>
    <w:p w14:paraId="416E231E" w14:textId="70766C5F" w:rsid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lastRenderedPageBreak/>
        <w:drawing>
          <wp:inline distT="0" distB="0" distL="0" distR="0" wp14:anchorId="0A28666F" wp14:editId="06052CA0">
            <wp:extent cx="5731510" cy="2081530"/>
            <wp:effectExtent l="0" t="0" r="2540" b="0"/>
            <wp:docPr id="1156636504" name="Picture 1" descr="A graph with different colore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36504" name="Picture 1" descr="A graph with different colored boxes&#10;&#10;Description automatically generated with medium confidence"/>
                    <pic:cNvPicPr/>
                  </pic:nvPicPr>
                  <pic:blipFill>
                    <a:blip r:embed="rId8"/>
                    <a:stretch>
                      <a:fillRect/>
                    </a:stretch>
                  </pic:blipFill>
                  <pic:spPr>
                    <a:xfrm>
                      <a:off x="0" y="0"/>
                      <a:ext cx="5731510" cy="2081530"/>
                    </a:xfrm>
                    <a:prstGeom prst="rect">
                      <a:avLst/>
                    </a:prstGeom>
                  </pic:spPr>
                </pic:pic>
              </a:graphicData>
            </a:graphic>
          </wp:inline>
        </w:drawing>
      </w:r>
    </w:p>
    <w:p w14:paraId="6353F5F3"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70F6231"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added the panel of AUROC values for distinguishing implanted and background features</w:t>
      </w:r>
    </w:p>
    <w:p w14:paraId="1436AF65"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based on the generalized fold change to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4 as an additional panel. We furthermore</w:t>
      </w:r>
    </w:p>
    <w:p w14:paraId="10F37502"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changed the text of the revised Methods section (page 17, lines 634-637).</w:t>
      </w:r>
    </w:p>
    <w:p w14:paraId="45CC2722" w14:textId="77777777" w:rsidR="00DD1899" w:rsidRDefault="00DD1899" w:rsidP="00D0207B">
      <w:pPr>
        <w:spacing w:after="0" w:line="240" w:lineRule="auto"/>
        <w:rPr>
          <w:rFonts w:ascii="Calibri" w:hAnsi="Calibri" w:cs="Calibri"/>
          <w:sz w:val="22"/>
          <w:szCs w:val="22"/>
        </w:rPr>
      </w:pPr>
    </w:p>
    <w:p w14:paraId="66DC93DB" w14:textId="2BA721E5"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5. Whereas the description of the simulation method in the absence of confounders is very</w:t>
      </w:r>
    </w:p>
    <w:p w14:paraId="3721395C"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clear to me, this does not apply to the description of the generation of confounding effects (p.</w:t>
      </w:r>
    </w:p>
    <w:p w14:paraId="10A2617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21). Although I think I can more or less what you did, I am afraid that the description is</w:t>
      </w:r>
    </w:p>
    <w:p w14:paraId="4082641B"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insufficiently clear for most people to reproduce the simulations, and reproducibility is</w:t>
      </w:r>
    </w:p>
    <w:p w14:paraId="65473107" w14:textId="77777777"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important. Can you please try to provide a better description?</w:t>
      </w:r>
    </w:p>
    <w:p w14:paraId="7730D5D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2788CCC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agree with the reviewer and thank them for this important feedback and opportunity.</w:t>
      </w:r>
    </w:p>
    <w:p w14:paraId="462504AD"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15312988"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have rewritten both the Results and Methods sections discussing our confounded</w:t>
      </w:r>
    </w:p>
    <w:p w14:paraId="1A13013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simulations (page 9, lines 312-329 and page 20, lines 795-812, respectively). We</w:t>
      </w:r>
    </w:p>
    <w:p w14:paraId="6622D819"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streamlined the Results by focusing only on the simulations that mimic “medication”-like</w:t>
      </w:r>
    </w:p>
    <w:p w14:paraId="61C9229A" w14:textId="77777777" w:rsidR="00D0207B" w:rsidRPr="00DD1899" w:rsidRDefault="00D0207B" w:rsidP="00D0207B">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confounder effects to reduce the possibility of confusing our readers.</w:t>
      </w:r>
    </w:p>
    <w:p w14:paraId="3758EC78" w14:textId="77777777" w:rsidR="00DD1899" w:rsidRDefault="00DD1899" w:rsidP="00D0207B">
      <w:pPr>
        <w:spacing w:after="0" w:line="240" w:lineRule="auto"/>
        <w:rPr>
          <w:rFonts w:ascii="Calibri" w:hAnsi="Calibri" w:cs="Calibri"/>
          <w:sz w:val="22"/>
          <w:szCs w:val="22"/>
        </w:rPr>
      </w:pPr>
    </w:p>
    <w:p w14:paraId="7C4160E2" w14:textId="44060E21" w:rsidR="00D0207B" w:rsidRPr="00D0207B" w:rsidRDefault="00D0207B" w:rsidP="00D0207B">
      <w:pPr>
        <w:spacing w:after="0" w:line="240" w:lineRule="auto"/>
        <w:rPr>
          <w:rFonts w:ascii="Calibri" w:hAnsi="Calibri" w:cs="Calibri"/>
          <w:sz w:val="22"/>
          <w:szCs w:val="22"/>
        </w:rPr>
      </w:pPr>
      <w:r w:rsidRPr="00D0207B">
        <w:rPr>
          <w:rFonts w:ascii="Calibri" w:hAnsi="Calibri" w:cs="Calibri"/>
          <w:sz w:val="22"/>
          <w:szCs w:val="22"/>
        </w:rPr>
        <w:t>6. With the linear models, I wonder why you have chosen to adjust for confounders by</w:t>
      </w:r>
    </w:p>
    <w:p w14:paraId="5CF8E9DC" w14:textId="77777777" w:rsidR="00846A07" w:rsidRPr="00846A07" w:rsidRDefault="00D0207B" w:rsidP="00846A07">
      <w:pPr>
        <w:spacing w:after="0" w:line="240" w:lineRule="auto"/>
        <w:rPr>
          <w:rFonts w:ascii="Calibri" w:hAnsi="Calibri" w:cs="Calibri"/>
          <w:sz w:val="22"/>
          <w:szCs w:val="22"/>
        </w:rPr>
      </w:pPr>
      <w:r w:rsidRPr="00D0207B">
        <w:rPr>
          <w:rFonts w:ascii="Calibri" w:hAnsi="Calibri" w:cs="Calibri"/>
          <w:sz w:val="22"/>
          <w:szCs w:val="22"/>
        </w:rPr>
        <w:t>adding them as random effects to the model? Don’t most people add the confounder as a</w:t>
      </w:r>
      <w:r w:rsidR="00846A07">
        <w:rPr>
          <w:rFonts w:ascii="Calibri" w:hAnsi="Calibri" w:cs="Calibri"/>
          <w:sz w:val="22"/>
          <w:szCs w:val="22"/>
        </w:rPr>
        <w:t xml:space="preserve"> </w:t>
      </w:r>
      <w:r w:rsidR="00846A07" w:rsidRPr="00846A07">
        <w:rPr>
          <w:rFonts w:ascii="Calibri" w:hAnsi="Calibri" w:cs="Calibri"/>
          <w:sz w:val="22"/>
          <w:szCs w:val="22"/>
        </w:rPr>
        <w:t>fixed effect to the model? For the Wilcoxon rank sum test, you have chosen for stratification</w:t>
      </w:r>
    </w:p>
    <w:p w14:paraId="54308359"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if I am correct. This is more like considering the confounder as a fixed effect. By the way,</w:t>
      </w:r>
    </w:p>
    <w:p w14:paraId="642BD2C8"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 xml:space="preserve">note that </w:t>
      </w:r>
      <w:proofErr w:type="spellStart"/>
      <w:r w:rsidRPr="00846A07">
        <w:rPr>
          <w:rFonts w:ascii="Calibri" w:hAnsi="Calibri" w:cs="Calibri"/>
          <w:sz w:val="22"/>
          <w:szCs w:val="22"/>
        </w:rPr>
        <w:t>Kodalci</w:t>
      </w:r>
      <w:proofErr w:type="spellEnd"/>
      <w:r w:rsidRPr="00846A07">
        <w:rPr>
          <w:rFonts w:ascii="Calibri" w:hAnsi="Calibri" w:cs="Calibri"/>
          <w:sz w:val="22"/>
          <w:szCs w:val="22"/>
        </w:rPr>
        <w:t xml:space="preserve"> and </w:t>
      </w:r>
      <w:proofErr w:type="spellStart"/>
      <w:r w:rsidRPr="00846A07">
        <w:rPr>
          <w:rFonts w:ascii="Calibri" w:hAnsi="Calibri" w:cs="Calibri"/>
          <w:sz w:val="22"/>
          <w:szCs w:val="22"/>
        </w:rPr>
        <w:t>Thas</w:t>
      </w:r>
      <w:proofErr w:type="spellEnd"/>
      <w:r w:rsidRPr="00846A07">
        <w:rPr>
          <w:rFonts w:ascii="Calibri" w:hAnsi="Calibri" w:cs="Calibri"/>
          <w:sz w:val="22"/>
          <w:szCs w:val="22"/>
        </w:rPr>
        <w:t xml:space="preserve"> (2023) proposed extensions of the Wilcoxon rank sum test that</w:t>
      </w:r>
    </w:p>
    <w:p w14:paraId="0042409D"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allows for the adjustment of continuous confounders/covariates.</w:t>
      </w:r>
    </w:p>
    <w:p w14:paraId="08B5877A"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371B0EE4"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We appreciate the reviewer’s insights here, and the overlooked reference to </w:t>
      </w:r>
      <w:proofErr w:type="spellStart"/>
      <w:r w:rsidRPr="00DD1899">
        <w:rPr>
          <w:rFonts w:ascii="Calibri" w:hAnsi="Calibri" w:cs="Calibri"/>
          <w:color w:val="0F9ED5" w:themeColor="accent4"/>
          <w:sz w:val="22"/>
          <w:szCs w:val="22"/>
        </w:rPr>
        <w:t>Kodalci</w:t>
      </w:r>
      <w:proofErr w:type="spellEnd"/>
      <w:r w:rsidRPr="00DD1899">
        <w:rPr>
          <w:rFonts w:ascii="Calibri" w:hAnsi="Calibri" w:cs="Calibri"/>
          <w:color w:val="0F9ED5" w:themeColor="accent4"/>
          <w:sz w:val="22"/>
          <w:szCs w:val="22"/>
        </w:rPr>
        <w:t xml:space="preserve"> and</w:t>
      </w:r>
    </w:p>
    <w:p w14:paraId="24171231" w14:textId="77777777" w:rsidR="00846A07" w:rsidRPr="00DD1899" w:rsidRDefault="00846A07" w:rsidP="00846A07">
      <w:pPr>
        <w:spacing w:after="0" w:line="240" w:lineRule="auto"/>
        <w:rPr>
          <w:rFonts w:ascii="Calibri" w:hAnsi="Calibri" w:cs="Calibri"/>
          <w:color w:val="0F9ED5" w:themeColor="accent4"/>
          <w:sz w:val="22"/>
          <w:szCs w:val="22"/>
        </w:rPr>
      </w:pP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The reviewer is correct that we have chosen a stratified Wilcoxon test (from the coin</w:t>
      </w:r>
    </w:p>
    <w:p w14:paraId="2421B666"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package), which is similar to a fixed confounder effect in a linear model (when that</w:t>
      </w:r>
    </w:p>
    <w:p w14:paraId="3C5F1D4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confounder is a binary variable); however, the stratified Wilcoxon also uses permutations.</w:t>
      </w:r>
    </w:p>
    <w:p w14:paraId="27F4004B"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Regarding the choice of random confounder effects, we concur this is somewhat atypical for</w:t>
      </w:r>
    </w:p>
    <w:p w14:paraId="56BC179C"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binary confounders in simple case-control studies. However, we opted to test this</w:t>
      </w:r>
    </w:p>
    <w:p w14:paraId="08E297C3"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implementation due to its scalability to more complex study designs, and potential statistical</w:t>
      </w:r>
    </w:p>
    <w:p w14:paraId="77E4D06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advantages in handling unbalanced and correlated observations (which we consider an</w:t>
      </w:r>
    </w:p>
    <w:p w14:paraId="201B1074"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important aspect of real clinical microbiome data). We added a performance evaluation of a</w:t>
      </w:r>
    </w:p>
    <w:p w14:paraId="4952E55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fixed effects model in comparison, and observed it to be largely the same on our simulated</w:t>
      </w:r>
    </w:p>
    <w:p w14:paraId="0C343097"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data (see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11).</w:t>
      </w:r>
    </w:p>
    <w:p w14:paraId="4938D45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2437E6E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We added a reference to </w:t>
      </w:r>
      <w:proofErr w:type="spellStart"/>
      <w:r w:rsidRPr="00DD1899">
        <w:rPr>
          <w:rFonts w:ascii="Calibri" w:hAnsi="Calibri" w:cs="Calibri"/>
          <w:color w:val="0F9ED5" w:themeColor="accent4"/>
          <w:sz w:val="22"/>
          <w:szCs w:val="22"/>
        </w:rPr>
        <w:t>Kodalci</w:t>
      </w:r>
      <w:proofErr w:type="spellEnd"/>
      <w:r w:rsidRPr="00DD1899">
        <w:rPr>
          <w:rFonts w:ascii="Calibri" w:hAnsi="Calibri" w:cs="Calibri"/>
          <w:color w:val="0F9ED5" w:themeColor="accent4"/>
          <w:sz w:val="22"/>
          <w:szCs w:val="22"/>
        </w:rPr>
        <w:t xml:space="preserve"> and </w:t>
      </w: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xml:space="preserve"> in the Discussion where we discuss our</w:t>
      </w:r>
    </w:p>
    <w:p w14:paraId="0FA0F938"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limitations and scope (page 14, lines 506-508). We also clarified the text outlining our</w:t>
      </w:r>
    </w:p>
    <w:p w14:paraId="2D8584A7"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choices in both the Methods (page 18, lines 678-686), Results (page 9, lines 323-329), and</w:t>
      </w:r>
    </w:p>
    <w:p w14:paraId="763ED40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added references to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11 on page 9.</w:t>
      </w:r>
    </w:p>
    <w:p w14:paraId="35921CCD" w14:textId="77777777" w:rsidR="00DD1899" w:rsidRDefault="00DD1899" w:rsidP="00846A07">
      <w:pPr>
        <w:spacing w:after="0" w:line="240" w:lineRule="auto"/>
        <w:rPr>
          <w:rFonts w:ascii="Calibri" w:hAnsi="Calibri" w:cs="Calibri"/>
          <w:sz w:val="22"/>
          <w:szCs w:val="22"/>
        </w:rPr>
      </w:pPr>
    </w:p>
    <w:p w14:paraId="635A11AC" w14:textId="69748152"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7. When using linear models, the confounders are added as additive, linear effects.</w:t>
      </w:r>
    </w:p>
    <w:p w14:paraId="1164E59A"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Does this agree with the way the data is simulated? For the real data analyses, you</w:t>
      </w:r>
    </w:p>
    <w:p w14:paraId="66C910EC"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could e.g. make residual plots to check this assumption.</w:t>
      </w:r>
    </w:p>
    <w:p w14:paraId="4A9B0E9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Response:</w:t>
      </w:r>
    </w:p>
    <w:p w14:paraId="398C97EB"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the reviewer for raising the point about alignment between our data</w:t>
      </w:r>
    </w:p>
    <w:p w14:paraId="61ACE803"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simulation approach and the assumptions of linear models. For the simulated data, we</w:t>
      </w:r>
    </w:p>
    <w:p w14:paraId="414DAC88"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implanted signals for the main variable and confounder independently into different (non-</w:t>
      </w:r>
    </w:p>
    <w:p w14:paraId="5BE0B765"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overlapping) random subsets of features (10% each), which were then subjected to a</w:t>
      </w:r>
    </w:p>
    <w:p w14:paraId="56E87D4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separate (biased) resampling process that prioritised certain combinations of the main</w:t>
      </w:r>
    </w:p>
    <w:p w14:paraId="301BC41F"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variable and confounder based on a predefined probability. Our previous analysis showing a</w:t>
      </w:r>
    </w:p>
    <w:p w14:paraId="343FA83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similar performance of different linear model formulae provides some evidence that our</w:t>
      </w:r>
    </w:p>
    <w:p w14:paraId="0925F0E0"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resampling did not introduce non-linear or interaction effects in the ground truth of our</w:t>
      </w:r>
    </w:p>
    <w:p w14:paraId="0F966425"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confounded simulations (see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11).</w:t>
      </w:r>
    </w:p>
    <w:p w14:paraId="178C9DB6"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also appreciate the suggestion regarding model diagnostics for our real data analyses.</w:t>
      </w:r>
    </w:p>
    <w:p w14:paraId="088B006C"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Below we provide some context for the taxa identified in the main text Fig. 4a. This extreme</w:t>
      </w:r>
    </w:p>
    <w:p w14:paraId="579BF6A4"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but not uncommon biological case whereby there is clear non-independence (i.e. hierarchy)</w:t>
      </w:r>
    </w:p>
    <w:p w14:paraId="1551CF64"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between case-control status and confounder variable (here, diabetes and metformin intake)</w:t>
      </w:r>
    </w:p>
    <w:p w14:paraId="7E8DF2AF"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also motivated our implementation of a random confounder effect.</w:t>
      </w:r>
    </w:p>
    <w:p w14:paraId="26A42F18"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a we have identified the “best” and “worst” fitting models based on the assumption of</w:t>
      </w:r>
    </w:p>
    <w:p w14:paraId="2D8FF866"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homoscedasticity: E. </w:t>
      </w:r>
      <w:proofErr w:type="spellStart"/>
      <w:r w:rsidRPr="00DD1899">
        <w:rPr>
          <w:rFonts w:ascii="Calibri" w:hAnsi="Calibri" w:cs="Calibri"/>
          <w:color w:val="0F9ED5" w:themeColor="accent4"/>
          <w:sz w:val="22"/>
          <w:szCs w:val="22"/>
        </w:rPr>
        <w:t>lenta</w:t>
      </w:r>
      <w:proofErr w:type="spellEnd"/>
      <w:r w:rsidRPr="00DD1899">
        <w:rPr>
          <w:rFonts w:ascii="Calibri" w:hAnsi="Calibri" w:cs="Calibri"/>
          <w:color w:val="0F9ED5" w:themeColor="accent4"/>
          <w:sz w:val="22"/>
          <w:szCs w:val="22"/>
        </w:rPr>
        <w:t xml:space="preserve"> and B. </w:t>
      </w:r>
      <w:proofErr w:type="spellStart"/>
      <w:r w:rsidRPr="00DD1899">
        <w:rPr>
          <w:rFonts w:ascii="Calibri" w:hAnsi="Calibri" w:cs="Calibri"/>
          <w:color w:val="0F9ED5" w:themeColor="accent4"/>
          <w:sz w:val="22"/>
          <w:szCs w:val="22"/>
        </w:rPr>
        <w:t>crossotus</w:t>
      </w:r>
      <w:proofErr w:type="spellEnd"/>
      <w:r w:rsidRPr="00DD1899">
        <w:rPr>
          <w:rFonts w:ascii="Calibri" w:hAnsi="Calibri" w:cs="Calibri"/>
          <w:color w:val="0F9ED5" w:themeColor="accent4"/>
          <w:sz w:val="22"/>
          <w:szCs w:val="22"/>
        </w:rPr>
        <w:t xml:space="preserve">, respectively. B. </w:t>
      </w:r>
      <w:proofErr w:type="spellStart"/>
      <w:r w:rsidRPr="00DD1899">
        <w:rPr>
          <w:rFonts w:ascii="Calibri" w:hAnsi="Calibri" w:cs="Calibri"/>
          <w:color w:val="0F9ED5" w:themeColor="accent4"/>
          <w:sz w:val="22"/>
          <w:szCs w:val="22"/>
        </w:rPr>
        <w:t>crossotus</w:t>
      </w:r>
      <w:proofErr w:type="spellEnd"/>
      <w:r w:rsidRPr="00DD1899">
        <w:rPr>
          <w:rFonts w:ascii="Calibri" w:hAnsi="Calibri" w:cs="Calibri"/>
          <w:color w:val="0F9ED5" w:themeColor="accent4"/>
          <w:sz w:val="22"/>
          <w:szCs w:val="22"/>
        </w:rPr>
        <w:t xml:space="preserve"> was identified as</w:t>
      </w:r>
      <w:r w:rsidRPr="00DD1899">
        <w:rPr>
          <w:rFonts w:ascii="Calibri" w:hAnsi="Calibri" w:cs="Calibri"/>
          <w:color w:val="0F9ED5" w:themeColor="accent4"/>
          <w:sz w:val="22"/>
          <w:szCs w:val="22"/>
        </w:rPr>
        <w:t xml:space="preserve"> </w:t>
      </w:r>
      <w:r w:rsidRPr="00DD1899">
        <w:rPr>
          <w:rFonts w:ascii="Calibri" w:hAnsi="Calibri" w:cs="Calibri"/>
          <w:color w:val="0F9ED5" w:themeColor="accent4"/>
          <w:sz w:val="22"/>
          <w:szCs w:val="22"/>
        </w:rPr>
        <w:t>disease-associated, likely due to the increased prevalence in the control group. In d-g we</w:t>
      </w:r>
    </w:p>
    <w:p w14:paraId="07392A1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show the raw abundances (from quantitative microbiome profiled data, i.e. absolute cell-</w:t>
      </w:r>
    </w:p>
    <w:p w14:paraId="371151D5"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count adjusted values), including R. </w:t>
      </w:r>
      <w:proofErr w:type="spellStart"/>
      <w:r w:rsidRPr="00DD1899">
        <w:rPr>
          <w:rFonts w:ascii="Calibri" w:hAnsi="Calibri" w:cs="Calibri"/>
          <w:color w:val="0F9ED5" w:themeColor="accent4"/>
          <w:sz w:val="22"/>
          <w:szCs w:val="22"/>
        </w:rPr>
        <w:t>gnavus</w:t>
      </w:r>
      <w:proofErr w:type="spellEnd"/>
      <w:r w:rsidRPr="00DD1899">
        <w:rPr>
          <w:rFonts w:ascii="Calibri" w:hAnsi="Calibri" w:cs="Calibri"/>
          <w:color w:val="0F9ED5" w:themeColor="accent4"/>
          <w:sz w:val="22"/>
          <w:szCs w:val="22"/>
        </w:rPr>
        <w:t xml:space="preserve"> and I. </w:t>
      </w:r>
      <w:proofErr w:type="spellStart"/>
      <w:r w:rsidRPr="00DD1899">
        <w:rPr>
          <w:rFonts w:ascii="Calibri" w:hAnsi="Calibri" w:cs="Calibri"/>
          <w:color w:val="0F9ED5" w:themeColor="accent4"/>
          <w:sz w:val="22"/>
          <w:szCs w:val="22"/>
        </w:rPr>
        <w:t>bartlettii</w:t>
      </w:r>
      <w:proofErr w:type="spellEnd"/>
      <w:r w:rsidRPr="00DD1899">
        <w:rPr>
          <w:rFonts w:ascii="Calibri" w:hAnsi="Calibri" w:cs="Calibri"/>
          <w:color w:val="0F9ED5" w:themeColor="accent4"/>
          <w:sz w:val="22"/>
          <w:szCs w:val="22"/>
        </w:rPr>
        <w:t xml:space="preserve"> for further context. In the main</w:t>
      </w:r>
    </w:p>
    <w:p w14:paraId="2E7D342B"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text Fig. 4, we identified these (respectively) to be strongly enriched in diabetics (regardless</w:t>
      </w:r>
    </w:p>
    <w:p w14:paraId="14471CA8"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of metformin status) and strongly depleted in metformin-taking diabetics exclusively. In h-k,</w:t>
      </w:r>
    </w:p>
    <w:p w14:paraId="47268AB5" w14:textId="07231401" w:rsidR="00D0207B"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show the fitted group means and residual values.</w:t>
      </w:r>
    </w:p>
    <w:p w14:paraId="4314B603" w14:textId="77777777" w:rsidR="00846A07" w:rsidRDefault="00846A07" w:rsidP="00846A07">
      <w:pPr>
        <w:spacing w:after="0" w:line="240" w:lineRule="auto"/>
        <w:rPr>
          <w:rFonts w:ascii="Calibri" w:hAnsi="Calibri" w:cs="Calibri"/>
          <w:sz w:val="22"/>
          <w:szCs w:val="22"/>
        </w:rPr>
      </w:pPr>
    </w:p>
    <w:p w14:paraId="260DF3BB" w14:textId="35A0BF97" w:rsid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lastRenderedPageBreak/>
        <w:drawing>
          <wp:inline distT="0" distB="0" distL="0" distR="0" wp14:anchorId="72E2D2FA" wp14:editId="4ACD53AC">
            <wp:extent cx="5731510" cy="4070350"/>
            <wp:effectExtent l="0" t="0" r="2540" b="6350"/>
            <wp:docPr id="1538041551"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41551" name="Picture 1" descr="A screenshot of a graph&#10;&#10;Description automatically generated"/>
                    <pic:cNvPicPr/>
                  </pic:nvPicPr>
                  <pic:blipFill>
                    <a:blip r:embed="rId9"/>
                    <a:stretch>
                      <a:fillRect/>
                    </a:stretch>
                  </pic:blipFill>
                  <pic:spPr>
                    <a:xfrm>
                      <a:off x="0" y="0"/>
                      <a:ext cx="5731510" cy="4070350"/>
                    </a:xfrm>
                    <a:prstGeom prst="rect">
                      <a:avLst/>
                    </a:prstGeom>
                  </pic:spPr>
                </pic:pic>
              </a:graphicData>
            </a:graphic>
          </wp:inline>
        </w:drawing>
      </w:r>
    </w:p>
    <w:p w14:paraId="7986CD39"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also created an additional supplementary figure similar to the one shown here but for our</w:t>
      </w:r>
    </w:p>
    <w:p w14:paraId="437BF9D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simulated data, where we explored the assumptions of linear models specifically for ground</w:t>
      </w:r>
    </w:p>
    <w:p w14:paraId="062DA4BA"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truth features. Overall, we concluded that while many taxa violated model assumptions, even</w:t>
      </w:r>
    </w:p>
    <w:p w14:paraId="20151657"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the “worst” case linear mixed-effects models are a robust and practical solution for the</w:t>
      </w:r>
    </w:p>
    <w:p w14:paraId="6406C5D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constraints of high-throughput DA testing scenarios. However, we would greatly appreciate</w:t>
      </w:r>
    </w:p>
    <w:p w14:paraId="72E1D3A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any constructive feedback on our new supplementary analysis and figure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13) that the</w:t>
      </w:r>
    </w:p>
    <w:p w14:paraId="5C82819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reviewer is willing to provide.</w:t>
      </w:r>
    </w:p>
    <w:p w14:paraId="15B36849"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1EB482DA"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clarified how we generated our confounded simulations in the Results (page 9, lines</w:t>
      </w:r>
    </w:p>
    <w:p w14:paraId="0E0C9FD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312-322) and Methods (page 20, lines 795-812). We added an additional supplementary</w:t>
      </w:r>
    </w:p>
    <w:p w14:paraId="155DC3BE"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figure similar to the one shown here examining linear (mixed-effect) model assumptions on</w:t>
      </w:r>
    </w:p>
    <w:p w14:paraId="492B1D6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our simulated data (see </w:t>
      </w:r>
      <w:proofErr w:type="spellStart"/>
      <w:r w:rsidRPr="00DD1899">
        <w:rPr>
          <w:rFonts w:ascii="Calibri" w:hAnsi="Calibri" w:cs="Calibri"/>
          <w:color w:val="0F9ED5" w:themeColor="accent4"/>
          <w:sz w:val="22"/>
          <w:szCs w:val="22"/>
        </w:rPr>
        <w:t>SFig</w:t>
      </w:r>
      <w:proofErr w:type="spellEnd"/>
      <w:r w:rsidRPr="00DD1899">
        <w:rPr>
          <w:rFonts w:ascii="Calibri" w:hAnsi="Calibri" w:cs="Calibri"/>
          <w:color w:val="0F9ED5" w:themeColor="accent4"/>
          <w:sz w:val="22"/>
          <w:szCs w:val="22"/>
        </w:rPr>
        <w:t>. 13).</w:t>
      </w:r>
    </w:p>
    <w:p w14:paraId="44786F2C" w14:textId="77777777" w:rsidR="00DD1899" w:rsidRDefault="00DD1899" w:rsidP="00846A07">
      <w:pPr>
        <w:spacing w:after="0" w:line="240" w:lineRule="auto"/>
        <w:rPr>
          <w:rFonts w:ascii="Calibri" w:hAnsi="Calibri" w:cs="Calibri"/>
          <w:sz w:val="22"/>
          <w:szCs w:val="22"/>
        </w:rPr>
      </w:pPr>
    </w:p>
    <w:p w14:paraId="1614AA6E" w14:textId="4167C189"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8. Throughout the manuscript you use the term “post hoc” adjustment. I have doubts</w:t>
      </w:r>
    </w:p>
    <w:p w14:paraId="31DAEA8B"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about this terminology. Post hoc seems to suggest that the analysis is done in a second-</w:t>
      </w:r>
    </w:p>
    <w:p w14:paraId="3664B342"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stage, after having seen the results of the first-stage data analysis. For example, in a</w:t>
      </w:r>
    </w:p>
    <w:p w14:paraId="503DBFDF" w14:textId="77777777" w:rsidR="00846A07" w:rsidRP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classical ANOVA, multiple comparisons of means is sometimes referred to as post hoc</w:t>
      </w:r>
    </w:p>
    <w:p w14:paraId="731F2428" w14:textId="6BF6A021" w:rsidR="00846A07" w:rsidRDefault="00846A07" w:rsidP="00846A07">
      <w:pPr>
        <w:spacing w:after="0" w:line="240" w:lineRule="auto"/>
        <w:rPr>
          <w:rFonts w:ascii="Calibri" w:hAnsi="Calibri" w:cs="Calibri"/>
          <w:sz w:val="22"/>
          <w:szCs w:val="22"/>
        </w:rPr>
      </w:pPr>
      <w:r w:rsidRPr="00846A07">
        <w:rPr>
          <w:rFonts w:ascii="Calibri" w:hAnsi="Calibri" w:cs="Calibri"/>
          <w:sz w:val="22"/>
          <w:szCs w:val="22"/>
        </w:rPr>
        <w:t>testing, because in the first stage the ANOVA F-test indicated an effect of the factor variable.</w:t>
      </w:r>
    </w:p>
    <w:p w14:paraId="74CE8419"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We appreciate this feedback from the reviewer, and agree with their points. Instead, we</w:t>
      </w:r>
    </w:p>
    <w:p w14:paraId="31AEABA5"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believe that the terminology “stratified DA testing” might be more appropriate to our</w:t>
      </w:r>
    </w:p>
    <w:p w14:paraId="14FB9676"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particular benchmark scenarios which deal exclusively with binary confounder variables.</w:t>
      </w:r>
    </w:p>
    <w:p w14:paraId="12C7E537"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Actions taken:</w:t>
      </w:r>
    </w:p>
    <w:p w14:paraId="19B1393D"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In all mentioned instances, we have either removed “post hoc” as an adjective for</w:t>
      </w:r>
    </w:p>
    <w:p w14:paraId="3EED8CDC"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“adjustment”, or replaced “post hoc adjustment” with “stratified DA testing”, depending on</w:t>
      </w:r>
    </w:p>
    <w:p w14:paraId="3A41BA80"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context.</w:t>
      </w:r>
    </w:p>
    <w:p w14:paraId="069C8D88"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References</w:t>
      </w:r>
    </w:p>
    <w:p w14:paraId="3EEE4364"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Assefa, A. T., </w:t>
      </w:r>
      <w:proofErr w:type="spellStart"/>
      <w:r w:rsidRPr="00DD1899">
        <w:rPr>
          <w:rFonts w:ascii="Calibri" w:hAnsi="Calibri" w:cs="Calibri"/>
          <w:color w:val="0F9ED5" w:themeColor="accent4"/>
          <w:sz w:val="22"/>
          <w:szCs w:val="22"/>
        </w:rPr>
        <w:t>Vandesompele</w:t>
      </w:r>
      <w:proofErr w:type="spellEnd"/>
      <w:r w:rsidRPr="00DD1899">
        <w:rPr>
          <w:rFonts w:ascii="Calibri" w:hAnsi="Calibri" w:cs="Calibri"/>
          <w:color w:val="0F9ED5" w:themeColor="accent4"/>
          <w:sz w:val="22"/>
          <w:szCs w:val="22"/>
        </w:rPr>
        <w:t xml:space="preserve">, J., &amp; </w:t>
      </w: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xml:space="preserve">, O. (2020).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semi-parametric simulation</w:t>
      </w:r>
    </w:p>
    <w:p w14:paraId="559C3AE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of bulk and single-cell RNA-sequencing data. Bioinformatics, 36(10), 3276-3278.</w:t>
      </w:r>
    </w:p>
    <w:p w14:paraId="658BA4A0"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lastRenderedPageBreak/>
        <w:t xml:space="preserve">Assefa A, </w:t>
      </w:r>
      <w:proofErr w:type="spellStart"/>
      <w:r w:rsidRPr="00DD1899">
        <w:rPr>
          <w:rFonts w:ascii="Calibri" w:hAnsi="Calibri" w:cs="Calibri"/>
          <w:color w:val="0F9ED5" w:themeColor="accent4"/>
          <w:sz w:val="22"/>
          <w:szCs w:val="22"/>
        </w:rPr>
        <w:t>Hawinkel</w:t>
      </w:r>
      <w:proofErr w:type="spellEnd"/>
      <w:r w:rsidRPr="00DD1899">
        <w:rPr>
          <w:rFonts w:ascii="Calibri" w:hAnsi="Calibri" w:cs="Calibri"/>
          <w:color w:val="0F9ED5" w:themeColor="accent4"/>
          <w:sz w:val="22"/>
          <w:szCs w:val="22"/>
        </w:rPr>
        <w:t xml:space="preserve"> S, </w:t>
      </w:r>
      <w:proofErr w:type="spellStart"/>
      <w:r w:rsidRPr="00DD1899">
        <w:rPr>
          <w:rFonts w:ascii="Calibri" w:hAnsi="Calibri" w:cs="Calibri"/>
          <w:color w:val="0F9ED5" w:themeColor="accent4"/>
          <w:sz w:val="22"/>
          <w:szCs w:val="22"/>
        </w:rPr>
        <w:t>Vandesompele</w:t>
      </w:r>
      <w:proofErr w:type="spellEnd"/>
      <w:r w:rsidRPr="00DD1899">
        <w:rPr>
          <w:rFonts w:ascii="Calibri" w:hAnsi="Calibri" w:cs="Calibri"/>
          <w:color w:val="0F9ED5" w:themeColor="accent4"/>
          <w:sz w:val="22"/>
          <w:szCs w:val="22"/>
        </w:rPr>
        <w:t xml:space="preserve"> J, </w:t>
      </w: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xml:space="preserve"> O, R Core Team (2023). </w:t>
      </w:r>
      <w:proofErr w:type="spellStart"/>
      <w:r w:rsidRPr="00DD1899">
        <w:rPr>
          <w:rFonts w:ascii="Calibri" w:hAnsi="Calibri" w:cs="Calibri"/>
          <w:color w:val="0F9ED5" w:themeColor="accent4"/>
          <w:sz w:val="22"/>
          <w:szCs w:val="22"/>
        </w:rPr>
        <w:t>SPsimSeq</w:t>
      </w:r>
      <w:proofErr w:type="spellEnd"/>
      <w:r w:rsidRPr="00DD1899">
        <w:rPr>
          <w:rFonts w:ascii="Calibri" w:hAnsi="Calibri" w:cs="Calibri"/>
          <w:color w:val="0F9ED5" w:themeColor="accent4"/>
          <w:sz w:val="22"/>
          <w:szCs w:val="22"/>
        </w:rPr>
        <w:t>: Semi-</w:t>
      </w:r>
    </w:p>
    <w:p w14:paraId="393774A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parametric simulation tool for bulk and single-cell RNA sequencing data. R package version</w:t>
      </w:r>
    </w:p>
    <w:p w14:paraId="1F820A8C"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1.12.0.</w:t>
      </w:r>
    </w:p>
    <w:p w14:paraId="5ADB7054" w14:textId="77777777" w:rsidR="00846A07" w:rsidRPr="00DD1899" w:rsidRDefault="00846A07" w:rsidP="00846A07">
      <w:pPr>
        <w:spacing w:after="0" w:line="240" w:lineRule="auto"/>
        <w:rPr>
          <w:rFonts w:ascii="Calibri" w:hAnsi="Calibri" w:cs="Calibri"/>
          <w:color w:val="0F9ED5" w:themeColor="accent4"/>
          <w:sz w:val="22"/>
          <w:szCs w:val="22"/>
        </w:rPr>
      </w:pPr>
      <w:proofErr w:type="spellStart"/>
      <w:r w:rsidRPr="00DD1899">
        <w:rPr>
          <w:rFonts w:ascii="Calibri" w:hAnsi="Calibri" w:cs="Calibri"/>
          <w:color w:val="0F9ED5" w:themeColor="accent4"/>
          <w:sz w:val="22"/>
          <w:szCs w:val="22"/>
        </w:rPr>
        <w:t>Kodalci</w:t>
      </w:r>
      <w:proofErr w:type="spellEnd"/>
      <w:r w:rsidRPr="00DD1899">
        <w:rPr>
          <w:rFonts w:ascii="Calibri" w:hAnsi="Calibri" w:cs="Calibri"/>
          <w:color w:val="0F9ED5" w:themeColor="accent4"/>
          <w:sz w:val="22"/>
          <w:szCs w:val="22"/>
        </w:rPr>
        <w:t xml:space="preserve">, L., &amp; </w:t>
      </w:r>
      <w:proofErr w:type="spellStart"/>
      <w:r w:rsidRPr="00DD1899">
        <w:rPr>
          <w:rFonts w:ascii="Calibri" w:hAnsi="Calibri" w:cs="Calibri"/>
          <w:color w:val="0F9ED5" w:themeColor="accent4"/>
          <w:sz w:val="22"/>
          <w:szCs w:val="22"/>
        </w:rPr>
        <w:t>Thas</w:t>
      </w:r>
      <w:proofErr w:type="spellEnd"/>
      <w:r w:rsidRPr="00DD1899">
        <w:rPr>
          <w:rFonts w:ascii="Calibri" w:hAnsi="Calibri" w:cs="Calibri"/>
          <w:color w:val="0F9ED5" w:themeColor="accent4"/>
          <w:sz w:val="22"/>
          <w:szCs w:val="22"/>
        </w:rPr>
        <w:t>, O. (2023). Simple and flexible sign and rank-based methods for testing</w:t>
      </w:r>
    </w:p>
    <w:p w14:paraId="2F712DB1"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for differential abundance in microbiome studies. </w:t>
      </w:r>
      <w:proofErr w:type="spellStart"/>
      <w:r w:rsidRPr="00DD1899">
        <w:rPr>
          <w:rFonts w:ascii="Calibri" w:hAnsi="Calibri" w:cs="Calibri"/>
          <w:color w:val="0F9ED5" w:themeColor="accent4"/>
          <w:sz w:val="22"/>
          <w:szCs w:val="22"/>
        </w:rPr>
        <w:t>Plos</w:t>
      </w:r>
      <w:proofErr w:type="spellEnd"/>
      <w:r w:rsidRPr="00DD1899">
        <w:rPr>
          <w:rFonts w:ascii="Calibri" w:hAnsi="Calibri" w:cs="Calibri"/>
          <w:color w:val="0F9ED5" w:themeColor="accent4"/>
          <w:sz w:val="22"/>
          <w:szCs w:val="22"/>
        </w:rPr>
        <w:t xml:space="preserve"> one, 18(9), e0292055.</w:t>
      </w:r>
    </w:p>
    <w:p w14:paraId="23F2BDB6" w14:textId="77777777" w:rsidR="00846A07" w:rsidRPr="00DD1899"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 xml:space="preserve">Lin, H., &amp; </w:t>
      </w:r>
      <w:proofErr w:type="spellStart"/>
      <w:r w:rsidRPr="00DD1899">
        <w:rPr>
          <w:rFonts w:ascii="Calibri" w:hAnsi="Calibri" w:cs="Calibri"/>
          <w:color w:val="0F9ED5" w:themeColor="accent4"/>
          <w:sz w:val="22"/>
          <w:szCs w:val="22"/>
        </w:rPr>
        <w:t>Peddada</w:t>
      </w:r>
      <w:proofErr w:type="spellEnd"/>
      <w:r w:rsidRPr="00DD1899">
        <w:rPr>
          <w:rFonts w:ascii="Calibri" w:hAnsi="Calibri" w:cs="Calibri"/>
          <w:color w:val="0F9ED5" w:themeColor="accent4"/>
          <w:sz w:val="22"/>
          <w:szCs w:val="22"/>
        </w:rPr>
        <w:t>, S. D. (2020). Analysis of compositions of microbiomes with bias</w:t>
      </w:r>
    </w:p>
    <w:p w14:paraId="53BBAE60" w14:textId="3264C3DD" w:rsidR="00846A07" w:rsidRDefault="00846A07" w:rsidP="00846A07">
      <w:pPr>
        <w:spacing w:after="0" w:line="240" w:lineRule="auto"/>
        <w:rPr>
          <w:rFonts w:ascii="Calibri" w:hAnsi="Calibri" w:cs="Calibri"/>
          <w:color w:val="0F9ED5" w:themeColor="accent4"/>
          <w:sz w:val="22"/>
          <w:szCs w:val="22"/>
        </w:rPr>
      </w:pPr>
      <w:r w:rsidRPr="00DD1899">
        <w:rPr>
          <w:rFonts w:ascii="Calibri" w:hAnsi="Calibri" w:cs="Calibri"/>
          <w:color w:val="0F9ED5" w:themeColor="accent4"/>
          <w:sz w:val="22"/>
          <w:szCs w:val="22"/>
        </w:rPr>
        <w:t>correction. Nature communications, 11(1), 3514.</w:t>
      </w:r>
    </w:p>
    <w:p w14:paraId="0A478E0C" w14:textId="77777777" w:rsidR="00B625A1" w:rsidRDefault="00B625A1" w:rsidP="00846A07">
      <w:pPr>
        <w:spacing w:after="0" w:line="240" w:lineRule="auto"/>
        <w:rPr>
          <w:rFonts w:ascii="Calibri" w:hAnsi="Calibri" w:cs="Calibri"/>
          <w:color w:val="0F9ED5" w:themeColor="accent4"/>
          <w:sz w:val="22"/>
          <w:szCs w:val="22"/>
        </w:rPr>
      </w:pPr>
    </w:p>
    <w:p w14:paraId="6EF63CE9" w14:textId="20643640" w:rsidR="00B625A1" w:rsidRDefault="00B625A1" w:rsidP="00846A07">
      <w:pPr>
        <w:spacing w:after="0" w:line="240" w:lineRule="auto"/>
        <w:rPr>
          <w:rFonts w:ascii="Calibri" w:hAnsi="Calibri" w:cs="Calibri"/>
          <w:b/>
          <w:bCs/>
          <w:sz w:val="22"/>
          <w:szCs w:val="22"/>
          <w:u w:val="single"/>
        </w:rPr>
      </w:pPr>
      <w:r>
        <w:rPr>
          <w:rFonts w:ascii="Calibri" w:hAnsi="Calibri" w:cs="Calibri"/>
          <w:b/>
          <w:bCs/>
          <w:sz w:val="22"/>
          <w:szCs w:val="22"/>
          <w:u w:val="single"/>
        </w:rPr>
        <w:t>2nd round</w:t>
      </w:r>
    </w:p>
    <w:p w14:paraId="756B1D82" w14:textId="36E2166C" w:rsidR="00B625A1" w:rsidRDefault="00B625A1" w:rsidP="00846A07">
      <w:pPr>
        <w:spacing w:after="0" w:line="240" w:lineRule="auto"/>
        <w:rPr>
          <w:rFonts w:ascii="Calibri" w:hAnsi="Calibri" w:cs="Calibri"/>
          <w:b/>
          <w:bCs/>
          <w:sz w:val="22"/>
          <w:szCs w:val="22"/>
        </w:rPr>
      </w:pPr>
      <w:r>
        <w:rPr>
          <w:rFonts w:ascii="Calibri" w:hAnsi="Calibri" w:cs="Calibri"/>
          <w:b/>
          <w:bCs/>
          <w:sz w:val="22"/>
          <w:szCs w:val="22"/>
        </w:rPr>
        <w:t>Reviewer 1</w:t>
      </w:r>
    </w:p>
    <w:p w14:paraId="2FD893E5" w14:textId="2EAA08C0" w:rsidR="00B625A1" w:rsidRDefault="00B625A1" w:rsidP="00846A07">
      <w:pPr>
        <w:spacing w:after="0" w:line="240" w:lineRule="auto"/>
        <w:rPr>
          <w:rFonts w:ascii="Calibri" w:hAnsi="Calibri" w:cs="Calibri"/>
          <w:sz w:val="22"/>
          <w:szCs w:val="22"/>
        </w:rPr>
      </w:pPr>
      <w:r w:rsidRPr="00B625A1">
        <w:rPr>
          <w:rFonts w:ascii="Calibri" w:hAnsi="Calibri" w:cs="Calibri"/>
          <w:sz w:val="22"/>
          <w:szCs w:val="22"/>
        </w:rPr>
        <w:t>I greatly appreciate your attention to the comments that were made by myself and the other reviewers, thank you.</w:t>
      </w:r>
    </w:p>
    <w:p w14:paraId="2592AD38" w14:textId="77777777" w:rsidR="00B625A1" w:rsidRDefault="00B625A1" w:rsidP="00846A07">
      <w:pPr>
        <w:spacing w:after="0" w:line="240" w:lineRule="auto"/>
        <w:rPr>
          <w:rFonts w:ascii="Calibri" w:hAnsi="Calibri" w:cs="Calibri"/>
          <w:sz w:val="22"/>
          <w:szCs w:val="22"/>
        </w:rPr>
      </w:pPr>
    </w:p>
    <w:p w14:paraId="740ACCF4" w14:textId="102375E7" w:rsidR="00B625A1" w:rsidRDefault="00B625A1" w:rsidP="00846A07">
      <w:pPr>
        <w:spacing w:after="0" w:line="240" w:lineRule="auto"/>
        <w:rPr>
          <w:rFonts w:ascii="Calibri" w:hAnsi="Calibri" w:cs="Calibri"/>
          <w:b/>
          <w:bCs/>
          <w:sz w:val="22"/>
          <w:szCs w:val="22"/>
        </w:rPr>
      </w:pPr>
      <w:r>
        <w:rPr>
          <w:rFonts w:ascii="Calibri" w:hAnsi="Calibri" w:cs="Calibri"/>
          <w:b/>
          <w:bCs/>
          <w:sz w:val="22"/>
          <w:szCs w:val="22"/>
        </w:rPr>
        <w:t>Reviewer 2</w:t>
      </w:r>
    </w:p>
    <w:p w14:paraId="27FCE22C" w14:textId="1581DBB3" w:rsidR="00B625A1" w:rsidRDefault="00B625A1" w:rsidP="00846A07">
      <w:pPr>
        <w:spacing w:after="0" w:line="240" w:lineRule="auto"/>
        <w:rPr>
          <w:rFonts w:ascii="Calibri" w:hAnsi="Calibri" w:cs="Calibri"/>
          <w:sz w:val="22"/>
          <w:szCs w:val="22"/>
        </w:rPr>
      </w:pPr>
      <w:r w:rsidRPr="00B625A1">
        <w:rPr>
          <w:rFonts w:ascii="Calibri" w:hAnsi="Calibri" w:cs="Calibri"/>
          <w:sz w:val="22"/>
          <w:szCs w:val="22"/>
        </w:rPr>
        <w:t xml:space="preserve">I thank the authors for their kind feedback and diligent efforts in addressing my comments. The paper is of higher quality than before with the inclusion of the t-test confirming previously benchmarks and papers. I apologize for not bringing this comment in earlier in the prior round, but in further review realized I was remiss to discuss one particular argument still discussed within the community. </w:t>
      </w:r>
      <w:r w:rsidRPr="00B625A1">
        <w:rPr>
          <w:rFonts w:ascii="Calibri" w:hAnsi="Calibri" w:cs="Calibri"/>
          <w:sz w:val="22"/>
          <w:szCs w:val="22"/>
        </w:rPr>
        <w:br/>
      </w:r>
      <w:r w:rsidRPr="00B625A1">
        <w:rPr>
          <w:rFonts w:ascii="Calibri" w:hAnsi="Calibri" w:cs="Calibri"/>
          <w:sz w:val="22"/>
          <w:szCs w:val="22"/>
        </w:rPr>
        <w:br/>
        <w:t>Major comments:</w:t>
      </w:r>
      <w:r w:rsidRPr="00B625A1">
        <w:rPr>
          <w:rFonts w:ascii="Calibri" w:hAnsi="Calibri" w:cs="Calibri"/>
          <w:sz w:val="22"/>
          <w:szCs w:val="22"/>
        </w:rPr>
        <w:br/>
        <w:t>- Compositionality of microbiome cohorts:</w:t>
      </w:r>
      <w:r w:rsidRPr="00B625A1">
        <w:rPr>
          <w:rFonts w:ascii="Calibri" w:hAnsi="Calibri" w:cs="Calibri"/>
          <w:sz w:val="22"/>
          <w:szCs w:val="22"/>
        </w:rPr>
        <w:br/>
      </w:r>
      <w:r w:rsidRPr="00B625A1">
        <w:rPr>
          <w:rFonts w:ascii="Calibri" w:hAnsi="Calibri" w:cs="Calibri"/>
          <w:sz w:val="22"/>
          <w:szCs w:val="22"/>
        </w:rPr>
        <w:br/>
        <w:t xml:space="preserve">The authors write on L291, "... it is not disputed that sequencing produces compositional data...". I would suggest to the authors that there is indeed still great dispute as to whether microbiome data is fully compositional or a generative process that along with multiple 16S within specific organisms and potential preferential sequencing leads to greater abundances of certain sequences. </w:t>
      </w:r>
      <w:r w:rsidRPr="00B625A1">
        <w:rPr>
          <w:rFonts w:ascii="Calibri" w:hAnsi="Calibri" w:cs="Calibri"/>
          <w:sz w:val="22"/>
          <w:szCs w:val="22"/>
        </w:rPr>
        <w:br/>
      </w:r>
      <w:r w:rsidRPr="00B625A1">
        <w:rPr>
          <w:rFonts w:ascii="Calibri" w:hAnsi="Calibri" w:cs="Calibri"/>
          <w:sz w:val="22"/>
          <w:szCs w:val="22"/>
        </w:rPr>
        <w:br/>
        <w:t>Minor comments:</w:t>
      </w:r>
      <w:r w:rsidRPr="00B625A1">
        <w:rPr>
          <w:rFonts w:ascii="Calibri" w:hAnsi="Calibri" w:cs="Calibri"/>
          <w:sz w:val="22"/>
          <w:szCs w:val="22"/>
        </w:rPr>
        <w:br/>
      </w:r>
      <w:r w:rsidRPr="00B625A1">
        <w:rPr>
          <w:rFonts w:ascii="Calibri" w:hAnsi="Calibri" w:cs="Calibri"/>
          <w:sz w:val="22"/>
          <w:szCs w:val="22"/>
        </w:rPr>
        <w:br/>
        <w:t>Thank you for submitting the package to CRAN. Was there a reason the authors chose not to submit to Bioconductor? The level is much higher</w:t>
      </w:r>
    </w:p>
    <w:p w14:paraId="26A5252A" w14:textId="77777777" w:rsidR="00B625A1" w:rsidRDefault="00B625A1" w:rsidP="00846A07">
      <w:pPr>
        <w:spacing w:after="0" w:line="240" w:lineRule="auto"/>
        <w:rPr>
          <w:rFonts w:ascii="Calibri" w:hAnsi="Calibri" w:cs="Calibri"/>
          <w:sz w:val="22"/>
          <w:szCs w:val="22"/>
        </w:rPr>
      </w:pPr>
    </w:p>
    <w:p w14:paraId="239B7B81" w14:textId="5AE96830" w:rsidR="00B625A1" w:rsidRDefault="00B625A1" w:rsidP="00846A07">
      <w:pPr>
        <w:spacing w:after="0" w:line="240" w:lineRule="auto"/>
        <w:rPr>
          <w:rFonts w:ascii="Calibri" w:hAnsi="Calibri" w:cs="Calibri"/>
          <w:b/>
          <w:bCs/>
          <w:sz w:val="22"/>
          <w:szCs w:val="22"/>
        </w:rPr>
      </w:pPr>
      <w:r>
        <w:rPr>
          <w:rFonts w:ascii="Calibri" w:hAnsi="Calibri" w:cs="Calibri"/>
          <w:b/>
          <w:bCs/>
          <w:sz w:val="22"/>
          <w:szCs w:val="22"/>
        </w:rPr>
        <w:t>Reviewer 3</w:t>
      </w:r>
    </w:p>
    <w:p w14:paraId="3867C14F" w14:textId="437BC24D" w:rsidR="00B625A1" w:rsidRDefault="00B625A1" w:rsidP="00846A07">
      <w:pPr>
        <w:spacing w:after="0" w:line="240" w:lineRule="auto"/>
        <w:rPr>
          <w:rFonts w:ascii="Calibri" w:hAnsi="Calibri" w:cs="Calibri"/>
          <w:sz w:val="22"/>
          <w:szCs w:val="22"/>
        </w:rPr>
      </w:pPr>
      <w:r w:rsidRPr="00B625A1">
        <w:rPr>
          <w:rFonts w:ascii="Calibri" w:hAnsi="Calibri" w:cs="Calibri"/>
          <w:sz w:val="22"/>
          <w:szCs w:val="22"/>
        </w:rPr>
        <w:t>The authors did a splendid job in reviewing the manuscript. They gave more than satisfactory answers to my questions. In their rebuttal letter they gave many details and they actually started interesting discussion that would be interesting to follow up upon.</w:t>
      </w:r>
      <w:r w:rsidRPr="00B625A1">
        <w:rPr>
          <w:rFonts w:ascii="Calibri" w:hAnsi="Calibri" w:cs="Calibri"/>
          <w:sz w:val="22"/>
          <w:szCs w:val="22"/>
        </w:rPr>
        <w:br/>
      </w:r>
      <w:r w:rsidRPr="00B625A1">
        <w:rPr>
          <w:rFonts w:ascii="Calibri" w:hAnsi="Calibri" w:cs="Calibri"/>
          <w:sz w:val="22"/>
          <w:szCs w:val="22"/>
        </w:rPr>
        <w:br/>
        <w:t>Minor comments:</w:t>
      </w:r>
      <w:r w:rsidRPr="00B625A1">
        <w:rPr>
          <w:rFonts w:ascii="Calibri" w:hAnsi="Calibri" w:cs="Calibri"/>
          <w:sz w:val="22"/>
          <w:szCs w:val="22"/>
        </w:rPr>
        <w:br/>
        <w:t xml:space="preserve">- The “estimated FDR” is still not well described/defined in the manuscript. My best guess is that it is the adjusted p-value (with e.g. Benjamini-Hochberg)? This comment does not </w:t>
      </w:r>
      <w:proofErr w:type="spellStart"/>
      <w:r w:rsidRPr="00B625A1">
        <w:rPr>
          <w:rFonts w:ascii="Calibri" w:hAnsi="Calibri" w:cs="Calibri"/>
          <w:sz w:val="22"/>
          <w:szCs w:val="22"/>
        </w:rPr>
        <w:t>jeoperdise</w:t>
      </w:r>
      <w:proofErr w:type="spellEnd"/>
      <w:r w:rsidRPr="00B625A1">
        <w:rPr>
          <w:rFonts w:ascii="Calibri" w:hAnsi="Calibri" w:cs="Calibri"/>
          <w:sz w:val="22"/>
          <w:szCs w:val="22"/>
        </w:rPr>
        <w:t xml:space="preserve"> the quality of the manuscript, but it would be good to make sure that it is clear to all readers. </w:t>
      </w:r>
      <w:r w:rsidRPr="00B625A1">
        <w:rPr>
          <w:rFonts w:ascii="Calibri" w:hAnsi="Calibri" w:cs="Calibri"/>
          <w:sz w:val="22"/>
          <w:szCs w:val="22"/>
        </w:rPr>
        <w:br/>
        <w:t xml:space="preserve">- p. 8. There is one instance that still mentions “empirical FDR” instead of “observed FDR”. </w:t>
      </w:r>
      <w:r w:rsidRPr="00B625A1">
        <w:rPr>
          <w:rFonts w:ascii="Calibri" w:hAnsi="Calibri" w:cs="Calibri"/>
          <w:sz w:val="22"/>
          <w:szCs w:val="22"/>
        </w:rPr>
        <w:br/>
      </w:r>
      <w:r w:rsidRPr="00B625A1">
        <w:rPr>
          <w:rFonts w:ascii="Calibri" w:hAnsi="Calibri" w:cs="Calibri"/>
          <w:sz w:val="22"/>
          <w:szCs w:val="22"/>
        </w:rPr>
        <w:br/>
      </w:r>
      <w:r w:rsidRPr="00B625A1">
        <w:rPr>
          <w:rFonts w:ascii="Calibri" w:hAnsi="Calibri" w:cs="Calibri"/>
          <w:sz w:val="22"/>
          <w:szCs w:val="22"/>
        </w:rPr>
        <w:br/>
      </w:r>
      <w:r w:rsidRPr="00B625A1">
        <w:rPr>
          <w:rFonts w:ascii="Calibri" w:hAnsi="Calibri" w:cs="Calibri"/>
          <w:sz w:val="22"/>
          <w:szCs w:val="22"/>
        </w:rPr>
        <w:br/>
        <w:t xml:space="preserve">As a final thought I want to mention that in studies like this reviewers can always ask to include more scenarios, and the eventual set of scenarios thus depends on both the authors and the reviewers. You can argue that it’s never enough scenarios that are included. However, at some point researchers need to stop and publish their results. To my opinion the authors succeeded very well in performing a neutral comparison of methods, under a sufficiently wide range of scenarios. They published their </w:t>
      </w:r>
      <w:r w:rsidRPr="00B625A1">
        <w:rPr>
          <w:rFonts w:ascii="Calibri" w:hAnsi="Calibri" w:cs="Calibri"/>
          <w:sz w:val="22"/>
          <w:szCs w:val="22"/>
        </w:rPr>
        <w:lastRenderedPageBreak/>
        <w:t>R code so that other researchers can use their simulation set-up, starting from other datasets and considering other scenarios. The conclusions of the authors are clear and robust.</w:t>
      </w:r>
    </w:p>
    <w:p w14:paraId="493CAD5B" w14:textId="77777777" w:rsidR="00511851" w:rsidRDefault="00511851" w:rsidP="00846A07">
      <w:pPr>
        <w:spacing w:after="0" w:line="240" w:lineRule="auto"/>
        <w:rPr>
          <w:rFonts w:ascii="Calibri" w:hAnsi="Calibri" w:cs="Calibri"/>
          <w:sz w:val="22"/>
          <w:szCs w:val="22"/>
        </w:rPr>
      </w:pPr>
    </w:p>
    <w:p w14:paraId="3FF81CB8" w14:textId="2A42D6C7" w:rsidR="00511851" w:rsidRDefault="00511851" w:rsidP="00846A07">
      <w:pPr>
        <w:spacing w:after="0" w:line="240" w:lineRule="auto"/>
        <w:rPr>
          <w:rFonts w:ascii="Calibri" w:hAnsi="Calibri" w:cs="Calibri"/>
          <w:b/>
          <w:bCs/>
          <w:sz w:val="22"/>
          <w:szCs w:val="22"/>
        </w:rPr>
      </w:pPr>
      <w:r>
        <w:rPr>
          <w:rFonts w:ascii="Calibri" w:hAnsi="Calibri" w:cs="Calibri"/>
          <w:b/>
          <w:bCs/>
          <w:sz w:val="22"/>
          <w:szCs w:val="22"/>
        </w:rPr>
        <w:t>Authors’ response</w:t>
      </w:r>
    </w:p>
    <w:p w14:paraId="40D1BFB8" w14:textId="77777777" w:rsidR="0097340E" w:rsidRPr="0097340E" w:rsidRDefault="0097340E" w:rsidP="0097340E">
      <w:pPr>
        <w:spacing w:after="0" w:line="240" w:lineRule="auto"/>
        <w:rPr>
          <w:rFonts w:ascii="Calibri" w:hAnsi="Calibri" w:cs="Calibri"/>
          <w:sz w:val="22"/>
          <w:szCs w:val="22"/>
        </w:rPr>
      </w:pPr>
      <w:r w:rsidRPr="0097340E">
        <w:rPr>
          <w:rFonts w:ascii="Calibri" w:hAnsi="Calibri" w:cs="Calibri"/>
          <w:sz w:val="22"/>
          <w:szCs w:val="22"/>
        </w:rPr>
        <w:t>We modified the sentence on page 6 which introduces the estimated FDR to make the</w:t>
      </w:r>
    </w:p>
    <w:p w14:paraId="49B4CE1C" w14:textId="77777777" w:rsidR="0097340E" w:rsidRPr="0097340E" w:rsidRDefault="0097340E" w:rsidP="0097340E">
      <w:pPr>
        <w:spacing w:after="0" w:line="240" w:lineRule="auto"/>
        <w:rPr>
          <w:rFonts w:ascii="Calibri" w:hAnsi="Calibri" w:cs="Calibri"/>
          <w:sz w:val="22"/>
          <w:szCs w:val="22"/>
        </w:rPr>
      </w:pPr>
      <w:r w:rsidRPr="0097340E">
        <w:rPr>
          <w:rFonts w:ascii="Calibri" w:hAnsi="Calibri" w:cs="Calibri"/>
          <w:sz w:val="22"/>
          <w:szCs w:val="22"/>
        </w:rPr>
        <w:t>statement clearer. Additionally, we modified the sentence about the compositionality of</w:t>
      </w:r>
    </w:p>
    <w:p w14:paraId="7F05925B" w14:textId="3853E0F6" w:rsidR="00511851" w:rsidRPr="00511851" w:rsidRDefault="0097340E" w:rsidP="0097340E">
      <w:pPr>
        <w:spacing w:after="0" w:line="240" w:lineRule="auto"/>
        <w:rPr>
          <w:rFonts w:ascii="Calibri" w:hAnsi="Calibri" w:cs="Calibri"/>
          <w:sz w:val="22"/>
          <w:szCs w:val="22"/>
        </w:rPr>
      </w:pPr>
      <w:r w:rsidRPr="0097340E">
        <w:rPr>
          <w:rFonts w:ascii="Calibri" w:hAnsi="Calibri" w:cs="Calibri"/>
          <w:sz w:val="22"/>
          <w:szCs w:val="22"/>
        </w:rPr>
        <w:t>metagenomics data on page 9.</w:t>
      </w:r>
    </w:p>
    <w:sectPr w:rsidR="00511851" w:rsidRPr="005118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EDA"/>
    <w:rsid w:val="00511851"/>
    <w:rsid w:val="005C0EDA"/>
    <w:rsid w:val="006E3FEB"/>
    <w:rsid w:val="00846A07"/>
    <w:rsid w:val="0097340E"/>
    <w:rsid w:val="00B625A1"/>
    <w:rsid w:val="00D0207B"/>
    <w:rsid w:val="00DD1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44A90"/>
  <w15:chartTrackingRefBased/>
  <w15:docId w15:val="{798D7E93-63F6-4422-9244-76F781277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0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EDA"/>
    <w:rPr>
      <w:rFonts w:eastAsiaTheme="majorEastAsia" w:cstheme="majorBidi"/>
      <w:color w:val="272727" w:themeColor="text1" w:themeTint="D8"/>
    </w:rPr>
  </w:style>
  <w:style w:type="paragraph" w:styleId="Title">
    <w:name w:val="Title"/>
    <w:basedOn w:val="Normal"/>
    <w:next w:val="Normal"/>
    <w:link w:val="TitleChar"/>
    <w:uiPriority w:val="10"/>
    <w:qFormat/>
    <w:rsid w:val="005C0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EDA"/>
    <w:pPr>
      <w:spacing w:before="160"/>
      <w:jc w:val="center"/>
    </w:pPr>
    <w:rPr>
      <w:i/>
      <w:iCs/>
      <w:color w:val="404040" w:themeColor="text1" w:themeTint="BF"/>
    </w:rPr>
  </w:style>
  <w:style w:type="character" w:customStyle="1" w:styleId="QuoteChar">
    <w:name w:val="Quote Char"/>
    <w:basedOn w:val="DefaultParagraphFont"/>
    <w:link w:val="Quote"/>
    <w:uiPriority w:val="29"/>
    <w:rsid w:val="005C0EDA"/>
    <w:rPr>
      <w:i/>
      <w:iCs/>
      <w:color w:val="404040" w:themeColor="text1" w:themeTint="BF"/>
    </w:rPr>
  </w:style>
  <w:style w:type="paragraph" w:styleId="ListParagraph">
    <w:name w:val="List Paragraph"/>
    <w:basedOn w:val="Normal"/>
    <w:uiPriority w:val="34"/>
    <w:qFormat/>
    <w:rsid w:val="005C0EDA"/>
    <w:pPr>
      <w:ind w:left="720"/>
      <w:contextualSpacing/>
    </w:pPr>
  </w:style>
  <w:style w:type="character" w:styleId="IntenseEmphasis">
    <w:name w:val="Intense Emphasis"/>
    <w:basedOn w:val="DefaultParagraphFont"/>
    <w:uiPriority w:val="21"/>
    <w:qFormat/>
    <w:rsid w:val="005C0EDA"/>
    <w:rPr>
      <w:i/>
      <w:iCs/>
      <w:color w:val="0F4761" w:themeColor="accent1" w:themeShade="BF"/>
    </w:rPr>
  </w:style>
  <w:style w:type="paragraph" w:styleId="IntenseQuote">
    <w:name w:val="Intense Quote"/>
    <w:basedOn w:val="Normal"/>
    <w:next w:val="Normal"/>
    <w:link w:val="IntenseQuoteChar"/>
    <w:uiPriority w:val="30"/>
    <w:qFormat/>
    <w:rsid w:val="005C0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EDA"/>
    <w:rPr>
      <w:i/>
      <w:iCs/>
      <w:color w:val="0F4761" w:themeColor="accent1" w:themeShade="BF"/>
    </w:rPr>
  </w:style>
  <w:style w:type="character" w:styleId="IntenseReference">
    <w:name w:val="Intense Reference"/>
    <w:basedOn w:val="DefaultParagraphFont"/>
    <w:uiPriority w:val="32"/>
    <w:qFormat/>
    <w:rsid w:val="005C0EDA"/>
    <w:rPr>
      <w:b/>
      <w:bCs/>
      <w:smallCaps/>
      <w:color w:val="0F4761" w:themeColor="accent1" w:themeShade="BF"/>
      <w:spacing w:val="5"/>
    </w:rPr>
  </w:style>
  <w:style w:type="character" w:styleId="Hyperlink">
    <w:name w:val="Hyperlink"/>
    <w:basedOn w:val="DefaultParagraphFont"/>
    <w:uiPriority w:val="99"/>
    <w:unhideWhenUsed/>
    <w:rsid w:val="005C0EDA"/>
    <w:rPr>
      <w:color w:val="467886" w:themeColor="hyperlink"/>
      <w:u w:val="single"/>
    </w:rPr>
  </w:style>
  <w:style w:type="character" w:styleId="UnresolvedMention">
    <w:name w:val="Unresolved Mention"/>
    <w:basedOn w:val="DefaultParagraphFont"/>
    <w:uiPriority w:val="99"/>
    <w:semiHidden/>
    <w:unhideWhenUsed/>
    <w:rsid w:val="005C0E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ncbi.nlm.nih.gov/pmc/articles/PMC7047923/" TargetMode="Externa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6901</Words>
  <Characters>39338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46147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6</cp:revision>
  <dcterms:created xsi:type="dcterms:W3CDTF">2024-09-06T20:30:00Z</dcterms:created>
  <dcterms:modified xsi:type="dcterms:W3CDTF">2024-09-06T20:51:00Z</dcterms:modified>
</cp:coreProperties>
</file>