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685F4A" w14:textId="77777777" w:rsidR="004C71A7" w:rsidRPr="004C71A7" w:rsidRDefault="004C71A7" w:rsidP="004C71A7">
      <w:pPr>
        <w:spacing w:after="200" w:line="240" w:lineRule="auto"/>
        <w:rPr>
          <w:rFonts w:ascii="Times New Roman" w:eastAsia="Times New Roman" w:hAnsi="Times New Roman" w:cs="Times New Roman"/>
          <w:lang w:val="en-US" w:eastAsia="zh-CN"/>
        </w:rPr>
      </w:pPr>
      <w:r w:rsidRPr="004C71A7">
        <w:rPr>
          <w:rFonts w:ascii="Times New Roman" w:eastAsia="Times New Roman" w:hAnsi="Times New Roman" w:cs="Times New Roman"/>
          <w:color w:val="000000"/>
          <w:lang w:val="en-US" w:eastAsia="zh-CN"/>
        </w:rPr>
        <w:t>Review History</w:t>
      </w:r>
    </w:p>
    <w:p w14:paraId="781C52C0" w14:textId="77777777" w:rsidR="004C71A7" w:rsidRPr="004C71A7" w:rsidRDefault="004C71A7" w:rsidP="004C71A7">
      <w:pPr>
        <w:spacing w:after="0" w:line="240" w:lineRule="auto"/>
        <w:rPr>
          <w:rFonts w:ascii="Times New Roman" w:eastAsia="Times New Roman" w:hAnsi="Times New Roman" w:cs="Times New Roman"/>
          <w:lang w:val="en-US" w:eastAsia="zh-CN"/>
        </w:rPr>
      </w:pPr>
      <w:r w:rsidRPr="004C71A7">
        <w:rPr>
          <w:rFonts w:ascii="Times New Roman" w:eastAsia="Times New Roman" w:hAnsi="Times New Roman" w:cs="Times New Roman"/>
          <w:b/>
          <w:bCs/>
          <w:color w:val="000000"/>
          <w:lang w:val="en-US" w:eastAsia="zh-CN"/>
        </w:rPr>
        <w:t>First round of review</w:t>
      </w:r>
    </w:p>
    <w:p w14:paraId="719F8AC8" w14:textId="77777777" w:rsidR="004C71A7" w:rsidRPr="004C71A7" w:rsidRDefault="004C71A7" w:rsidP="004C71A7">
      <w:pPr>
        <w:spacing w:after="0" w:line="240" w:lineRule="auto"/>
        <w:rPr>
          <w:rFonts w:ascii="Times New Roman" w:eastAsia="Times New Roman" w:hAnsi="Times New Roman" w:cs="Times New Roman"/>
          <w:lang w:val="en-US" w:eastAsia="zh-CN"/>
        </w:rPr>
      </w:pPr>
      <w:r w:rsidRPr="004C71A7">
        <w:rPr>
          <w:rFonts w:ascii="Times New Roman" w:eastAsia="Times New Roman" w:hAnsi="Times New Roman" w:cs="Times New Roman"/>
          <w:b/>
          <w:bCs/>
          <w:color w:val="000000"/>
          <w:lang w:val="en-US" w:eastAsia="zh-CN"/>
        </w:rPr>
        <w:t>Reviewer 1</w:t>
      </w:r>
    </w:p>
    <w:p w14:paraId="109BFE64" w14:textId="77777777" w:rsidR="004C71A7" w:rsidRPr="004C71A7" w:rsidRDefault="004C71A7" w:rsidP="004C71A7">
      <w:pPr>
        <w:spacing w:after="0" w:line="240" w:lineRule="auto"/>
        <w:rPr>
          <w:rFonts w:ascii="Times New Roman" w:eastAsia="Times New Roman" w:hAnsi="Times New Roman" w:cs="Times New Roman"/>
          <w:lang w:val="en-US" w:eastAsia="zh-CN"/>
        </w:rPr>
      </w:pPr>
    </w:p>
    <w:p w14:paraId="4B7AECD0" w14:textId="77777777" w:rsidR="004C71A7" w:rsidRPr="004C71A7" w:rsidRDefault="004C71A7" w:rsidP="004C71A7">
      <w:pPr>
        <w:spacing w:after="0" w:line="240" w:lineRule="auto"/>
        <w:rPr>
          <w:rFonts w:ascii="Times New Roman" w:eastAsia="Times New Roman" w:hAnsi="Times New Roman" w:cs="Times New Roman"/>
          <w:lang w:val="en-US" w:eastAsia="zh-CN"/>
        </w:rPr>
      </w:pPr>
      <w:r w:rsidRPr="004C71A7">
        <w:rPr>
          <w:rFonts w:ascii="Times New Roman" w:eastAsia="Times New Roman" w:hAnsi="Times New Roman" w:cs="Times New Roman"/>
          <w:b/>
          <w:bCs/>
          <w:color w:val="000033"/>
          <w:shd w:val="clear" w:color="auto" w:fill="FFFFFF"/>
          <w:lang w:val="en-US" w:eastAsia="zh-CN"/>
        </w:rPr>
        <w:t>Were you able to assess all statistics in the manuscript, including the appropriateness of statistical tests used?</w:t>
      </w:r>
    </w:p>
    <w:p w14:paraId="45DBC107" w14:textId="586C8260" w:rsidR="004C71A7" w:rsidRPr="00D44C0B" w:rsidRDefault="004C71A7" w:rsidP="004C71A7">
      <w:pPr>
        <w:spacing w:after="0" w:line="240" w:lineRule="auto"/>
        <w:rPr>
          <w:rFonts w:ascii="Times New Roman" w:hAnsi="Times New Roman" w:cs="Times New Roman"/>
          <w:color w:val="000033"/>
          <w:shd w:val="clear" w:color="auto" w:fill="FFFFFF"/>
        </w:rPr>
      </w:pPr>
      <w:r w:rsidRPr="00D44C0B">
        <w:rPr>
          <w:rFonts w:ascii="Times New Roman" w:hAnsi="Times New Roman" w:cs="Times New Roman"/>
          <w:color w:val="000033"/>
          <w:shd w:val="clear" w:color="auto" w:fill="FFFFFF"/>
        </w:rPr>
        <w:t>Yes, and I have assessed the statistics in my report.</w:t>
      </w:r>
    </w:p>
    <w:p w14:paraId="55D273DE" w14:textId="77777777" w:rsidR="004C71A7" w:rsidRPr="004C71A7" w:rsidRDefault="004C71A7" w:rsidP="004C71A7">
      <w:pPr>
        <w:spacing w:after="0" w:line="240" w:lineRule="auto"/>
        <w:rPr>
          <w:rFonts w:ascii="Times New Roman" w:eastAsia="Times New Roman" w:hAnsi="Times New Roman" w:cs="Times New Roman"/>
          <w:lang w:val="en-US" w:eastAsia="zh-CN"/>
        </w:rPr>
      </w:pPr>
    </w:p>
    <w:p w14:paraId="1A88FEBD" w14:textId="77777777" w:rsidR="004C71A7" w:rsidRPr="004C71A7" w:rsidRDefault="004C71A7" w:rsidP="004C71A7">
      <w:pPr>
        <w:spacing w:after="0" w:line="240" w:lineRule="auto"/>
        <w:rPr>
          <w:rFonts w:ascii="Times New Roman" w:eastAsia="Times New Roman" w:hAnsi="Times New Roman" w:cs="Times New Roman"/>
          <w:lang w:val="en-US" w:eastAsia="zh-CN"/>
        </w:rPr>
      </w:pPr>
      <w:r w:rsidRPr="004C71A7">
        <w:rPr>
          <w:rFonts w:ascii="Times New Roman" w:eastAsia="Times New Roman" w:hAnsi="Times New Roman" w:cs="Times New Roman"/>
          <w:b/>
          <w:bCs/>
          <w:color w:val="000000"/>
          <w:lang w:val="en-US" w:eastAsia="zh-CN"/>
        </w:rPr>
        <w:t>Comments to author:</w:t>
      </w:r>
    </w:p>
    <w:p w14:paraId="14A1604B" w14:textId="52AE7AA9" w:rsidR="004C71A7" w:rsidRPr="004C71A7" w:rsidRDefault="004C71A7" w:rsidP="004C71A7">
      <w:pPr>
        <w:spacing w:after="240" w:line="240" w:lineRule="auto"/>
        <w:rPr>
          <w:rFonts w:ascii="Times New Roman" w:eastAsia="Times New Roman" w:hAnsi="Times New Roman" w:cs="Times New Roman"/>
          <w:lang w:val="en-US" w:eastAsia="zh-CN"/>
        </w:rPr>
      </w:pPr>
      <w:r w:rsidRPr="00D44C0B">
        <w:rPr>
          <w:rFonts w:ascii="Times New Roman" w:hAnsi="Times New Roman" w:cs="Times New Roman"/>
          <w:color w:val="000033"/>
          <w:shd w:val="clear" w:color="auto" w:fill="FFFFFF"/>
        </w:rPr>
        <w:t xml:space="preserve">The manuscript </w:t>
      </w:r>
      <w:proofErr w:type="spellStart"/>
      <w:r w:rsidRPr="00D44C0B">
        <w:rPr>
          <w:rFonts w:ascii="Times New Roman" w:hAnsi="Times New Roman" w:cs="Times New Roman"/>
          <w:color w:val="000033"/>
          <w:shd w:val="clear" w:color="auto" w:fill="FFFFFF"/>
        </w:rPr>
        <w:t>analyzes</w:t>
      </w:r>
      <w:proofErr w:type="spellEnd"/>
      <w:r w:rsidRPr="00D44C0B">
        <w:rPr>
          <w:rFonts w:ascii="Times New Roman" w:hAnsi="Times New Roman" w:cs="Times New Roman"/>
          <w:color w:val="000033"/>
          <w:shd w:val="clear" w:color="auto" w:fill="FFFFFF"/>
        </w:rPr>
        <w:t xml:space="preserve"> genetic-by-age interactions across multiple complex traits using UK Biobank data, along with a methodological exploration for identifying such interactions through cross-sectional and longitudinal data. This work contributes significantly to the fields of genomics and epidemiology, particularly in understanding the dynamic nature of genetic effects as they relate to age. The focus on longitudinal trait change is especially pertinent, addressing a critical gap in knowledge and offering insights for personalized medicine and targeted interventions. However, several areas of the manuscript could benefit from further refinement and clarification.</w:t>
      </w:r>
      <w:r w:rsidRPr="00D44C0B">
        <w:rPr>
          <w:rFonts w:ascii="Times New Roman" w:hAnsi="Times New Roman" w:cs="Times New Roman"/>
          <w:color w:val="000033"/>
        </w:rPr>
        <w:br/>
      </w:r>
      <w:r w:rsidRPr="00D44C0B">
        <w:rPr>
          <w:rFonts w:ascii="Times New Roman" w:hAnsi="Times New Roman" w:cs="Times New Roman"/>
          <w:color w:val="000033"/>
          <w:shd w:val="clear" w:color="auto" w:fill="FFFFFF"/>
        </w:rPr>
        <w:t>Comments</w:t>
      </w:r>
      <w:r w:rsidRPr="00D44C0B">
        <w:rPr>
          <w:rFonts w:ascii="Times New Roman" w:hAnsi="Times New Roman" w:cs="Times New Roman"/>
          <w:color w:val="000033"/>
        </w:rPr>
        <w:br/>
      </w:r>
      <w:r w:rsidRPr="00D44C0B">
        <w:rPr>
          <w:rFonts w:ascii="Times New Roman" w:hAnsi="Times New Roman" w:cs="Times New Roman"/>
          <w:color w:val="000033"/>
          <w:shd w:val="clear" w:color="auto" w:fill="FFFFFF"/>
        </w:rPr>
        <w:t>1. "We propose a new approach to exploit the relatively large cross-sectional data to prefilter genetic variants for genetic-by-age interaction", I do not think there is methodological innovation in the manuscript. The models used by the authors in the manuscript are conventional linear regression models.</w:t>
      </w:r>
      <w:r w:rsidRPr="00D44C0B">
        <w:rPr>
          <w:rFonts w:ascii="Times New Roman" w:hAnsi="Times New Roman" w:cs="Times New Roman"/>
          <w:color w:val="000033"/>
        </w:rPr>
        <w:br/>
      </w:r>
      <w:r w:rsidRPr="00D44C0B">
        <w:rPr>
          <w:rFonts w:ascii="Times New Roman" w:hAnsi="Times New Roman" w:cs="Times New Roman"/>
          <w:color w:val="000033"/>
          <w:shd w:val="clear" w:color="auto" w:fill="FFFFFF"/>
        </w:rPr>
        <w:t>2. "the assumption that there is no cohort effect", the author should propose a test to systematically validate the assumption in real dataset sets. This is important. I noticed that the authors did a sensitivity analysis for APOE. But this is limited.</w:t>
      </w:r>
      <w:r w:rsidRPr="00D44C0B">
        <w:rPr>
          <w:rFonts w:ascii="Times New Roman" w:hAnsi="Times New Roman" w:cs="Times New Roman"/>
          <w:color w:val="000033"/>
        </w:rPr>
        <w:br/>
      </w:r>
      <w:r w:rsidRPr="00D44C0B">
        <w:rPr>
          <w:rFonts w:ascii="Times New Roman" w:hAnsi="Times New Roman" w:cs="Times New Roman"/>
          <w:color w:val="000033"/>
          <w:shd w:val="clear" w:color="auto" w:fill="FFFFFF"/>
        </w:rPr>
        <w:t>3. I also would appreciate a more detailed discussion on the assumptions made, such as the lack of cohort effect and linear age effect on the traits. Additionally, the sensitivity analysis, including "birth year" as a covariate, is commendable, but it would be beneficial to discuss any potential limitations of this approach.</w:t>
      </w:r>
      <w:r w:rsidRPr="00D44C0B">
        <w:rPr>
          <w:rFonts w:ascii="Times New Roman" w:hAnsi="Times New Roman" w:cs="Times New Roman"/>
          <w:color w:val="000033"/>
        </w:rPr>
        <w:br/>
      </w:r>
      <w:r w:rsidRPr="00D44C0B">
        <w:rPr>
          <w:rFonts w:ascii="Times New Roman" w:hAnsi="Times New Roman" w:cs="Times New Roman"/>
          <w:color w:val="000033"/>
          <w:shd w:val="clear" w:color="auto" w:fill="FFFFFF"/>
        </w:rPr>
        <w:t>4. It would be interesting to extend the framework to incorporate both cross-section and longitudinal data.</w:t>
      </w:r>
      <w:r w:rsidRPr="00D44C0B">
        <w:rPr>
          <w:rFonts w:ascii="Times New Roman" w:hAnsi="Times New Roman" w:cs="Times New Roman"/>
          <w:color w:val="000033"/>
        </w:rPr>
        <w:br/>
      </w:r>
      <w:r w:rsidRPr="00D44C0B">
        <w:rPr>
          <w:rFonts w:ascii="Times New Roman" w:hAnsi="Times New Roman" w:cs="Times New Roman"/>
          <w:color w:val="000033"/>
          <w:shd w:val="clear" w:color="auto" w:fill="FFFFFF"/>
        </w:rPr>
        <w:t>5. As the linear regression is mathematically mature, I would suggest the authors provide a math formula to power besides the simulation experiments.</w:t>
      </w:r>
      <w:r w:rsidRPr="00D44C0B">
        <w:rPr>
          <w:rFonts w:ascii="Times New Roman" w:hAnsi="Times New Roman" w:cs="Times New Roman"/>
          <w:color w:val="000033"/>
        </w:rPr>
        <w:br/>
      </w:r>
      <w:r w:rsidRPr="00D44C0B">
        <w:rPr>
          <w:rFonts w:ascii="Times New Roman" w:hAnsi="Times New Roman" w:cs="Times New Roman"/>
          <w:color w:val="000033"/>
          <w:shd w:val="clear" w:color="auto" w:fill="FFFFFF"/>
        </w:rPr>
        <w:t>6. Moreover, the sample size ratios of the three different study designs may also be interesting.</w:t>
      </w:r>
      <w:r w:rsidRPr="00D44C0B">
        <w:rPr>
          <w:rFonts w:ascii="Times New Roman" w:hAnsi="Times New Roman" w:cs="Times New Roman"/>
          <w:color w:val="000033"/>
        </w:rPr>
        <w:br/>
      </w:r>
      <w:r w:rsidRPr="00D44C0B">
        <w:rPr>
          <w:rFonts w:ascii="Times New Roman" w:hAnsi="Times New Roman" w:cs="Times New Roman"/>
          <w:color w:val="000033"/>
          <w:shd w:val="clear" w:color="auto" w:fill="FFFFFF"/>
        </w:rPr>
        <w:t>7. Theoretically, a variant with genetic-by-age interaction will marginally affect the trait, although not all trait-affecting variants have genetic-by-age interaction. It will be important to systematically explore the proportions of the variants with genetic-by-age interaction and the effect direction.</w:t>
      </w:r>
      <w:r w:rsidRPr="00D44C0B">
        <w:rPr>
          <w:rFonts w:ascii="Times New Roman" w:hAnsi="Times New Roman" w:cs="Times New Roman"/>
          <w:color w:val="000033"/>
        </w:rPr>
        <w:br/>
      </w:r>
      <w:r w:rsidRPr="00D44C0B">
        <w:rPr>
          <w:rFonts w:ascii="Times New Roman" w:hAnsi="Times New Roman" w:cs="Times New Roman"/>
          <w:color w:val="000033"/>
          <w:shd w:val="clear" w:color="auto" w:fill="FFFFFF"/>
        </w:rPr>
        <w:t xml:space="preserve">8. Based on the proportions, some </w:t>
      </w:r>
      <w:proofErr w:type="spellStart"/>
      <w:r w:rsidRPr="00D44C0B">
        <w:rPr>
          <w:rFonts w:ascii="Times New Roman" w:hAnsi="Times New Roman" w:cs="Times New Roman"/>
          <w:color w:val="000033"/>
          <w:shd w:val="clear" w:color="auto" w:fill="FFFFFF"/>
        </w:rPr>
        <w:t>desmostration</w:t>
      </w:r>
      <w:proofErr w:type="spellEnd"/>
      <w:r w:rsidRPr="00D44C0B">
        <w:rPr>
          <w:rFonts w:ascii="Times New Roman" w:hAnsi="Times New Roman" w:cs="Times New Roman"/>
          <w:color w:val="000033"/>
          <w:shd w:val="clear" w:color="auto" w:fill="FFFFFF"/>
        </w:rPr>
        <w:t xml:space="preserve"> can be made to guide associated analysis and heritability estimation for GWAS.</w:t>
      </w:r>
      <w:r w:rsidRPr="00D44C0B">
        <w:rPr>
          <w:rFonts w:ascii="Times New Roman" w:hAnsi="Times New Roman" w:cs="Times New Roman"/>
          <w:color w:val="000033"/>
        </w:rPr>
        <w:br/>
      </w:r>
      <w:r w:rsidRPr="00D44C0B">
        <w:rPr>
          <w:rFonts w:ascii="Times New Roman" w:hAnsi="Times New Roman" w:cs="Times New Roman"/>
          <w:color w:val="000033"/>
          <w:shd w:val="clear" w:color="auto" w:fill="FFFFFF"/>
        </w:rPr>
        <w:t>9. The power comparison must systematically consider the sample size ratio. Figure 3 is not enough. By the way, the figure is also hard to follow. The legend should be integrated into the plots.</w:t>
      </w:r>
      <w:r w:rsidRPr="00D44C0B">
        <w:rPr>
          <w:rFonts w:ascii="Times New Roman" w:hAnsi="Times New Roman" w:cs="Times New Roman"/>
          <w:color w:val="000033"/>
        </w:rPr>
        <w:br/>
      </w:r>
      <w:r w:rsidRPr="00D44C0B">
        <w:rPr>
          <w:rFonts w:ascii="Times New Roman" w:hAnsi="Times New Roman" w:cs="Times New Roman"/>
          <w:color w:val="000033"/>
          <w:shd w:val="clear" w:color="auto" w:fill="FFFFFF"/>
        </w:rPr>
        <w:t>10. "The identified genetic-by-age interaction effects mostly overlapped with marginal effect loci.." This is expected. It would be necessary to systematically compare the involved biological pathways associated with variants with and without the genetic-by-age interaction effect. The authors provide a more detailed discussion of the biological relevance of the identified loci and their potential functional implications. Is the difference on variant level or gene levels?</w:t>
      </w:r>
      <w:r w:rsidRPr="00D44C0B">
        <w:rPr>
          <w:rFonts w:ascii="Times New Roman" w:hAnsi="Times New Roman" w:cs="Times New Roman"/>
          <w:color w:val="000033"/>
        </w:rPr>
        <w:br/>
      </w:r>
      <w:r w:rsidRPr="00D44C0B">
        <w:rPr>
          <w:rFonts w:ascii="Times New Roman" w:hAnsi="Times New Roman" w:cs="Times New Roman"/>
          <w:color w:val="000033"/>
          <w:shd w:val="clear" w:color="auto" w:fill="FFFFFF"/>
        </w:rPr>
        <w:t>11. The discussion could be enhanced by comparing the findings with previous studies and discussing the potential reasons for the observed differences in genetic-by-age interactions across traits.</w:t>
      </w:r>
      <w:r w:rsidRPr="00D44C0B">
        <w:rPr>
          <w:rFonts w:ascii="Times New Roman" w:hAnsi="Times New Roman" w:cs="Times New Roman"/>
          <w:color w:val="000033"/>
        </w:rPr>
        <w:br/>
      </w:r>
      <w:r w:rsidRPr="00D44C0B">
        <w:rPr>
          <w:rFonts w:ascii="Times New Roman" w:hAnsi="Times New Roman" w:cs="Times New Roman"/>
          <w:color w:val="000033"/>
          <w:shd w:val="clear" w:color="auto" w:fill="FFFFFF"/>
        </w:rPr>
        <w:t>12. The authors acknowledge the limitations of their study, such as the focus on the European population and the use of chronological age. It would be beneficial to discuss how these limitations might affect the generalizability of the findings and any potential strategies to overcome them in future research</w:t>
      </w:r>
      <w:r w:rsidRPr="00D44C0B">
        <w:rPr>
          <w:rFonts w:ascii="Times New Roman" w:hAnsi="Times New Roman" w:cs="Times New Roman"/>
          <w:color w:val="000033"/>
          <w:shd w:val="clear" w:color="auto" w:fill="FFFFFF"/>
        </w:rPr>
        <w:t>.</w:t>
      </w:r>
    </w:p>
    <w:p w14:paraId="0DF7E99A" w14:textId="77777777" w:rsidR="004C71A7" w:rsidRPr="004C71A7" w:rsidRDefault="004C71A7" w:rsidP="004C71A7">
      <w:pPr>
        <w:spacing w:after="0" w:line="240" w:lineRule="auto"/>
        <w:rPr>
          <w:rFonts w:ascii="Times New Roman" w:eastAsia="Times New Roman" w:hAnsi="Times New Roman" w:cs="Times New Roman"/>
          <w:lang w:val="en-US" w:eastAsia="zh-CN"/>
        </w:rPr>
      </w:pPr>
      <w:r w:rsidRPr="004C71A7">
        <w:rPr>
          <w:rFonts w:ascii="Times New Roman" w:eastAsia="Times New Roman" w:hAnsi="Times New Roman" w:cs="Times New Roman"/>
          <w:b/>
          <w:bCs/>
          <w:color w:val="000000"/>
          <w:lang w:val="en-US" w:eastAsia="zh-CN"/>
        </w:rPr>
        <w:t>Reviewer 2</w:t>
      </w:r>
    </w:p>
    <w:p w14:paraId="7AC96FF0" w14:textId="77777777" w:rsidR="004C71A7" w:rsidRPr="004C71A7" w:rsidRDefault="004C71A7" w:rsidP="004C71A7">
      <w:pPr>
        <w:spacing w:after="0" w:line="240" w:lineRule="auto"/>
        <w:rPr>
          <w:rFonts w:ascii="Times New Roman" w:eastAsia="Times New Roman" w:hAnsi="Times New Roman" w:cs="Times New Roman"/>
          <w:lang w:val="en-US" w:eastAsia="zh-CN"/>
        </w:rPr>
      </w:pPr>
    </w:p>
    <w:p w14:paraId="1CD856D5" w14:textId="77777777" w:rsidR="004C71A7" w:rsidRPr="004C71A7" w:rsidRDefault="004C71A7" w:rsidP="004C71A7">
      <w:pPr>
        <w:spacing w:after="0" w:line="240" w:lineRule="auto"/>
        <w:rPr>
          <w:rFonts w:ascii="Times New Roman" w:eastAsia="Times New Roman" w:hAnsi="Times New Roman" w:cs="Times New Roman"/>
          <w:lang w:val="en-US" w:eastAsia="zh-CN"/>
        </w:rPr>
      </w:pPr>
      <w:r w:rsidRPr="004C71A7">
        <w:rPr>
          <w:rFonts w:ascii="Times New Roman" w:eastAsia="Times New Roman" w:hAnsi="Times New Roman" w:cs="Times New Roman"/>
          <w:b/>
          <w:bCs/>
          <w:color w:val="000033"/>
          <w:shd w:val="clear" w:color="auto" w:fill="FFFFFF"/>
          <w:lang w:val="en-US" w:eastAsia="zh-CN"/>
        </w:rPr>
        <w:lastRenderedPageBreak/>
        <w:t>Were you able to assess all statistics in the manuscript, including the appropriateness of statistical tests used?</w:t>
      </w:r>
    </w:p>
    <w:p w14:paraId="3287DA9C" w14:textId="335FB4A8" w:rsidR="004C71A7" w:rsidRPr="004C71A7" w:rsidRDefault="004C71A7" w:rsidP="004C71A7">
      <w:pPr>
        <w:spacing w:after="240" w:line="240" w:lineRule="auto"/>
        <w:rPr>
          <w:rFonts w:ascii="Times New Roman" w:eastAsia="Times New Roman" w:hAnsi="Times New Roman" w:cs="Times New Roman"/>
          <w:lang w:val="en-US" w:eastAsia="zh-CN"/>
        </w:rPr>
      </w:pPr>
      <w:r w:rsidRPr="00D44C0B">
        <w:rPr>
          <w:rFonts w:ascii="Times New Roman" w:hAnsi="Times New Roman" w:cs="Times New Roman"/>
          <w:color w:val="000033"/>
          <w:shd w:val="clear" w:color="auto" w:fill="FFFFFF"/>
        </w:rPr>
        <w:t>Yes, and I have assessed the statistics in my report.</w:t>
      </w:r>
    </w:p>
    <w:p w14:paraId="20DA531D" w14:textId="77777777" w:rsidR="004C71A7" w:rsidRPr="004C71A7" w:rsidRDefault="004C71A7" w:rsidP="004C71A7">
      <w:pPr>
        <w:spacing w:after="200" w:line="240" w:lineRule="auto"/>
        <w:rPr>
          <w:rFonts w:ascii="Times New Roman" w:eastAsia="Times New Roman" w:hAnsi="Times New Roman" w:cs="Times New Roman"/>
          <w:lang w:val="en-US" w:eastAsia="zh-CN"/>
        </w:rPr>
      </w:pPr>
      <w:r w:rsidRPr="004C71A7">
        <w:rPr>
          <w:rFonts w:ascii="Times New Roman" w:eastAsia="Times New Roman" w:hAnsi="Times New Roman" w:cs="Times New Roman"/>
          <w:b/>
          <w:bCs/>
          <w:color w:val="000000"/>
          <w:lang w:val="en-US" w:eastAsia="zh-CN"/>
        </w:rPr>
        <w:t>Comments to author:</w:t>
      </w:r>
    </w:p>
    <w:p w14:paraId="72B33B1A" w14:textId="55A4ECAE" w:rsidR="004C71A7" w:rsidRPr="00D44C0B" w:rsidRDefault="004C71A7" w:rsidP="004C71A7">
      <w:pPr>
        <w:spacing w:after="0" w:line="240" w:lineRule="auto"/>
        <w:rPr>
          <w:rFonts w:ascii="Times New Roman" w:hAnsi="Times New Roman" w:cs="Times New Roman"/>
          <w:color w:val="000033"/>
          <w:shd w:val="clear" w:color="auto" w:fill="FFFFFF"/>
        </w:rPr>
      </w:pPr>
      <w:r w:rsidRPr="00D44C0B">
        <w:rPr>
          <w:rFonts w:ascii="Times New Roman" w:hAnsi="Times New Roman" w:cs="Times New Roman"/>
          <w:color w:val="000033"/>
          <w:shd w:val="clear" w:color="auto" w:fill="FFFFFF"/>
        </w:rPr>
        <w:t xml:space="preserve">The authors describe and conduct a 2-stage approach for detecting genetic-by-age interactions, which includes a </w:t>
      </w:r>
      <w:proofErr w:type="spellStart"/>
      <w:r w:rsidRPr="00D44C0B">
        <w:rPr>
          <w:rFonts w:ascii="Times New Roman" w:hAnsi="Times New Roman" w:cs="Times New Roman"/>
          <w:color w:val="000033"/>
          <w:shd w:val="clear" w:color="auto" w:fill="FFFFFF"/>
        </w:rPr>
        <w:t>pre screening</w:t>
      </w:r>
      <w:proofErr w:type="spellEnd"/>
      <w:r w:rsidRPr="00D44C0B">
        <w:rPr>
          <w:rFonts w:ascii="Times New Roman" w:hAnsi="Times New Roman" w:cs="Times New Roman"/>
          <w:color w:val="000033"/>
          <w:shd w:val="clear" w:color="auto" w:fill="FFFFFF"/>
        </w:rPr>
        <w:t xml:space="preserve"> step and an independent longitudinal analysis. While the presented analyses are performed across a variety of phenotypes with abundant data and visualizations, I have a few comments:</w:t>
      </w:r>
      <w:r w:rsidRPr="00D44C0B">
        <w:rPr>
          <w:rFonts w:ascii="Times New Roman" w:hAnsi="Times New Roman" w:cs="Times New Roman"/>
          <w:color w:val="000033"/>
        </w:rPr>
        <w:br/>
      </w:r>
      <w:r w:rsidRPr="00D44C0B">
        <w:rPr>
          <w:rFonts w:ascii="Times New Roman" w:hAnsi="Times New Roman" w:cs="Times New Roman"/>
          <w:color w:val="000033"/>
        </w:rPr>
        <w:br/>
      </w:r>
      <w:r w:rsidRPr="00D44C0B">
        <w:rPr>
          <w:rFonts w:ascii="Times New Roman" w:hAnsi="Times New Roman" w:cs="Times New Roman"/>
          <w:color w:val="000033"/>
          <w:shd w:val="clear" w:color="auto" w:fill="FFFFFF"/>
        </w:rPr>
        <w:t>Major comments:</w:t>
      </w:r>
      <w:r w:rsidRPr="00D44C0B">
        <w:rPr>
          <w:rFonts w:ascii="Times New Roman" w:hAnsi="Times New Roman" w:cs="Times New Roman"/>
          <w:color w:val="000033"/>
        </w:rPr>
        <w:br/>
      </w:r>
      <w:r w:rsidRPr="00D44C0B">
        <w:rPr>
          <w:rFonts w:ascii="Times New Roman" w:hAnsi="Times New Roman" w:cs="Times New Roman"/>
          <w:color w:val="000033"/>
        </w:rPr>
        <w:br/>
      </w:r>
      <w:r w:rsidRPr="00D44C0B">
        <w:rPr>
          <w:rFonts w:ascii="Times New Roman" w:hAnsi="Times New Roman" w:cs="Times New Roman"/>
          <w:color w:val="000033"/>
          <w:shd w:val="clear" w:color="auto" w:fill="FFFFFF"/>
        </w:rPr>
        <w:t>-Certain metrics (e.g. BMI) may increase over age. Is it possible to correct for e.g. BMI or other covariates that might partly explain the strong relationship between pulse pressure and age? How have you taken this into consideration (this was not clear from initial reading)?</w:t>
      </w:r>
      <w:r w:rsidRPr="00D44C0B">
        <w:rPr>
          <w:rFonts w:ascii="Times New Roman" w:hAnsi="Times New Roman" w:cs="Times New Roman"/>
          <w:color w:val="000033"/>
        </w:rPr>
        <w:br/>
      </w:r>
      <w:r w:rsidRPr="00D44C0B">
        <w:rPr>
          <w:rFonts w:ascii="Times New Roman" w:hAnsi="Times New Roman" w:cs="Times New Roman"/>
          <w:color w:val="000033"/>
        </w:rPr>
        <w:br/>
      </w:r>
      <w:r w:rsidRPr="00D44C0B">
        <w:rPr>
          <w:rFonts w:ascii="Times New Roman" w:hAnsi="Times New Roman" w:cs="Times New Roman"/>
          <w:color w:val="000033"/>
          <w:shd w:val="clear" w:color="auto" w:fill="FFFFFF"/>
        </w:rPr>
        <w:t>-"The fact that genetic effect sizes on kidney function and pulse pressure are enlarged at older ages underscores that the identified loci predispose accelerated aging processes" Can you relate this comment to the literature on epigenetic aging/</w:t>
      </w:r>
      <w:proofErr w:type="spellStart"/>
      <w:r w:rsidRPr="00D44C0B">
        <w:rPr>
          <w:rFonts w:ascii="Times New Roman" w:hAnsi="Times New Roman" w:cs="Times New Roman"/>
          <w:color w:val="000033"/>
          <w:shd w:val="clear" w:color="auto" w:fill="FFFFFF"/>
        </w:rPr>
        <w:t>DNAm</w:t>
      </w:r>
      <w:proofErr w:type="spellEnd"/>
      <w:r w:rsidRPr="00D44C0B">
        <w:rPr>
          <w:rFonts w:ascii="Times New Roman" w:hAnsi="Times New Roman" w:cs="Times New Roman"/>
          <w:color w:val="000033"/>
          <w:shd w:val="clear" w:color="auto" w:fill="FFFFFF"/>
        </w:rPr>
        <w:t xml:space="preserve"> age clocks, which are a complementary method to understand the relationship between aging and different diseases/traits? Can you also relate/discuss observations re pulse pressure and other phenotypes to specific aging processes (e.g. myeloid-biased output haematopoietic stem cells -my-HSCs, https://www.nature.com/articles/s41586-024-07238-x).</w:t>
      </w:r>
      <w:r w:rsidRPr="00D44C0B">
        <w:rPr>
          <w:rFonts w:ascii="Times New Roman" w:hAnsi="Times New Roman" w:cs="Times New Roman"/>
          <w:color w:val="000033"/>
        </w:rPr>
        <w:br/>
      </w:r>
      <w:r w:rsidRPr="00D44C0B">
        <w:rPr>
          <w:rFonts w:ascii="Times New Roman" w:hAnsi="Times New Roman" w:cs="Times New Roman"/>
          <w:color w:val="000033"/>
        </w:rPr>
        <w:br/>
      </w:r>
      <w:r w:rsidRPr="00D44C0B">
        <w:rPr>
          <w:rFonts w:ascii="Times New Roman" w:hAnsi="Times New Roman" w:cs="Times New Roman"/>
          <w:color w:val="000033"/>
          <w:shd w:val="clear" w:color="auto" w:fill="FFFFFF"/>
        </w:rPr>
        <w:t>-it is hard to link many variants to genes, and therefore gene-based analyses of GWAS data can cause a loss in variant-to-tissue signal. To address this issue, can you show a direct variant-to-tissue chromatin activity method (e.g. FORGE2 https://forge2.altiusinstitute.org/) and its tissue-specific associations across pulse pressure and other phenotypes (this comment is related to "Figure 8. Tissue-specific enrichment of gene expression at genetic-by-age interaction loci for pulse pressure").</w:t>
      </w:r>
      <w:r w:rsidRPr="00D44C0B">
        <w:rPr>
          <w:rFonts w:ascii="Times New Roman" w:hAnsi="Times New Roman" w:cs="Times New Roman"/>
          <w:color w:val="000033"/>
        </w:rPr>
        <w:br/>
      </w:r>
      <w:r w:rsidRPr="00D44C0B">
        <w:rPr>
          <w:rFonts w:ascii="Times New Roman" w:hAnsi="Times New Roman" w:cs="Times New Roman"/>
          <w:color w:val="000033"/>
        </w:rPr>
        <w:br/>
      </w:r>
      <w:r w:rsidRPr="00D44C0B">
        <w:rPr>
          <w:rFonts w:ascii="Times New Roman" w:hAnsi="Times New Roman" w:cs="Times New Roman"/>
          <w:color w:val="000033"/>
          <w:shd w:val="clear" w:color="auto" w:fill="FFFFFF"/>
        </w:rPr>
        <w:t>-GWAS tissue enrichment analysis should be reported not just for pulse pressure, but across all traits with associations (not necessary for the main figure set, but some follow up analysis across traits should at least be shown in the supplement).</w:t>
      </w:r>
      <w:r w:rsidRPr="00D44C0B">
        <w:rPr>
          <w:rFonts w:ascii="Times New Roman" w:hAnsi="Times New Roman" w:cs="Times New Roman"/>
          <w:color w:val="000033"/>
        </w:rPr>
        <w:br/>
      </w:r>
      <w:r w:rsidRPr="00D44C0B">
        <w:rPr>
          <w:rFonts w:ascii="Times New Roman" w:hAnsi="Times New Roman" w:cs="Times New Roman"/>
          <w:color w:val="000033"/>
        </w:rPr>
        <w:br/>
      </w:r>
      <w:r w:rsidRPr="00D44C0B">
        <w:rPr>
          <w:rFonts w:ascii="Times New Roman" w:hAnsi="Times New Roman" w:cs="Times New Roman"/>
          <w:color w:val="000033"/>
          <w:shd w:val="clear" w:color="auto" w:fill="FFFFFF"/>
        </w:rPr>
        <w:t xml:space="preserve">-analysis code should be put on a </w:t>
      </w:r>
      <w:proofErr w:type="spellStart"/>
      <w:r w:rsidRPr="00D44C0B">
        <w:rPr>
          <w:rFonts w:ascii="Times New Roman" w:hAnsi="Times New Roman" w:cs="Times New Roman"/>
          <w:color w:val="000033"/>
          <w:shd w:val="clear" w:color="auto" w:fill="FFFFFF"/>
        </w:rPr>
        <w:t>github</w:t>
      </w:r>
      <w:proofErr w:type="spellEnd"/>
      <w:r w:rsidRPr="00D44C0B">
        <w:rPr>
          <w:rFonts w:ascii="Times New Roman" w:hAnsi="Times New Roman" w:cs="Times New Roman"/>
          <w:color w:val="000033"/>
          <w:shd w:val="clear" w:color="auto" w:fill="FFFFFF"/>
        </w:rPr>
        <w:t xml:space="preserve"> repository or in </w:t>
      </w:r>
      <w:proofErr w:type="spellStart"/>
      <w:r w:rsidRPr="00D44C0B">
        <w:rPr>
          <w:rFonts w:ascii="Times New Roman" w:hAnsi="Times New Roman" w:cs="Times New Roman"/>
          <w:color w:val="000033"/>
          <w:shd w:val="clear" w:color="auto" w:fill="FFFFFF"/>
        </w:rPr>
        <w:t>zenodo</w:t>
      </w:r>
      <w:proofErr w:type="spellEnd"/>
      <w:r w:rsidRPr="00D44C0B">
        <w:rPr>
          <w:rFonts w:ascii="Times New Roman" w:hAnsi="Times New Roman" w:cs="Times New Roman"/>
          <w:color w:val="000033"/>
          <w:shd w:val="clear" w:color="auto" w:fill="FFFFFF"/>
        </w:rPr>
        <w:t xml:space="preserve"> (ideally with a short tutorial)</w:t>
      </w:r>
      <w:r w:rsidRPr="00D44C0B">
        <w:rPr>
          <w:rFonts w:ascii="Times New Roman" w:hAnsi="Times New Roman" w:cs="Times New Roman"/>
          <w:color w:val="000033"/>
        </w:rPr>
        <w:br/>
      </w:r>
      <w:r w:rsidRPr="00D44C0B">
        <w:rPr>
          <w:rFonts w:ascii="Times New Roman" w:hAnsi="Times New Roman" w:cs="Times New Roman"/>
          <w:color w:val="000033"/>
        </w:rPr>
        <w:br/>
      </w:r>
      <w:r w:rsidRPr="00D44C0B">
        <w:rPr>
          <w:rFonts w:ascii="Times New Roman" w:hAnsi="Times New Roman" w:cs="Times New Roman"/>
          <w:color w:val="000033"/>
          <w:shd w:val="clear" w:color="auto" w:fill="FFFFFF"/>
        </w:rPr>
        <w:t>Minor comments:</w:t>
      </w:r>
      <w:r w:rsidRPr="00D44C0B">
        <w:rPr>
          <w:rFonts w:ascii="Times New Roman" w:hAnsi="Times New Roman" w:cs="Times New Roman"/>
          <w:color w:val="000033"/>
        </w:rPr>
        <w:br/>
      </w:r>
      <w:r w:rsidRPr="00D44C0B">
        <w:rPr>
          <w:rFonts w:ascii="Times New Roman" w:hAnsi="Times New Roman" w:cs="Times New Roman"/>
          <w:color w:val="000033"/>
        </w:rPr>
        <w:br/>
      </w:r>
      <w:r w:rsidRPr="00D44C0B">
        <w:rPr>
          <w:rFonts w:ascii="Times New Roman" w:hAnsi="Times New Roman" w:cs="Times New Roman"/>
          <w:color w:val="000033"/>
          <w:shd w:val="clear" w:color="auto" w:fill="FFFFFF"/>
        </w:rPr>
        <w:t>line 160: "describe the results in the following." should be "describe the results in the following section."</w:t>
      </w:r>
      <w:r w:rsidRPr="00D44C0B">
        <w:rPr>
          <w:rFonts w:ascii="Times New Roman" w:hAnsi="Times New Roman" w:cs="Times New Roman"/>
          <w:color w:val="000033"/>
        </w:rPr>
        <w:br/>
      </w:r>
      <w:r w:rsidRPr="00D44C0B">
        <w:rPr>
          <w:rFonts w:ascii="Times New Roman" w:hAnsi="Times New Roman" w:cs="Times New Roman"/>
          <w:color w:val="000033"/>
        </w:rPr>
        <w:br/>
      </w:r>
      <w:r w:rsidRPr="00D44C0B">
        <w:rPr>
          <w:rFonts w:ascii="Times New Roman" w:hAnsi="Times New Roman" w:cs="Times New Roman"/>
          <w:color w:val="000033"/>
          <w:shd w:val="clear" w:color="auto" w:fill="FFFFFF"/>
        </w:rPr>
        <w:t>line 330: "Alzheimer" -&gt; "Alzheimer's"</w:t>
      </w:r>
      <w:r w:rsidRPr="00D44C0B">
        <w:rPr>
          <w:rFonts w:ascii="Times New Roman" w:hAnsi="Times New Roman" w:cs="Times New Roman"/>
          <w:color w:val="000033"/>
          <w:shd w:val="clear" w:color="auto" w:fill="FFFFFF"/>
        </w:rPr>
        <w:t>.</w:t>
      </w:r>
    </w:p>
    <w:p w14:paraId="3318C2D4" w14:textId="77777777" w:rsidR="004C71A7" w:rsidRPr="004C71A7" w:rsidRDefault="004C71A7" w:rsidP="004C71A7">
      <w:pPr>
        <w:spacing w:after="0" w:line="240" w:lineRule="auto"/>
        <w:rPr>
          <w:rFonts w:ascii="Times New Roman" w:eastAsia="Times New Roman" w:hAnsi="Times New Roman" w:cs="Times New Roman"/>
          <w:lang w:val="en-US" w:eastAsia="zh-CN"/>
        </w:rPr>
      </w:pPr>
    </w:p>
    <w:p w14:paraId="60EF3DCB" w14:textId="77777777" w:rsidR="004C71A7" w:rsidRPr="004C71A7" w:rsidRDefault="004C71A7" w:rsidP="004C71A7">
      <w:pPr>
        <w:spacing w:after="200" w:line="240" w:lineRule="auto"/>
        <w:rPr>
          <w:rFonts w:ascii="Times New Roman" w:eastAsia="Times New Roman" w:hAnsi="Times New Roman" w:cs="Times New Roman"/>
          <w:lang w:val="en-US" w:eastAsia="zh-CN"/>
        </w:rPr>
      </w:pPr>
      <w:r w:rsidRPr="004C71A7">
        <w:rPr>
          <w:rFonts w:ascii="Times New Roman" w:eastAsia="Times New Roman" w:hAnsi="Times New Roman" w:cs="Times New Roman"/>
          <w:b/>
          <w:bCs/>
          <w:color w:val="000000"/>
          <w:lang w:val="en-US" w:eastAsia="zh-CN"/>
        </w:rPr>
        <w:t>Authors Response</w:t>
      </w:r>
    </w:p>
    <w:p w14:paraId="1774EE8D" w14:textId="1BBF592A" w:rsidR="004C71A7" w:rsidRPr="00D44C0B" w:rsidRDefault="004C71A7" w:rsidP="00890042">
      <w:pPr>
        <w:spacing w:after="200" w:line="240" w:lineRule="auto"/>
        <w:rPr>
          <w:rFonts w:ascii="Times New Roman" w:eastAsia="Times New Roman" w:hAnsi="Times New Roman" w:cs="Times New Roman"/>
          <w:lang w:val="en-US" w:eastAsia="zh-CN"/>
        </w:rPr>
      </w:pPr>
      <w:r w:rsidRPr="004C71A7">
        <w:rPr>
          <w:rFonts w:ascii="Times New Roman" w:eastAsia="Times New Roman" w:hAnsi="Times New Roman" w:cs="Times New Roman"/>
          <w:b/>
          <w:bCs/>
          <w:color w:val="000000"/>
          <w:lang w:val="en-US" w:eastAsia="zh-CN"/>
        </w:rPr>
        <w:t xml:space="preserve">Point-by-point responses to the reviewers’ comments: </w:t>
      </w:r>
    </w:p>
    <w:p w14:paraId="3419AF8E" w14:textId="1A4D02E6" w:rsidR="00403A2B" w:rsidRPr="00D44C0B" w:rsidRDefault="00403A2B" w:rsidP="00736889">
      <w:pPr>
        <w:pStyle w:val="Heading1"/>
        <w:spacing w:before="0" w:line="276" w:lineRule="auto"/>
        <w:contextualSpacing/>
        <w:jc w:val="both"/>
        <w:rPr>
          <w:rFonts w:ascii="Times New Roman" w:hAnsi="Times New Roman" w:cs="Times New Roman"/>
          <w:b/>
          <w:color w:val="2F5496" w:themeColor="accent5" w:themeShade="BF"/>
          <w:sz w:val="22"/>
          <w:szCs w:val="22"/>
          <w:lang w:val="en-US"/>
        </w:rPr>
      </w:pPr>
      <w:r w:rsidRPr="00D44C0B">
        <w:rPr>
          <w:rFonts w:ascii="Times New Roman" w:hAnsi="Times New Roman" w:cs="Times New Roman"/>
          <w:b/>
          <w:color w:val="2F5496" w:themeColor="accent5" w:themeShade="BF"/>
          <w:sz w:val="22"/>
          <w:szCs w:val="22"/>
          <w:lang w:val="en-US"/>
        </w:rPr>
        <w:t>Reviewer #1:</w:t>
      </w:r>
    </w:p>
    <w:p w14:paraId="75458C89" w14:textId="77777777" w:rsidR="00403A2B" w:rsidRPr="00D44C0B" w:rsidRDefault="00403A2B" w:rsidP="00736889">
      <w:pPr>
        <w:spacing w:before="100" w:beforeAutospacing="1" w:after="100" w:afterAutospacing="1" w:line="276" w:lineRule="auto"/>
        <w:jc w:val="both"/>
        <w:rPr>
          <w:rFonts w:ascii="Times New Roman" w:hAnsi="Times New Roman" w:cs="Times New Roman"/>
          <w:color w:val="2F5496" w:themeColor="accent5" w:themeShade="BF"/>
        </w:rPr>
      </w:pPr>
      <w:r w:rsidRPr="00D44C0B">
        <w:rPr>
          <w:rFonts w:ascii="Times New Roman" w:hAnsi="Times New Roman" w:cs="Times New Roman"/>
          <w:color w:val="2F5496" w:themeColor="accent5" w:themeShade="BF"/>
        </w:rPr>
        <w:t xml:space="preserve">The manuscript </w:t>
      </w:r>
      <w:proofErr w:type="spellStart"/>
      <w:r w:rsidRPr="00D44C0B">
        <w:rPr>
          <w:rFonts w:ascii="Times New Roman" w:hAnsi="Times New Roman" w:cs="Times New Roman"/>
          <w:color w:val="2F5496" w:themeColor="accent5" w:themeShade="BF"/>
        </w:rPr>
        <w:t>analyzes</w:t>
      </w:r>
      <w:proofErr w:type="spellEnd"/>
      <w:r w:rsidRPr="00D44C0B">
        <w:rPr>
          <w:rFonts w:ascii="Times New Roman" w:hAnsi="Times New Roman" w:cs="Times New Roman"/>
          <w:color w:val="2F5496" w:themeColor="accent5" w:themeShade="BF"/>
        </w:rPr>
        <w:t xml:space="preserve"> genetic-by-age interactions across multiple complex traits using UK Biobank data, along with a methodological exploration for identifying such interactions through cross-sectional and longitudinal data. This work contributes significantly to the fields of genomics and epidemiology, particularly in understanding the dynamic nature of genetic effects as they relate to age. The focus on longitudinal trait change is especially pertinent, addressing a critical gap in knowledge and offering </w:t>
      </w:r>
      <w:r w:rsidRPr="00D44C0B">
        <w:rPr>
          <w:rFonts w:ascii="Times New Roman" w:hAnsi="Times New Roman" w:cs="Times New Roman"/>
          <w:color w:val="2F5496" w:themeColor="accent5" w:themeShade="BF"/>
        </w:rPr>
        <w:lastRenderedPageBreak/>
        <w:t>insights for personalized medicine and targeted interventions. However, several areas of the manuscript could benefit from further refinement and clarification.</w:t>
      </w:r>
    </w:p>
    <w:p w14:paraId="672DB6C6" w14:textId="082E5521" w:rsidR="00403A2B" w:rsidRPr="00D44C0B" w:rsidRDefault="00403A2B" w:rsidP="00736889">
      <w:pPr>
        <w:spacing w:before="240" w:after="0" w:line="276" w:lineRule="auto"/>
        <w:contextualSpacing/>
        <w:jc w:val="both"/>
        <w:rPr>
          <w:rFonts w:ascii="Times New Roman" w:hAnsi="Times New Roman" w:cs="Times New Roman"/>
          <w:i/>
          <w:iCs/>
          <w:color w:val="000000" w:themeColor="text1"/>
          <w:lang w:val="en-US"/>
        </w:rPr>
      </w:pPr>
      <w:r w:rsidRPr="00D44C0B">
        <w:rPr>
          <w:rFonts w:ascii="Times New Roman" w:hAnsi="Times New Roman" w:cs="Times New Roman"/>
          <w:b/>
          <w:i/>
          <w:iCs/>
          <w:color w:val="000000" w:themeColor="text1"/>
          <w:lang w:val="en-US"/>
        </w:rPr>
        <w:t xml:space="preserve">Response: </w:t>
      </w:r>
      <w:r w:rsidRPr="00D44C0B">
        <w:rPr>
          <w:rFonts w:ascii="Times New Roman" w:hAnsi="Times New Roman" w:cs="Times New Roman"/>
          <w:i/>
          <w:iCs/>
          <w:color w:val="000000" w:themeColor="text1"/>
          <w:lang w:val="en-US"/>
        </w:rPr>
        <w:t>We thank the reviewer for the very clear and constructive comments. We have addressed the comments below point-by-point and revised the manuscript accordingly</w:t>
      </w:r>
      <w:r w:rsidR="00934880" w:rsidRPr="00D44C0B">
        <w:rPr>
          <w:rFonts w:ascii="Times New Roman" w:hAnsi="Times New Roman" w:cs="Times New Roman"/>
          <w:i/>
          <w:iCs/>
          <w:color w:val="000000" w:themeColor="text1"/>
          <w:lang w:val="en-US"/>
        </w:rPr>
        <w:t xml:space="preserve"> (we marked all added and revised chapters and items in yellow in the manuscript)</w:t>
      </w:r>
      <w:r w:rsidRPr="00D44C0B">
        <w:rPr>
          <w:rFonts w:ascii="Times New Roman" w:hAnsi="Times New Roman" w:cs="Times New Roman"/>
          <w:i/>
          <w:iCs/>
          <w:color w:val="000000" w:themeColor="text1"/>
          <w:lang w:val="en-US"/>
        </w:rPr>
        <w:t>.</w:t>
      </w:r>
    </w:p>
    <w:p w14:paraId="5E494BD5" w14:textId="753C4892" w:rsidR="0023759B" w:rsidRPr="00D44C0B" w:rsidRDefault="00C21D5A" w:rsidP="00C21D5A">
      <w:pPr>
        <w:spacing w:before="240" w:after="0" w:line="276" w:lineRule="auto"/>
        <w:jc w:val="both"/>
        <w:rPr>
          <w:rFonts w:ascii="Times New Roman" w:hAnsi="Times New Roman" w:cs="Times New Roman"/>
          <w:i/>
          <w:iCs/>
          <w:color w:val="000000" w:themeColor="text1"/>
          <w:lang w:val="en-US"/>
        </w:rPr>
      </w:pPr>
      <w:r w:rsidRPr="00D44C0B">
        <w:rPr>
          <w:rFonts w:ascii="Times New Roman" w:hAnsi="Times New Roman" w:cs="Times New Roman"/>
          <w:i/>
          <w:iCs/>
          <w:color w:val="000000" w:themeColor="text1"/>
          <w:lang w:val="en-US"/>
        </w:rPr>
        <w:t xml:space="preserve">In addition to the requested changes, we have </w:t>
      </w:r>
      <w:r w:rsidR="0023759B" w:rsidRPr="00D44C0B">
        <w:rPr>
          <w:rFonts w:ascii="Times New Roman" w:hAnsi="Times New Roman" w:cs="Times New Roman"/>
          <w:i/>
          <w:iCs/>
          <w:color w:val="000000" w:themeColor="text1"/>
          <w:lang w:val="en-US"/>
        </w:rPr>
        <w:t xml:space="preserve">decided to remove the </w:t>
      </w:r>
      <w:r w:rsidRPr="00D44C0B">
        <w:rPr>
          <w:rFonts w:ascii="Times New Roman" w:hAnsi="Times New Roman" w:cs="Times New Roman"/>
          <w:i/>
          <w:iCs/>
          <w:color w:val="000000" w:themeColor="text1"/>
          <w:lang w:val="en-US"/>
        </w:rPr>
        <w:t>kidney traits from this paper</w:t>
      </w:r>
      <w:r w:rsidR="0023759B" w:rsidRPr="00D44C0B">
        <w:rPr>
          <w:rFonts w:ascii="Times New Roman" w:hAnsi="Times New Roman" w:cs="Times New Roman"/>
          <w:i/>
          <w:iCs/>
          <w:color w:val="000000" w:themeColor="text1"/>
          <w:lang w:val="en-US"/>
        </w:rPr>
        <w:t xml:space="preserve">. The main reason for this was that kidney traits were the only one to use data outside of UK Biobank, which made the analysis workflow a little asymmetric and overly complex. There were also no novel findings for kidney. Given the additional analyses conducted for the revision, we decided to remove kidney traits in order to focus the paper on the interesting aspects while keeping the analyses symmetric. </w:t>
      </w:r>
    </w:p>
    <w:p w14:paraId="3E0906A5" w14:textId="51DBB593" w:rsidR="00403A2B" w:rsidRPr="00D44C0B" w:rsidRDefault="00403A2B" w:rsidP="00736889">
      <w:pPr>
        <w:spacing w:before="100" w:beforeAutospacing="1" w:after="100" w:afterAutospacing="1" w:line="276" w:lineRule="auto"/>
        <w:jc w:val="both"/>
        <w:rPr>
          <w:rFonts w:ascii="Times New Roman" w:hAnsi="Times New Roman" w:cs="Times New Roman"/>
          <w:color w:val="000000" w:themeColor="text1"/>
          <w:lang w:val="en-US"/>
        </w:rPr>
      </w:pPr>
      <w:r w:rsidRPr="00D44C0B">
        <w:rPr>
          <w:rFonts w:ascii="Times New Roman" w:hAnsi="Times New Roman" w:cs="Times New Roman"/>
          <w:color w:val="2F5496" w:themeColor="accent5" w:themeShade="BF"/>
        </w:rPr>
        <w:br/>
        <w:t>Comments</w:t>
      </w:r>
      <w:r w:rsidRPr="00D44C0B">
        <w:rPr>
          <w:rFonts w:ascii="Times New Roman" w:hAnsi="Times New Roman" w:cs="Times New Roman"/>
          <w:color w:val="2F5496" w:themeColor="accent5" w:themeShade="BF"/>
        </w:rPr>
        <w:br/>
        <w:t>1. "We propose a new approach to exploit the relatively large cross-sectional data to prefilter genetic variants for genetic-by-age interaction", I do not think there is methodological innovation in the manuscript. The models used by the authors in the manuscript are conventional linear regression models.</w:t>
      </w:r>
    </w:p>
    <w:p w14:paraId="5AF68951" w14:textId="467AF922" w:rsidR="00403A2B" w:rsidRPr="00D44C0B" w:rsidRDefault="00403A2B" w:rsidP="00736889">
      <w:pPr>
        <w:spacing w:line="276" w:lineRule="auto"/>
        <w:contextualSpacing/>
        <w:jc w:val="both"/>
        <w:rPr>
          <w:rFonts w:ascii="Times New Roman" w:hAnsi="Times New Roman" w:cs="Times New Roman"/>
          <w:i/>
          <w:iCs/>
          <w:color w:val="000000" w:themeColor="text1"/>
          <w:lang w:val="en-US"/>
        </w:rPr>
      </w:pPr>
      <w:r w:rsidRPr="00D44C0B">
        <w:rPr>
          <w:rFonts w:ascii="Times New Roman" w:hAnsi="Times New Roman" w:cs="Times New Roman"/>
          <w:b/>
          <w:i/>
          <w:iCs/>
          <w:color w:val="000000" w:themeColor="text1"/>
          <w:lang w:val="en-US"/>
        </w:rPr>
        <w:t xml:space="preserve">Response: </w:t>
      </w:r>
      <w:r w:rsidRPr="00D44C0B">
        <w:rPr>
          <w:rFonts w:ascii="Times New Roman" w:hAnsi="Times New Roman" w:cs="Times New Roman"/>
          <w:i/>
          <w:iCs/>
          <w:color w:val="000000" w:themeColor="text1"/>
          <w:lang w:val="en-US"/>
        </w:rPr>
        <w:t>We agree with the reviewer that the regression models are conventional linear regression models. Yet, we think that this is the first report that describes the ability of cross-sectional gene-age interaction testing to reduce multiple testing burden (</w:t>
      </w:r>
      <w:r w:rsidR="00552D51" w:rsidRPr="00D44C0B">
        <w:rPr>
          <w:rFonts w:ascii="Times New Roman" w:hAnsi="Times New Roman" w:cs="Times New Roman"/>
          <w:i/>
          <w:iCs/>
          <w:color w:val="000000" w:themeColor="text1"/>
          <w:lang w:val="en-US"/>
        </w:rPr>
        <w:t>thus</w:t>
      </w:r>
      <w:r w:rsidRPr="00D44C0B">
        <w:rPr>
          <w:rFonts w:ascii="Times New Roman" w:hAnsi="Times New Roman" w:cs="Times New Roman"/>
          <w:i/>
          <w:iCs/>
          <w:color w:val="000000" w:themeColor="text1"/>
          <w:lang w:val="en-US"/>
        </w:rPr>
        <w:t xml:space="preserve"> increase power) for the</w:t>
      </w:r>
      <w:r w:rsidR="00552D51" w:rsidRPr="00D44C0B">
        <w:rPr>
          <w:rFonts w:ascii="Times New Roman" w:hAnsi="Times New Roman" w:cs="Times New Roman"/>
          <w:i/>
          <w:iCs/>
          <w:color w:val="000000" w:themeColor="text1"/>
          <w:lang w:val="en-US"/>
        </w:rPr>
        <w:t xml:space="preserve"> long</w:t>
      </w:r>
      <w:r w:rsidR="001D7B2E" w:rsidRPr="00D44C0B">
        <w:rPr>
          <w:rFonts w:ascii="Times New Roman" w:hAnsi="Times New Roman" w:cs="Times New Roman"/>
          <w:i/>
          <w:iCs/>
          <w:color w:val="000000" w:themeColor="text1"/>
          <w:lang w:val="en-US"/>
        </w:rPr>
        <w:t>i</w:t>
      </w:r>
      <w:r w:rsidR="00552D51" w:rsidRPr="00D44C0B">
        <w:rPr>
          <w:rFonts w:ascii="Times New Roman" w:hAnsi="Times New Roman" w:cs="Times New Roman"/>
          <w:i/>
          <w:iCs/>
          <w:color w:val="000000" w:themeColor="text1"/>
          <w:lang w:val="en-US"/>
        </w:rPr>
        <w:t>tudinal</w:t>
      </w:r>
      <w:r w:rsidRPr="00D44C0B">
        <w:rPr>
          <w:rFonts w:ascii="Times New Roman" w:hAnsi="Times New Roman" w:cs="Times New Roman"/>
          <w:i/>
          <w:iCs/>
          <w:color w:val="000000" w:themeColor="text1"/>
          <w:lang w:val="en-US"/>
        </w:rPr>
        <w:t xml:space="preserve"> genetic association testing. Such 2-step approaches are known for gene-environment interaction testing in (non-longitudinal) data</w:t>
      </w:r>
      <w:r w:rsidR="00552D51" w:rsidRPr="00D44C0B">
        <w:rPr>
          <w:rFonts w:ascii="Times New Roman" w:hAnsi="Times New Roman" w:cs="Times New Roman"/>
          <w:i/>
          <w:iCs/>
          <w:color w:val="000000" w:themeColor="text1"/>
          <w:lang w:val="en-US"/>
        </w:rPr>
        <w:t xml:space="preserve"> where </w:t>
      </w:r>
      <w:r w:rsidRPr="00D44C0B">
        <w:rPr>
          <w:rFonts w:ascii="Times New Roman" w:hAnsi="Times New Roman" w:cs="Times New Roman"/>
          <w:i/>
          <w:iCs/>
          <w:color w:val="000000" w:themeColor="text1"/>
          <w:lang w:val="en-US"/>
        </w:rPr>
        <w:t xml:space="preserve">a first step </w:t>
      </w:r>
      <w:r w:rsidR="00552D51" w:rsidRPr="00D44C0B">
        <w:rPr>
          <w:rFonts w:ascii="Times New Roman" w:hAnsi="Times New Roman" w:cs="Times New Roman"/>
          <w:i/>
          <w:iCs/>
          <w:color w:val="000000" w:themeColor="text1"/>
          <w:lang w:val="en-US"/>
        </w:rPr>
        <w:t xml:space="preserve">is utilized </w:t>
      </w:r>
      <w:r w:rsidRPr="00D44C0B">
        <w:rPr>
          <w:rFonts w:ascii="Times New Roman" w:hAnsi="Times New Roman" w:cs="Times New Roman"/>
          <w:i/>
          <w:iCs/>
          <w:color w:val="000000" w:themeColor="text1"/>
          <w:lang w:val="en-US"/>
        </w:rPr>
        <w:t xml:space="preserve">to preselect variants and then a second step </w:t>
      </w:r>
      <w:r w:rsidR="00552D51" w:rsidRPr="00D44C0B">
        <w:rPr>
          <w:rFonts w:ascii="Times New Roman" w:hAnsi="Times New Roman" w:cs="Times New Roman"/>
          <w:i/>
          <w:iCs/>
          <w:color w:val="000000" w:themeColor="text1"/>
          <w:lang w:val="en-US"/>
        </w:rPr>
        <w:t xml:space="preserve">is utilized to test the selected variants for </w:t>
      </w:r>
      <w:proofErr w:type="spellStart"/>
      <w:r w:rsidRPr="00D44C0B">
        <w:rPr>
          <w:rFonts w:ascii="Times New Roman" w:hAnsi="Times New Roman" w:cs="Times New Roman"/>
          <w:i/>
          <w:iCs/>
          <w:color w:val="000000" w:themeColor="text1"/>
          <w:lang w:val="en-US"/>
        </w:rPr>
        <w:t>GxE</w:t>
      </w:r>
      <w:proofErr w:type="spellEnd"/>
      <w:r w:rsidRPr="00D44C0B">
        <w:rPr>
          <w:rFonts w:ascii="Times New Roman" w:hAnsi="Times New Roman" w:cs="Times New Roman"/>
          <w:i/>
          <w:iCs/>
          <w:color w:val="000000" w:themeColor="text1"/>
          <w:lang w:val="en-US"/>
        </w:rPr>
        <w:t xml:space="preserve"> </w:t>
      </w:r>
      <w:r w:rsidR="0005443A" w:rsidRPr="00D44C0B">
        <w:rPr>
          <w:rFonts w:ascii="Times New Roman" w:hAnsi="Times New Roman" w:cs="Times New Roman"/>
          <w:i/>
          <w:iCs/>
          <w:color w:val="000000" w:themeColor="text1"/>
          <w:lang w:val="en-US"/>
        </w:rPr>
        <w:t xml:space="preserve">at a reduced multiple testing burden </w:t>
      </w:r>
      <w:r w:rsidRPr="00D44C0B">
        <w:rPr>
          <w:rFonts w:ascii="Times New Roman" w:hAnsi="Times New Roman" w:cs="Times New Roman"/>
          <w:i/>
          <w:iCs/>
          <w:color w:val="000000" w:themeColor="text1"/>
          <w:lang w:val="en-US"/>
        </w:rPr>
        <w:t xml:space="preserve">(e.g., PMID: 23843674, </w:t>
      </w:r>
      <w:r w:rsidR="0005443A" w:rsidRPr="00D44C0B">
        <w:rPr>
          <w:rFonts w:ascii="Times New Roman" w:hAnsi="Times New Roman" w:cs="Times New Roman"/>
          <w:i/>
          <w:iCs/>
          <w:color w:val="000000" w:themeColor="text1"/>
          <w:lang w:val="en-US"/>
        </w:rPr>
        <w:t>22714933, 36571162</w:t>
      </w:r>
      <w:r w:rsidRPr="00D44C0B">
        <w:rPr>
          <w:rFonts w:ascii="Times New Roman" w:hAnsi="Times New Roman" w:cs="Times New Roman"/>
          <w:i/>
          <w:iCs/>
          <w:color w:val="000000" w:themeColor="text1"/>
          <w:lang w:val="en-US"/>
        </w:rPr>
        <w:t>)</w:t>
      </w:r>
      <w:r w:rsidR="0005443A" w:rsidRPr="00D44C0B">
        <w:rPr>
          <w:rFonts w:ascii="Times New Roman" w:hAnsi="Times New Roman" w:cs="Times New Roman"/>
          <w:i/>
          <w:iCs/>
          <w:color w:val="000000" w:themeColor="text1"/>
          <w:lang w:val="en-US"/>
        </w:rPr>
        <w:t xml:space="preserve">. </w:t>
      </w:r>
      <w:r w:rsidRPr="00D44C0B">
        <w:rPr>
          <w:rFonts w:ascii="Times New Roman" w:hAnsi="Times New Roman" w:cs="Times New Roman"/>
          <w:i/>
          <w:iCs/>
          <w:color w:val="000000" w:themeColor="text1"/>
          <w:lang w:val="en-US"/>
        </w:rPr>
        <w:t>We consider the combination of the two stages/steps as “</w:t>
      </w:r>
      <w:r w:rsidR="00552D51" w:rsidRPr="00D44C0B">
        <w:rPr>
          <w:rFonts w:ascii="Times New Roman" w:hAnsi="Times New Roman" w:cs="Times New Roman"/>
          <w:i/>
          <w:iCs/>
          <w:color w:val="000000" w:themeColor="text1"/>
          <w:lang w:val="en-US"/>
        </w:rPr>
        <w:t xml:space="preserve">integrated </w:t>
      </w:r>
      <w:r w:rsidRPr="00D44C0B">
        <w:rPr>
          <w:rFonts w:ascii="Times New Roman" w:hAnsi="Times New Roman" w:cs="Times New Roman"/>
          <w:i/>
          <w:iCs/>
          <w:color w:val="000000" w:themeColor="text1"/>
          <w:lang w:val="en-US"/>
        </w:rPr>
        <w:t xml:space="preserve">approach” but agree that this was not described clearly. We have </w:t>
      </w:r>
      <w:r w:rsidR="0083281B" w:rsidRPr="00D44C0B">
        <w:rPr>
          <w:rFonts w:ascii="Times New Roman" w:hAnsi="Times New Roman" w:cs="Times New Roman"/>
          <w:i/>
          <w:iCs/>
          <w:color w:val="000000" w:themeColor="text1"/>
          <w:lang w:val="en-US"/>
        </w:rPr>
        <w:t xml:space="preserve">thus </w:t>
      </w:r>
      <w:r w:rsidRPr="00D44C0B">
        <w:rPr>
          <w:rFonts w:ascii="Times New Roman" w:hAnsi="Times New Roman" w:cs="Times New Roman"/>
          <w:i/>
          <w:iCs/>
          <w:color w:val="000000" w:themeColor="text1"/>
          <w:lang w:val="en-US"/>
        </w:rPr>
        <w:t>reworded the sentence as follows</w:t>
      </w:r>
      <w:r w:rsidR="0005443A" w:rsidRPr="00D44C0B">
        <w:rPr>
          <w:rFonts w:ascii="Times New Roman" w:hAnsi="Times New Roman" w:cs="Times New Roman"/>
          <w:i/>
          <w:iCs/>
          <w:color w:val="000000" w:themeColor="text1"/>
          <w:lang w:val="en-US"/>
        </w:rPr>
        <w:t xml:space="preserve"> (p. </w:t>
      </w:r>
      <w:r w:rsidR="0031263A" w:rsidRPr="00D44C0B">
        <w:rPr>
          <w:rFonts w:ascii="Times New Roman" w:hAnsi="Times New Roman" w:cs="Times New Roman"/>
          <w:i/>
          <w:iCs/>
          <w:color w:val="000000" w:themeColor="text1"/>
          <w:lang w:val="en-US"/>
        </w:rPr>
        <w:t>3</w:t>
      </w:r>
      <w:r w:rsidR="0005443A" w:rsidRPr="00D44C0B">
        <w:rPr>
          <w:rFonts w:ascii="Times New Roman" w:hAnsi="Times New Roman" w:cs="Times New Roman"/>
          <w:i/>
          <w:iCs/>
          <w:color w:val="000000" w:themeColor="text1"/>
          <w:lang w:val="en-US"/>
        </w:rPr>
        <w:t>)</w:t>
      </w:r>
      <w:r w:rsidRPr="00D44C0B">
        <w:rPr>
          <w:rFonts w:ascii="Times New Roman" w:hAnsi="Times New Roman" w:cs="Times New Roman"/>
          <w:i/>
          <w:iCs/>
          <w:color w:val="000000" w:themeColor="text1"/>
          <w:lang w:val="en-US"/>
        </w:rPr>
        <w:t xml:space="preserve">: </w:t>
      </w:r>
    </w:p>
    <w:p w14:paraId="2433147A" w14:textId="77777777" w:rsidR="00403A2B" w:rsidRPr="00D44C0B" w:rsidRDefault="00403A2B" w:rsidP="00736889">
      <w:pPr>
        <w:spacing w:line="276" w:lineRule="auto"/>
        <w:contextualSpacing/>
        <w:jc w:val="both"/>
        <w:rPr>
          <w:rFonts w:ascii="Times New Roman" w:hAnsi="Times New Roman" w:cs="Times New Roman"/>
          <w:color w:val="000000" w:themeColor="text1"/>
          <w:lang w:val="en-US"/>
        </w:rPr>
      </w:pPr>
    </w:p>
    <w:p w14:paraId="1E4512FF" w14:textId="45D229D6" w:rsidR="00403A2B" w:rsidRPr="00D44C0B" w:rsidRDefault="004519A4" w:rsidP="00736889">
      <w:pPr>
        <w:spacing w:line="276" w:lineRule="auto"/>
        <w:contextualSpacing/>
        <w:jc w:val="both"/>
        <w:rPr>
          <w:rFonts w:ascii="Times New Roman" w:hAnsi="Times New Roman" w:cs="Times New Roman"/>
          <w:i/>
          <w:iCs/>
        </w:rPr>
      </w:pPr>
      <w:bookmarkStart w:id="0" w:name="_Hlk168559001"/>
      <w:r w:rsidRPr="00D44C0B">
        <w:rPr>
          <w:rFonts w:ascii="Times New Roman" w:hAnsi="Times New Roman" w:cs="Times New Roman"/>
          <w:i/>
          <w:iCs/>
          <w:highlight w:val="yellow"/>
        </w:rPr>
        <w:t xml:space="preserve">Here, we propose a </w:t>
      </w:r>
      <w:r w:rsidR="0005443A" w:rsidRPr="00D44C0B">
        <w:rPr>
          <w:rFonts w:ascii="Times New Roman" w:hAnsi="Times New Roman" w:cs="Times New Roman"/>
          <w:i/>
          <w:iCs/>
          <w:highlight w:val="yellow"/>
        </w:rPr>
        <w:t xml:space="preserve">2-stage approach to gain power in testing for genetic effects on longitudinal trait change. The approach comprises a first stage to select variants with significant genetic-by-age interaction in cross-sectional data and a second stage to test the selected variants for association with trait-change in longitudinal data. </w:t>
      </w:r>
      <w:r w:rsidR="002A30C5" w:rsidRPr="00D44C0B">
        <w:rPr>
          <w:rFonts w:ascii="Times New Roman" w:hAnsi="Times New Roman" w:cs="Times New Roman"/>
          <w:i/>
          <w:iCs/>
          <w:highlight w:val="yellow"/>
        </w:rPr>
        <w:t>The 2-stage approach reduces the multiple testing burden in the longitudinal data by exploiting relatively large cross-sectional sample sizes</w:t>
      </w:r>
      <w:r w:rsidR="00552D51" w:rsidRPr="00D44C0B">
        <w:rPr>
          <w:rFonts w:ascii="Times New Roman" w:hAnsi="Times New Roman" w:cs="Times New Roman"/>
          <w:i/>
          <w:iCs/>
          <w:highlight w:val="yellow"/>
        </w:rPr>
        <w:t>, and thus power, in the first stage</w:t>
      </w:r>
      <w:r w:rsidR="002A30C5" w:rsidRPr="00D44C0B">
        <w:rPr>
          <w:rFonts w:ascii="Times New Roman" w:hAnsi="Times New Roman" w:cs="Times New Roman"/>
          <w:i/>
          <w:iCs/>
          <w:highlight w:val="yellow"/>
        </w:rPr>
        <w:t>.</w:t>
      </w:r>
      <w:r w:rsidR="002A30C5" w:rsidRPr="00D44C0B">
        <w:rPr>
          <w:rFonts w:ascii="Times New Roman" w:hAnsi="Times New Roman" w:cs="Times New Roman"/>
          <w:i/>
          <w:iCs/>
        </w:rPr>
        <w:t xml:space="preserve"> </w:t>
      </w:r>
    </w:p>
    <w:bookmarkEnd w:id="0"/>
    <w:p w14:paraId="2E4C79F5" w14:textId="062B664E" w:rsidR="00F55A6B" w:rsidRPr="00D44C0B" w:rsidRDefault="00403A2B" w:rsidP="00736889">
      <w:pPr>
        <w:spacing w:before="100" w:beforeAutospacing="1" w:after="100" w:afterAutospacing="1" w:line="276" w:lineRule="auto"/>
        <w:jc w:val="both"/>
        <w:rPr>
          <w:rFonts w:ascii="Times New Roman" w:hAnsi="Times New Roman" w:cs="Times New Roman"/>
          <w:color w:val="2F5496" w:themeColor="accent5" w:themeShade="BF"/>
        </w:rPr>
      </w:pPr>
      <w:r w:rsidRPr="00D44C0B">
        <w:rPr>
          <w:rFonts w:ascii="Times New Roman" w:hAnsi="Times New Roman" w:cs="Times New Roman"/>
          <w:color w:val="2F5496" w:themeColor="accent5" w:themeShade="BF"/>
        </w:rPr>
        <w:br/>
        <w:t>2. "the assumption that there is no cohort effect", the author should propose a test to systematically validate the assumption in real dataset sets. This is important. I noticed that the authors did a sensitivity analysis for APOE. But this is limited.</w:t>
      </w:r>
    </w:p>
    <w:p w14:paraId="1517435D" w14:textId="0FB5FF04" w:rsidR="0000683E" w:rsidRPr="00D44C0B" w:rsidRDefault="002A30C5" w:rsidP="00736889">
      <w:pPr>
        <w:spacing w:before="100" w:beforeAutospacing="1" w:after="100" w:afterAutospacing="1" w:line="276" w:lineRule="auto"/>
        <w:jc w:val="both"/>
        <w:rPr>
          <w:rFonts w:ascii="Times New Roman" w:hAnsi="Times New Roman" w:cs="Times New Roman"/>
          <w:color w:val="000000" w:themeColor="text1"/>
          <w:lang w:val="en-US"/>
        </w:rPr>
      </w:pPr>
      <w:r w:rsidRPr="00D44C0B">
        <w:rPr>
          <w:rFonts w:ascii="Times New Roman" w:hAnsi="Times New Roman" w:cs="Times New Roman"/>
          <w:b/>
          <w:i/>
          <w:iCs/>
          <w:color w:val="000000" w:themeColor="text1"/>
          <w:lang w:val="en-US"/>
        </w:rPr>
        <w:t xml:space="preserve">Response: </w:t>
      </w:r>
      <w:r w:rsidRPr="00D44C0B">
        <w:rPr>
          <w:rFonts w:ascii="Times New Roman" w:hAnsi="Times New Roman" w:cs="Times New Roman"/>
          <w:i/>
          <w:iCs/>
          <w:color w:val="000000" w:themeColor="text1"/>
          <w:lang w:val="en-US"/>
        </w:rPr>
        <w:t xml:space="preserve">We agree with the reviewer that </w:t>
      </w:r>
      <w:r w:rsidR="00A64F7C" w:rsidRPr="00D44C0B">
        <w:rPr>
          <w:rFonts w:ascii="Times New Roman" w:hAnsi="Times New Roman" w:cs="Times New Roman"/>
          <w:i/>
          <w:iCs/>
          <w:color w:val="000000" w:themeColor="text1"/>
          <w:lang w:val="en-US"/>
        </w:rPr>
        <w:t xml:space="preserve">lack of cohort effect is </w:t>
      </w:r>
      <w:r w:rsidRPr="00D44C0B">
        <w:rPr>
          <w:rFonts w:ascii="Times New Roman" w:hAnsi="Times New Roman" w:cs="Times New Roman"/>
          <w:i/>
          <w:iCs/>
          <w:color w:val="000000" w:themeColor="text1"/>
          <w:lang w:val="en-US"/>
        </w:rPr>
        <w:t xml:space="preserve">important </w:t>
      </w:r>
      <w:r w:rsidR="00A64F7C" w:rsidRPr="00D44C0B">
        <w:rPr>
          <w:rFonts w:ascii="Times New Roman" w:hAnsi="Times New Roman" w:cs="Times New Roman"/>
          <w:i/>
          <w:iCs/>
          <w:color w:val="000000" w:themeColor="text1"/>
          <w:lang w:val="en-US"/>
        </w:rPr>
        <w:t>in longitudinal data analysis</w:t>
      </w:r>
      <w:r w:rsidRPr="00D44C0B">
        <w:rPr>
          <w:rFonts w:ascii="Times New Roman" w:hAnsi="Times New Roman" w:cs="Times New Roman"/>
          <w:i/>
          <w:iCs/>
          <w:color w:val="000000" w:themeColor="text1"/>
          <w:lang w:val="en-US"/>
        </w:rPr>
        <w:t xml:space="preserve">. </w:t>
      </w:r>
      <w:r w:rsidR="0000683E" w:rsidRPr="00D44C0B">
        <w:rPr>
          <w:rFonts w:ascii="Times New Roman" w:hAnsi="Times New Roman" w:cs="Times New Roman"/>
          <w:i/>
          <w:iCs/>
          <w:color w:val="000000" w:themeColor="text1"/>
          <w:lang w:val="en-US"/>
        </w:rPr>
        <w:t>In the previous version of the paper</w:t>
      </w:r>
      <w:r w:rsidR="0083281B" w:rsidRPr="00D44C0B">
        <w:rPr>
          <w:rFonts w:ascii="Times New Roman" w:hAnsi="Times New Roman" w:cs="Times New Roman"/>
          <w:i/>
          <w:iCs/>
          <w:color w:val="000000" w:themeColor="text1"/>
          <w:lang w:val="en-US"/>
        </w:rPr>
        <w:t xml:space="preserve">, </w:t>
      </w:r>
      <w:r w:rsidR="0000683E" w:rsidRPr="00D44C0B">
        <w:rPr>
          <w:rFonts w:ascii="Times New Roman" w:hAnsi="Times New Roman" w:cs="Times New Roman"/>
          <w:i/>
          <w:iCs/>
          <w:color w:val="000000" w:themeColor="text1"/>
          <w:lang w:val="en-US"/>
        </w:rPr>
        <w:t xml:space="preserve">we have </w:t>
      </w:r>
      <w:r w:rsidR="0083281B" w:rsidRPr="00D44C0B">
        <w:rPr>
          <w:rFonts w:ascii="Times New Roman" w:hAnsi="Times New Roman" w:cs="Times New Roman"/>
          <w:i/>
          <w:iCs/>
          <w:color w:val="000000" w:themeColor="text1"/>
          <w:lang w:val="en-US"/>
        </w:rPr>
        <w:t xml:space="preserve">addressed this by </w:t>
      </w:r>
      <w:r w:rsidR="0000683E" w:rsidRPr="00D44C0B">
        <w:rPr>
          <w:rFonts w:ascii="Times New Roman" w:hAnsi="Times New Roman" w:cs="Times New Roman"/>
          <w:i/>
          <w:iCs/>
          <w:color w:val="000000" w:themeColor="text1"/>
          <w:lang w:val="en-US"/>
        </w:rPr>
        <w:t>evaluat</w:t>
      </w:r>
      <w:r w:rsidR="0083281B" w:rsidRPr="00D44C0B">
        <w:rPr>
          <w:rFonts w:ascii="Times New Roman" w:hAnsi="Times New Roman" w:cs="Times New Roman"/>
          <w:i/>
          <w:iCs/>
          <w:color w:val="000000" w:themeColor="text1"/>
          <w:lang w:val="en-US"/>
        </w:rPr>
        <w:t>ing</w:t>
      </w:r>
      <w:r w:rsidR="0000683E" w:rsidRPr="00D44C0B">
        <w:rPr>
          <w:rFonts w:ascii="Times New Roman" w:hAnsi="Times New Roman" w:cs="Times New Roman"/>
          <w:i/>
          <w:iCs/>
          <w:color w:val="000000" w:themeColor="text1"/>
          <w:lang w:val="en-US"/>
        </w:rPr>
        <w:t xml:space="preserve"> </w:t>
      </w:r>
      <w:r w:rsidR="0083281B" w:rsidRPr="00D44C0B">
        <w:rPr>
          <w:rFonts w:ascii="Times New Roman" w:hAnsi="Times New Roman" w:cs="Times New Roman"/>
          <w:i/>
          <w:iCs/>
          <w:color w:val="000000" w:themeColor="text1"/>
          <w:lang w:val="en-US"/>
        </w:rPr>
        <w:t xml:space="preserve">the identified </w:t>
      </w:r>
      <w:proofErr w:type="spellStart"/>
      <w:r w:rsidR="0000683E" w:rsidRPr="00D44C0B">
        <w:rPr>
          <w:rFonts w:ascii="Times New Roman" w:hAnsi="Times New Roman" w:cs="Times New Roman"/>
          <w:i/>
          <w:iCs/>
          <w:color w:val="000000" w:themeColor="text1"/>
          <w:lang w:val="en-US"/>
        </w:rPr>
        <w:t>GxAge</w:t>
      </w:r>
      <w:proofErr w:type="spellEnd"/>
      <w:r w:rsidR="0000683E" w:rsidRPr="00D44C0B">
        <w:rPr>
          <w:rFonts w:ascii="Times New Roman" w:hAnsi="Times New Roman" w:cs="Times New Roman"/>
          <w:i/>
          <w:iCs/>
          <w:color w:val="000000" w:themeColor="text1"/>
          <w:lang w:val="en-US"/>
        </w:rPr>
        <w:t xml:space="preserve"> effects after adjustment for birthyear (to </w:t>
      </w:r>
      <w:r w:rsidR="0083281B" w:rsidRPr="00D44C0B">
        <w:rPr>
          <w:rFonts w:ascii="Times New Roman" w:hAnsi="Times New Roman" w:cs="Times New Roman"/>
          <w:i/>
          <w:iCs/>
          <w:color w:val="000000" w:themeColor="text1"/>
          <w:lang w:val="en-US"/>
        </w:rPr>
        <w:t xml:space="preserve">evaluate </w:t>
      </w:r>
      <w:r w:rsidR="0000683E" w:rsidRPr="00D44C0B">
        <w:rPr>
          <w:rFonts w:ascii="Times New Roman" w:hAnsi="Times New Roman" w:cs="Times New Roman"/>
          <w:i/>
          <w:iCs/>
          <w:color w:val="000000" w:themeColor="text1"/>
          <w:lang w:val="en-US"/>
        </w:rPr>
        <w:t xml:space="preserve">potential cohort confounding by birthyear effects) and tested the identified </w:t>
      </w:r>
      <w:proofErr w:type="spellStart"/>
      <w:r w:rsidR="0000683E" w:rsidRPr="00D44C0B">
        <w:rPr>
          <w:rFonts w:ascii="Times New Roman" w:hAnsi="Times New Roman" w:cs="Times New Roman"/>
          <w:i/>
          <w:iCs/>
          <w:color w:val="000000" w:themeColor="text1"/>
          <w:lang w:val="en-US"/>
        </w:rPr>
        <w:t>GxAge</w:t>
      </w:r>
      <w:proofErr w:type="spellEnd"/>
      <w:r w:rsidR="0000683E" w:rsidRPr="00D44C0B">
        <w:rPr>
          <w:rFonts w:ascii="Times New Roman" w:hAnsi="Times New Roman" w:cs="Times New Roman"/>
          <w:i/>
          <w:iCs/>
          <w:color w:val="000000" w:themeColor="text1"/>
          <w:lang w:val="en-US"/>
        </w:rPr>
        <w:t xml:space="preserve"> variants for association with age as the outcome</w:t>
      </w:r>
      <w:r w:rsidR="0083281B" w:rsidRPr="00D44C0B">
        <w:rPr>
          <w:rFonts w:ascii="Times New Roman" w:hAnsi="Times New Roman" w:cs="Times New Roman"/>
          <w:i/>
          <w:iCs/>
          <w:color w:val="000000" w:themeColor="text1"/>
          <w:lang w:val="en-US"/>
        </w:rPr>
        <w:t xml:space="preserve"> (</w:t>
      </w:r>
      <w:r w:rsidR="0000683E" w:rsidRPr="00D44C0B">
        <w:rPr>
          <w:rFonts w:ascii="Times New Roman" w:hAnsi="Times New Roman" w:cs="Times New Roman"/>
          <w:i/>
          <w:iCs/>
          <w:color w:val="000000" w:themeColor="text1"/>
          <w:lang w:val="en-US"/>
        </w:rPr>
        <w:t xml:space="preserve">which we expected to pinpoint cohort effects in UKB). Based on the reviewer comment, we have extended our analyses to testing the identified </w:t>
      </w:r>
      <w:proofErr w:type="spellStart"/>
      <w:r w:rsidR="0000683E" w:rsidRPr="00D44C0B">
        <w:rPr>
          <w:rFonts w:ascii="Times New Roman" w:hAnsi="Times New Roman" w:cs="Times New Roman"/>
          <w:i/>
          <w:iCs/>
          <w:color w:val="000000" w:themeColor="text1"/>
          <w:lang w:val="en-US"/>
        </w:rPr>
        <w:t>GxAge</w:t>
      </w:r>
      <w:proofErr w:type="spellEnd"/>
      <w:r w:rsidR="0000683E" w:rsidRPr="00D44C0B">
        <w:rPr>
          <w:rFonts w:ascii="Times New Roman" w:hAnsi="Times New Roman" w:cs="Times New Roman"/>
          <w:i/>
          <w:iCs/>
          <w:color w:val="000000" w:themeColor="text1"/>
          <w:lang w:val="en-US"/>
        </w:rPr>
        <w:t xml:space="preserve"> variants for association with birthyear as the outcome. </w:t>
      </w:r>
      <w:r w:rsidR="0083281B" w:rsidRPr="00D44C0B">
        <w:rPr>
          <w:rFonts w:ascii="Times New Roman" w:hAnsi="Times New Roman" w:cs="Times New Roman"/>
          <w:i/>
          <w:iCs/>
          <w:color w:val="000000" w:themeColor="text1"/>
          <w:lang w:val="en-US"/>
        </w:rPr>
        <w:t>The reason for this is because t</w:t>
      </w:r>
      <w:r w:rsidR="0000683E" w:rsidRPr="00D44C0B">
        <w:rPr>
          <w:rFonts w:ascii="Times New Roman" w:hAnsi="Times New Roman" w:cs="Times New Roman"/>
          <w:i/>
          <w:iCs/>
          <w:color w:val="000000" w:themeColor="text1"/>
          <w:lang w:val="en-US"/>
        </w:rPr>
        <w:t xml:space="preserve">here is an important distinction between age and birthyear: SNP associations on age pinpoint effects on longevity or age-dependent selection into the study, while SNP associations on birthyear pinpoint </w:t>
      </w:r>
      <w:r w:rsidR="00262BCE" w:rsidRPr="00D44C0B">
        <w:rPr>
          <w:rFonts w:ascii="Times New Roman" w:hAnsi="Times New Roman" w:cs="Times New Roman"/>
          <w:i/>
          <w:iCs/>
          <w:color w:val="000000" w:themeColor="text1"/>
          <w:lang w:val="en-US"/>
        </w:rPr>
        <w:t xml:space="preserve">cohort effects depending on birthyear. Importantly, in a cohort study like UKB, where </w:t>
      </w:r>
      <w:r w:rsidR="00262BCE" w:rsidRPr="00D44C0B">
        <w:rPr>
          <w:rFonts w:ascii="Times New Roman" w:hAnsi="Times New Roman" w:cs="Times New Roman"/>
          <w:i/>
          <w:iCs/>
          <w:color w:val="000000" w:themeColor="text1"/>
          <w:lang w:val="en-US"/>
        </w:rPr>
        <w:lastRenderedPageBreak/>
        <w:t>all</w:t>
      </w:r>
      <w:r w:rsidR="00262BCE" w:rsidRPr="00D44C0B">
        <w:rPr>
          <w:rFonts w:ascii="Times New Roman" w:hAnsi="Times New Roman" w:cs="Times New Roman"/>
          <w:color w:val="000000" w:themeColor="text1"/>
          <w:lang w:val="en-US"/>
        </w:rPr>
        <w:t xml:space="preserve"> </w:t>
      </w:r>
      <w:r w:rsidR="00262BCE" w:rsidRPr="00D44C0B">
        <w:rPr>
          <w:rFonts w:ascii="Times New Roman" w:hAnsi="Times New Roman" w:cs="Times New Roman"/>
          <w:i/>
          <w:iCs/>
          <w:color w:val="000000" w:themeColor="text1"/>
          <w:lang w:val="en-US"/>
        </w:rPr>
        <w:t>individuals attend the study center in a relatively short time span of few years, age and birthyear will be highly correlated</w:t>
      </w:r>
      <w:r w:rsidR="0083281B" w:rsidRPr="00D44C0B">
        <w:rPr>
          <w:rFonts w:ascii="Times New Roman" w:hAnsi="Times New Roman" w:cs="Times New Roman"/>
          <w:i/>
          <w:iCs/>
          <w:color w:val="000000" w:themeColor="text1"/>
          <w:lang w:val="en-US"/>
        </w:rPr>
        <w:t xml:space="preserve"> (r=-0.99 in UKB)</w:t>
      </w:r>
      <w:r w:rsidR="00262BCE" w:rsidRPr="00D44C0B">
        <w:rPr>
          <w:rFonts w:ascii="Times New Roman" w:hAnsi="Times New Roman" w:cs="Times New Roman"/>
          <w:i/>
          <w:iCs/>
          <w:color w:val="000000" w:themeColor="text1"/>
          <w:lang w:val="en-US"/>
        </w:rPr>
        <w:t xml:space="preserve">, so that the distinction </w:t>
      </w:r>
      <w:r w:rsidR="0083281B" w:rsidRPr="00D44C0B">
        <w:rPr>
          <w:rFonts w:ascii="Times New Roman" w:hAnsi="Times New Roman" w:cs="Times New Roman"/>
          <w:i/>
          <w:iCs/>
          <w:color w:val="000000" w:themeColor="text1"/>
          <w:lang w:val="en-US"/>
        </w:rPr>
        <w:t xml:space="preserve">and interpretation of </w:t>
      </w:r>
      <w:r w:rsidR="00262BCE" w:rsidRPr="00D44C0B">
        <w:rPr>
          <w:rFonts w:ascii="Times New Roman" w:hAnsi="Times New Roman" w:cs="Times New Roman"/>
          <w:i/>
          <w:iCs/>
          <w:color w:val="000000" w:themeColor="text1"/>
          <w:lang w:val="en-US"/>
        </w:rPr>
        <w:t xml:space="preserve">pinpointed effects will be less obvious. To address this, we have </w:t>
      </w:r>
      <w:r w:rsidR="0083281B" w:rsidRPr="00D44C0B">
        <w:rPr>
          <w:rFonts w:ascii="Times New Roman" w:hAnsi="Times New Roman" w:cs="Times New Roman"/>
          <w:i/>
          <w:iCs/>
          <w:color w:val="000000" w:themeColor="text1"/>
          <w:lang w:val="en-US"/>
        </w:rPr>
        <w:t xml:space="preserve">now also </w:t>
      </w:r>
      <w:r w:rsidR="00262BCE" w:rsidRPr="00D44C0B">
        <w:rPr>
          <w:rFonts w:ascii="Times New Roman" w:hAnsi="Times New Roman" w:cs="Times New Roman"/>
          <w:i/>
          <w:iCs/>
          <w:color w:val="000000" w:themeColor="text1"/>
          <w:lang w:val="en-US"/>
        </w:rPr>
        <w:t xml:space="preserve">conducted SNP association tests on birthyear, and updated Supplementary </w:t>
      </w:r>
      <w:r w:rsidR="00262BCE" w:rsidRPr="00D44C0B">
        <w:rPr>
          <w:rFonts w:ascii="Times New Roman" w:hAnsi="Times New Roman" w:cs="Times New Roman"/>
          <w:b/>
          <w:i/>
          <w:iCs/>
          <w:color w:val="000000" w:themeColor="text1"/>
          <w:lang w:val="en-US"/>
        </w:rPr>
        <w:t>Table S6</w:t>
      </w:r>
      <w:r w:rsidR="00262BCE" w:rsidRPr="00D44C0B">
        <w:rPr>
          <w:rFonts w:ascii="Times New Roman" w:hAnsi="Times New Roman" w:cs="Times New Roman"/>
          <w:i/>
          <w:iCs/>
          <w:color w:val="000000" w:themeColor="text1"/>
          <w:lang w:val="en-US"/>
        </w:rPr>
        <w:t xml:space="preserve"> (which now combines all three sensitivity analysis results </w:t>
      </w:r>
      <w:r w:rsidR="0083281B" w:rsidRPr="00D44C0B">
        <w:rPr>
          <w:rFonts w:ascii="Times New Roman" w:hAnsi="Times New Roman" w:cs="Times New Roman"/>
          <w:i/>
          <w:iCs/>
          <w:color w:val="000000" w:themeColor="text1"/>
          <w:lang w:val="en-US"/>
        </w:rPr>
        <w:t xml:space="preserve">for all identified </w:t>
      </w:r>
      <w:proofErr w:type="spellStart"/>
      <w:r w:rsidR="0083281B" w:rsidRPr="00D44C0B">
        <w:rPr>
          <w:rFonts w:ascii="Times New Roman" w:hAnsi="Times New Roman" w:cs="Times New Roman"/>
          <w:i/>
          <w:iCs/>
          <w:color w:val="000000" w:themeColor="text1"/>
          <w:lang w:val="en-US"/>
        </w:rPr>
        <w:t>GxAge</w:t>
      </w:r>
      <w:proofErr w:type="spellEnd"/>
      <w:r w:rsidR="0083281B" w:rsidRPr="00D44C0B">
        <w:rPr>
          <w:rFonts w:ascii="Times New Roman" w:hAnsi="Times New Roman" w:cs="Times New Roman"/>
          <w:i/>
          <w:iCs/>
          <w:color w:val="000000" w:themeColor="text1"/>
          <w:lang w:val="en-US"/>
        </w:rPr>
        <w:t xml:space="preserve"> variants </w:t>
      </w:r>
      <w:r w:rsidR="00262BCE" w:rsidRPr="00D44C0B">
        <w:rPr>
          <w:rFonts w:ascii="Times New Roman" w:hAnsi="Times New Roman" w:cs="Times New Roman"/>
          <w:i/>
          <w:iCs/>
          <w:color w:val="000000" w:themeColor="text1"/>
          <w:lang w:val="en-US"/>
        </w:rPr>
        <w:t xml:space="preserve">in </w:t>
      </w:r>
      <w:r w:rsidR="0083281B" w:rsidRPr="00D44C0B">
        <w:rPr>
          <w:rFonts w:ascii="Times New Roman" w:hAnsi="Times New Roman" w:cs="Times New Roman"/>
          <w:i/>
          <w:iCs/>
          <w:color w:val="000000" w:themeColor="text1"/>
          <w:lang w:val="en-US"/>
        </w:rPr>
        <w:t xml:space="preserve">a single </w:t>
      </w:r>
      <w:r w:rsidR="00262BCE" w:rsidRPr="00D44C0B">
        <w:rPr>
          <w:rFonts w:ascii="Times New Roman" w:hAnsi="Times New Roman" w:cs="Times New Roman"/>
          <w:i/>
          <w:iCs/>
          <w:color w:val="000000" w:themeColor="text1"/>
          <w:lang w:val="en-US"/>
        </w:rPr>
        <w:t>table):</w:t>
      </w:r>
      <w:r w:rsidR="00262BCE" w:rsidRPr="00D44C0B">
        <w:rPr>
          <w:rFonts w:ascii="Times New Roman" w:hAnsi="Times New Roman" w:cs="Times New Roman"/>
          <w:color w:val="000000" w:themeColor="text1"/>
          <w:lang w:val="en-US"/>
        </w:rPr>
        <w:t xml:space="preserve"> </w:t>
      </w:r>
    </w:p>
    <w:p w14:paraId="585A3BA3" w14:textId="2E1E22BE" w:rsidR="00262BCE" w:rsidRPr="00D44C0B" w:rsidRDefault="00262BCE" w:rsidP="00736889">
      <w:pPr>
        <w:spacing w:before="100" w:beforeAutospacing="1" w:after="100" w:afterAutospacing="1" w:line="276" w:lineRule="auto"/>
        <w:jc w:val="both"/>
        <w:rPr>
          <w:rFonts w:ascii="Times New Roman" w:hAnsi="Times New Roman" w:cs="Times New Roman"/>
          <w:color w:val="000000" w:themeColor="text1"/>
          <w:lang w:val="en-US"/>
        </w:rPr>
      </w:pPr>
      <w:r w:rsidRPr="00D44C0B">
        <w:rPr>
          <w:rFonts w:ascii="Times New Roman" w:hAnsi="Times New Roman" w:cs="Times New Roman"/>
          <w:noProof/>
        </w:rPr>
        <w:drawing>
          <wp:inline distT="0" distB="0" distL="0" distR="0" wp14:anchorId="5527A239" wp14:editId="1C0EF095">
            <wp:extent cx="5760720" cy="118999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1189990"/>
                    </a:xfrm>
                    <a:prstGeom prst="rect">
                      <a:avLst/>
                    </a:prstGeom>
                  </pic:spPr>
                </pic:pic>
              </a:graphicData>
            </a:graphic>
          </wp:inline>
        </w:drawing>
      </w:r>
    </w:p>
    <w:p w14:paraId="7689CFFB" w14:textId="75580D53" w:rsidR="00262BCE" w:rsidRPr="00D44C0B" w:rsidRDefault="00262BCE" w:rsidP="00736889">
      <w:pPr>
        <w:spacing w:before="100" w:beforeAutospacing="1" w:after="100" w:afterAutospacing="1" w:line="276" w:lineRule="auto"/>
        <w:jc w:val="both"/>
        <w:rPr>
          <w:rFonts w:ascii="Times New Roman" w:hAnsi="Times New Roman" w:cs="Times New Roman"/>
          <w:i/>
          <w:iCs/>
          <w:color w:val="000000" w:themeColor="text1"/>
          <w:lang w:val="en-US"/>
        </w:rPr>
      </w:pPr>
      <w:r w:rsidRPr="00D44C0B">
        <w:rPr>
          <w:rFonts w:ascii="Times New Roman" w:hAnsi="Times New Roman" w:cs="Times New Roman"/>
          <w:i/>
          <w:iCs/>
          <w:color w:val="000000" w:themeColor="text1"/>
          <w:lang w:val="en-US"/>
        </w:rPr>
        <w:t>We have extended the description of the sensitivity analyses in the main text as follows</w:t>
      </w:r>
      <w:r w:rsidR="0031263A" w:rsidRPr="00D44C0B">
        <w:rPr>
          <w:rFonts w:ascii="Times New Roman" w:hAnsi="Times New Roman" w:cs="Times New Roman"/>
          <w:i/>
          <w:iCs/>
          <w:color w:val="000000" w:themeColor="text1"/>
          <w:lang w:val="en-US"/>
        </w:rPr>
        <w:t xml:space="preserve"> (p. 9)</w:t>
      </w:r>
      <w:r w:rsidRPr="00D44C0B">
        <w:rPr>
          <w:rFonts w:ascii="Times New Roman" w:hAnsi="Times New Roman" w:cs="Times New Roman"/>
          <w:i/>
          <w:iCs/>
          <w:color w:val="000000" w:themeColor="text1"/>
          <w:lang w:val="en-US"/>
        </w:rPr>
        <w:t xml:space="preserve">: </w:t>
      </w:r>
    </w:p>
    <w:p w14:paraId="091B9389" w14:textId="77777777" w:rsidR="00754139" w:rsidRPr="00D44C0B" w:rsidRDefault="00754139" w:rsidP="00754139">
      <w:pPr>
        <w:spacing w:after="0"/>
        <w:ind w:firstLine="708"/>
        <w:jc w:val="both"/>
        <w:rPr>
          <w:rFonts w:ascii="Times New Roman" w:hAnsi="Times New Roman" w:cs="Times New Roman"/>
        </w:rPr>
      </w:pPr>
      <w:bookmarkStart w:id="1" w:name="_Hlk168577637"/>
      <w:r w:rsidRPr="00D44C0B">
        <w:rPr>
          <w:rFonts w:ascii="Times New Roman" w:hAnsi="Times New Roman" w:cs="Times New Roman"/>
          <w:i/>
          <w:iCs/>
          <w:highlight w:val="yellow"/>
        </w:rPr>
        <w:t>To investigate whether cohort, selection or survival effects confounded the observed genetic-by-age interaction effects, we conducted three sensitivity analyses (</w:t>
      </w:r>
      <w:r w:rsidRPr="00D44C0B">
        <w:rPr>
          <w:rFonts w:ascii="Times New Roman" w:hAnsi="Times New Roman" w:cs="Times New Roman"/>
          <w:b/>
          <w:i/>
          <w:iCs/>
          <w:highlight w:val="yellow"/>
        </w:rPr>
        <w:t>Methods</w:t>
      </w:r>
      <w:r w:rsidRPr="00D44C0B">
        <w:rPr>
          <w:rFonts w:ascii="Times New Roman" w:hAnsi="Times New Roman" w:cs="Times New Roman"/>
          <w:i/>
          <w:iCs/>
          <w:highlight w:val="yellow"/>
        </w:rPr>
        <w:t>). To evaluate cohort effects that may stem from birthyear effects on genetics and outcomes, we first included birthyear as covariate in the genetic-by-age interaction regression model and observed stable genetic-by-age interaction effects for all variants (</w:t>
      </w:r>
      <w:r w:rsidRPr="00D44C0B">
        <w:rPr>
          <w:rFonts w:ascii="Times New Roman" w:hAnsi="Times New Roman" w:cs="Times New Roman"/>
          <w:b/>
          <w:i/>
          <w:iCs/>
          <w:highlight w:val="yellow"/>
        </w:rPr>
        <w:t>Table S6</w:t>
      </w:r>
      <w:r w:rsidRPr="00D44C0B">
        <w:rPr>
          <w:rFonts w:ascii="Times New Roman" w:hAnsi="Times New Roman" w:cs="Times New Roman"/>
          <w:i/>
          <w:iCs/>
          <w:highlight w:val="yellow"/>
        </w:rPr>
        <w:t>). We then tested the variants for association with birthyear as the outcome in a linear regression model and observed significant effects on birthyear for the APOE variant rs429358 (P</w:t>
      </w:r>
      <w:r w:rsidRPr="00D44C0B">
        <w:rPr>
          <w:rFonts w:ascii="Times New Roman" w:hAnsi="Times New Roman" w:cs="Times New Roman"/>
          <w:i/>
          <w:iCs/>
          <w:highlight w:val="yellow"/>
          <w:vertAlign w:val="subscript"/>
        </w:rPr>
        <w:t>G</w:t>
      </w:r>
      <w:r w:rsidRPr="00D44C0B">
        <w:rPr>
          <w:rFonts w:ascii="Times New Roman" w:hAnsi="Times New Roman" w:cs="Times New Roman"/>
          <w:i/>
          <w:iCs/>
          <w:highlight w:val="yellow"/>
          <w:vertAlign w:val="subscript"/>
        </w:rPr>
        <w:sym w:font="Wingdings" w:char="F0E0"/>
      </w:r>
      <w:r w:rsidRPr="00D44C0B">
        <w:rPr>
          <w:rFonts w:ascii="Times New Roman" w:hAnsi="Times New Roman" w:cs="Times New Roman"/>
          <w:i/>
          <w:iCs/>
          <w:highlight w:val="yellow"/>
          <w:vertAlign w:val="subscript"/>
        </w:rPr>
        <w:t>Birthyear</w:t>
      </w:r>
      <w:r w:rsidRPr="00D44C0B">
        <w:rPr>
          <w:rFonts w:ascii="Times New Roman" w:hAnsi="Times New Roman" w:cs="Times New Roman"/>
          <w:i/>
          <w:iCs/>
          <w:highlight w:val="yellow"/>
        </w:rPr>
        <w:t>=2.6x10</w:t>
      </w:r>
      <w:r w:rsidRPr="00D44C0B">
        <w:rPr>
          <w:rFonts w:ascii="Times New Roman" w:hAnsi="Times New Roman" w:cs="Times New Roman"/>
          <w:i/>
          <w:iCs/>
          <w:highlight w:val="yellow"/>
          <w:vertAlign w:val="superscript"/>
        </w:rPr>
        <w:t>-5</w:t>
      </w:r>
      <w:r w:rsidRPr="00D44C0B">
        <w:rPr>
          <w:rFonts w:ascii="Times New Roman" w:hAnsi="Times New Roman" w:cs="Times New Roman"/>
          <w:i/>
          <w:iCs/>
          <w:highlight w:val="yellow"/>
        </w:rPr>
        <w:t xml:space="preserve">, </w:t>
      </w:r>
      <w:r w:rsidRPr="00D44C0B">
        <w:rPr>
          <w:rFonts w:ascii="Times New Roman" w:hAnsi="Times New Roman" w:cs="Times New Roman"/>
          <w:b/>
          <w:i/>
          <w:iCs/>
          <w:highlight w:val="yellow"/>
        </w:rPr>
        <w:t>Table S6</w:t>
      </w:r>
      <w:r w:rsidRPr="00D44C0B">
        <w:rPr>
          <w:rFonts w:ascii="Times New Roman" w:hAnsi="Times New Roman" w:cs="Times New Roman"/>
          <w:i/>
          <w:iCs/>
          <w:highlight w:val="yellow"/>
        </w:rPr>
        <w:t>). To evaluate selection and survival effects, we tested for association of the variants with age and again found one significant age-association for the APOE variant rs429358 (P</w:t>
      </w:r>
      <w:r w:rsidRPr="00D44C0B">
        <w:rPr>
          <w:rFonts w:ascii="Times New Roman" w:hAnsi="Times New Roman" w:cs="Times New Roman"/>
          <w:i/>
          <w:iCs/>
          <w:highlight w:val="yellow"/>
          <w:vertAlign w:val="subscript"/>
        </w:rPr>
        <w:t>G</w:t>
      </w:r>
      <w:r w:rsidRPr="00D44C0B">
        <w:rPr>
          <w:rFonts w:ascii="Times New Roman" w:hAnsi="Times New Roman" w:cs="Times New Roman"/>
          <w:i/>
          <w:iCs/>
          <w:highlight w:val="yellow"/>
          <w:vertAlign w:val="subscript"/>
        </w:rPr>
        <w:sym w:font="Wingdings" w:char="F0E0"/>
      </w:r>
      <w:r w:rsidRPr="00D44C0B">
        <w:rPr>
          <w:rFonts w:ascii="Times New Roman" w:hAnsi="Times New Roman" w:cs="Times New Roman"/>
          <w:i/>
          <w:iCs/>
          <w:highlight w:val="yellow"/>
          <w:vertAlign w:val="subscript"/>
        </w:rPr>
        <w:t>Age</w:t>
      </w:r>
      <w:r w:rsidRPr="00D44C0B">
        <w:rPr>
          <w:rFonts w:ascii="Times New Roman" w:hAnsi="Times New Roman" w:cs="Times New Roman"/>
          <w:i/>
          <w:iCs/>
          <w:highlight w:val="yellow"/>
        </w:rPr>
        <w:t>=4.6x10</w:t>
      </w:r>
      <w:r w:rsidRPr="00D44C0B">
        <w:rPr>
          <w:rFonts w:ascii="Times New Roman" w:hAnsi="Times New Roman" w:cs="Times New Roman"/>
          <w:i/>
          <w:iCs/>
          <w:highlight w:val="yellow"/>
          <w:vertAlign w:val="superscript"/>
        </w:rPr>
        <w:t>-5</w:t>
      </w:r>
      <w:r w:rsidRPr="00D44C0B">
        <w:rPr>
          <w:rFonts w:ascii="Times New Roman" w:hAnsi="Times New Roman" w:cs="Times New Roman"/>
          <w:i/>
          <w:iCs/>
          <w:highlight w:val="yellow"/>
        </w:rPr>
        <w:t xml:space="preserve">, </w:t>
      </w:r>
      <w:r w:rsidRPr="00D44C0B">
        <w:rPr>
          <w:rFonts w:ascii="Times New Roman" w:hAnsi="Times New Roman" w:cs="Times New Roman"/>
          <w:b/>
          <w:i/>
          <w:iCs/>
          <w:highlight w:val="yellow"/>
        </w:rPr>
        <w:t>Table S6</w:t>
      </w:r>
      <w:r w:rsidRPr="00D44C0B">
        <w:rPr>
          <w:rFonts w:ascii="Times New Roman" w:hAnsi="Times New Roman" w:cs="Times New Roman"/>
          <w:i/>
          <w:iCs/>
          <w:highlight w:val="yellow"/>
        </w:rPr>
        <w:t>). Due to the high correlation between birthyear and age in UKB (r=-0.99; due to recruiting within a relatively short time span of few years) and the known detrimental effects of APOE on health, we concluded that the observed genetic-by-age interactions of APOE on BMI, weight and triglycerides were likely confounded by age-dependent selection of individuals into UKB rather than cohort effects that would stem from birthyear effects. Given the theoretical similarity of genetic-by-age and genetics-of-change effect sizes shown above, our sensitivity analyses underscore that our identified variants - except APOE - are truly affecting longitudinal change of the respective traits.</w:t>
      </w:r>
    </w:p>
    <w:bookmarkEnd w:id="1"/>
    <w:p w14:paraId="355B738B" w14:textId="2056E5C3" w:rsidR="00262BCE" w:rsidRPr="00D44C0B" w:rsidRDefault="00262BCE" w:rsidP="00736889">
      <w:pPr>
        <w:spacing w:before="100" w:beforeAutospacing="1" w:after="100" w:afterAutospacing="1" w:line="276" w:lineRule="auto"/>
        <w:jc w:val="both"/>
        <w:rPr>
          <w:rFonts w:ascii="Times New Roman" w:hAnsi="Times New Roman" w:cs="Times New Roman"/>
          <w:i/>
          <w:iCs/>
          <w:color w:val="000000" w:themeColor="text1"/>
        </w:rPr>
      </w:pPr>
      <w:r w:rsidRPr="00D44C0B">
        <w:rPr>
          <w:rFonts w:ascii="Times New Roman" w:hAnsi="Times New Roman" w:cs="Times New Roman"/>
          <w:i/>
          <w:iCs/>
          <w:color w:val="000000" w:themeColor="text1"/>
        </w:rPr>
        <w:t>We describe the proposed strategy and limitations in the discussion</w:t>
      </w:r>
      <w:r w:rsidR="0031263A" w:rsidRPr="00D44C0B">
        <w:rPr>
          <w:rFonts w:ascii="Times New Roman" w:hAnsi="Times New Roman" w:cs="Times New Roman"/>
          <w:i/>
          <w:iCs/>
          <w:color w:val="000000" w:themeColor="text1"/>
        </w:rPr>
        <w:t xml:space="preserve"> (p. 15)</w:t>
      </w:r>
      <w:r w:rsidRPr="00D44C0B">
        <w:rPr>
          <w:rFonts w:ascii="Times New Roman" w:hAnsi="Times New Roman" w:cs="Times New Roman"/>
          <w:i/>
          <w:iCs/>
          <w:color w:val="000000" w:themeColor="text1"/>
        </w:rPr>
        <w:t xml:space="preserve">: </w:t>
      </w:r>
    </w:p>
    <w:p w14:paraId="7982DCD9" w14:textId="77777777" w:rsidR="00754139" w:rsidRPr="00D44C0B" w:rsidRDefault="00754139" w:rsidP="00736889">
      <w:pPr>
        <w:spacing w:before="100" w:beforeAutospacing="1" w:after="100" w:afterAutospacing="1" w:line="276" w:lineRule="auto"/>
        <w:jc w:val="both"/>
        <w:rPr>
          <w:rFonts w:ascii="Times New Roman" w:hAnsi="Times New Roman" w:cs="Times New Roman"/>
          <w:i/>
          <w:iCs/>
        </w:rPr>
      </w:pPr>
      <w:bookmarkStart w:id="2" w:name="_Hlk168577692"/>
      <w:r w:rsidRPr="00D44C0B">
        <w:rPr>
          <w:rFonts w:ascii="Times New Roman" w:hAnsi="Times New Roman" w:cs="Times New Roman"/>
          <w:i/>
          <w:iCs/>
          <w:highlight w:val="yellow"/>
        </w:rPr>
        <w:t xml:space="preserve">Importantly, the identified genetic-by-age interaction and annual change effects can be biased due to confounding by cohort effects, i.e., birthyear, or by age-dependent selection/survival effects. Cohort effects can be addressed by adjusting the genetic-by-age interaction effects for birthyear and by testing variants for association with birthyear. Selection/survival effects can be addressed by testing variants for association with age. Importantly, for cohort studies like UKB that typically recruit individuals in a relatively short time span of few years, birthyear and age will be highly correlated, which is why similar age and birthyear variant associations are to be expected. Thus, their results should be carefully interpreted in the light of known mechanisms for the specific variant. Among our identified variants, we observed significant effects on birthyear and age for the APOE variant </w:t>
      </w:r>
      <w:r w:rsidRPr="00D44C0B">
        <w:rPr>
          <w:rFonts w:ascii="Times New Roman" w:eastAsia="Times New Roman" w:hAnsi="Times New Roman" w:cs="Times New Roman"/>
          <w:i/>
          <w:iCs/>
          <w:color w:val="000000"/>
          <w:highlight w:val="yellow"/>
        </w:rPr>
        <w:t xml:space="preserve">rs429358, which is also </w:t>
      </w:r>
      <w:r w:rsidRPr="00D44C0B">
        <w:rPr>
          <w:rFonts w:ascii="Times New Roman" w:hAnsi="Times New Roman" w:cs="Times New Roman"/>
          <w:i/>
          <w:iCs/>
          <w:highlight w:val="yellow"/>
        </w:rPr>
        <w:t xml:space="preserve">known to be associated with Alzheimer’s and early mortality </w:t>
      </w:r>
      <w:r w:rsidRPr="00D44C0B">
        <w:rPr>
          <w:rFonts w:ascii="Times New Roman" w:hAnsi="Times New Roman" w:cs="Times New Roman"/>
          <w:i/>
          <w:iCs/>
          <w:highlight w:val="yellow"/>
        </w:rPr>
        <w:fldChar w:fldCharType="begin" w:fldLock="1"/>
      </w:r>
      <w:r w:rsidRPr="00D44C0B">
        <w:rPr>
          <w:rFonts w:ascii="Times New Roman" w:hAnsi="Times New Roman" w:cs="Times New Roman"/>
          <w:i/>
          <w:iCs/>
          <w:highlight w:val="yellow"/>
        </w:rPr>
        <w:instrText>ADDIN CSL_CITATION {"citationItems":[{"id":"ITEM-1","itemData":{"DOI":"10.3233/JAD-2011-101764","ISSN":"1875-8908","PMID":"21263195","abstract":"This paper addresses a tenet of the literature on APOE, i.e., the relationship between the effects of the 4, one of the established genetic risk factor for Alzheimer's disease (AD), and its expression levels as determined by APOE promoter polymorphisms. Five polymorphisms (-491 rs449647,-427 rs769446,-219 rs405509, and rs429358-rs7412) were studied in 1308 AD patients and 1082 control individuals from the Central-Northern Italy. Major findings of the present study are the following: 1) the variants-219T and 4 increase the risk for late onset AD (LOAD) when they are both present in cis on the same chromosome (in phase); 2) the correlation between the haplotype (-219T/4) and AD risk persists when the data are stratified by age; 3) this haplotype likely anticipates the age of onset of the disease. These data, while confirming the association between-219T and AD, highlight the importance of the phase of the alleles for the observed effects on AD risk, suggesting that this information has to be taken into account when assessing the AD genetic risk. Moreover, the data help to clarify the apparent discrepancy that emerges from the genetic analysis where an SNP characterizing the haplotype responsible for an increased risk for LOAD is coherently associated with a reduced expression of ApoE levels. Our data are compatible with the hypothesis of a complex role of ApoE in the AD pathogenesis, with positive and negative effects occurring concomitantly according to its expression levels and its protein-protein interactions largely unclarified. © 2011 - IOS Press and the authors. All rights reserved.","author":[{"dropping-particle":"","family":"Lescai","given":"Francesco","non-dropping-particle":"","parse-names":false,"suffix":""},{"dropping-particle":"","family":"Chiamenti","given":"Andrea Maria","non-dropping-particle":"","parse-names":false,"suffix":""},{"dropping-particle":"","family":"Codemo","given":"Alessandra","non-dropping-particle":"","parse-names":false,"suffix":""},{"dropping-particle":"","family":"Pirazzini","given":"Chiara","non-dropping-particle":"","parse-names":false,"suffix":""},{"dropping-particle":"","family":"D'Agostino","given":"Giuseppe","non-dropping-particle":"","parse-names":false,"suffix":""},{"dropping-particle":"","family":"Ruaro","given":"Cristina","non-dropping-particle":"","parse-names":false,"suffix":""},{"dropping-particle":"","family":"Ghidoni","given":"Roberta","non-dropping-particle":"","parse-names":false,"suffix":""},{"dropping-particle":"","family":"Benussi","given":"Luisa","non-dropping-particle":"","parse-names":false,"suffix":""},{"dropping-particle":"","family":"Galimberti","given":"Daniela","non-dropping-particle":"","parse-names":false,"suffix":""},{"dropping-particle":"","family":"Esposito","given":"Federica","non-dropping-particle":"","parse-names":false,"suffix":""},{"dropping-particle":"","family":"Marchegiani","given":"Francesca","non-dropping-particle":"","parse-names":false,"suffix":""},{"dropping-particle":"","family":"Cardelli","given":"Maurizio","non-dropping-particle":"","parse-names":false,"suffix":""},{"dropping-particle":"","family":"Olivieri","given":"Fabiola","non-dropping-particle":"","parse-names":false,"suffix":""},{"dropping-particle":"","family":"Nacmias","given":"Benedetta","non-dropping-particle":"","parse-names":false,"suffix":""},{"dropping-particle":"","family":"Sorbi","given":"Sandro","non-dropping-particle":"","parse-names":false,"suffix":""},{"dropping-particle":"","family":"Tagliavini","given":"Fabrizio","non-dropping-particle":"","parse-names":false,"suffix":""},{"dropping-particle":"","family":"Albani","given":"Diego","non-dropping-particle":"","parse-names":false,"suffix":""},{"dropping-particle":"","family":"Boneschi","given":"Filippo Martinelli","non-dropping-particle":"","parse-names":false,"suffix":""},{"dropping-particle":"","family":"Binetti","given":"Giuliano","non-dropping-particle":"","parse-names":false,"suffix":""},{"dropping-particle":"","family":"Santoro","given":"Aurelia","non-dropping-particle":"","parse-names":false,"suffix":""},{"dropping-particle":"","family":"Forloni","given":"Gianluigi","non-dropping-particle":"","parse-names":false,"suffix":""},{"dropping-particle":"","family":"Scarpini","given":"Elio","non-dropping-particle":"","parse-names":false,"suffix":""},{"dropping-particle":"","family":"Crepaldi","given":"Gaetano","non-dropping-particle":"","parse-names":false,"suffix":""},{"dropping-particle":"","family":"Gabelli","given":"Carlo","non-dropping-particle":"","parse-names":false,"suffix":""},{"dropping-particle":"","family":"Franceschi","given":"Claudio","non-dropping-particle":"","parse-names":false,"suffix":""}],"container-title":"Journal of Alzheimer's disease : JAD","id":"ITEM-1","issue":"2","issued":{"date-parts":[["2011"]]},"page":"235-245","publisher":"J Alzheimers Dis","title":"An APOE haplotype associated with decreased ε4 expression increases the risk of late onset Alzheimer's disease","type":"article-journal","volume":"24"},"uris":["http://www.mendeley.com/documents/?uuid=ab686c12-8488-3532-999c-009a5af3df0f"]},{"id":"ITEM-2","itemData":{"DOI":"10.1038/s41588-021-00921-z","ISSN":"15461718","PMID":"34493870","abstract":"Late-onset Alzheimer’s disease is a prevalent age-related polygenic disease that accounts for 50–70% of dementia cases. Currently, only a fraction of the genetic variants underlying Alzheimer’s disease have been identified. Here we show that increased sample sizes allowed identification of seven previously unidentified genetic loci contributing to Alzheimer’s disease. This study highlights microglia, immune cells and protein catabolism as relevant to late-onset Alzheimer’s disease, while identifying and prioritizing previously unidentified genes of potential interest. We anticipate that these results can be included in larger meta-analyses of Alzheimer’s disease to identify further genetic variants that contribute to Alzheimer’s pathology.","author":[{"dropping-particle":"","family":"Wightman","given":"Douglas P.","non-dropping-particle":"","parse-names":false,"suffix":""},{"dropping-particle":"","family":"Jansen","given":"Iris E.","non-dropping-particle":"","parse-names":false,"suffix":""},{"dropping-particle":"","family":"Savage","given":"Jeanne E.","non-dropping-particle":"","parse-names":false,"suffix":""},{"dropping-particle":"","family":"Shadrin","given":"Alexey A.","non-dropping-particle":"","parse-names":false,"suffix":""},{"dropping-particle":"","family":"Bahrami","given":"Shahram","non-dropping-particle":"","parse-names":false,"suffix":""},{"dropping-particle":"","family":"Holland","given":"Dominic","non-dropping-particle":"","parse-names":false,"suffix":""},{"dropping-particle":"","family":"Rongve","given":"Arvid","non-dropping-particle":"","parse-names":false,"suffix":""},{"dropping-particle":"","family":"Børte","given":"Sigrid","non-dropping-particle":"","parse-names":false,"suffix":""},{"dropping-particle":"","family":"Winsvold","given":"Bendik S.","non-dropping-particle":"","parse-names":false,"suffix":""},{"dropping-particle":"","family":"Drange","given":"Ole Kristian","non-dropping-particle":"","parse-names":false,"suffix":""},{"dropping-particle":"","family":"Martinsen","given":"Amy E.","non-dropping-particle":"","parse-names":false,"suffix":""},{"dropping-particle":"","family":"Skogholt","given":"Anne Heidi","non-dropping-particle":"","parse-names":false,"suffix":""},{"dropping-particle":"","family":"Willer","given":"Cristen","non-dropping-particle":"","parse-names":false,"suffix":""},{"dropping-particle":"","family":"Bråthen","given":"Geir","non-dropping-particle":"","parse-names":false,"suffix":""},{"dropping-particle":"","family":"Bosnes","given":"Ingunn","non-dropping-particle":"","parse-names":false,"suffix":""},{"dropping-particle":"","family":"Nielsen","given":"Jonas Bille","non-dropping-particle":"","parse-names":false,"suffix":""},{"dropping-particle":"","family":"Fritsche","given":"Lars G.","non-dropping-particle":"","parse-names":false,"suffix":""},{"dropping-particle":"","family":"Thomas","given":"Laurent F.","non-dropping-particle":"","parse-names":false,"suffix":""},{"dropping-particle":"","family":"Pedersen","given":"Linda M.","non-dropping-particle":"","parse-names":false,"suffix":""},{"dropping-particle":"","family":"Gabrielsen","given":"Maiken E.","non-dropping-particle":"","parse-names":false,"suffix":""},{"dropping-particle":"","family":"Johnsen","given":"Marianne Bakke","non-dropping-particle":"","parse-names":false,"suffix":""},{"dropping-particle":"","family":"Meisingset","given":"Tore Wergeland","non-dropping-particle":"","parse-names":false,"suffix":""},{"dropping-particle":"","family":"Zhou","given":"Wei","non-dropping-particle":"","parse-names":false,"suffix":""},{"dropping-particle":"","family":"Proitsi","given":"Petroula","non-dropping-particle":"","parse-names":false,"suffix":""},{"dropping-particle":"","family":"Hodges","given":"Angela","non-dropping-particle":"","parse-names":false,"suffix":""},{"dropping-particle":"","family":"Dobson","given":"Richard","non-dropping-particle":"","parse-names":false,"suffix":""},{"dropping-particle":"","family":"Velayudhan","given":"Latha","non-dropping-particle":"","parse-names":false,"suffix":""},{"dropping-particle":"","family":"Agee","given":"Michelle","non-dropping-particle":"","parse-names":false,"suffix":""},{"dropping-particle":"","family":"Aslibekyan","given":"Stella","non-dropping-particle":"","parse-names":false,"suffix":""},{"dropping-particle":"","family":"Babalola","given":"Elizabeth","non-dropping-particle":"","parse-names":false,"suffix":""},{"dropping-particle":"","family":"Bell","given":"Robert K.","non-dropping-particle":"","parse-names":false,"suffix":""},{"dropping-particle":"","family":"Bielenberg","given":"Jessica","non-dropping-particle":"","parse-names":false,"suffix":""},{"dropping-particle":"","family":"Bryc","given":"Katarzyna","non-dropping-particle":"","parse-names":false,"suffix":""},{"dropping-particle":"","family":"Bullis","given":"Emily","non-dropping-particle":"","parse-names":false,"suffix":""},{"dropping-particle":"","family":"Cameron","given":"Briana","non-dropping-particle":"","parse-names":false,"suffix":""},{"dropping-particle":"","family":"Coker","given":"Daniella","non-dropping-particle":"","parse-names":false,"suffix":""},{"dropping-particle":"","family":"Partida","given":"Gabriel Cuellar","non-dropping-particle":"","parse-names":false,"suffix":""},{"dropping-particle":"","family":"Dhamija","given":"Devika","non-dropping-particle":"","parse-names":false,"suffix":""},{"dropping-particle":"","family":"Das","given":"Sayantan","non-dropping-particle":"","parse-names":false,"suffix":""},{"dropping-particle":"","family":"Elson","given":"Sarah L.","non-dropping-particle":"","parse-names":false,"suffix":""},{"dropping-particle":"","family":"Filshtein","given":"Teresa","non-dropping-particle":"","parse-names":false,"suffix":""},{"dropping-particle":"","family":"Fletez-Brant","given":"Kipper","non-dropping-particle":"","parse-names":false,"suffix":""},{"dropping-particle":"","family":"Fontanillas","given":"Pierre","non-dropping-particle":"","parse-names":false,"suffix":""},{"dropping-particle":"","family":"Freyman","given":"Will","non-dropping-particle":"","parse-names":false,"suffix":""},{"dropping-particle":"","family":"Gandhi","given":"Pooja M.","non-dropping-particle":"","parse-names":false,"suffix":""},{"dropping-particle":"","family":"Hicks","given":"Barry","non-dropping-particle":"","parse-names":false,"suffix":""},{"dropping-particle":"","family":"Hinds","given":"David A.","non-dropping-particle":"","parse-names":false,"suffix":""},{"dropping-particle":"","family":"Huber","given":"Karen E.","non-dropping-particle":"","parse-names":false,"suffix":""},{"dropping-particle":"","family":"Jewett","given":"Ethan M.","non-dropping-particle":"","parse-names":false,"suffix":""},{"dropping-particle":"","family":"Jiang","given":"Yunxuan","non-dropping-particle":"","parse-names":false,"suffix":""},{"dropping-particle":"","family":"Kleinman","given":"Aaron","non-dropping-particle":"","parse-names":false,"suffix":""},{"dropping-particle":"","family":"Kukar","given":"Katelyn","non-dropping-particle":"","parse-names":false,"suffix":""},{"dropping-particle":"","family":"Lane","given":"Vanessa","non-dropping-particle":"","parse-names":false,"suffix":""},{"dropping-particle":"","family":"Lin","given":"Keng Han","non-dropping-particle":"","parse-names":false,"suffix":""},{"dropping-particle":"","family":"Lowe","given":"Maya","non-dropping-particle":"","parse-names":false,"suffix":""},{"dropping-particle":"","family":"Luff","given":"Marie K.","non-dropping-particle":"","parse-names":false,"suffix":""},{"dropping-particle":"","family":"McCreight","given":"Jennifer C.","non-dropping-particle":"","parse-names":false,"suffix":""},{"dropping-particle":"","family":"McIntyre","given":"Matthew H.","non-dropping-particle":"","parse-names":false,"suffix":""},{"dropping-particle":"","family":"McManus","given":"Kimberly F.","non-dropping-particle":"","parse-names":false,"suffix":""},{"dropping-particle":"","family":"Micheletti","given":"Steven J.","non-dropping-particle":"","parse-names":false,"suffix":""},{"dropping-particle":"","family":"Moreno","given":"Meghan E.","non-dropping-particle":"","parse-names":false,"suffix":""},{"dropping-particle":"","family":"Mountain","given":"Joanna L.","non-dropping-particle":"","parse-names":false,"suffix":""},{"dropping-particle":"V.","family":"Mozaffari","given":"Sahar","non-dropping-particle":"","parse-names":false,"suffix":""},{"dropping-particle":"","family":"Nandakumar","given":"Priyanka","non-dropping-particle":"","parse-names":false,"suffix":""},{"dropping-particle":"","family":"Noblin","given":"Elizabeth S.","non-dropping-particle":"","parse-names":false,"suffix":""},{"dropping-particle":"","family":"O’Connell","given":"Jared","non-dropping-particle":"","parse-names":false,"suffix":""},{"dropping-particle":"","family":"Petrakovitz","given":"Aaron A.","non-dropping-particle":"","parse-names":false,"suffix":""},{"dropping-particle":"","family":"Poznik","given":"G. David","non-dropping-particle":"","parse-names":false,"suffix":""},{"dropping-particle":"","family":"Schumacher","given":"Morgan","non-dropping-particle":"","parse-names":false,"suffix":""},{"dropping-particle":"","family":"Shastri","given":"Anjali J.","non-dropping-particle":"","parse-names":false,"suffix":""},{"dropping-particle":"","family":"Shelton","given":"Janie F.","non-dropping-particle":"","parse-names":false,"suffix":""},{"dropping-particle":"","family":"Shi","given":"Jingchunzi","non-dropping-particle":"","parse-names":false,"suffix":""},{"dropping-particle":"","family":"Shringarpure","given":"Suyash","non-dropping-particle":"","parse-names":false,"suffix":""},{"dropping-particle":"","family":"Tian","given":"Chao","non-dropping-particle":"","parse-names":false,"suffix":""},{"dropping-particle":"","family":"Tran","given":"Vinh","non-dropping-particle":"","parse-names":false,"suffix":""},{"dropping-particle":"","family":"Tung","given":"Joyce Y.","non-dropping-particle":"","parse-names":false,"suffix":""},{"dropping-particle":"","family":"Wang","given":"Xin","non-dropping-particle":"","parse-names":false,"suffix":""},{"dropping-particle":"","family":"Wang","given":"Wei","non-dropping-particle":"","parse-names":false,"suffix":""},{"dropping-particle":"","family":"Weldon","given":"Catherine H.","non-dropping-particle":"","parse-names":false,"suffix":""},{"dropping-particle":"","family":"Wilton","given":"Peter","non-dropping-particle":"","parse-names":false,"suffix":""},{"dropping-particle":"","family":"Sealock","given":"Julia M.","non-dropping-particle":"","parse-names":false,"suffix":""},{"dropping-particle":"","family":"Davis","given":"Lea K.","non-dropping-particle":"","parse-names":false,"suffix":""},{"dropping-particle":"","family":"Pedersen","given":"Nancy L.","non-dropping-particle":"","parse-names":false,"suffix":""},{"dropping-particle":"","family":"Reynolds","given":"Chandra A.","non-dropping-particle":"","parse-names":false,"suffix":""},{"dropping-particle":"","family":"Karlsson","given":"Ida K.","non-dropping-particle":"","parse-names":false,"suffix":""},{"dropping-particle":"","family":"Magnusson","given":"Sigurdur","non-dropping-particle":"","parse-names":false,"suffix":""},{"dropping-particle":"","family":"Stefansson","given":"Hreinn","non-dropping-particle":"","parse-names":false,"suffix":""},{"dropping-particle":"","family":"Thordardottir","given":"Steinunn","non-dropping-particle":"","parse-names":false,"suffix":""},{"dropping-particle":"V.","family":"Jonsson","given":"Palmi","non-dropping-particle":"","parse-names":false,"suffix":""},{"dropping-particle":"","family":"Snaedal","given":"Jon","non-dropping-particle":"","parse-names":false,"suffix":""},{"dropping-particle":"","family":"Zettergren","given":"Anna","non-dropping-particle":"","parse-names":false,"suffix":""},{"dropping-particle":"","family":"Skoog","given":"Ingmar","non-dropping-particle":"","parse-names":false,"suffix":""},{"dropping-particle":"","family":"Kern","given":"Silke","non-dropping-particle":"","parse-names":false,"suffix":""},{"dropping-particle":"","family":"Waern","given":"Margda","non-dropping-particle":"","parse-names":false,"suffix":""},{"dropping-particle":"","family":"Zetterberg","given":"Henrik","non-dropping-particle":"","parse-names":false,"suffix":""},{"dropping-particle":"","family":"Blennow","given":"Kaj","non-dropping-particle":"","parse-names":false,"suffix":""},{"dropping-particle":"","family":"Stordal","given":"Eystein","non-dropping-particle":"","parse-names":false,"suffix":""},{"dropping-particle":"","family":"Hveem","given":"Kristian","non-dropping-particle":"","parse-names":false,"suffix":""},{"dropping-particle":"","family":"Zwart","given":"John Anker","non-dropping-particle":"","parse-names":false,"suffix":""},{"dropping-particle":"","family":"Athanasiu","given":"Lavinia","non-dropping-particle":"","parse-names":false,"suffix":""},{"dropping-particle":"","family":"Selnes","given":"Per","non-dropping-particle":"","parse-names":false,"suffix":""},{"dropping-particle":"","family":"Saltvedt","given":"Ingvild","non-dropping-particle":"","parse-names":false,"suffix":""},{"dropping-particle":"","family":"Sando","given":"Sigrid B.","non-dropping-particle":"","parse-names":false,"suffix":""},{"dropping-particle":"","family":"Ulstein","given":"Ingun","non-dropping-particle":"","parse-names":false,"suffix":""},{"dropping-particle":"","family":"Djurovic","given":"Srdjan","non-dropping-particle":"","parse-names":false,"suffix":""},{"dropping-particle":"","family":"Fladby","given":"Tormod","non-dropping-particle":"","parse-names":false,"suffix":""},{"dropping-particle":"","family":"Aarsland","given":"Dag","non-dropping-particle":"","parse-names":false,"suffix":""},{"dropping-particle":"","family":"Selbæk","given":"Geir","non-dropping-particle":"","parse-names":false,"suffix":""},{"dropping-particle":"","family":"Ripke","given":"Stephan","non-dropping-particle":"","parse-names":false,"suffix":""},{"dropping-particle":"","family":"Stefansson","given":"Kari","non-dropping-particle":"","parse-names":false,"suffix":""},{"dropping-particle":"","family":"Andreassen","given":"Ole A.","non-dropping-particle":"","parse-names":false,"suffix":""},{"dropping-particle":"","family":"Posthuma","given":"Danielle","non-dropping-particle":"","parse-names":false,"suffix":""}],"container-title":"Nature Genetics","id":"ITEM-2","issue":"9","issued":{"date-parts":[["2021"]]},"page":"1276-1282","title":"A genome-wide association study with 1,126,563 individuals identifies new risk loci for Alzheimer’s disease","type":"article-journal","volume":"53"},"uris":["http://www.mendeley.com/documents/?uuid=d8f5a3a9-023a-480c-abd1-1273d12273e0"]},{"id":"ITEM-3","itemData":{"DOI":"10.1038/ng0194-29","ISSN":"15461718","PMID":"8136829","abstract":"In an effort to dissect the genetic components of longevity, we have undertaken case–control studies of populations of centenarians (n=338) and adults aged 20–70 years at several polymorphic candidate gene loci. Here we report results on two genes, chosen for their impact on cardiovascular risk, encoding apolipoprotein E (ApoE), angiotensin–converting enzyme (ACE). We find that the e4 allele of APOE, which promotes premature atherosclerosis, is significantly less frequent in centenarians than in controls (p&lt;0.001), while the frequency of the e2 allele, associated previously with type III and IV hyperlipidemia, is significantly increased (p&lt;0.01). A variant of ACE which predisposes to coronary heart disease is surprisingly more frequent in centenarians, with a significant increase of the homozygous genotype (p&lt;0.01). These associations provide examples of genetic influences on differential survival and may point to pleiotropic age–dependent effects on longevity. © 1994 Nature Publishing Group.","author":[{"dropping-particle":"","family":"Schächter","given":"Franҫois","non-dropping-particle":"","parse-names":false,"suffix":""},{"dropping-particle":"","family":"Faure-Delanef","given":"Laurence","non-dropping-particle":"","parse-names":false,"suffix":""},{"dropping-particle":"","family":"Guénot","given":"Frédérique","non-dropping-particle":"","parse-names":false,"suffix":""},{"dropping-particle":"","family":"Rouger","given":"Hervé","non-dropping-particle":"","parse-names":false,"suffix":""},{"dropping-particle":"","family":"Froguel","given":"Philippe","non-dropping-particle":"","parse-names":false,"suffix":""},{"dropping-particle":"","family":"Lesueur-Ginot","given":"Laurence","non-dropping-particle":"","parse-names":false,"suffix":""},{"dropping-particle":"","family":"Cohen","given":"Daniel","non-dropping-particle":"","parse-names":false,"suffix":""}],"container-title":"Nature Genetics","id":"ITEM-3","issue":"1","issued":{"date-parts":[["1994"]]},"page":"29-32","title":"Genetic associations with human longevity at the APOE and ACE loci","type":"article-journal","volume":"6"},"uris":["http://www.mendeley.com/documents/?uuid=a3876029-0bd5-4535-b7e7-e448475e5d78"]}],"mendeley":{"formattedCitation":"[11–13]","plainTextFormattedCitation":"[11–13]","previouslyFormattedCitation":"[11–13]"},"properties":{"noteIndex":0},"schema":"https://github.com/citation-style-language/schema/raw/master/csl-citation.json"}</w:instrText>
      </w:r>
      <w:r w:rsidRPr="00D44C0B">
        <w:rPr>
          <w:rFonts w:ascii="Times New Roman" w:hAnsi="Times New Roman" w:cs="Times New Roman"/>
          <w:i/>
          <w:iCs/>
          <w:highlight w:val="yellow"/>
        </w:rPr>
        <w:fldChar w:fldCharType="separate"/>
      </w:r>
      <w:r w:rsidRPr="00D44C0B">
        <w:rPr>
          <w:rFonts w:ascii="Times New Roman" w:hAnsi="Times New Roman" w:cs="Times New Roman"/>
          <w:i/>
          <w:iCs/>
          <w:noProof/>
          <w:highlight w:val="yellow"/>
        </w:rPr>
        <w:t>[11–13]</w:t>
      </w:r>
      <w:r w:rsidRPr="00D44C0B">
        <w:rPr>
          <w:rFonts w:ascii="Times New Roman" w:hAnsi="Times New Roman" w:cs="Times New Roman"/>
          <w:i/>
          <w:iCs/>
          <w:highlight w:val="yellow"/>
        </w:rPr>
        <w:fldChar w:fldCharType="end"/>
      </w:r>
      <w:r w:rsidRPr="00D44C0B">
        <w:rPr>
          <w:rFonts w:ascii="Times New Roman" w:hAnsi="Times New Roman" w:cs="Times New Roman"/>
          <w:i/>
          <w:iCs/>
          <w:highlight w:val="yellow"/>
        </w:rPr>
        <w:t>. For the risk-increasing allele, we observed a significant effect on decreased age, which is in line with more frequent allele frequency of the risk allele in the younger and thus age-dependent selection/survival bias in the older-aged participants of UKB. This suggests confounding by age-dependent selection/survival rather than birthyear cohort effects for APOE.</w:t>
      </w:r>
      <w:r w:rsidRPr="00D44C0B">
        <w:rPr>
          <w:rFonts w:ascii="Times New Roman" w:hAnsi="Times New Roman" w:cs="Times New Roman"/>
          <w:i/>
          <w:iCs/>
        </w:rPr>
        <w:t xml:space="preserve"> </w:t>
      </w:r>
      <w:bookmarkEnd w:id="2"/>
    </w:p>
    <w:p w14:paraId="4D7251B3" w14:textId="4E67A71D" w:rsidR="00262BCE" w:rsidRPr="00D44C0B" w:rsidRDefault="00E4334A" w:rsidP="00736889">
      <w:pPr>
        <w:spacing w:before="100" w:beforeAutospacing="1" w:after="100" w:afterAutospacing="1" w:line="276" w:lineRule="auto"/>
        <w:jc w:val="both"/>
        <w:rPr>
          <w:rFonts w:ascii="Times New Roman" w:hAnsi="Times New Roman" w:cs="Times New Roman"/>
          <w:i/>
          <w:iCs/>
          <w:color w:val="000000" w:themeColor="text1"/>
          <w:lang w:val="en-US"/>
        </w:rPr>
      </w:pPr>
      <w:r w:rsidRPr="00D44C0B">
        <w:rPr>
          <w:rFonts w:ascii="Times New Roman" w:hAnsi="Times New Roman" w:cs="Times New Roman"/>
          <w:i/>
          <w:iCs/>
          <w:color w:val="000000" w:themeColor="text1"/>
          <w:lang w:val="en-US"/>
        </w:rPr>
        <w:lastRenderedPageBreak/>
        <w:t>We have also added a new methods chapter on the sensitivity analyses</w:t>
      </w:r>
      <w:r w:rsidR="0031263A" w:rsidRPr="00D44C0B">
        <w:rPr>
          <w:rFonts w:ascii="Times New Roman" w:hAnsi="Times New Roman" w:cs="Times New Roman"/>
          <w:i/>
          <w:iCs/>
          <w:color w:val="000000" w:themeColor="text1"/>
          <w:lang w:val="en-US"/>
        </w:rPr>
        <w:t xml:space="preserve"> (p. 21)</w:t>
      </w:r>
      <w:r w:rsidRPr="00D44C0B">
        <w:rPr>
          <w:rFonts w:ascii="Times New Roman" w:hAnsi="Times New Roman" w:cs="Times New Roman"/>
          <w:i/>
          <w:iCs/>
          <w:color w:val="000000" w:themeColor="text1"/>
          <w:lang w:val="en-US"/>
        </w:rPr>
        <w:t xml:space="preserve">: </w:t>
      </w:r>
    </w:p>
    <w:p w14:paraId="26AA0C16" w14:textId="77777777" w:rsidR="00E4334A" w:rsidRPr="00D44C0B" w:rsidRDefault="00E4334A" w:rsidP="00D44C0B">
      <w:pPr>
        <w:pStyle w:val="Heading2"/>
        <w:rPr>
          <w:rFonts w:ascii="Times New Roman" w:hAnsi="Times New Roman" w:cs="Times New Roman"/>
          <w:highlight w:val="yellow"/>
        </w:rPr>
      </w:pPr>
      <w:r w:rsidRPr="00D44C0B">
        <w:rPr>
          <w:rFonts w:ascii="Times New Roman" w:hAnsi="Times New Roman" w:cs="Times New Roman"/>
          <w:highlight w:val="yellow"/>
        </w:rPr>
        <w:t xml:space="preserve">Sensitivity analyses for cohort, selection and survival effects </w:t>
      </w:r>
    </w:p>
    <w:p w14:paraId="649E8068" w14:textId="77777777" w:rsidR="00E4334A" w:rsidRPr="00D44C0B" w:rsidRDefault="00E4334A" w:rsidP="00736889">
      <w:pPr>
        <w:spacing w:after="0" w:line="276" w:lineRule="auto"/>
        <w:contextualSpacing/>
        <w:jc w:val="both"/>
        <w:rPr>
          <w:rFonts w:ascii="Times New Roman" w:hAnsi="Times New Roman" w:cs="Times New Roman"/>
          <w:i/>
          <w:iCs/>
          <w:highlight w:val="yellow"/>
        </w:rPr>
      </w:pPr>
      <w:r w:rsidRPr="00D44C0B">
        <w:rPr>
          <w:rFonts w:ascii="Times New Roman" w:hAnsi="Times New Roman" w:cs="Times New Roman"/>
          <w:i/>
          <w:iCs/>
          <w:highlight w:val="yellow"/>
        </w:rPr>
        <w:t>To avoid confounding of identified genetic-by-age interaction and annual change effects by cohort, selection or survival effects, we conducted the three following sensitivity analyses in unrelated European individuals of UKB. (</w:t>
      </w:r>
      <w:proofErr w:type="spellStart"/>
      <w:r w:rsidRPr="00D44C0B">
        <w:rPr>
          <w:rFonts w:ascii="Times New Roman" w:hAnsi="Times New Roman" w:cs="Times New Roman"/>
          <w:i/>
          <w:iCs/>
          <w:highlight w:val="yellow"/>
        </w:rPr>
        <w:t>i</w:t>
      </w:r>
      <w:proofErr w:type="spellEnd"/>
      <w:r w:rsidRPr="00D44C0B">
        <w:rPr>
          <w:rFonts w:ascii="Times New Roman" w:hAnsi="Times New Roman" w:cs="Times New Roman"/>
          <w:i/>
          <w:iCs/>
          <w:highlight w:val="yellow"/>
        </w:rPr>
        <w:t xml:space="preserve">) For cohort effects, we first fitted the genetic-by-age interaction model while adjusting for birthyear: </w:t>
      </w:r>
    </w:p>
    <w:p w14:paraId="2FB0FC82" w14:textId="2B416FAF" w:rsidR="00E4334A" w:rsidRPr="00D44C0B" w:rsidRDefault="009144BB" w:rsidP="00736889">
      <w:pPr>
        <w:spacing w:after="0" w:line="276" w:lineRule="auto"/>
        <w:contextualSpacing/>
        <w:jc w:val="both"/>
        <w:rPr>
          <w:rFonts w:ascii="Times New Roman" w:hAnsi="Times New Roman" w:cs="Times New Roman"/>
          <w:i/>
          <w:iCs/>
          <w:highlight w:val="yellow"/>
        </w:rPr>
      </w:pPr>
      <m:oMathPara>
        <m:oMath>
          <m:r>
            <w:rPr>
              <w:rFonts w:ascii="Cambria Math" w:hAnsi="Cambria Math" w:cs="Times New Roman"/>
              <w:highlight w:val="yellow"/>
              <w:lang w:val="de-DE"/>
            </w:rPr>
            <m:t>Y=</m:t>
          </m:r>
          <m:sSub>
            <m:sSubPr>
              <m:ctrlPr>
                <w:rPr>
                  <w:rFonts w:ascii="Cambria Math" w:hAnsi="Cambria Math" w:cs="Times New Roman"/>
                  <w:i/>
                  <w:iCs/>
                  <w:highlight w:val="yellow"/>
                  <w:lang w:val="de-DE"/>
                </w:rPr>
              </m:ctrlPr>
            </m:sSubPr>
            <m:e>
              <m:r>
                <w:rPr>
                  <w:rFonts w:ascii="Cambria Math" w:hAnsi="Cambria Math" w:cs="Times New Roman"/>
                  <w:highlight w:val="yellow"/>
                  <w:lang w:val="de-DE"/>
                </w:rPr>
                <m:t>β</m:t>
              </m:r>
            </m:e>
            <m:sub>
              <m:r>
                <w:rPr>
                  <w:rFonts w:ascii="Cambria Math" w:hAnsi="Cambria Math" w:cs="Times New Roman"/>
                  <w:highlight w:val="yellow"/>
                  <w:lang w:val="de-DE"/>
                </w:rPr>
                <m:t>0</m:t>
              </m:r>
            </m:sub>
          </m:sSub>
          <m:r>
            <w:rPr>
              <w:rFonts w:ascii="Cambria Math" w:hAnsi="Cambria Math" w:cs="Times New Roman"/>
              <w:highlight w:val="yellow"/>
              <w:lang w:val="de-DE"/>
            </w:rPr>
            <m:t>+</m:t>
          </m:r>
          <m:sSub>
            <m:sSubPr>
              <m:ctrlPr>
                <w:rPr>
                  <w:rFonts w:ascii="Cambria Math" w:hAnsi="Cambria Math" w:cs="Times New Roman"/>
                  <w:i/>
                  <w:iCs/>
                  <w:highlight w:val="yellow"/>
                  <w:lang w:val="de-DE"/>
                </w:rPr>
              </m:ctrlPr>
            </m:sSubPr>
            <m:e>
              <m:r>
                <w:rPr>
                  <w:rFonts w:ascii="Cambria Math" w:hAnsi="Cambria Math" w:cs="Times New Roman"/>
                  <w:highlight w:val="yellow"/>
                  <w:lang w:val="de-DE"/>
                </w:rPr>
                <m:t>β</m:t>
              </m:r>
            </m:e>
            <m:sub>
              <m:r>
                <w:rPr>
                  <w:rFonts w:ascii="Cambria Math" w:hAnsi="Cambria Math" w:cs="Times New Roman"/>
                  <w:highlight w:val="yellow"/>
                  <w:lang w:val="de-DE"/>
                </w:rPr>
                <m:t>G</m:t>
              </m:r>
            </m:sub>
          </m:sSub>
          <m:r>
            <w:rPr>
              <w:rFonts w:ascii="Cambria Math" w:hAnsi="Cambria Math" w:cs="Times New Roman"/>
              <w:highlight w:val="yellow"/>
              <w:lang w:val="de-DE"/>
            </w:rPr>
            <m:t>G+</m:t>
          </m:r>
          <m:sSub>
            <m:sSubPr>
              <m:ctrlPr>
                <w:rPr>
                  <w:rFonts w:ascii="Cambria Math" w:hAnsi="Cambria Math" w:cs="Times New Roman"/>
                  <w:i/>
                  <w:iCs/>
                  <w:highlight w:val="yellow"/>
                  <w:lang w:val="de-DE"/>
                </w:rPr>
              </m:ctrlPr>
            </m:sSubPr>
            <m:e>
              <m:r>
                <w:rPr>
                  <w:rFonts w:ascii="Cambria Math" w:hAnsi="Cambria Math" w:cs="Times New Roman"/>
                  <w:highlight w:val="yellow"/>
                  <w:lang w:val="de-DE"/>
                </w:rPr>
                <m:t>β</m:t>
              </m:r>
            </m:e>
            <m:sub>
              <m:r>
                <w:rPr>
                  <w:rFonts w:ascii="Cambria Math" w:hAnsi="Cambria Math" w:cs="Times New Roman"/>
                  <w:highlight w:val="yellow"/>
                  <w:lang w:val="de-DE"/>
                </w:rPr>
                <m:t>Age</m:t>
              </m:r>
            </m:sub>
          </m:sSub>
          <m:r>
            <w:rPr>
              <w:rFonts w:ascii="Cambria Math" w:hAnsi="Cambria Math" w:cs="Times New Roman"/>
              <w:highlight w:val="yellow"/>
              <w:lang w:val="de-DE"/>
            </w:rPr>
            <m:t>AGE+</m:t>
          </m:r>
          <m:sSub>
            <m:sSubPr>
              <m:ctrlPr>
                <w:rPr>
                  <w:rFonts w:ascii="Cambria Math" w:hAnsi="Cambria Math" w:cs="Times New Roman"/>
                  <w:i/>
                  <w:iCs/>
                  <w:highlight w:val="yellow"/>
                  <w:lang w:val="de-DE"/>
                </w:rPr>
              </m:ctrlPr>
            </m:sSubPr>
            <m:e>
              <m:r>
                <w:rPr>
                  <w:rFonts w:ascii="Cambria Math" w:hAnsi="Cambria Math" w:cs="Times New Roman"/>
                  <w:highlight w:val="yellow"/>
                  <w:lang w:val="de-DE"/>
                </w:rPr>
                <m:t>β</m:t>
              </m:r>
            </m:e>
            <m:sub>
              <m:r>
                <w:rPr>
                  <w:rFonts w:ascii="Cambria Math" w:hAnsi="Cambria Math" w:cs="Times New Roman"/>
                  <w:highlight w:val="yellow"/>
                  <w:lang w:val="de-DE"/>
                </w:rPr>
                <m:t>GxAge</m:t>
              </m:r>
            </m:sub>
          </m:sSub>
          <m:r>
            <w:rPr>
              <w:rFonts w:ascii="Cambria Math" w:hAnsi="Cambria Math" w:cs="Times New Roman"/>
              <w:highlight w:val="yellow"/>
              <w:lang w:val="de-DE"/>
            </w:rPr>
            <m:t>G∙AGE+</m:t>
          </m:r>
          <m:sSub>
            <m:sSubPr>
              <m:ctrlPr>
                <w:rPr>
                  <w:rFonts w:ascii="Cambria Math" w:hAnsi="Cambria Math" w:cs="Times New Roman"/>
                  <w:i/>
                  <w:iCs/>
                  <w:highlight w:val="yellow"/>
                  <w:lang w:val="de-DE"/>
                </w:rPr>
              </m:ctrlPr>
            </m:sSubPr>
            <m:e>
              <m:r>
                <w:rPr>
                  <w:rFonts w:ascii="Cambria Math" w:hAnsi="Cambria Math" w:cs="Times New Roman"/>
                  <w:highlight w:val="yellow"/>
                  <w:lang w:val="de-DE"/>
                </w:rPr>
                <m:t>β</m:t>
              </m:r>
            </m:e>
            <m:sub>
              <m:r>
                <w:rPr>
                  <w:rFonts w:ascii="Cambria Math" w:hAnsi="Cambria Math" w:cs="Times New Roman"/>
                  <w:highlight w:val="yellow"/>
                  <w:lang w:val="de-DE"/>
                </w:rPr>
                <m:t>BY</m:t>
              </m:r>
            </m:sub>
          </m:sSub>
          <m:r>
            <w:rPr>
              <w:rFonts w:ascii="Cambria Math" w:hAnsi="Cambria Math" w:cs="Times New Roman"/>
              <w:highlight w:val="yellow"/>
              <w:lang w:val="de-DE"/>
            </w:rPr>
            <m:t>BY+</m:t>
          </m:r>
          <m:sSub>
            <m:sSubPr>
              <m:ctrlPr>
                <w:rPr>
                  <w:rFonts w:ascii="Cambria Math" w:hAnsi="Cambria Math" w:cs="Times New Roman"/>
                  <w:i/>
                  <w:iCs/>
                  <w:highlight w:val="yellow"/>
                  <w:lang w:val="de-DE"/>
                </w:rPr>
              </m:ctrlPr>
            </m:sSubPr>
            <m:e>
              <m:r>
                <w:rPr>
                  <w:rFonts w:ascii="Cambria Math" w:hAnsi="Cambria Math" w:cs="Times New Roman"/>
                  <w:highlight w:val="yellow"/>
                  <w:lang w:val="de-DE"/>
                </w:rPr>
                <m:t>β</m:t>
              </m:r>
            </m:e>
            <m:sub>
              <m:r>
                <w:rPr>
                  <w:rFonts w:ascii="Cambria Math" w:hAnsi="Cambria Math" w:cs="Times New Roman"/>
                  <w:highlight w:val="yellow"/>
                  <w:lang w:val="de-DE"/>
                </w:rPr>
                <m:t>C</m:t>
              </m:r>
            </m:sub>
          </m:sSub>
          <m:r>
            <w:rPr>
              <w:rFonts w:ascii="Cambria Math" w:hAnsi="Cambria Math" w:cs="Times New Roman"/>
              <w:highlight w:val="yellow"/>
              <w:lang w:val="de-DE"/>
            </w:rPr>
            <m:t>C+ε</m:t>
          </m:r>
        </m:oMath>
      </m:oMathPara>
    </w:p>
    <w:p w14:paraId="33D3E231" w14:textId="77777777" w:rsidR="00E4334A" w:rsidRPr="00D44C0B" w:rsidRDefault="00E4334A" w:rsidP="00736889">
      <w:pPr>
        <w:spacing w:after="0" w:line="276" w:lineRule="auto"/>
        <w:contextualSpacing/>
        <w:jc w:val="both"/>
        <w:rPr>
          <w:rFonts w:ascii="Times New Roman" w:hAnsi="Times New Roman" w:cs="Times New Roman"/>
          <w:i/>
          <w:iCs/>
          <w:highlight w:val="yellow"/>
        </w:rPr>
      </w:pPr>
      <w:r w:rsidRPr="00D44C0B">
        <w:rPr>
          <w:rFonts w:ascii="Times New Roman" w:hAnsi="Times New Roman" w:cs="Times New Roman"/>
          <w:i/>
          <w:iCs/>
          <w:highlight w:val="yellow"/>
        </w:rPr>
        <w:t xml:space="preserve">Here, Y is the trait value, G the allelic dosage, AGE the age </w:t>
      </w:r>
      <w:proofErr w:type="spellStart"/>
      <w:r w:rsidRPr="00D44C0B">
        <w:rPr>
          <w:rFonts w:ascii="Times New Roman" w:hAnsi="Times New Roman" w:cs="Times New Roman"/>
          <w:i/>
          <w:iCs/>
          <w:highlight w:val="yellow"/>
        </w:rPr>
        <w:t>centered</w:t>
      </w:r>
      <w:proofErr w:type="spellEnd"/>
      <w:r w:rsidRPr="00D44C0B">
        <w:rPr>
          <w:rFonts w:ascii="Times New Roman" w:hAnsi="Times New Roman" w:cs="Times New Roman"/>
          <w:i/>
          <w:iCs/>
          <w:highlight w:val="yellow"/>
        </w:rPr>
        <w:t xml:space="preserve"> at the mean age of all individuals, BY is the birthyear, and C is a matrix of further covariates. We obtained genetic-by-age interaction effects and compared them to the effects from the BY-unadjusted interaction model assuming that differences between the models would pinpoint potential confounding by cohort.  (ii) For cohort effects, we also fitted a linear regression model of the genetic variants on birthyear: </w:t>
      </w:r>
    </w:p>
    <w:p w14:paraId="629938E8" w14:textId="7A6D0D73" w:rsidR="00E4334A" w:rsidRPr="00D44C0B" w:rsidRDefault="009144BB" w:rsidP="00736889">
      <w:pPr>
        <w:spacing w:after="0" w:line="276" w:lineRule="auto"/>
        <w:contextualSpacing/>
        <w:jc w:val="both"/>
        <w:rPr>
          <w:rFonts w:ascii="Times New Roman" w:hAnsi="Times New Roman" w:cs="Times New Roman"/>
          <w:i/>
          <w:iCs/>
          <w:highlight w:val="yellow"/>
        </w:rPr>
      </w:pPr>
      <m:oMathPara>
        <m:oMath>
          <m:r>
            <w:rPr>
              <w:rFonts w:ascii="Cambria Math" w:hAnsi="Cambria Math" w:cs="Times New Roman"/>
              <w:highlight w:val="yellow"/>
              <w:lang w:val="de-DE"/>
            </w:rPr>
            <m:t>BY=</m:t>
          </m:r>
          <m:sSub>
            <m:sSubPr>
              <m:ctrlPr>
                <w:rPr>
                  <w:rFonts w:ascii="Cambria Math" w:hAnsi="Cambria Math" w:cs="Times New Roman"/>
                  <w:i/>
                  <w:iCs/>
                  <w:highlight w:val="yellow"/>
                  <w:lang w:val="de-DE"/>
                </w:rPr>
              </m:ctrlPr>
            </m:sSubPr>
            <m:e>
              <m:r>
                <w:rPr>
                  <w:rFonts w:ascii="Cambria Math" w:hAnsi="Cambria Math" w:cs="Times New Roman"/>
                  <w:highlight w:val="yellow"/>
                  <w:lang w:val="de-DE"/>
                </w:rPr>
                <m:t>β</m:t>
              </m:r>
            </m:e>
            <m:sub>
              <m:r>
                <w:rPr>
                  <w:rFonts w:ascii="Cambria Math" w:hAnsi="Cambria Math" w:cs="Times New Roman"/>
                  <w:highlight w:val="yellow"/>
                  <w:lang w:val="de-DE"/>
                </w:rPr>
                <m:t>0→BY</m:t>
              </m:r>
            </m:sub>
          </m:sSub>
          <m:r>
            <w:rPr>
              <w:rFonts w:ascii="Cambria Math" w:hAnsi="Cambria Math" w:cs="Times New Roman"/>
              <w:highlight w:val="yellow"/>
              <w:lang w:val="de-DE"/>
            </w:rPr>
            <m:t>+</m:t>
          </m:r>
          <m:sSub>
            <m:sSubPr>
              <m:ctrlPr>
                <w:rPr>
                  <w:rFonts w:ascii="Cambria Math" w:hAnsi="Cambria Math" w:cs="Times New Roman"/>
                  <w:i/>
                  <w:iCs/>
                  <w:highlight w:val="yellow"/>
                  <w:lang w:val="de-DE"/>
                </w:rPr>
              </m:ctrlPr>
            </m:sSubPr>
            <m:e>
              <m:r>
                <w:rPr>
                  <w:rFonts w:ascii="Cambria Math" w:hAnsi="Cambria Math" w:cs="Times New Roman"/>
                  <w:highlight w:val="yellow"/>
                  <w:lang w:val="de-DE"/>
                </w:rPr>
                <m:t>β</m:t>
              </m:r>
            </m:e>
            <m:sub>
              <m:r>
                <w:rPr>
                  <w:rFonts w:ascii="Cambria Math" w:hAnsi="Cambria Math" w:cs="Times New Roman"/>
                  <w:highlight w:val="yellow"/>
                  <w:lang w:val="de-DE"/>
                </w:rPr>
                <m:t>G→BY</m:t>
              </m:r>
            </m:sub>
          </m:sSub>
          <m:r>
            <w:rPr>
              <w:rFonts w:ascii="Cambria Math" w:hAnsi="Cambria Math" w:cs="Times New Roman"/>
              <w:highlight w:val="yellow"/>
              <w:lang w:val="de-DE"/>
            </w:rPr>
            <m:t>G+</m:t>
          </m:r>
          <m:sSub>
            <m:sSubPr>
              <m:ctrlPr>
                <w:rPr>
                  <w:rFonts w:ascii="Cambria Math" w:hAnsi="Cambria Math" w:cs="Times New Roman"/>
                  <w:i/>
                  <w:iCs/>
                  <w:highlight w:val="yellow"/>
                  <w:lang w:val="de-DE"/>
                </w:rPr>
              </m:ctrlPr>
            </m:sSubPr>
            <m:e>
              <m:r>
                <w:rPr>
                  <w:rFonts w:ascii="Cambria Math" w:hAnsi="Cambria Math" w:cs="Times New Roman"/>
                  <w:highlight w:val="yellow"/>
                  <w:lang w:val="de-DE"/>
                </w:rPr>
                <m:t>β</m:t>
              </m:r>
            </m:e>
            <m:sub>
              <m:r>
                <w:rPr>
                  <w:rFonts w:ascii="Cambria Math" w:hAnsi="Cambria Math" w:cs="Times New Roman"/>
                  <w:highlight w:val="yellow"/>
                  <w:lang w:val="de-DE"/>
                </w:rPr>
                <m:t>C→BY</m:t>
              </m:r>
            </m:sub>
          </m:sSub>
          <m:r>
            <w:rPr>
              <w:rFonts w:ascii="Cambria Math" w:hAnsi="Cambria Math" w:cs="Times New Roman"/>
              <w:highlight w:val="yellow"/>
              <w:lang w:val="de-DE"/>
            </w:rPr>
            <m:t>C+</m:t>
          </m:r>
          <m:sSub>
            <m:sSubPr>
              <m:ctrlPr>
                <w:rPr>
                  <w:rFonts w:ascii="Cambria Math" w:hAnsi="Cambria Math" w:cs="Times New Roman"/>
                  <w:i/>
                  <w:iCs/>
                  <w:highlight w:val="yellow"/>
                  <w:lang w:val="de-DE"/>
                </w:rPr>
              </m:ctrlPr>
            </m:sSubPr>
            <m:e>
              <m:r>
                <w:rPr>
                  <w:rFonts w:ascii="Cambria Math" w:hAnsi="Cambria Math" w:cs="Times New Roman"/>
                  <w:highlight w:val="yellow"/>
                  <w:lang w:val="de-DE"/>
                </w:rPr>
                <m:t>ε</m:t>
              </m:r>
            </m:e>
            <m:sub>
              <m:r>
                <w:rPr>
                  <w:rFonts w:ascii="Cambria Math" w:hAnsi="Cambria Math" w:cs="Times New Roman"/>
                  <w:highlight w:val="yellow"/>
                  <w:lang w:val="de-DE"/>
                </w:rPr>
                <m:t>BY</m:t>
              </m:r>
            </m:sub>
          </m:sSub>
        </m:oMath>
      </m:oMathPara>
    </w:p>
    <w:p w14:paraId="2B290495" w14:textId="77777777" w:rsidR="00E4334A" w:rsidRPr="00D44C0B" w:rsidRDefault="00E4334A" w:rsidP="00736889">
      <w:pPr>
        <w:spacing w:after="0" w:line="276" w:lineRule="auto"/>
        <w:contextualSpacing/>
        <w:jc w:val="both"/>
        <w:rPr>
          <w:rFonts w:ascii="Times New Roman" w:hAnsi="Times New Roman" w:cs="Times New Roman"/>
          <w:i/>
          <w:iCs/>
          <w:highlight w:val="yellow"/>
        </w:rPr>
      </w:pPr>
      <w:r w:rsidRPr="00D44C0B">
        <w:rPr>
          <w:rFonts w:ascii="Times New Roman" w:hAnsi="Times New Roman" w:cs="Times New Roman"/>
          <w:i/>
          <w:iCs/>
          <w:highlight w:val="yellow"/>
        </w:rPr>
        <w:t xml:space="preserve">We obtained genetic effects of the variants on birthyear assuming that significant birthyear associations would pinpoint potential cohort effects. (iii) similarly, for age-dependent selection and survival, we fitted a linear regression model of the genetic variants on age: </w:t>
      </w:r>
    </w:p>
    <w:p w14:paraId="5FA19BF9" w14:textId="03A957EA" w:rsidR="00E4334A" w:rsidRPr="00D44C0B" w:rsidRDefault="009144BB" w:rsidP="00736889">
      <w:pPr>
        <w:spacing w:after="0" w:line="276" w:lineRule="auto"/>
        <w:contextualSpacing/>
        <w:jc w:val="both"/>
        <w:rPr>
          <w:rFonts w:ascii="Times New Roman" w:hAnsi="Times New Roman" w:cs="Times New Roman"/>
          <w:i/>
          <w:iCs/>
          <w:highlight w:val="yellow"/>
        </w:rPr>
      </w:pPr>
      <m:oMathPara>
        <m:oMath>
          <m:r>
            <w:rPr>
              <w:rFonts w:ascii="Cambria Math" w:hAnsi="Cambria Math" w:cs="Times New Roman"/>
              <w:highlight w:val="yellow"/>
              <w:lang w:val="de-DE"/>
            </w:rPr>
            <m:t>AGE=</m:t>
          </m:r>
          <m:sSub>
            <m:sSubPr>
              <m:ctrlPr>
                <w:rPr>
                  <w:rFonts w:ascii="Cambria Math" w:hAnsi="Cambria Math" w:cs="Times New Roman"/>
                  <w:i/>
                  <w:iCs/>
                  <w:highlight w:val="yellow"/>
                  <w:lang w:val="de-DE"/>
                </w:rPr>
              </m:ctrlPr>
            </m:sSubPr>
            <m:e>
              <m:r>
                <w:rPr>
                  <w:rFonts w:ascii="Cambria Math" w:hAnsi="Cambria Math" w:cs="Times New Roman"/>
                  <w:highlight w:val="yellow"/>
                  <w:lang w:val="de-DE"/>
                </w:rPr>
                <m:t>β</m:t>
              </m:r>
            </m:e>
            <m:sub>
              <m:r>
                <w:rPr>
                  <w:rFonts w:ascii="Cambria Math" w:hAnsi="Cambria Math" w:cs="Times New Roman"/>
                  <w:highlight w:val="yellow"/>
                  <w:lang w:val="de-DE"/>
                </w:rPr>
                <m:t>0→AGE</m:t>
              </m:r>
            </m:sub>
          </m:sSub>
          <m:r>
            <w:rPr>
              <w:rFonts w:ascii="Cambria Math" w:hAnsi="Cambria Math" w:cs="Times New Roman"/>
              <w:highlight w:val="yellow"/>
              <w:lang w:val="de-DE"/>
            </w:rPr>
            <m:t>+</m:t>
          </m:r>
          <m:sSub>
            <m:sSubPr>
              <m:ctrlPr>
                <w:rPr>
                  <w:rFonts w:ascii="Cambria Math" w:hAnsi="Cambria Math" w:cs="Times New Roman"/>
                  <w:i/>
                  <w:iCs/>
                  <w:highlight w:val="yellow"/>
                  <w:lang w:val="de-DE"/>
                </w:rPr>
              </m:ctrlPr>
            </m:sSubPr>
            <m:e>
              <m:r>
                <w:rPr>
                  <w:rFonts w:ascii="Cambria Math" w:hAnsi="Cambria Math" w:cs="Times New Roman"/>
                  <w:highlight w:val="yellow"/>
                  <w:lang w:val="de-DE"/>
                </w:rPr>
                <m:t>β</m:t>
              </m:r>
            </m:e>
            <m:sub>
              <m:r>
                <w:rPr>
                  <w:rFonts w:ascii="Cambria Math" w:hAnsi="Cambria Math" w:cs="Times New Roman"/>
                  <w:highlight w:val="yellow"/>
                  <w:lang w:val="de-DE"/>
                </w:rPr>
                <m:t>G→AGE</m:t>
              </m:r>
            </m:sub>
          </m:sSub>
          <m:r>
            <w:rPr>
              <w:rFonts w:ascii="Cambria Math" w:hAnsi="Cambria Math" w:cs="Times New Roman"/>
              <w:highlight w:val="yellow"/>
              <w:lang w:val="de-DE"/>
            </w:rPr>
            <m:t>G+</m:t>
          </m:r>
          <m:sSub>
            <m:sSubPr>
              <m:ctrlPr>
                <w:rPr>
                  <w:rFonts w:ascii="Cambria Math" w:hAnsi="Cambria Math" w:cs="Times New Roman"/>
                  <w:i/>
                  <w:iCs/>
                  <w:highlight w:val="yellow"/>
                  <w:lang w:val="de-DE"/>
                </w:rPr>
              </m:ctrlPr>
            </m:sSubPr>
            <m:e>
              <m:r>
                <w:rPr>
                  <w:rFonts w:ascii="Cambria Math" w:hAnsi="Cambria Math" w:cs="Times New Roman"/>
                  <w:highlight w:val="yellow"/>
                  <w:lang w:val="de-DE"/>
                </w:rPr>
                <m:t>β</m:t>
              </m:r>
            </m:e>
            <m:sub>
              <m:r>
                <w:rPr>
                  <w:rFonts w:ascii="Cambria Math" w:hAnsi="Cambria Math" w:cs="Times New Roman"/>
                  <w:highlight w:val="yellow"/>
                  <w:lang w:val="de-DE"/>
                </w:rPr>
                <m:t>C→AGE</m:t>
              </m:r>
            </m:sub>
          </m:sSub>
          <m:r>
            <w:rPr>
              <w:rFonts w:ascii="Cambria Math" w:hAnsi="Cambria Math" w:cs="Times New Roman"/>
              <w:highlight w:val="yellow"/>
              <w:lang w:val="de-DE"/>
            </w:rPr>
            <m:t>C+</m:t>
          </m:r>
          <m:sSub>
            <m:sSubPr>
              <m:ctrlPr>
                <w:rPr>
                  <w:rFonts w:ascii="Cambria Math" w:hAnsi="Cambria Math" w:cs="Times New Roman"/>
                  <w:i/>
                  <w:iCs/>
                  <w:highlight w:val="yellow"/>
                  <w:lang w:val="de-DE"/>
                </w:rPr>
              </m:ctrlPr>
            </m:sSubPr>
            <m:e>
              <m:r>
                <w:rPr>
                  <w:rFonts w:ascii="Cambria Math" w:hAnsi="Cambria Math" w:cs="Times New Roman"/>
                  <w:highlight w:val="yellow"/>
                  <w:lang w:val="de-DE"/>
                </w:rPr>
                <m:t>ε</m:t>
              </m:r>
            </m:e>
            <m:sub>
              <m:r>
                <w:rPr>
                  <w:rFonts w:ascii="Cambria Math" w:hAnsi="Cambria Math" w:cs="Times New Roman"/>
                  <w:highlight w:val="yellow"/>
                  <w:lang w:val="de-DE"/>
                </w:rPr>
                <m:t>AGE</m:t>
              </m:r>
            </m:sub>
          </m:sSub>
        </m:oMath>
      </m:oMathPara>
    </w:p>
    <w:p w14:paraId="44EF2D4F" w14:textId="6193C047" w:rsidR="00E4334A" w:rsidRPr="00D44C0B" w:rsidRDefault="00E4334A" w:rsidP="009144BB">
      <w:pPr>
        <w:spacing w:after="0" w:line="276" w:lineRule="auto"/>
        <w:contextualSpacing/>
        <w:jc w:val="both"/>
        <w:rPr>
          <w:rFonts w:ascii="Times New Roman" w:hAnsi="Times New Roman" w:cs="Times New Roman"/>
          <w:i/>
          <w:iCs/>
        </w:rPr>
      </w:pPr>
      <w:r w:rsidRPr="00D44C0B">
        <w:rPr>
          <w:rFonts w:ascii="Times New Roman" w:hAnsi="Times New Roman" w:cs="Times New Roman"/>
          <w:i/>
          <w:iCs/>
          <w:highlight w:val="yellow"/>
        </w:rPr>
        <w:t>We obtained genetic effects of the variants on age assuming that significant age associations would pinpoint confounding by age-dependent selection or survival.</w:t>
      </w:r>
    </w:p>
    <w:p w14:paraId="7C444340" w14:textId="77777777" w:rsidR="009144BB" w:rsidRPr="00D44C0B" w:rsidRDefault="009144BB" w:rsidP="009144BB">
      <w:pPr>
        <w:spacing w:after="0" w:line="276" w:lineRule="auto"/>
        <w:contextualSpacing/>
        <w:jc w:val="both"/>
        <w:rPr>
          <w:rFonts w:ascii="Times New Roman" w:hAnsi="Times New Roman" w:cs="Times New Roman"/>
          <w:i/>
          <w:iCs/>
        </w:rPr>
      </w:pPr>
    </w:p>
    <w:p w14:paraId="045B21E2" w14:textId="3236DEA9" w:rsidR="00BA0817" w:rsidRPr="00D44C0B" w:rsidRDefault="00F55A6B" w:rsidP="00736889">
      <w:pPr>
        <w:spacing w:before="100" w:beforeAutospacing="1" w:after="100" w:afterAutospacing="1" w:line="276" w:lineRule="auto"/>
        <w:jc w:val="both"/>
        <w:rPr>
          <w:rFonts w:ascii="Times New Roman" w:hAnsi="Times New Roman" w:cs="Times New Roman"/>
          <w:color w:val="000000" w:themeColor="text1"/>
          <w:lang w:val="en-US"/>
        </w:rPr>
      </w:pPr>
      <w:r w:rsidRPr="00D44C0B">
        <w:rPr>
          <w:rFonts w:ascii="Times New Roman" w:hAnsi="Times New Roman" w:cs="Times New Roman"/>
          <w:color w:val="2F5496" w:themeColor="accent5" w:themeShade="BF"/>
        </w:rPr>
        <w:t>3. I also would appreciate a more detailed discussion on the assumptions made, such as the lack of cohort effect and linear age effect on the traits. Additionally, the sensitivity analysis, including "birth year" as a covariate, is commendable, but it would be beneficial to discuss any potential limitations of this approach.</w:t>
      </w:r>
    </w:p>
    <w:p w14:paraId="3B9228A0" w14:textId="0B480EB1" w:rsidR="00413D26" w:rsidRPr="00D44C0B" w:rsidRDefault="002A30C5" w:rsidP="00736889">
      <w:pPr>
        <w:spacing w:after="0" w:line="276" w:lineRule="auto"/>
        <w:jc w:val="both"/>
        <w:rPr>
          <w:rFonts w:ascii="Times New Roman" w:hAnsi="Times New Roman" w:cs="Times New Roman"/>
          <w:i/>
          <w:iCs/>
          <w:color w:val="000000" w:themeColor="text1"/>
          <w:lang w:val="en-US"/>
        </w:rPr>
      </w:pPr>
      <w:r w:rsidRPr="00D44C0B">
        <w:rPr>
          <w:rFonts w:ascii="Times New Roman" w:hAnsi="Times New Roman" w:cs="Times New Roman"/>
          <w:b/>
          <w:i/>
          <w:iCs/>
          <w:color w:val="000000" w:themeColor="text1"/>
          <w:lang w:val="en-US"/>
        </w:rPr>
        <w:t xml:space="preserve">Response: </w:t>
      </w:r>
      <w:r w:rsidRPr="00D44C0B">
        <w:rPr>
          <w:rFonts w:ascii="Times New Roman" w:hAnsi="Times New Roman" w:cs="Times New Roman"/>
          <w:i/>
          <w:iCs/>
          <w:color w:val="000000" w:themeColor="text1"/>
          <w:lang w:val="en-US"/>
        </w:rPr>
        <w:t>Indeed</w:t>
      </w:r>
      <w:r w:rsidR="0031263A" w:rsidRPr="00D44C0B">
        <w:rPr>
          <w:rFonts w:ascii="Times New Roman" w:hAnsi="Times New Roman" w:cs="Times New Roman"/>
          <w:i/>
          <w:iCs/>
          <w:color w:val="000000" w:themeColor="text1"/>
          <w:lang w:val="en-US"/>
        </w:rPr>
        <w:t>,</w:t>
      </w:r>
      <w:r w:rsidRPr="00D44C0B">
        <w:rPr>
          <w:rFonts w:ascii="Times New Roman" w:hAnsi="Times New Roman" w:cs="Times New Roman"/>
          <w:b/>
          <w:i/>
          <w:iCs/>
          <w:color w:val="000000" w:themeColor="text1"/>
          <w:lang w:val="en-US"/>
        </w:rPr>
        <w:t xml:space="preserve"> </w:t>
      </w:r>
      <w:r w:rsidRPr="00D44C0B">
        <w:rPr>
          <w:rFonts w:ascii="Times New Roman" w:hAnsi="Times New Roman" w:cs="Times New Roman"/>
          <w:i/>
          <w:iCs/>
          <w:color w:val="000000" w:themeColor="text1"/>
          <w:lang w:val="en-US"/>
        </w:rPr>
        <w:t xml:space="preserve">the assumptions are important in longitudinal </w:t>
      </w:r>
      <w:r w:rsidR="00413D26" w:rsidRPr="00D44C0B">
        <w:rPr>
          <w:rFonts w:ascii="Times New Roman" w:hAnsi="Times New Roman" w:cs="Times New Roman"/>
          <w:i/>
          <w:iCs/>
          <w:color w:val="000000" w:themeColor="text1"/>
          <w:lang w:val="en-US"/>
        </w:rPr>
        <w:t xml:space="preserve">data analysis. </w:t>
      </w:r>
      <w:r w:rsidR="00F55A6B" w:rsidRPr="00D44C0B">
        <w:rPr>
          <w:rFonts w:ascii="Times New Roman" w:hAnsi="Times New Roman" w:cs="Times New Roman"/>
          <w:i/>
          <w:iCs/>
          <w:color w:val="000000" w:themeColor="text1"/>
          <w:lang w:val="en-US"/>
        </w:rPr>
        <w:t>T</w:t>
      </w:r>
      <w:r w:rsidR="00413D26" w:rsidRPr="00D44C0B">
        <w:rPr>
          <w:rFonts w:ascii="Times New Roman" w:hAnsi="Times New Roman" w:cs="Times New Roman"/>
          <w:i/>
          <w:iCs/>
          <w:color w:val="000000" w:themeColor="text1"/>
          <w:lang w:val="en-US"/>
        </w:rPr>
        <w:t xml:space="preserve">he linear age effect is a prerequisite for the analytical equivalence of genetic-by-age interaction and the longitudinal trait change effect. </w:t>
      </w:r>
      <w:r w:rsidR="00F55A6B" w:rsidRPr="00D44C0B">
        <w:rPr>
          <w:rFonts w:ascii="Times New Roman" w:hAnsi="Times New Roman" w:cs="Times New Roman"/>
          <w:i/>
          <w:iCs/>
          <w:color w:val="000000" w:themeColor="text1"/>
          <w:lang w:val="en-US"/>
        </w:rPr>
        <w:t>We want to note that linear genetic effects (or interactions) in GWAS are a common assumption/limitation in GWAS. The linear assumption will catch some non-linear effects</w:t>
      </w:r>
      <w:r w:rsidR="00736889" w:rsidRPr="00D44C0B">
        <w:rPr>
          <w:rFonts w:ascii="Times New Roman" w:hAnsi="Times New Roman" w:cs="Times New Roman"/>
          <w:i/>
          <w:iCs/>
          <w:color w:val="000000" w:themeColor="text1"/>
          <w:lang w:val="en-US"/>
        </w:rPr>
        <w:t xml:space="preserve"> but not all</w:t>
      </w:r>
      <w:r w:rsidR="00F55A6B" w:rsidRPr="00D44C0B">
        <w:rPr>
          <w:rFonts w:ascii="Times New Roman" w:hAnsi="Times New Roman" w:cs="Times New Roman"/>
          <w:i/>
          <w:iCs/>
          <w:color w:val="000000" w:themeColor="text1"/>
          <w:lang w:val="en-US"/>
        </w:rPr>
        <w:t xml:space="preserve">. </w:t>
      </w:r>
    </w:p>
    <w:p w14:paraId="77D3544B" w14:textId="323083F1" w:rsidR="002A30C5" w:rsidRPr="00D44C0B" w:rsidRDefault="002A30C5" w:rsidP="00736889">
      <w:pPr>
        <w:spacing w:before="100" w:beforeAutospacing="1" w:after="100" w:afterAutospacing="1" w:line="276" w:lineRule="auto"/>
        <w:jc w:val="both"/>
        <w:rPr>
          <w:rFonts w:ascii="Times New Roman" w:hAnsi="Times New Roman" w:cs="Times New Roman"/>
          <w:i/>
          <w:iCs/>
          <w:color w:val="000000" w:themeColor="text1"/>
          <w:lang w:val="en-US"/>
        </w:rPr>
      </w:pPr>
      <w:r w:rsidRPr="00D44C0B">
        <w:rPr>
          <w:rFonts w:ascii="Times New Roman" w:hAnsi="Times New Roman" w:cs="Times New Roman"/>
          <w:i/>
          <w:iCs/>
          <w:color w:val="000000" w:themeColor="text1"/>
          <w:lang w:val="en-US"/>
        </w:rPr>
        <w:t xml:space="preserve">We have extended the discussion on </w:t>
      </w:r>
      <w:r w:rsidR="00262BCE" w:rsidRPr="00D44C0B">
        <w:rPr>
          <w:rFonts w:ascii="Times New Roman" w:hAnsi="Times New Roman" w:cs="Times New Roman"/>
          <w:i/>
          <w:iCs/>
          <w:color w:val="000000" w:themeColor="text1"/>
          <w:lang w:val="en-US"/>
        </w:rPr>
        <w:t>cohort effects as shown for the previous comment and furthermore added the following sentence on linearity to the discussion</w:t>
      </w:r>
      <w:r w:rsidR="0031263A" w:rsidRPr="00D44C0B">
        <w:rPr>
          <w:rFonts w:ascii="Times New Roman" w:hAnsi="Times New Roman" w:cs="Times New Roman"/>
          <w:i/>
          <w:iCs/>
          <w:color w:val="000000" w:themeColor="text1"/>
          <w:lang w:val="en-US"/>
        </w:rPr>
        <w:t xml:space="preserve"> (p. 16)</w:t>
      </w:r>
      <w:r w:rsidRPr="00D44C0B">
        <w:rPr>
          <w:rFonts w:ascii="Times New Roman" w:hAnsi="Times New Roman" w:cs="Times New Roman"/>
          <w:i/>
          <w:iCs/>
          <w:color w:val="000000" w:themeColor="text1"/>
          <w:lang w:val="en-US"/>
        </w:rPr>
        <w:t>:</w:t>
      </w:r>
    </w:p>
    <w:p w14:paraId="08CE91F1" w14:textId="77777777" w:rsidR="00262BCE" w:rsidRPr="00D44C0B" w:rsidRDefault="00262BCE" w:rsidP="00736889">
      <w:pPr>
        <w:spacing w:before="100" w:beforeAutospacing="1" w:after="100" w:afterAutospacing="1" w:line="276" w:lineRule="auto"/>
        <w:jc w:val="both"/>
        <w:rPr>
          <w:rFonts w:ascii="Times New Roman" w:hAnsi="Times New Roman" w:cs="Times New Roman"/>
          <w:i/>
          <w:iCs/>
        </w:rPr>
      </w:pPr>
      <w:r w:rsidRPr="00D44C0B">
        <w:rPr>
          <w:rFonts w:ascii="Times New Roman" w:hAnsi="Times New Roman" w:cs="Times New Roman"/>
          <w:i/>
          <w:iCs/>
          <w:highlight w:val="yellow"/>
        </w:rPr>
        <w:t>First, the genetic-by-age interaction screening assumes a lack of age effect on the outcome difference between two time points, i.e., linear age effect on the outcome, and thus will miss or have reduced power to identify non-linear age effects.</w:t>
      </w:r>
    </w:p>
    <w:p w14:paraId="21EE5BB6" w14:textId="78989142" w:rsidR="00552D51" w:rsidRPr="00D44C0B" w:rsidRDefault="00934880" w:rsidP="00736889">
      <w:pPr>
        <w:spacing w:before="100" w:beforeAutospacing="1" w:after="100" w:afterAutospacing="1" w:line="276" w:lineRule="auto"/>
        <w:jc w:val="both"/>
        <w:rPr>
          <w:rFonts w:ascii="Times New Roman" w:hAnsi="Times New Roman" w:cs="Times New Roman"/>
          <w:i/>
          <w:iCs/>
        </w:rPr>
      </w:pPr>
      <w:r w:rsidRPr="00D44C0B">
        <w:rPr>
          <w:rFonts w:ascii="Times New Roman" w:hAnsi="Times New Roman" w:cs="Times New Roman"/>
          <w:i/>
          <w:iCs/>
        </w:rPr>
        <w:t xml:space="preserve">We address the following three comments on power in one response: </w:t>
      </w:r>
    </w:p>
    <w:p w14:paraId="50D9D52D" w14:textId="77777777" w:rsidR="00934880" w:rsidRPr="00D44C0B" w:rsidRDefault="00403A2B" w:rsidP="00736889">
      <w:pPr>
        <w:spacing w:after="0" w:line="276" w:lineRule="auto"/>
        <w:jc w:val="both"/>
        <w:rPr>
          <w:rFonts w:ascii="Times New Roman" w:hAnsi="Times New Roman" w:cs="Times New Roman"/>
          <w:color w:val="2F5496" w:themeColor="accent5" w:themeShade="BF"/>
        </w:rPr>
      </w:pPr>
      <w:r w:rsidRPr="00D44C0B">
        <w:rPr>
          <w:rFonts w:ascii="Times New Roman" w:hAnsi="Times New Roman" w:cs="Times New Roman"/>
          <w:color w:val="2F5496" w:themeColor="accent5" w:themeShade="BF"/>
        </w:rPr>
        <w:t>5. As the linear regression is mathematically mature, I would suggest the authors provide a math formula to power besides the simulation experiments.</w:t>
      </w:r>
    </w:p>
    <w:p w14:paraId="5190103B" w14:textId="72C6D4AD" w:rsidR="00F54DCB" w:rsidRPr="00D44C0B" w:rsidRDefault="00F54DCB" w:rsidP="00736889">
      <w:pPr>
        <w:spacing w:after="0" w:line="276" w:lineRule="auto"/>
        <w:jc w:val="both"/>
        <w:rPr>
          <w:rFonts w:ascii="Times New Roman" w:hAnsi="Times New Roman" w:cs="Times New Roman"/>
          <w:color w:val="2F5496" w:themeColor="accent5" w:themeShade="BF"/>
        </w:rPr>
      </w:pPr>
      <w:r w:rsidRPr="00D44C0B">
        <w:rPr>
          <w:rFonts w:ascii="Times New Roman" w:hAnsi="Times New Roman" w:cs="Times New Roman"/>
          <w:color w:val="2F5496" w:themeColor="accent5" w:themeShade="BF"/>
        </w:rPr>
        <w:t>6. Moreover, the sample size ratios of the three different study designs may also be interesting.</w:t>
      </w:r>
    </w:p>
    <w:p w14:paraId="67D4BAEB" w14:textId="77777777" w:rsidR="00F54DCB" w:rsidRPr="00D44C0B" w:rsidRDefault="00F54DCB" w:rsidP="00736889">
      <w:pPr>
        <w:spacing w:after="0" w:line="276" w:lineRule="auto"/>
        <w:jc w:val="both"/>
        <w:rPr>
          <w:rFonts w:ascii="Times New Roman" w:hAnsi="Times New Roman" w:cs="Times New Roman"/>
          <w:color w:val="2F5496" w:themeColor="accent5" w:themeShade="BF"/>
        </w:rPr>
      </w:pPr>
      <w:r w:rsidRPr="00D44C0B">
        <w:rPr>
          <w:rFonts w:ascii="Times New Roman" w:hAnsi="Times New Roman" w:cs="Times New Roman"/>
          <w:color w:val="2F5496" w:themeColor="accent5" w:themeShade="BF"/>
        </w:rPr>
        <w:t>9. The power comparison must systematically consider the sample size ratio. Figure 3 is not enough. By the way, the figure is also hard to follow. The legend should be integrated into the plots.</w:t>
      </w:r>
    </w:p>
    <w:p w14:paraId="43DEEED8" w14:textId="67FF3C96" w:rsidR="00934880" w:rsidRPr="00D44C0B" w:rsidRDefault="00F92B45" w:rsidP="00736889">
      <w:pPr>
        <w:spacing w:before="100" w:beforeAutospacing="1" w:after="100" w:afterAutospacing="1" w:line="276" w:lineRule="auto"/>
        <w:jc w:val="both"/>
        <w:rPr>
          <w:rFonts w:ascii="Times New Roman" w:hAnsi="Times New Roman" w:cs="Times New Roman"/>
          <w:i/>
          <w:iCs/>
          <w:lang w:val="en-US"/>
        </w:rPr>
      </w:pPr>
      <w:r w:rsidRPr="00D44C0B">
        <w:rPr>
          <w:rFonts w:ascii="Times New Roman" w:hAnsi="Times New Roman" w:cs="Times New Roman"/>
          <w:b/>
          <w:i/>
          <w:iCs/>
          <w:lang w:val="en-US"/>
        </w:rPr>
        <w:lastRenderedPageBreak/>
        <w:t>Response:</w:t>
      </w:r>
      <w:r w:rsidRPr="00D44C0B">
        <w:rPr>
          <w:rFonts w:ascii="Times New Roman" w:hAnsi="Times New Roman" w:cs="Times New Roman"/>
          <w:i/>
          <w:iCs/>
          <w:lang w:val="en-US"/>
        </w:rPr>
        <w:t xml:space="preserve"> </w:t>
      </w:r>
      <w:r w:rsidR="00934880" w:rsidRPr="00D44C0B">
        <w:rPr>
          <w:rFonts w:ascii="Times New Roman" w:hAnsi="Times New Roman" w:cs="Times New Roman"/>
          <w:i/>
          <w:iCs/>
          <w:lang w:val="en-US"/>
        </w:rPr>
        <w:t>We completely agree with the reviewer that additional content on power will be helpful and interesting for the readers. Considering sample size ratios help</w:t>
      </w:r>
      <w:r w:rsidR="00FF1BC0" w:rsidRPr="00D44C0B">
        <w:rPr>
          <w:rFonts w:ascii="Times New Roman" w:hAnsi="Times New Roman" w:cs="Times New Roman"/>
          <w:i/>
          <w:iCs/>
          <w:lang w:val="en-US"/>
        </w:rPr>
        <w:t>s</w:t>
      </w:r>
      <w:r w:rsidR="00934880" w:rsidRPr="00D44C0B">
        <w:rPr>
          <w:rFonts w:ascii="Times New Roman" w:hAnsi="Times New Roman" w:cs="Times New Roman"/>
          <w:i/>
          <w:iCs/>
          <w:lang w:val="en-US"/>
        </w:rPr>
        <w:t xml:space="preserve"> the interpretation of the power. </w:t>
      </w:r>
    </w:p>
    <w:p w14:paraId="5162809D" w14:textId="07F860FF" w:rsidR="00FF1BC0" w:rsidRPr="00D44C0B" w:rsidRDefault="00FF1BC0" w:rsidP="00736889">
      <w:pPr>
        <w:spacing w:before="100" w:beforeAutospacing="1" w:after="100" w:afterAutospacing="1" w:line="276" w:lineRule="auto"/>
        <w:jc w:val="both"/>
        <w:rPr>
          <w:rFonts w:ascii="Times New Roman" w:hAnsi="Times New Roman" w:cs="Times New Roman"/>
          <w:i/>
          <w:iCs/>
          <w:lang w:val="en-US"/>
        </w:rPr>
      </w:pPr>
      <w:r w:rsidRPr="00D44C0B">
        <w:rPr>
          <w:rFonts w:ascii="Times New Roman" w:hAnsi="Times New Roman" w:cs="Times New Roman"/>
          <w:i/>
          <w:iCs/>
          <w:lang w:val="en-US"/>
        </w:rPr>
        <w:t xml:space="preserve">As </w:t>
      </w:r>
      <w:r w:rsidR="00736889" w:rsidRPr="00D44C0B">
        <w:rPr>
          <w:rFonts w:ascii="Times New Roman" w:hAnsi="Times New Roman" w:cs="Times New Roman"/>
          <w:i/>
          <w:iCs/>
          <w:lang w:val="en-US"/>
        </w:rPr>
        <w:t>requested by the reviewer</w:t>
      </w:r>
      <w:r w:rsidRPr="00D44C0B">
        <w:rPr>
          <w:rFonts w:ascii="Times New Roman" w:hAnsi="Times New Roman" w:cs="Times New Roman"/>
          <w:i/>
          <w:iCs/>
          <w:lang w:val="en-US"/>
        </w:rPr>
        <w:t>, w</w:t>
      </w:r>
      <w:r w:rsidR="00934880" w:rsidRPr="00D44C0B">
        <w:rPr>
          <w:rFonts w:ascii="Times New Roman" w:hAnsi="Times New Roman" w:cs="Times New Roman"/>
          <w:i/>
          <w:iCs/>
          <w:lang w:val="en-US"/>
        </w:rPr>
        <w:t>e have</w:t>
      </w:r>
      <w:r w:rsidR="00DB4B68" w:rsidRPr="00D44C0B">
        <w:rPr>
          <w:rFonts w:ascii="Times New Roman" w:hAnsi="Times New Roman" w:cs="Times New Roman"/>
          <w:i/>
          <w:iCs/>
          <w:lang w:val="en-US"/>
        </w:rPr>
        <w:t xml:space="preserve"> </w:t>
      </w:r>
    </w:p>
    <w:p w14:paraId="6ECE2865" w14:textId="34067B67" w:rsidR="00934880" w:rsidRPr="00D44C0B" w:rsidRDefault="00934880" w:rsidP="00736889">
      <w:pPr>
        <w:pStyle w:val="ListParagraph"/>
        <w:numPr>
          <w:ilvl w:val="0"/>
          <w:numId w:val="17"/>
        </w:numPr>
        <w:spacing w:before="100" w:beforeAutospacing="1" w:after="100" w:afterAutospacing="1" w:line="276" w:lineRule="auto"/>
        <w:jc w:val="both"/>
        <w:rPr>
          <w:rFonts w:ascii="Times New Roman" w:hAnsi="Times New Roman" w:cs="Times New Roman"/>
          <w:i/>
          <w:iCs/>
          <w:lang w:val="en-US"/>
        </w:rPr>
      </w:pPr>
      <w:r w:rsidRPr="00D44C0B">
        <w:rPr>
          <w:rFonts w:ascii="Times New Roman" w:hAnsi="Times New Roman" w:cs="Times New Roman"/>
          <w:i/>
          <w:iCs/>
          <w:lang w:val="en-US"/>
        </w:rPr>
        <w:t>derived analytical power formulae for the three approaches</w:t>
      </w:r>
      <w:r w:rsidR="00736889" w:rsidRPr="00D44C0B">
        <w:rPr>
          <w:rFonts w:ascii="Times New Roman" w:hAnsi="Times New Roman" w:cs="Times New Roman"/>
          <w:i/>
          <w:iCs/>
          <w:lang w:val="en-US"/>
        </w:rPr>
        <w:t xml:space="preserve"> (‘</w:t>
      </w:r>
      <w:r w:rsidRPr="00D44C0B">
        <w:rPr>
          <w:rFonts w:ascii="Times New Roman" w:hAnsi="Times New Roman" w:cs="Times New Roman"/>
          <w:i/>
          <w:iCs/>
          <w:lang w:val="en-US"/>
        </w:rPr>
        <w:t xml:space="preserve">1-stage </w:t>
      </w:r>
      <w:proofErr w:type="spellStart"/>
      <w:r w:rsidRPr="00D44C0B">
        <w:rPr>
          <w:rFonts w:ascii="Times New Roman" w:hAnsi="Times New Roman" w:cs="Times New Roman"/>
          <w:i/>
          <w:iCs/>
          <w:lang w:val="en-US"/>
        </w:rPr>
        <w:t>GxAge</w:t>
      </w:r>
      <w:proofErr w:type="spellEnd"/>
      <w:r w:rsidRPr="00D44C0B">
        <w:rPr>
          <w:rFonts w:ascii="Times New Roman" w:hAnsi="Times New Roman" w:cs="Times New Roman"/>
          <w:i/>
          <w:iCs/>
          <w:lang w:val="en-US"/>
        </w:rPr>
        <w:t xml:space="preserve"> approach</w:t>
      </w:r>
      <w:r w:rsidR="00736889" w:rsidRPr="00D44C0B">
        <w:rPr>
          <w:rFonts w:ascii="Times New Roman" w:hAnsi="Times New Roman" w:cs="Times New Roman"/>
          <w:i/>
          <w:iCs/>
          <w:lang w:val="en-US"/>
        </w:rPr>
        <w:t>’</w:t>
      </w:r>
      <w:r w:rsidRPr="00D44C0B">
        <w:rPr>
          <w:rFonts w:ascii="Times New Roman" w:hAnsi="Times New Roman" w:cs="Times New Roman"/>
          <w:i/>
          <w:iCs/>
          <w:lang w:val="en-US"/>
        </w:rPr>
        <w:t xml:space="preserve">, </w:t>
      </w:r>
      <w:r w:rsidR="00736889" w:rsidRPr="00D44C0B">
        <w:rPr>
          <w:rFonts w:ascii="Times New Roman" w:hAnsi="Times New Roman" w:cs="Times New Roman"/>
          <w:i/>
          <w:iCs/>
          <w:lang w:val="en-US"/>
        </w:rPr>
        <w:t>‘</w:t>
      </w:r>
      <w:r w:rsidRPr="00D44C0B">
        <w:rPr>
          <w:rFonts w:ascii="Times New Roman" w:hAnsi="Times New Roman" w:cs="Times New Roman"/>
          <w:i/>
          <w:iCs/>
          <w:lang w:val="en-US"/>
        </w:rPr>
        <w:t>1-stage Change approach</w:t>
      </w:r>
      <w:r w:rsidR="00736889" w:rsidRPr="00D44C0B">
        <w:rPr>
          <w:rFonts w:ascii="Times New Roman" w:hAnsi="Times New Roman" w:cs="Times New Roman"/>
          <w:i/>
          <w:iCs/>
          <w:lang w:val="en-US"/>
        </w:rPr>
        <w:t>’</w:t>
      </w:r>
      <w:r w:rsidRPr="00D44C0B">
        <w:rPr>
          <w:rFonts w:ascii="Times New Roman" w:hAnsi="Times New Roman" w:cs="Times New Roman"/>
          <w:i/>
          <w:iCs/>
          <w:lang w:val="en-US"/>
        </w:rPr>
        <w:t xml:space="preserve"> and </w:t>
      </w:r>
      <w:r w:rsidR="00736889" w:rsidRPr="00D44C0B">
        <w:rPr>
          <w:rFonts w:ascii="Times New Roman" w:hAnsi="Times New Roman" w:cs="Times New Roman"/>
          <w:i/>
          <w:iCs/>
          <w:lang w:val="en-US"/>
        </w:rPr>
        <w:t>‘</w:t>
      </w:r>
      <w:r w:rsidRPr="00D44C0B">
        <w:rPr>
          <w:rFonts w:ascii="Times New Roman" w:hAnsi="Times New Roman" w:cs="Times New Roman"/>
          <w:i/>
          <w:iCs/>
          <w:lang w:val="en-US"/>
        </w:rPr>
        <w:t xml:space="preserve">2-stage </w:t>
      </w:r>
      <w:proofErr w:type="spellStart"/>
      <w:r w:rsidRPr="00D44C0B">
        <w:rPr>
          <w:rFonts w:ascii="Times New Roman" w:hAnsi="Times New Roman" w:cs="Times New Roman"/>
          <w:i/>
          <w:iCs/>
          <w:lang w:val="en-US"/>
        </w:rPr>
        <w:t>GxAge</w:t>
      </w:r>
      <w:proofErr w:type="spellEnd"/>
      <w:r w:rsidRPr="00D44C0B">
        <w:rPr>
          <w:rFonts w:ascii="Times New Roman" w:hAnsi="Times New Roman" w:cs="Times New Roman"/>
          <w:i/>
          <w:iCs/>
          <w:lang w:val="en-US"/>
        </w:rPr>
        <w:t>-&gt;Change approach</w:t>
      </w:r>
      <w:r w:rsidR="00736889" w:rsidRPr="00D44C0B">
        <w:rPr>
          <w:rFonts w:ascii="Times New Roman" w:hAnsi="Times New Roman" w:cs="Times New Roman"/>
          <w:i/>
          <w:iCs/>
          <w:lang w:val="en-US"/>
        </w:rPr>
        <w:t>’)</w:t>
      </w:r>
      <w:r w:rsidRPr="00D44C0B">
        <w:rPr>
          <w:rFonts w:ascii="Times New Roman" w:hAnsi="Times New Roman" w:cs="Times New Roman"/>
          <w:i/>
          <w:iCs/>
          <w:lang w:val="en-US"/>
        </w:rPr>
        <w:t xml:space="preserve"> </w:t>
      </w:r>
      <w:r w:rsidR="00736889" w:rsidRPr="00D44C0B">
        <w:rPr>
          <w:rFonts w:ascii="Times New Roman" w:hAnsi="Times New Roman" w:cs="Times New Roman"/>
          <w:i/>
          <w:iCs/>
          <w:lang w:val="en-US"/>
        </w:rPr>
        <w:t xml:space="preserve">and have added </w:t>
      </w:r>
      <w:r w:rsidRPr="00D44C0B">
        <w:rPr>
          <w:rFonts w:ascii="Times New Roman" w:hAnsi="Times New Roman" w:cs="Times New Roman"/>
          <w:i/>
          <w:iCs/>
          <w:lang w:val="en-US"/>
        </w:rPr>
        <w:t>the derivation and the formulae in the new Note S2</w:t>
      </w:r>
      <w:r w:rsidR="00736889" w:rsidRPr="00D44C0B">
        <w:rPr>
          <w:rFonts w:ascii="Times New Roman" w:hAnsi="Times New Roman" w:cs="Times New Roman"/>
          <w:i/>
          <w:iCs/>
          <w:lang w:val="en-US"/>
        </w:rPr>
        <w:t>.</w:t>
      </w:r>
      <w:r w:rsidRPr="00D44C0B">
        <w:rPr>
          <w:rFonts w:ascii="Times New Roman" w:hAnsi="Times New Roman" w:cs="Times New Roman"/>
          <w:i/>
          <w:iCs/>
          <w:lang w:val="en-US"/>
        </w:rPr>
        <w:t xml:space="preserve"> </w:t>
      </w:r>
    </w:p>
    <w:p w14:paraId="3F27621B" w14:textId="46D2BADE" w:rsidR="00FF1BC0" w:rsidRPr="00D44C0B" w:rsidRDefault="00DB4B68" w:rsidP="00736889">
      <w:pPr>
        <w:pStyle w:val="ListParagraph"/>
        <w:numPr>
          <w:ilvl w:val="0"/>
          <w:numId w:val="17"/>
        </w:numPr>
        <w:spacing w:before="100" w:beforeAutospacing="1" w:after="100" w:afterAutospacing="1" w:line="276" w:lineRule="auto"/>
        <w:jc w:val="both"/>
        <w:rPr>
          <w:rFonts w:ascii="Times New Roman" w:hAnsi="Times New Roman" w:cs="Times New Roman"/>
          <w:i/>
          <w:iCs/>
          <w:lang w:val="en-US"/>
        </w:rPr>
      </w:pPr>
      <w:r w:rsidRPr="00D44C0B">
        <w:rPr>
          <w:rFonts w:ascii="Times New Roman" w:hAnsi="Times New Roman" w:cs="Times New Roman"/>
          <w:i/>
          <w:iCs/>
          <w:lang w:val="en-US"/>
        </w:rPr>
        <w:t>e</w:t>
      </w:r>
      <w:r w:rsidR="00FF1BC0" w:rsidRPr="00D44C0B">
        <w:rPr>
          <w:rFonts w:ascii="Times New Roman" w:hAnsi="Times New Roman" w:cs="Times New Roman"/>
          <w:i/>
          <w:iCs/>
          <w:lang w:val="en-US"/>
        </w:rPr>
        <w:t xml:space="preserve">xtended existing power computations </w:t>
      </w:r>
      <w:r w:rsidRPr="00D44C0B">
        <w:rPr>
          <w:rFonts w:ascii="Times New Roman" w:hAnsi="Times New Roman" w:cs="Times New Roman"/>
          <w:i/>
          <w:iCs/>
          <w:lang w:val="en-US"/>
        </w:rPr>
        <w:t xml:space="preserve">and their description in the main text to traits other than BMI. We have added a new Table 2 (see below) that shows power and minimum detectable effect size for all traits and have </w:t>
      </w:r>
      <w:r w:rsidR="00736889" w:rsidRPr="00D44C0B">
        <w:rPr>
          <w:rFonts w:ascii="Times New Roman" w:hAnsi="Times New Roman" w:cs="Times New Roman"/>
          <w:i/>
          <w:iCs/>
          <w:lang w:val="en-US"/>
        </w:rPr>
        <w:t xml:space="preserve">revised and </w:t>
      </w:r>
      <w:r w:rsidRPr="00D44C0B">
        <w:rPr>
          <w:rFonts w:ascii="Times New Roman" w:hAnsi="Times New Roman" w:cs="Times New Roman"/>
          <w:i/>
          <w:iCs/>
          <w:lang w:val="en-US"/>
        </w:rPr>
        <w:t xml:space="preserve">extended the description in the results chapter (see below). </w:t>
      </w:r>
    </w:p>
    <w:p w14:paraId="1386EB5D" w14:textId="6CF8F686" w:rsidR="00DB4B68" w:rsidRPr="00D44C0B" w:rsidRDefault="00DB4B68" w:rsidP="00736889">
      <w:pPr>
        <w:pStyle w:val="ListParagraph"/>
        <w:numPr>
          <w:ilvl w:val="0"/>
          <w:numId w:val="17"/>
        </w:numPr>
        <w:spacing w:before="100" w:beforeAutospacing="1" w:after="100" w:afterAutospacing="1" w:line="276" w:lineRule="auto"/>
        <w:jc w:val="both"/>
        <w:rPr>
          <w:rFonts w:ascii="Times New Roman" w:hAnsi="Times New Roman" w:cs="Times New Roman"/>
          <w:i/>
          <w:iCs/>
          <w:lang w:val="en-US"/>
        </w:rPr>
      </w:pPr>
      <w:r w:rsidRPr="00D44C0B">
        <w:rPr>
          <w:rFonts w:ascii="Times New Roman" w:hAnsi="Times New Roman" w:cs="Times New Roman"/>
          <w:b/>
          <w:i/>
          <w:iCs/>
          <w:lang w:val="en-US"/>
        </w:rPr>
        <w:t>updated</w:t>
      </w:r>
      <w:r w:rsidRPr="00D44C0B">
        <w:rPr>
          <w:rFonts w:ascii="Times New Roman" w:hAnsi="Times New Roman" w:cs="Times New Roman"/>
          <w:i/>
          <w:iCs/>
          <w:lang w:val="en-US"/>
        </w:rPr>
        <w:t xml:space="preserve"> </w:t>
      </w:r>
      <w:r w:rsidRPr="00D44C0B">
        <w:rPr>
          <w:rFonts w:ascii="Times New Roman" w:hAnsi="Times New Roman" w:cs="Times New Roman"/>
          <w:b/>
          <w:i/>
          <w:iCs/>
          <w:lang w:val="en-US"/>
        </w:rPr>
        <w:t>Figure 3</w:t>
      </w:r>
      <w:r w:rsidRPr="00D44C0B">
        <w:rPr>
          <w:rFonts w:ascii="Times New Roman" w:hAnsi="Times New Roman" w:cs="Times New Roman"/>
          <w:i/>
          <w:iCs/>
          <w:lang w:val="en-US"/>
        </w:rPr>
        <w:t xml:space="preserve"> as requested. We have removed the differentiation between genome-wide significance and 2-step tests and now only show the three aggregated power curves for the three approaches</w:t>
      </w:r>
      <w:r w:rsidR="00736889" w:rsidRPr="00D44C0B">
        <w:rPr>
          <w:rFonts w:ascii="Times New Roman" w:hAnsi="Times New Roman" w:cs="Times New Roman"/>
          <w:i/>
          <w:iCs/>
          <w:lang w:val="en-US"/>
        </w:rPr>
        <w:t xml:space="preserve">. </w:t>
      </w:r>
      <w:r w:rsidRPr="00D44C0B">
        <w:rPr>
          <w:rFonts w:ascii="Times New Roman" w:hAnsi="Times New Roman" w:cs="Times New Roman"/>
          <w:i/>
          <w:iCs/>
          <w:lang w:val="en-US"/>
        </w:rPr>
        <w:t xml:space="preserve">We have added a legend describing the curves. The previous figure was limited to assumptions based on BMI. We have added sub-Figures for LDL-C and pulse pressure.  </w:t>
      </w:r>
    </w:p>
    <w:p w14:paraId="55BDD4A4" w14:textId="0CAC2BFF" w:rsidR="00DB4B68" w:rsidRPr="00D44C0B" w:rsidRDefault="00DB4B68" w:rsidP="00736889">
      <w:pPr>
        <w:pStyle w:val="ListParagraph"/>
        <w:numPr>
          <w:ilvl w:val="0"/>
          <w:numId w:val="17"/>
        </w:numPr>
        <w:spacing w:before="100" w:beforeAutospacing="1" w:after="100" w:afterAutospacing="1" w:line="276" w:lineRule="auto"/>
        <w:jc w:val="both"/>
        <w:rPr>
          <w:rFonts w:ascii="Times New Roman" w:hAnsi="Times New Roman" w:cs="Times New Roman"/>
          <w:i/>
          <w:iCs/>
          <w:lang w:val="en-US"/>
        </w:rPr>
      </w:pPr>
      <w:r w:rsidRPr="00D44C0B">
        <w:rPr>
          <w:rFonts w:ascii="Times New Roman" w:hAnsi="Times New Roman" w:cs="Times New Roman"/>
          <w:i/>
          <w:iCs/>
          <w:lang w:val="en-US"/>
        </w:rPr>
        <w:t>systematically considered the sample size ratios (f=</w:t>
      </w:r>
      <w:proofErr w:type="spellStart"/>
      <w:r w:rsidRPr="00D44C0B">
        <w:rPr>
          <w:rFonts w:ascii="Times New Roman" w:hAnsi="Times New Roman" w:cs="Times New Roman"/>
          <w:i/>
          <w:iCs/>
          <w:lang w:val="en-US"/>
        </w:rPr>
        <w:t>Nlong</w:t>
      </w:r>
      <w:proofErr w:type="spellEnd"/>
      <w:r w:rsidRPr="00D44C0B">
        <w:rPr>
          <w:rFonts w:ascii="Times New Roman" w:hAnsi="Times New Roman" w:cs="Times New Roman"/>
          <w:i/>
          <w:iCs/>
          <w:lang w:val="en-US"/>
        </w:rPr>
        <w:t>/</w:t>
      </w:r>
      <w:proofErr w:type="spellStart"/>
      <w:r w:rsidRPr="00D44C0B">
        <w:rPr>
          <w:rFonts w:ascii="Times New Roman" w:hAnsi="Times New Roman" w:cs="Times New Roman"/>
          <w:i/>
          <w:iCs/>
          <w:lang w:val="en-US"/>
        </w:rPr>
        <w:t>Nnolong</w:t>
      </w:r>
      <w:proofErr w:type="spellEnd"/>
      <w:r w:rsidRPr="00D44C0B">
        <w:rPr>
          <w:rFonts w:ascii="Times New Roman" w:hAnsi="Times New Roman" w:cs="Times New Roman"/>
          <w:i/>
          <w:iCs/>
          <w:lang w:val="en-US"/>
        </w:rPr>
        <w:t xml:space="preserve">) in the power computations and have added respective sub-figures to </w:t>
      </w:r>
      <w:r w:rsidRPr="00D44C0B">
        <w:rPr>
          <w:rFonts w:ascii="Times New Roman" w:hAnsi="Times New Roman" w:cs="Times New Roman"/>
          <w:b/>
          <w:i/>
          <w:iCs/>
          <w:lang w:val="en-US"/>
        </w:rPr>
        <w:t>Figure 3</w:t>
      </w:r>
      <w:r w:rsidRPr="00D44C0B">
        <w:rPr>
          <w:rFonts w:ascii="Times New Roman" w:hAnsi="Times New Roman" w:cs="Times New Roman"/>
          <w:i/>
          <w:iCs/>
          <w:lang w:val="en-US"/>
        </w:rPr>
        <w:t xml:space="preserve">. We demonstrate that for BMI and weight </w:t>
      </w:r>
      <w:r w:rsidRPr="00D44C0B">
        <w:rPr>
          <w:rFonts w:ascii="Times New Roman" w:hAnsi="Times New Roman" w:cs="Times New Roman"/>
          <w:i/>
          <w:iCs/>
        </w:rPr>
        <w:t xml:space="preserve">the “1-stage Change” approach overcomes the other approaches (involving </w:t>
      </w:r>
      <w:proofErr w:type="spellStart"/>
      <w:r w:rsidRPr="00D44C0B">
        <w:rPr>
          <w:rFonts w:ascii="Times New Roman" w:hAnsi="Times New Roman" w:cs="Times New Roman"/>
          <w:i/>
          <w:iCs/>
        </w:rPr>
        <w:t>GxAge</w:t>
      </w:r>
      <w:proofErr w:type="spellEnd"/>
      <w:r w:rsidRPr="00D44C0B">
        <w:rPr>
          <w:rFonts w:ascii="Times New Roman" w:hAnsi="Times New Roman" w:cs="Times New Roman"/>
          <w:i/>
          <w:iCs/>
        </w:rPr>
        <w:t xml:space="preserve"> testing) at f~25% (i.e., ~92,000 individuals with longitudinal data; which is almost twice as much as would be available for BMI or weight</w:t>
      </w:r>
      <w:r w:rsidR="00736889" w:rsidRPr="00D44C0B">
        <w:rPr>
          <w:rFonts w:ascii="Times New Roman" w:hAnsi="Times New Roman" w:cs="Times New Roman"/>
          <w:i/>
          <w:iCs/>
        </w:rPr>
        <w:t xml:space="preserve"> in UKB</w:t>
      </w:r>
      <w:r w:rsidRPr="00D44C0B">
        <w:rPr>
          <w:rFonts w:ascii="Times New Roman" w:hAnsi="Times New Roman" w:cs="Times New Roman"/>
          <w:i/>
          <w:iCs/>
        </w:rPr>
        <w:t>). For all other traits, the “1-stage Change” approach cannot overcome the other approaches, even when longitudinal sample sizes were identical to the respective cross-sectional sample size (f=1). The reason for this is that annual change effects for these traits explain a relatively lower fraction of the change variance (</w:t>
      </w:r>
      <w:r w:rsidRPr="00D44C0B">
        <w:rPr>
          <w:rFonts w:ascii="Times New Roman" w:hAnsi="Times New Roman" w:cs="Times New Roman"/>
          <w:b/>
          <w:i/>
          <w:iCs/>
        </w:rPr>
        <w:t>new Table 2</w:t>
      </w:r>
      <w:r w:rsidRPr="00D44C0B">
        <w:rPr>
          <w:rFonts w:ascii="Times New Roman" w:hAnsi="Times New Roman" w:cs="Times New Roman"/>
          <w:i/>
          <w:iCs/>
        </w:rPr>
        <w:t>), which is why their identification requires much higher sample sizes.</w:t>
      </w:r>
    </w:p>
    <w:p w14:paraId="63A5DB29" w14:textId="2D33867D" w:rsidR="00DB4B68" w:rsidRPr="00D44C0B" w:rsidRDefault="00736889" w:rsidP="00736889">
      <w:pPr>
        <w:spacing w:before="100" w:beforeAutospacing="1" w:after="100" w:afterAutospacing="1" w:line="276" w:lineRule="auto"/>
        <w:jc w:val="both"/>
        <w:rPr>
          <w:rFonts w:ascii="Times New Roman" w:hAnsi="Times New Roman" w:cs="Times New Roman"/>
          <w:i/>
          <w:iCs/>
          <w:lang w:val="en-US"/>
        </w:rPr>
      </w:pPr>
      <w:r w:rsidRPr="00D44C0B">
        <w:rPr>
          <w:rFonts w:ascii="Times New Roman" w:hAnsi="Times New Roman" w:cs="Times New Roman"/>
          <w:i/>
          <w:iCs/>
          <w:lang w:val="en-US"/>
        </w:rPr>
        <w:t>Like</w:t>
      </w:r>
      <w:r w:rsidR="00DB4B68" w:rsidRPr="00D44C0B">
        <w:rPr>
          <w:rFonts w:ascii="Times New Roman" w:hAnsi="Times New Roman" w:cs="Times New Roman"/>
          <w:i/>
          <w:iCs/>
          <w:lang w:val="en-US"/>
        </w:rPr>
        <w:t xml:space="preserve"> Figure 3, we have extended </w:t>
      </w:r>
      <w:r w:rsidR="00DB4B68" w:rsidRPr="00D44C0B">
        <w:rPr>
          <w:rFonts w:ascii="Times New Roman" w:hAnsi="Times New Roman" w:cs="Times New Roman"/>
          <w:b/>
          <w:i/>
          <w:iCs/>
          <w:lang w:val="en-US"/>
        </w:rPr>
        <w:t xml:space="preserve">Figure S1 </w:t>
      </w:r>
      <w:r w:rsidR="00DB4B68" w:rsidRPr="00D44C0B">
        <w:rPr>
          <w:rFonts w:ascii="Times New Roman" w:hAnsi="Times New Roman" w:cs="Times New Roman"/>
          <w:i/>
          <w:iCs/>
          <w:lang w:val="en-US"/>
        </w:rPr>
        <w:t>that shows power results for the other traits.</w:t>
      </w:r>
    </w:p>
    <w:p w14:paraId="47517F33" w14:textId="2A242428" w:rsidR="00DB4B68" w:rsidRPr="00D44C0B" w:rsidRDefault="00DB4B68" w:rsidP="00736889">
      <w:pPr>
        <w:spacing w:before="100" w:beforeAutospacing="1" w:after="100" w:afterAutospacing="1" w:line="276" w:lineRule="auto"/>
        <w:jc w:val="both"/>
        <w:rPr>
          <w:rFonts w:ascii="Times New Roman" w:hAnsi="Times New Roman" w:cs="Times New Roman"/>
          <w:i/>
          <w:iCs/>
          <w:lang w:val="en-US"/>
        </w:rPr>
      </w:pPr>
      <w:r w:rsidRPr="00D44C0B">
        <w:rPr>
          <w:rFonts w:ascii="Times New Roman" w:hAnsi="Times New Roman" w:cs="Times New Roman"/>
          <w:i/>
          <w:iCs/>
          <w:lang w:val="en-US"/>
        </w:rPr>
        <w:t xml:space="preserve">We have revised the description of the power computations in the main text </w:t>
      </w:r>
      <w:r w:rsidR="00736889" w:rsidRPr="00D44C0B">
        <w:rPr>
          <w:rFonts w:ascii="Times New Roman" w:hAnsi="Times New Roman" w:cs="Times New Roman"/>
          <w:i/>
          <w:iCs/>
          <w:lang w:val="en-US"/>
        </w:rPr>
        <w:t xml:space="preserve">results </w:t>
      </w:r>
      <w:r w:rsidRPr="00D44C0B">
        <w:rPr>
          <w:rFonts w:ascii="Times New Roman" w:hAnsi="Times New Roman" w:cs="Times New Roman"/>
          <w:i/>
          <w:iCs/>
          <w:lang w:val="en-US"/>
        </w:rPr>
        <w:t>as follows</w:t>
      </w:r>
      <w:r w:rsidR="00F92B45" w:rsidRPr="00D44C0B">
        <w:rPr>
          <w:rFonts w:ascii="Times New Roman" w:hAnsi="Times New Roman" w:cs="Times New Roman"/>
          <w:i/>
          <w:iCs/>
          <w:lang w:val="en-US"/>
        </w:rPr>
        <w:t xml:space="preserve"> (p </w:t>
      </w:r>
      <w:r w:rsidR="0031263A" w:rsidRPr="00D44C0B">
        <w:rPr>
          <w:rFonts w:ascii="Times New Roman" w:hAnsi="Times New Roman" w:cs="Times New Roman"/>
          <w:i/>
          <w:iCs/>
          <w:lang w:val="en-US"/>
        </w:rPr>
        <w:t>6</w:t>
      </w:r>
      <w:r w:rsidR="00F92B45" w:rsidRPr="00D44C0B">
        <w:rPr>
          <w:rFonts w:ascii="Times New Roman" w:hAnsi="Times New Roman" w:cs="Times New Roman"/>
          <w:i/>
          <w:iCs/>
          <w:lang w:val="en-US"/>
        </w:rPr>
        <w:t>)</w:t>
      </w:r>
      <w:r w:rsidRPr="00D44C0B">
        <w:rPr>
          <w:rFonts w:ascii="Times New Roman" w:hAnsi="Times New Roman" w:cs="Times New Roman"/>
          <w:i/>
          <w:iCs/>
          <w:lang w:val="en-US"/>
        </w:rPr>
        <w:t xml:space="preserve">: </w:t>
      </w:r>
    </w:p>
    <w:p w14:paraId="12B3437E" w14:textId="77777777" w:rsidR="00754139" w:rsidRPr="00D44C0B" w:rsidRDefault="0031263A" w:rsidP="00754139">
      <w:pPr>
        <w:spacing w:after="0" w:line="276" w:lineRule="auto"/>
        <w:ind w:firstLine="708"/>
        <w:contextualSpacing/>
        <w:jc w:val="both"/>
        <w:rPr>
          <w:rFonts w:ascii="Times New Roman" w:hAnsi="Times New Roman" w:cs="Times New Roman"/>
          <w:i/>
          <w:iCs/>
          <w:highlight w:val="yellow"/>
        </w:rPr>
      </w:pPr>
      <w:r w:rsidRPr="00D44C0B">
        <w:rPr>
          <w:rFonts w:ascii="Times New Roman" w:hAnsi="Times New Roman" w:cs="Times New Roman"/>
          <w:i/>
          <w:iCs/>
          <w:highlight w:val="yellow"/>
        </w:rPr>
        <w:t xml:space="preserve">We first compared the power of the three approaches for varying effect sizes and for sample size configurations that reflect UKB (cross sectional N&gt;350,000 and longitudinal N&lt;50,000). We observed a substantial improvement in power to identify genetic effects on trait change by the approaches involving genetic-by-age interaction testing (left panels in </w:t>
      </w:r>
      <w:r w:rsidRPr="00D44C0B">
        <w:rPr>
          <w:rFonts w:ascii="Times New Roman" w:hAnsi="Times New Roman" w:cs="Times New Roman"/>
          <w:b/>
          <w:i/>
          <w:iCs/>
          <w:highlight w:val="yellow"/>
        </w:rPr>
        <w:t>Figure 3</w:t>
      </w:r>
      <w:r w:rsidRPr="00D44C0B">
        <w:rPr>
          <w:rFonts w:ascii="Times New Roman" w:hAnsi="Times New Roman" w:cs="Times New Roman"/>
          <w:i/>
          <w:iCs/>
          <w:highlight w:val="yellow"/>
        </w:rPr>
        <w:t xml:space="preserve">, </w:t>
      </w:r>
      <w:r w:rsidRPr="00D44C0B">
        <w:rPr>
          <w:rFonts w:ascii="Times New Roman" w:hAnsi="Times New Roman" w:cs="Times New Roman"/>
          <w:b/>
          <w:i/>
          <w:iCs/>
          <w:highlight w:val="yellow"/>
        </w:rPr>
        <w:t>Figure S1</w:t>
      </w:r>
      <w:r w:rsidRPr="00D44C0B">
        <w:rPr>
          <w:rFonts w:ascii="Times New Roman" w:hAnsi="Times New Roman" w:cs="Times New Roman"/>
          <w:i/>
          <w:iCs/>
          <w:highlight w:val="yellow"/>
        </w:rPr>
        <w:t xml:space="preserve">). For example, assuming a realistic genetic effect on annual trait change that is equal to 10% of a median marginal effect for the trait (i.e., the mean genetic effect size is modulated each year by 10%), we observe &gt;91% power for the “1-stage </w:t>
      </w:r>
      <w:proofErr w:type="spellStart"/>
      <w:r w:rsidRPr="00D44C0B">
        <w:rPr>
          <w:rFonts w:ascii="Times New Roman" w:hAnsi="Times New Roman" w:cs="Times New Roman"/>
          <w:i/>
          <w:iCs/>
          <w:highlight w:val="yellow"/>
        </w:rPr>
        <w:t>GxAge</w:t>
      </w:r>
      <w:proofErr w:type="spellEnd"/>
      <w:r w:rsidRPr="00D44C0B">
        <w:rPr>
          <w:rFonts w:ascii="Times New Roman" w:hAnsi="Times New Roman" w:cs="Times New Roman"/>
          <w:i/>
          <w:iCs/>
          <w:highlight w:val="yellow"/>
        </w:rPr>
        <w:t>” approach across all traits (</w:t>
      </w:r>
      <w:r w:rsidRPr="00D44C0B">
        <w:rPr>
          <w:rFonts w:ascii="Times New Roman" w:hAnsi="Times New Roman" w:cs="Times New Roman"/>
          <w:b/>
          <w:i/>
          <w:iCs/>
          <w:highlight w:val="yellow"/>
        </w:rPr>
        <w:t>Table 2</w:t>
      </w:r>
      <w:r w:rsidRPr="00D44C0B">
        <w:rPr>
          <w:rFonts w:ascii="Times New Roman" w:hAnsi="Times New Roman" w:cs="Times New Roman"/>
          <w:i/>
          <w:iCs/>
          <w:highlight w:val="yellow"/>
        </w:rPr>
        <w:t>). Power of the change approaches for this 10% effect was reasonable for weight and BMI but extensively attenuated for the other traits (</w:t>
      </w:r>
      <w:r w:rsidRPr="00D44C0B">
        <w:rPr>
          <w:rFonts w:ascii="Times New Roman" w:hAnsi="Times New Roman" w:cs="Times New Roman"/>
          <w:b/>
          <w:i/>
          <w:iCs/>
          <w:highlight w:val="yellow"/>
        </w:rPr>
        <w:t>Table 2</w:t>
      </w:r>
      <w:r w:rsidRPr="00D44C0B">
        <w:rPr>
          <w:rFonts w:ascii="Times New Roman" w:hAnsi="Times New Roman" w:cs="Times New Roman"/>
          <w:i/>
          <w:iCs/>
          <w:highlight w:val="yellow"/>
        </w:rPr>
        <w:t xml:space="preserve">). The reason for this was that the 10% effect explained more variance for annual change of BMI (~0.05%, for an allele frequency of 30%) as compared to annual change of other traits (e.g., only 0.004% and 0.009% variance explained for change of LDL-C and pulse pressure, respectively, </w:t>
      </w:r>
      <w:r w:rsidRPr="00D44C0B">
        <w:rPr>
          <w:rFonts w:ascii="Times New Roman" w:hAnsi="Times New Roman" w:cs="Times New Roman"/>
          <w:b/>
          <w:i/>
          <w:iCs/>
          <w:highlight w:val="yellow"/>
        </w:rPr>
        <w:t>Table 2</w:t>
      </w:r>
      <w:r w:rsidRPr="00D44C0B">
        <w:rPr>
          <w:rFonts w:ascii="Times New Roman" w:hAnsi="Times New Roman" w:cs="Times New Roman"/>
          <w:i/>
          <w:iCs/>
          <w:highlight w:val="yellow"/>
        </w:rPr>
        <w:t>).  This pattern is confirmed by calculations of minimum annual change effect size detectable at 80% power for the three approaches (</w:t>
      </w:r>
      <w:r w:rsidRPr="00D44C0B">
        <w:rPr>
          <w:rFonts w:ascii="Times New Roman" w:hAnsi="Times New Roman" w:cs="Times New Roman"/>
          <w:b/>
          <w:i/>
          <w:iCs/>
          <w:highlight w:val="yellow"/>
        </w:rPr>
        <w:t>Table 2</w:t>
      </w:r>
      <w:r w:rsidRPr="00D44C0B">
        <w:rPr>
          <w:rFonts w:ascii="Times New Roman" w:hAnsi="Times New Roman" w:cs="Times New Roman"/>
          <w:i/>
          <w:iCs/>
          <w:highlight w:val="yellow"/>
        </w:rPr>
        <w:t xml:space="preserve">). While all approaches capture realistic annual weight- and BMI change effects, only the “1-stage </w:t>
      </w:r>
      <w:proofErr w:type="spellStart"/>
      <w:r w:rsidRPr="00D44C0B">
        <w:rPr>
          <w:rFonts w:ascii="Times New Roman" w:hAnsi="Times New Roman" w:cs="Times New Roman"/>
          <w:i/>
          <w:iCs/>
          <w:highlight w:val="yellow"/>
        </w:rPr>
        <w:t>GxAge</w:t>
      </w:r>
      <w:proofErr w:type="spellEnd"/>
      <w:r w:rsidRPr="00D44C0B">
        <w:rPr>
          <w:rFonts w:ascii="Times New Roman" w:hAnsi="Times New Roman" w:cs="Times New Roman"/>
          <w:i/>
          <w:iCs/>
          <w:highlight w:val="yellow"/>
        </w:rPr>
        <w:t>” approach captures realistic annual change effects for the other traits (</w:t>
      </w:r>
      <w:r w:rsidRPr="00D44C0B">
        <w:rPr>
          <w:rFonts w:ascii="Times New Roman" w:hAnsi="Times New Roman" w:cs="Times New Roman"/>
          <w:b/>
          <w:i/>
          <w:iCs/>
          <w:highlight w:val="yellow"/>
        </w:rPr>
        <w:t>Table 2</w:t>
      </w:r>
      <w:r w:rsidRPr="00D44C0B">
        <w:rPr>
          <w:rFonts w:ascii="Times New Roman" w:hAnsi="Times New Roman" w:cs="Times New Roman"/>
          <w:i/>
          <w:iCs/>
          <w:highlight w:val="yellow"/>
        </w:rPr>
        <w:t xml:space="preserve">). The minimum effect sizes detectable by the change approaches were unrealistically high (e.g., 0.47 (mg/dl)/year/allele for LDL-C, which refers to a yearly modulation that is equivalent to 59% of a median marginal effect). </w:t>
      </w:r>
    </w:p>
    <w:p w14:paraId="59623F90" w14:textId="47188501" w:rsidR="0031263A" w:rsidRPr="00D44C0B" w:rsidRDefault="0031263A" w:rsidP="00754139">
      <w:pPr>
        <w:spacing w:after="0" w:line="276" w:lineRule="auto"/>
        <w:ind w:firstLine="708"/>
        <w:contextualSpacing/>
        <w:jc w:val="both"/>
        <w:rPr>
          <w:rFonts w:ascii="Times New Roman" w:hAnsi="Times New Roman" w:cs="Times New Roman"/>
          <w:i/>
          <w:iCs/>
        </w:rPr>
      </w:pPr>
      <w:r w:rsidRPr="00D44C0B">
        <w:rPr>
          <w:rFonts w:ascii="Times New Roman" w:hAnsi="Times New Roman" w:cs="Times New Roman"/>
          <w:i/>
          <w:iCs/>
          <w:highlight w:val="yellow"/>
        </w:rPr>
        <w:lastRenderedPageBreak/>
        <w:t xml:space="preserve">We next compared the power of the three approaches for varying ratios of longitudinal to cross sectional sample sizes while keeping the annual change effects constant at the minimum effect detectable at 80% by the “1-stage </w:t>
      </w:r>
      <w:proofErr w:type="spellStart"/>
      <w:r w:rsidRPr="00D44C0B">
        <w:rPr>
          <w:rFonts w:ascii="Times New Roman" w:hAnsi="Times New Roman" w:cs="Times New Roman"/>
          <w:i/>
          <w:iCs/>
          <w:highlight w:val="yellow"/>
        </w:rPr>
        <w:t>GxAge</w:t>
      </w:r>
      <w:proofErr w:type="spellEnd"/>
      <w:r w:rsidRPr="00D44C0B">
        <w:rPr>
          <w:rFonts w:ascii="Times New Roman" w:hAnsi="Times New Roman" w:cs="Times New Roman"/>
          <w:i/>
          <w:iCs/>
          <w:highlight w:val="yellow"/>
        </w:rPr>
        <w:t xml:space="preserve">” (right panels in </w:t>
      </w:r>
      <w:r w:rsidRPr="00D44C0B">
        <w:rPr>
          <w:rFonts w:ascii="Times New Roman" w:hAnsi="Times New Roman" w:cs="Times New Roman"/>
          <w:b/>
          <w:i/>
          <w:iCs/>
          <w:highlight w:val="yellow"/>
        </w:rPr>
        <w:t>Figure 3</w:t>
      </w:r>
      <w:r w:rsidRPr="00D44C0B">
        <w:rPr>
          <w:rFonts w:ascii="Times New Roman" w:hAnsi="Times New Roman" w:cs="Times New Roman"/>
          <w:i/>
          <w:iCs/>
          <w:highlight w:val="yellow"/>
        </w:rPr>
        <w:t xml:space="preserve">, </w:t>
      </w:r>
      <w:r w:rsidRPr="00D44C0B">
        <w:rPr>
          <w:rFonts w:ascii="Times New Roman" w:hAnsi="Times New Roman" w:cs="Times New Roman"/>
          <w:b/>
          <w:i/>
          <w:iCs/>
          <w:highlight w:val="yellow"/>
        </w:rPr>
        <w:t>Figure S1</w:t>
      </w:r>
      <w:r w:rsidRPr="00D44C0B">
        <w:rPr>
          <w:rFonts w:ascii="Times New Roman" w:hAnsi="Times New Roman" w:cs="Times New Roman"/>
          <w:i/>
          <w:iCs/>
          <w:highlight w:val="yellow"/>
        </w:rPr>
        <w:t>). We varied the longitudinal sample size from 0 (proportion of longitudinal to cross-sectional N, f=0) up to the assumed cross-sectional sample size (f=1). For BMI, we found that the “1-stage Change” approach overcame the other two approaches at f~25%, which reflects a longitudinal sample size of ~92,000 individuals compared to 370,000 individuals cross-sectionally. For all other traits (except weight), the “1-stage Change” approach cannot overcome the other approaches, even when longitudinal sample sizes were identical to the respective cross-sectional sample size (f=1). Again, the reason for this is that annual change effects for these traits explain a relatively lower fraction of the change variance, which is why their identification requires much higher sample sizes.</w:t>
      </w:r>
      <w:r w:rsidRPr="00D44C0B">
        <w:rPr>
          <w:rFonts w:ascii="Times New Roman" w:hAnsi="Times New Roman" w:cs="Times New Roman"/>
          <w:i/>
          <w:iCs/>
        </w:rPr>
        <w:t xml:space="preserve">  </w:t>
      </w:r>
    </w:p>
    <w:p w14:paraId="2B03A643" w14:textId="7C5B65ED" w:rsidR="00DB4B68" w:rsidRPr="00D44C0B" w:rsidRDefault="00DB4B68" w:rsidP="00736889">
      <w:pPr>
        <w:spacing w:before="100" w:beforeAutospacing="1" w:after="100" w:afterAutospacing="1" w:line="276" w:lineRule="auto"/>
        <w:jc w:val="both"/>
        <w:rPr>
          <w:rFonts w:ascii="Times New Roman" w:hAnsi="Times New Roman" w:cs="Times New Roman"/>
          <w:i/>
          <w:iCs/>
          <w:lang w:val="en-US"/>
        </w:rPr>
      </w:pPr>
      <w:r w:rsidRPr="00D44C0B">
        <w:rPr>
          <w:rFonts w:ascii="Times New Roman" w:hAnsi="Times New Roman" w:cs="Times New Roman"/>
          <w:i/>
          <w:iCs/>
          <w:lang w:val="en-US"/>
        </w:rPr>
        <w:t xml:space="preserve">We have revised </w:t>
      </w:r>
      <w:r w:rsidRPr="00D44C0B">
        <w:rPr>
          <w:rFonts w:ascii="Times New Roman" w:hAnsi="Times New Roman" w:cs="Times New Roman"/>
          <w:b/>
          <w:i/>
          <w:iCs/>
          <w:lang w:val="en-US"/>
        </w:rPr>
        <w:t>Figure 3</w:t>
      </w:r>
      <w:r w:rsidRPr="00D44C0B">
        <w:rPr>
          <w:rFonts w:ascii="Times New Roman" w:hAnsi="Times New Roman" w:cs="Times New Roman"/>
          <w:i/>
          <w:iCs/>
          <w:lang w:val="en-US"/>
        </w:rPr>
        <w:t xml:space="preserve"> as follows: </w:t>
      </w:r>
    </w:p>
    <w:p w14:paraId="04035742" w14:textId="77777777" w:rsidR="00495822" w:rsidRPr="00D44C0B" w:rsidRDefault="00495822" w:rsidP="00D44C0B">
      <w:pPr>
        <w:pStyle w:val="Heading2"/>
        <w:rPr>
          <w:rFonts w:ascii="Times New Roman" w:hAnsi="Times New Roman" w:cs="Times New Roman"/>
          <w:highlight w:val="yellow"/>
        </w:rPr>
      </w:pPr>
      <w:r w:rsidRPr="00D44C0B">
        <w:rPr>
          <w:rFonts w:ascii="Times New Roman" w:hAnsi="Times New Roman" w:cs="Times New Roman"/>
          <w:highlight w:val="yellow"/>
        </w:rPr>
        <w:t xml:space="preserve">Figure 3. Power to identify genetic-by-age interaction and longitudinal change effects in UKB. </w:t>
      </w:r>
    </w:p>
    <w:p w14:paraId="0F3720B3" w14:textId="77777777" w:rsidR="00495822" w:rsidRPr="00D44C0B" w:rsidRDefault="00495822" w:rsidP="00736889">
      <w:pPr>
        <w:spacing w:line="276" w:lineRule="auto"/>
        <w:jc w:val="both"/>
        <w:rPr>
          <w:rFonts w:ascii="Times New Roman" w:hAnsi="Times New Roman" w:cs="Times New Roman"/>
          <w:b/>
          <w:bCs/>
          <w:i/>
          <w:iCs/>
        </w:rPr>
      </w:pPr>
      <w:bookmarkStart w:id="3" w:name="_Hlk152590034"/>
      <w:r w:rsidRPr="00D44C0B">
        <w:rPr>
          <w:rFonts w:ascii="Times New Roman" w:hAnsi="Times New Roman" w:cs="Times New Roman"/>
          <w:i/>
          <w:iCs/>
          <w:highlight w:val="yellow"/>
        </w:rPr>
        <w:t xml:space="preserve">Shown are power curves for genetic-by-age interaction and annual change effects on A: BMI, B: LDL-C and C: PP. Power is shown for the three approaches: the 1-stage GWAS on </w:t>
      </w:r>
      <w:proofErr w:type="spellStart"/>
      <w:r w:rsidRPr="00D44C0B">
        <w:rPr>
          <w:rFonts w:ascii="Times New Roman" w:hAnsi="Times New Roman" w:cs="Times New Roman"/>
          <w:i/>
          <w:iCs/>
          <w:highlight w:val="yellow"/>
        </w:rPr>
        <w:t>GxAge</w:t>
      </w:r>
      <w:proofErr w:type="spellEnd"/>
      <w:r w:rsidRPr="00D44C0B">
        <w:rPr>
          <w:rFonts w:ascii="Times New Roman" w:hAnsi="Times New Roman" w:cs="Times New Roman"/>
          <w:i/>
          <w:iCs/>
          <w:highlight w:val="yellow"/>
        </w:rPr>
        <w:t xml:space="preserve"> approach in cross-sectional data (blue), the 2-stage GWAS on </w:t>
      </w:r>
      <w:proofErr w:type="spellStart"/>
      <w:r w:rsidRPr="00D44C0B">
        <w:rPr>
          <w:rFonts w:ascii="Times New Roman" w:hAnsi="Times New Roman" w:cs="Times New Roman"/>
          <w:i/>
          <w:iCs/>
          <w:highlight w:val="yellow"/>
        </w:rPr>
        <w:t>GxAge</w:t>
      </w:r>
      <w:proofErr w:type="spellEnd"/>
      <w:r w:rsidRPr="00D44C0B">
        <w:rPr>
          <w:rFonts w:ascii="Times New Roman" w:hAnsi="Times New Roman" w:cs="Times New Roman"/>
          <w:i/>
          <w:iCs/>
          <w:highlight w:val="yellow"/>
        </w:rPr>
        <w:sym w:font="Wingdings" w:char="F0E0"/>
      </w:r>
      <w:r w:rsidRPr="00D44C0B">
        <w:rPr>
          <w:rFonts w:ascii="Times New Roman" w:hAnsi="Times New Roman" w:cs="Times New Roman"/>
          <w:i/>
          <w:iCs/>
          <w:highlight w:val="yellow"/>
        </w:rPr>
        <w:t xml:space="preserve">Change approach that includes additional validation for annual change effects in independent longitudinal data (magenta), and the 1-stage GWAS on change approach in longitudinal data (green). For each trait, the left panel shows power over varying effect size </w:t>
      </w:r>
      <w:bookmarkStart w:id="4" w:name="_Hlk168153501"/>
      <w:r w:rsidRPr="00D44C0B">
        <w:rPr>
          <w:rFonts w:ascii="Times New Roman" w:hAnsi="Times New Roman" w:cs="Times New Roman"/>
          <w:i/>
          <w:iCs/>
          <w:highlight w:val="yellow"/>
        </w:rPr>
        <w:t xml:space="preserve">(varied from zero to 25% of a median marginal genetic effect on the trait; blue vertical dotted line denotes the genetic-by-age interaction effect at which power of the 1-stage GWAS on </w:t>
      </w:r>
      <w:proofErr w:type="spellStart"/>
      <w:r w:rsidRPr="00D44C0B">
        <w:rPr>
          <w:rFonts w:ascii="Times New Roman" w:hAnsi="Times New Roman" w:cs="Times New Roman"/>
          <w:i/>
          <w:iCs/>
          <w:highlight w:val="yellow"/>
        </w:rPr>
        <w:t>GxAge</w:t>
      </w:r>
      <w:proofErr w:type="spellEnd"/>
      <w:r w:rsidRPr="00D44C0B">
        <w:rPr>
          <w:rFonts w:ascii="Times New Roman" w:hAnsi="Times New Roman" w:cs="Times New Roman"/>
          <w:i/>
          <w:iCs/>
          <w:highlight w:val="yellow"/>
        </w:rPr>
        <w:t xml:space="preserve"> approach is exactly 80%; orange vertical dotted line denotes 10% of the median marginal effect)</w:t>
      </w:r>
      <w:bookmarkEnd w:id="4"/>
      <w:r w:rsidRPr="00D44C0B">
        <w:rPr>
          <w:rFonts w:ascii="Times New Roman" w:hAnsi="Times New Roman" w:cs="Times New Roman"/>
          <w:i/>
          <w:iCs/>
          <w:highlight w:val="yellow"/>
        </w:rPr>
        <w:t xml:space="preserve"> while keeping cross-sectional and longitudinal sample sizes constant. The right panel shows power of varying longitudinal-to-cross-sectional sample size ratios (f = longitudinal sample size divided by the given cross-sectional sample size in UKB; the red vertical dotted line denotes the fraction of sample sizes given in UKB for the respective trait) while keeping the genetic effect constant at the 80% power effect size from the left panel computation. Power was calculated for an allele frequency of 30%, based on analytical formulas given in </w:t>
      </w:r>
      <w:r w:rsidRPr="00D44C0B">
        <w:rPr>
          <w:rFonts w:ascii="Times New Roman" w:hAnsi="Times New Roman" w:cs="Times New Roman"/>
          <w:b/>
          <w:i/>
          <w:iCs/>
          <w:highlight w:val="yellow"/>
        </w:rPr>
        <w:t>Note S2</w:t>
      </w:r>
      <w:r w:rsidRPr="00D44C0B">
        <w:rPr>
          <w:rFonts w:ascii="Times New Roman" w:hAnsi="Times New Roman" w:cs="Times New Roman"/>
          <w:i/>
          <w:iCs/>
          <w:highlight w:val="yellow"/>
        </w:rPr>
        <w:t xml:space="preserve"> and assumptions given in </w:t>
      </w:r>
      <w:r w:rsidRPr="00D44C0B">
        <w:rPr>
          <w:rFonts w:ascii="Times New Roman" w:hAnsi="Times New Roman" w:cs="Times New Roman"/>
          <w:b/>
          <w:i/>
          <w:iCs/>
          <w:highlight w:val="yellow"/>
        </w:rPr>
        <w:t>Methods</w:t>
      </w:r>
      <w:r w:rsidRPr="00D44C0B">
        <w:rPr>
          <w:rFonts w:ascii="Times New Roman" w:hAnsi="Times New Roman" w:cs="Times New Roman"/>
          <w:i/>
          <w:iCs/>
          <w:highlight w:val="yellow"/>
        </w:rPr>
        <w:t xml:space="preserve">. Power computations for the remaining traits are shown in </w:t>
      </w:r>
      <w:r w:rsidRPr="00D44C0B">
        <w:rPr>
          <w:rFonts w:ascii="Times New Roman" w:hAnsi="Times New Roman" w:cs="Times New Roman"/>
          <w:b/>
          <w:i/>
          <w:iCs/>
          <w:highlight w:val="yellow"/>
        </w:rPr>
        <w:t>Figure S1</w:t>
      </w:r>
      <w:r w:rsidRPr="00D44C0B">
        <w:rPr>
          <w:rFonts w:ascii="Times New Roman" w:hAnsi="Times New Roman" w:cs="Times New Roman"/>
          <w:i/>
          <w:iCs/>
          <w:highlight w:val="yellow"/>
        </w:rPr>
        <w:t>.</w:t>
      </w:r>
      <w:r w:rsidRPr="00D44C0B">
        <w:rPr>
          <w:rFonts w:ascii="Times New Roman" w:hAnsi="Times New Roman" w:cs="Times New Roman"/>
          <w:i/>
          <w:iCs/>
        </w:rPr>
        <w:t xml:space="preserve"> </w:t>
      </w:r>
      <w:bookmarkEnd w:id="3"/>
    </w:p>
    <w:p w14:paraId="50EE1C76" w14:textId="20F184C4" w:rsidR="00495822" w:rsidRPr="00D44C0B" w:rsidRDefault="00754139" w:rsidP="00736889">
      <w:pPr>
        <w:spacing w:line="276" w:lineRule="auto"/>
        <w:jc w:val="both"/>
        <w:rPr>
          <w:rFonts w:ascii="Times New Roman" w:hAnsi="Times New Roman" w:cs="Times New Roman"/>
        </w:rPr>
      </w:pPr>
      <w:r w:rsidRPr="00D44C0B">
        <w:rPr>
          <w:rFonts w:ascii="Times New Roman" w:hAnsi="Times New Roman" w:cs="Times New Roman"/>
          <w:noProof/>
        </w:rPr>
        <w:lastRenderedPageBreak/>
        <w:drawing>
          <wp:inline distT="0" distB="0" distL="0" distR="0" wp14:anchorId="6DEBA8A0" wp14:editId="0F28092D">
            <wp:extent cx="4646241" cy="5716611"/>
            <wp:effectExtent l="0" t="0" r="254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49011" cy="5720020"/>
                    </a:xfrm>
                    <a:prstGeom prst="rect">
                      <a:avLst/>
                    </a:prstGeom>
                    <a:noFill/>
                  </pic:spPr>
                </pic:pic>
              </a:graphicData>
            </a:graphic>
          </wp:inline>
        </w:drawing>
      </w:r>
    </w:p>
    <w:p w14:paraId="761B3231" w14:textId="1BEDEE66" w:rsidR="00495822" w:rsidRPr="00D44C0B" w:rsidRDefault="00F92B45" w:rsidP="00736889">
      <w:pPr>
        <w:spacing w:before="100" w:beforeAutospacing="1" w:after="100" w:afterAutospacing="1" w:line="276" w:lineRule="auto"/>
        <w:jc w:val="both"/>
        <w:rPr>
          <w:rFonts w:ascii="Times New Roman" w:hAnsi="Times New Roman" w:cs="Times New Roman"/>
          <w:i/>
          <w:iCs/>
          <w:lang w:val="en-US"/>
        </w:rPr>
      </w:pPr>
      <w:r w:rsidRPr="00D44C0B">
        <w:rPr>
          <w:rFonts w:ascii="Times New Roman" w:hAnsi="Times New Roman" w:cs="Times New Roman"/>
          <w:i/>
          <w:iCs/>
          <w:lang w:val="en-US"/>
        </w:rPr>
        <w:t xml:space="preserve">We have added </w:t>
      </w:r>
      <w:r w:rsidR="0031263A" w:rsidRPr="00D44C0B">
        <w:rPr>
          <w:rFonts w:ascii="Times New Roman" w:hAnsi="Times New Roman" w:cs="Times New Roman"/>
          <w:i/>
          <w:iCs/>
          <w:lang w:val="en-US"/>
        </w:rPr>
        <w:t xml:space="preserve">the following </w:t>
      </w:r>
      <w:r w:rsidRPr="00D44C0B">
        <w:rPr>
          <w:rFonts w:ascii="Times New Roman" w:hAnsi="Times New Roman" w:cs="Times New Roman"/>
          <w:b/>
          <w:i/>
          <w:iCs/>
          <w:lang w:val="en-US"/>
        </w:rPr>
        <w:t>new Table 2</w:t>
      </w:r>
      <w:r w:rsidRPr="00D44C0B">
        <w:rPr>
          <w:rFonts w:ascii="Times New Roman" w:hAnsi="Times New Roman" w:cs="Times New Roman"/>
          <w:i/>
          <w:iCs/>
          <w:lang w:val="en-US"/>
        </w:rPr>
        <w:t xml:space="preserve">: </w:t>
      </w:r>
    </w:p>
    <w:p w14:paraId="14CD2516" w14:textId="14786174" w:rsidR="00AD7290" w:rsidRPr="00D44C0B" w:rsidRDefault="00F92B45" w:rsidP="00736889">
      <w:pPr>
        <w:spacing w:before="100" w:beforeAutospacing="1" w:after="100" w:afterAutospacing="1" w:line="276" w:lineRule="auto"/>
        <w:jc w:val="both"/>
        <w:rPr>
          <w:rFonts w:ascii="Times New Roman" w:hAnsi="Times New Roman" w:cs="Times New Roman"/>
          <w:lang w:val="en-US"/>
        </w:rPr>
      </w:pPr>
      <w:r w:rsidRPr="00D44C0B">
        <w:rPr>
          <w:rFonts w:ascii="Times New Roman" w:hAnsi="Times New Roman" w:cs="Times New Roman"/>
          <w:noProof/>
        </w:rPr>
        <w:lastRenderedPageBreak/>
        <w:drawing>
          <wp:inline distT="0" distB="0" distL="0" distR="0" wp14:anchorId="28F960DA" wp14:editId="65A51AA5">
            <wp:extent cx="5397190" cy="2952629"/>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99828" cy="2954072"/>
                    </a:xfrm>
                    <a:prstGeom prst="rect">
                      <a:avLst/>
                    </a:prstGeom>
                    <a:noFill/>
                    <a:ln>
                      <a:noFill/>
                    </a:ln>
                  </pic:spPr>
                </pic:pic>
              </a:graphicData>
            </a:graphic>
          </wp:inline>
        </w:drawing>
      </w:r>
    </w:p>
    <w:p w14:paraId="78524328" w14:textId="77777777" w:rsidR="00F81899" w:rsidRPr="00D44C0B" w:rsidRDefault="00F81899" w:rsidP="00736889">
      <w:pPr>
        <w:spacing w:after="0" w:line="276" w:lineRule="auto"/>
        <w:jc w:val="both"/>
        <w:rPr>
          <w:rFonts w:ascii="Times New Roman" w:hAnsi="Times New Roman" w:cs="Times New Roman"/>
        </w:rPr>
      </w:pPr>
    </w:p>
    <w:p w14:paraId="538B3D94" w14:textId="77777777" w:rsidR="0031263A" w:rsidRPr="00D44C0B" w:rsidRDefault="0031263A" w:rsidP="00736889">
      <w:pPr>
        <w:spacing w:after="0" w:line="276" w:lineRule="auto"/>
        <w:jc w:val="both"/>
        <w:rPr>
          <w:rFonts w:ascii="Times New Roman" w:hAnsi="Times New Roman" w:cs="Times New Roman"/>
        </w:rPr>
      </w:pPr>
    </w:p>
    <w:p w14:paraId="37AAEABE" w14:textId="508ACFC9" w:rsidR="00F92B45" w:rsidRPr="00D44C0B" w:rsidRDefault="00403A2B" w:rsidP="00736889">
      <w:pPr>
        <w:spacing w:after="0" w:line="276" w:lineRule="auto"/>
        <w:jc w:val="both"/>
        <w:rPr>
          <w:rFonts w:ascii="Times New Roman" w:hAnsi="Times New Roman" w:cs="Times New Roman"/>
          <w:color w:val="2F5496" w:themeColor="accent5" w:themeShade="BF"/>
        </w:rPr>
      </w:pPr>
      <w:r w:rsidRPr="00D44C0B">
        <w:rPr>
          <w:rFonts w:ascii="Times New Roman" w:hAnsi="Times New Roman" w:cs="Times New Roman"/>
          <w:color w:val="2F5496" w:themeColor="accent5" w:themeShade="BF"/>
        </w:rPr>
        <w:t>7. Theoretically, a variant with genetic-by-age interaction will marginally affect the trait, although not all trait-affecting variants have genetic-by-age interaction. It will be important to systematically explore the proportions of the variants with genetic-by-age interaction and the effect direction.</w:t>
      </w:r>
    </w:p>
    <w:p w14:paraId="4CAFF063" w14:textId="2C224F20" w:rsidR="00F81899" w:rsidRPr="00D44C0B" w:rsidRDefault="00F92B45" w:rsidP="00736889">
      <w:pPr>
        <w:spacing w:before="100" w:beforeAutospacing="1" w:after="100" w:afterAutospacing="1" w:line="276" w:lineRule="auto"/>
        <w:jc w:val="both"/>
        <w:rPr>
          <w:rFonts w:ascii="Times New Roman" w:hAnsi="Times New Roman" w:cs="Times New Roman"/>
          <w:b/>
          <w:i/>
          <w:iCs/>
          <w:color w:val="000000" w:themeColor="text1"/>
          <w:lang w:val="en-US"/>
        </w:rPr>
      </w:pPr>
      <w:r w:rsidRPr="00D44C0B">
        <w:rPr>
          <w:rFonts w:ascii="Times New Roman" w:hAnsi="Times New Roman" w:cs="Times New Roman"/>
          <w:b/>
          <w:i/>
          <w:iCs/>
          <w:color w:val="000000" w:themeColor="text1"/>
          <w:lang w:val="en-US"/>
        </w:rPr>
        <w:t xml:space="preserve">Response: </w:t>
      </w:r>
      <w:r w:rsidRPr="00D44C0B">
        <w:rPr>
          <w:rFonts w:ascii="Times New Roman" w:hAnsi="Times New Roman" w:cs="Times New Roman"/>
          <w:i/>
          <w:iCs/>
          <w:color w:val="000000" w:themeColor="text1"/>
          <w:lang w:val="en-US"/>
        </w:rPr>
        <w:t xml:space="preserve">Absolutely, this is what we have tried </w:t>
      </w:r>
      <w:r w:rsidR="00736889" w:rsidRPr="00D44C0B">
        <w:rPr>
          <w:rFonts w:ascii="Times New Roman" w:hAnsi="Times New Roman" w:cs="Times New Roman"/>
          <w:i/>
          <w:iCs/>
          <w:color w:val="000000" w:themeColor="text1"/>
          <w:lang w:val="en-US"/>
        </w:rPr>
        <w:t xml:space="preserve">previously </w:t>
      </w:r>
      <w:r w:rsidRPr="00D44C0B">
        <w:rPr>
          <w:rFonts w:ascii="Times New Roman" w:hAnsi="Times New Roman" w:cs="Times New Roman"/>
          <w:i/>
          <w:iCs/>
          <w:color w:val="000000" w:themeColor="text1"/>
          <w:lang w:val="en-US"/>
        </w:rPr>
        <w:t>by enrichment analysi</w:t>
      </w:r>
      <w:r w:rsidR="00F81899" w:rsidRPr="00D44C0B">
        <w:rPr>
          <w:rFonts w:ascii="Times New Roman" w:hAnsi="Times New Roman" w:cs="Times New Roman"/>
          <w:i/>
          <w:iCs/>
          <w:color w:val="000000" w:themeColor="text1"/>
          <w:lang w:val="en-US"/>
        </w:rPr>
        <w:t xml:space="preserve">s, which however did not </w:t>
      </w:r>
      <w:r w:rsidR="00736889" w:rsidRPr="00D44C0B">
        <w:rPr>
          <w:rFonts w:ascii="Times New Roman" w:hAnsi="Times New Roman" w:cs="Times New Roman"/>
          <w:i/>
          <w:iCs/>
          <w:color w:val="000000" w:themeColor="text1"/>
          <w:lang w:val="en-US"/>
        </w:rPr>
        <w:t>account for</w:t>
      </w:r>
      <w:r w:rsidR="00F81899" w:rsidRPr="00D44C0B">
        <w:rPr>
          <w:rFonts w:ascii="Times New Roman" w:hAnsi="Times New Roman" w:cs="Times New Roman"/>
          <w:i/>
          <w:iCs/>
          <w:color w:val="000000" w:themeColor="text1"/>
          <w:lang w:val="en-US"/>
        </w:rPr>
        <w:t xml:space="preserve"> the directionality between marginal and interaction effects. Based on the reviewer’s suggestion, we have added the proportions to the </w:t>
      </w:r>
      <w:r w:rsidR="00F81899" w:rsidRPr="00D44C0B">
        <w:rPr>
          <w:rFonts w:ascii="Times New Roman" w:hAnsi="Times New Roman" w:cs="Times New Roman"/>
          <w:b/>
          <w:i/>
          <w:iCs/>
          <w:color w:val="000000" w:themeColor="text1"/>
          <w:lang w:val="en-US"/>
        </w:rPr>
        <w:t>updated</w:t>
      </w:r>
      <w:r w:rsidR="00F81899" w:rsidRPr="00D44C0B">
        <w:rPr>
          <w:rFonts w:ascii="Times New Roman" w:hAnsi="Times New Roman" w:cs="Times New Roman"/>
          <w:i/>
          <w:iCs/>
          <w:color w:val="000000" w:themeColor="text1"/>
          <w:lang w:val="en-US"/>
        </w:rPr>
        <w:t xml:space="preserve"> </w:t>
      </w:r>
      <w:r w:rsidR="00F81899" w:rsidRPr="00D44C0B">
        <w:rPr>
          <w:rFonts w:ascii="Times New Roman" w:hAnsi="Times New Roman" w:cs="Times New Roman"/>
          <w:b/>
          <w:i/>
          <w:iCs/>
          <w:color w:val="000000" w:themeColor="text1"/>
          <w:lang w:val="en-US"/>
        </w:rPr>
        <w:t>Table 3</w:t>
      </w:r>
      <w:r w:rsidR="00F81899" w:rsidRPr="00D44C0B">
        <w:rPr>
          <w:rFonts w:ascii="Times New Roman" w:hAnsi="Times New Roman" w:cs="Times New Roman"/>
          <w:i/>
          <w:iCs/>
          <w:color w:val="000000" w:themeColor="text1"/>
          <w:lang w:val="en-US"/>
        </w:rPr>
        <w:t xml:space="preserve"> (see below) and now consider the direction. We found a significant enrichment of intensified effects for PP and SBP, and a significant enrichment of attenuated effects for BMI, weight and LDL-C. We have updated the</w:t>
      </w:r>
      <w:r w:rsidR="00F81899" w:rsidRPr="00D44C0B">
        <w:rPr>
          <w:rFonts w:ascii="Times New Roman" w:hAnsi="Times New Roman" w:cs="Times New Roman"/>
          <w:b/>
          <w:i/>
          <w:iCs/>
          <w:color w:val="000000" w:themeColor="text1"/>
          <w:lang w:val="en-US"/>
        </w:rPr>
        <w:t xml:space="preserve"> </w:t>
      </w:r>
      <w:r w:rsidR="00F81899" w:rsidRPr="00D44C0B">
        <w:rPr>
          <w:rFonts w:ascii="Times New Roman" w:hAnsi="Times New Roman" w:cs="Times New Roman"/>
          <w:i/>
          <w:iCs/>
          <w:color w:val="000000" w:themeColor="text1"/>
          <w:lang w:val="en-US"/>
        </w:rPr>
        <w:t>main text as follows (</w:t>
      </w:r>
      <w:r w:rsidR="0031263A" w:rsidRPr="00D44C0B">
        <w:rPr>
          <w:rFonts w:ascii="Times New Roman" w:hAnsi="Times New Roman" w:cs="Times New Roman"/>
          <w:i/>
          <w:iCs/>
          <w:color w:val="000000" w:themeColor="text1"/>
          <w:lang w:val="en-US"/>
        </w:rPr>
        <w:t>p. 9</w:t>
      </w:r>
      <w:r w:rsidR="00F81899" w:rsidRPr="00D44C0B">
        <w:rPr>
          <w:rFonts w:ascii="Times New Roman" w:hAnsi="Times New Roman" w:cs="Times New Roman"/>
          <w:i/>
          <w:iCs/>
          <w:color w:val="000000" w:themeColor="text1"/>
          <w:lang w:val="en-US"/>
        </w:rPr>
        <w:t>):</w:t>
      </w:r>
      <w:r w:rsidR="00F81899" w:rsidRPr="00D44C0B">
        <w:rPr>
          <w:rFonts w:ascii="Times New Roman" w:hAnsi="Times New Roman" w:cs="Times New Roman"/>
          <w:b/>
          <w:i/>
          <w:iCs/>
          <w:color w:val="000000" w:themeColor="text1"/>
          <w:lang w:val="en-US"/>
        </w:rPr>
        <w:t xml:space="preserve"> </w:t>
      </w:r>
    </w:p>
    <w:p w14:paraId="63864E51" w14:textId="3277773B" w:rsidR="00F81899" w:rsidRPr="00D44C0B" w:rsidRDefault="00F81899" w:rsidP="00736889">
      <w:pPr>
        <w:spacing w:before="100" w:beforeAutospacing="1" w:after="100" w:afterAutospacing="1" w:line="276" w:lineRule="auto"/>
        <w:jc w:val="both"/>
        <w:rPr>
          <w:rFonts w:ascii="Times New Roman" w:hAnsi="Times New Roman" w:cs="Times New Roman"/>
          <w:i/>
          <w:iCs/>
          <w:color w:val="000000" w:themeColor="text1"/>
          <w:lang w:val="en-US"/>
        </w:rPr>
      </w:pPr>
      <w:r w:rsidRPr="00D44C0B">
        <w:rPr>
          <w:rFonts w:ascii="Times New Roman" w:hAnsi="Times New Roman" w:cs="Times New Roman"/>
          <w:i/>
          <w:iCs/>
          <w:highlight w:val="yellow"/>
        </w:rPr>
        <w:t>Vice versa, starting from trait-specific genome-wide significant marginal effect lead variants (marginal P&lt;5x10</w:t>
      </w:r>
      <w:r w:rsidRPr="00D44C0B">
        <w:rPr>
          <w:rFonts w:ascii="Times New Roman" w:hAnsi="Times New Roman" w:cs="Times New Roman"/>
          <w:i/>
          <w:iCs/>
          <w:highlight w:val="yellow"/>
          <w:vertAlign w:val="superscript"/>
        </w:rPr>
        <w:t>-8</w:t>
      </w:r>
      <w:r w:rsidRPr="00D44C0B">
        <w:rPr>
          <w:rFonts w:ascii="Times New Roman" w:hAnsi="Times New Roman" w:cs="Times New Roman"/>
          <w:i/>
          <w:iCs/>
          <w:highlight w:val="yellow"/>
        </w:rPr>
        <w:t xml:space="preserve">, d&gt;500kb, </w:t>
      </w:r>
      <w:r w:rsidRPr="00D44C0B">
        <w:rPr>
          <w:rFonts w:ascii="Times New Roman" w:hAnsi="Times New Roman" w:cs="Times New Roman"/>
          <w:b/>
          <w:i/>
          <w:iCs/>
          <w:highlight w:val="yellow"/>
        </w:rPr>
        <w:t>Table S5</w:t>
      </w:r>
      <w:r w:rsidRPr="00D44C0B">
        <w:rPr>
          <w:rFonts w:ascii="Times New Roman" w:hAnsi="Times New Roman" w:cs="Times New Roman"/>
          <w:i/>
          <w:iCs/>
          <w:highlight w:val="yellow"/>
        </w:rPr>
        <w:t xml:space="preserve">), we observed a significant intensification of effects with increasing age for systolic blood pressure and pulse pressure, and a significant attenuation of effects for weight, BMI and LDL-cholesterol (enrichment </w:t>
      </w:r>
      <w:proofErr w:type="spellStart"/>
      <w:r w:rsidRPr="00D44C0B">
        <w:rPr>
          <w:rFonts w:ascii="Times New Roman" w:hAnsi="Times New Roman" w:cs="Times New Roman"/>
          <w:i/>
          <w:iCs/>
          <w:highlight w:val="yellow"/>
        </w:rPr>
        <w:t>P</w:t>
      </w:r>
      <w:r w:rsidRPr="00D44C0B">
        <w:rPr>
          <w:rFonts w:ascii="Times New Roman" w:hAnsi="Times New Roman" w:cs="Times New Roman"/>
          <w:i/>
          <w:iCs/>
          <w:highlight w:val="yellow"/>
          <w:vertAlign w:val="subscript"/>
        </w:rPr>
        <w:t>binom</w:t>
      </w:r>
      <w:proofErr w:type="spellEnd"/>
      <w:r w:rsidRPr="00D44C0B">
        <w:rPr>
          <w:rFonts w:ascii="Times New Roman" w:hAnsi="Times New Roman" w:cs="Times New Roman"/>
          <w:i/>
          <w:iCs/>
          <w:highlight w:val="yellow"/>
        </w:rPr>
        <w:t xml:space="preserve">&lt;0.05/8, Bonferroni corrected for 8 traits </w:t>
      </w:r>
      <w:r w:rsidRPr="00D44C0B">
        <w:rPr>
          <w:rFonts w:ascii="Times New Roman" w:hAnsi="Times New Roman" w:cs="Times New Roman"/>
          <w:b/>
          <w:i/>
          <w:iCs/>
          <w:highlight w:val="yellow"/>
        </w:rPr>
        <w:t>Table 3</w:t>
      </w:r>
      <w:r w:rsidRPr="00D44C0B">
        <w:rPr>
          <w:rFonts w:ascii="Times New Roman" w:hAnsi="Times New Roman" w:cs="Times New Roman"/>
          <w:i/>
          <w:iCs/>
          <w:highlight w:val="yellow"/>
        </w:rPr>
        <w:t>). On average, the yearly modulation of genetic effect size ranged between 3.2%-4.8% of the median marginal effect size across traits.  The strongest enrichment was observed for pulse pressure where intensified effects were observed for 101 (56.4%) of the 179 marginally associated region lead variants. This trait-specific enrichment provides the degree of the trait’s genetics that is age-dependent and its direction.</w:t>
      </w:r>
    </w:p>
    <w:p w14:paraId="06AC42E6" w14:textId="09B0ABEB" w:rsidR="00F92B45" w:rsidRPr="00D44C0B" w:rsidRDefault="006B1541" w:rsidP="00736889">
      <w:pPr>
        <w:spacing w:before="100" w:beforeAutospacing="1" w:after="100" w:afterAutospacing="1" w:line="276" w:lineRule="auto"/>
        <w:jc w:val="both"/>
        <w:rPr>
          <w:rFonts w:ascii="Times New Roman" w:hAnsi="Times New Roman" w:cs="Times New Roman"/>
          <w:i/>
          <w:iCs/>
          <w:color w:val="000000" w:themeColor="text1"/>
          <w:lang w:val="en-US"/>
        </w:rPr>
      </w:pPr>
      <w:r w:rsidRPr="00D44C0B">
        <w:rPr>
          <w:rFonts w:ascii="Times New Roman" w:hAnsi="Times New Roman" w:cs="Times New Roman"/>
          <w:i/>
          <w:iCs/>
          <w:color w:val="000000" w:themeColor="text1"/>
          <w:lang w:val="en-US"/>
        </w:rPr>
        <w:t xml:space="preserve">We have </w:t>
      </w:r>
      <w:r w:rsidRPr="00D44C0B">
        <w:rPr>
          <w:rFonts w:ascii="Times New Roman" w:hAnsi="Times New Roman" w:cs="Times New Roman"/>
          <w:b/>
          <w:i/>
          <w:iCs/>
          <w:color w:val="000000" w:themeColor="text1"/>
          <w:lang w:val="en-US"/>
        </w:rPr>
        <w:t>u</w:t>
      </w:r>
      <w:r w:rsidR="00F81899" w:rsidRPr="00D44C0B">
        <w:rPr>
          <w:rFonts w:ascii="Times New Roman" w:hAnsi="Times New Roman" w:cs="Times New Roman"/>
          <w:b/>
          <w:i/>
          <w:iCs/>
          <w:color w:val="000000" w:themeColor="text1"/>
          <w:lang w:val="en-US"/>
        </w:rPr>
        <w:t>pdated</w:t>
      </w:r>
      <w:r w:rsidR="00F81899" w:rsidRPr="00D44C0B">
        <w:rPr>
          <w:rFonts w:ascii="Times New Roman" w:hAnsi="Times New Roman" w:cs="Times New Roman"/>
          <w:i/>
          <w:iCs/>
          <w:color w:val="000000" w:themeColor="text1"/>
          <w:lang w:val="en-US"/>
        </w:rPr>
        <w:t xml:space="preserve"> </w:t>
      </w:r>
      <w:r w:rsidR="00F81899" w:rsidRPr="00D44C0B">
        <w:rPr>
          <w:rFonts w:ascii="Times New Roman" w:hAnsi="Times New Roman" w:cs="Times New Roman"/>
          <w:b/>
          <w:i/>
          <w:iCs/>
          <w:color w:val="000000" w:themeColor="text1"/>
          <w:lang w:val="en-US"/>
        </w:rPr>
        <w:t>Table 3</w:t>
      </w:r>
      <w:r w:rsidR="00F81899" w:rsidRPr="00D44C0B">
        <w:rPr>
          <w:rFonts w:ascii="Times New Roman" w:hAnsi="Times New Roman" w:cs="Times New Roman"/>
          <w:i/>
          <w:iCs/>
          <w:color w:val="000000" w:themeColor="text1"/>
          <w:lang w:val="en-US"/>
        </w:rPr>
        <w:t xml:space="preserve"> as follows: </w:t>
      </w:r>
    </w:p>
    <w:p w14:paraId="6DAD6A18" w14:textId="5817CFCD" w:rsidR="00F81899" w:rsidRPr="00D44C0B" w:rsidRDefault="00F81899" w:rsidP="00736889">
      <w:pPr>
        <w:spacing w:before="100" w:beforeAutospacing="1" w:after="100" w:afterAutospacing="1" w:line="276" w:lineRule="auto"/>
        <w:jc w:val="both"/>
        <w:rPr>
          <w:rFonts w:ascii="Times New Roman" w:hAnsi="Times New Roman" w:cs="Times New Roman"/>
          <w:color w:val="000000" w:themeColor="text1"/>
          <w:lang w:val="en-US"/>
        </w:rPr>
      </w:pPr>
      <w:r w:rsidRPr="00D44C0B">
        <w:rPr>
          <w:rFonts w:ascii="Times New Roman" w:hAnsi="Times New Roman" w:cs="Times New Roman"/>
          <w:noProof/>
        </w:rPr>
        <w:lastRenderedPageBreak/>
        <w:drawing>
          <wp:inline distT="0" distB="0" distL="0" distR="0" wp14:anchorId="0D31044A" wp14:editId="01AE6E0E">
            <wp:extent cx="5760720" cy="256478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9236"/>
                    <a:stretch/>
                  </pic:blipFill>
                  <pic:spPr bwMode="auto">
                    <a:xfrm>
                      <a:off x="0" y="0"/>
                      <a:ext cx="5760720" cy="2564780"/>
                    </a:xfrm>
                    <a:prstGeom prst="rect">
                      <a:avLst/>
                    </a:prstGeom>
                    <a:noFill/>
                    <a:ln>
                      <a:noFill/>
                    </a:ln>
                    <a:extLst>
                      <a:ext uri="{53640926-AAD7-44D8-BBD7-CCE9431645EC}">
                        <a14:shadowObscured xmlns:a14="http://schemas.microsoft.com/office/drawing/2010/main"/>
                      </a:ext>
                    </a:extLst>
                  </pic:spPr>
                </pic:pic>
              </a:graphicData>
            </a:graphic>
          </wp:inline>
        </w:drawing>
      </w:r>
    </w:p>
    <w:p w14:paraId="37213D30" w14:textId="6FAEB534" w:rsidR="006B1541" w:rsidRPr="00D44C0B" w:rsidRDefault="006B1541" w:rsidP="00736889">
      <w:pPr>
        <w:spacing w:before="100" w:beforeAutospacing="1" w:after="100" w:afterAutospacing="1" w:line="276" w:lineRule="auto"/>
        <w:jc w:val="both"/>
        <w:rPr>
          <w:rFonts w:ascii="Times New Roman" w:hAnsi="Times New Roman" w:cs="Times New Roman"/>
          <w:i/>
          <w:iCs/>
          <w:color w:val="000000" w:themeColor="text1"/>
          <w:lang w:val="en-US"/>
        </w:rPr>
      </w:pPr>
      <w:r w:rsidRPr="00D44C0B">
        <w:rPr>
          <w:rFonts w:ascii="Times New Roman" w:hAnsi="Times New Roman" w:cs="Times New Roman"/>
          <w:i/>
          <w:iCs/>
          <w:color w:val="000000" w:themeColor="text1"/>
          <w:lang w:val="en-US"/>
        </w:rPr>
        <w:t xml:space="preserve">We have also added </w:t>
      </w:r>
      <w:r w:rsidR="00736889" w:rsidRPr="00D44C0B">
        <w:rPr>
          <w:rFonts w:ascii="Times New Roman" w:hAnsi="Times New Roman" w:cs="Times New Roman"/>
          <w:i/>
          <w:iCs/>
          <w:color w:val="000000" w:themeColor="text1"/>
          <w:lang w:val="en-US"/>
        </w:rPr>
        <w:t>this important</w:t>
      </w:r>
      <w:r w:rsidRPr="00D44C0B">
        <w:rPr>
          <w:rFonts w:ascii="Times New Roman" w:hAnsi="Times New Roman" w:cs="Times New Roman"/>
          <w:i/>
          <w:iCs/>
          <w:color w:val="000000" w:themeColor="text1"/>
          <w:lang w:val="en-US"/>
        </w:rPr>
        <w:t xml:space="preserve"> aspect to the </w:t>
      </w:r>
      <w:r w:rsidR="00D25124" w:rsidRPr="00D44C0B">
        <w:rPr>
          <w:rFonts w:ascii="Times New Roman" w:hAnsi="Times New Roman" w:cs="Times New Roman"/>
          <w:i/>
          <w:iCs/>
          <w:color w:val="000000" w:themeColor="text1"/>
          <w:lang w:val="en-US"/>
        </w:rPr>
        <w:t xml:space="preserve">abstract </w:t>
      </w:r>
      <w:r w:rsidRPr="00D44C0B">
        <w:rPr>
          <w:rFonts w:ascii="Times New Roman" w:hAnsi="Times New Roman" w:cs="Times New Roman"/>
          <w:i/>
          <w:iCs/>
          <w:color w:val="000000" w:themeColor="text1"/>
          <w:lang w:val="en-US"/>
        </w:rPr>
        <w:t>(</w:t>
      </w:r>
      <w:r w:rsidR="0031263A" w:rsidRPr="00D44C0B">
        <w:rPr>
          <w:rFonts w:ascii="Times New Roman" w:hAnsi="Times New Roman" w:cs="Times New Roman"/>
          <w:i/>
          <w:iCs/>
          <w:color w:val="000000" w:themeColor="text1"/>
          <w:lang w:val="en-US"/>
        </w:rPr>
        <w:t>p 2</w:t>
      </w:r>
      <w:r w:rsidRPr="00D44C0B">
        <w:rPr>
          <w:rFonts w:ascii="Times New Roman" w:hAnsi="Times New Roman" w:cs="Times New Roman"/>
          <w:i/>
          <w:iCs/>
          <w:color w:val="000000" w:themeColor="text1"/>
          <w:lang w:val="en-US"/>
        </w:rPr>
        <w:t xml:space="preserve">): </w:t>
      </w:r>
    </w:p>
    <w:p w14:paraId="78BC5A9C" w14:textId="77777777" w:rsidR="00754139" w:rsidRPr="00D44C0B" w:rsidRDefault="00754139" w:rsidP="00736889">
      <w:pPr>
        <w:spacing w:before="100" w:beforeAutospacing="1" w:after="100" w:afterAutospacing="1" w:line="276" w:lineRule="auto"/>
        <w:jc w:val="both"/>
        <w:rPr>
          <w:rFonts w:ascii="Times New Roman" w:hAnsi="Times New Roman" w:cs="Times New Roman"/>
          <w:i/>
          <w:iCs/>
        </w:rPr>
      </w:pPr>
      <w:r w:rsidRPr="00D44C0B">
        <w:rPr>
          <w:rFonts w:ascii="Times New Roman" w:hAnsi="Times New Roman" w:cs="Times New Roman"/>
          <w:i/>
          <w:iCs/>
          <w:highlight w:val="yellow"/>
        </w:rPr>
        <w:t>Our cross-trait view revealed trait-specificity regarding the proportion of loci with age-modulated effects, which was particularly high for pulse pressure.</w:t>
      </w:r>
      <w:r w:rsidRPr="00D44C0B">
        <w:rPr>
          <w:rFonts w:ascii="Times New Roman" w:hAnsi="Times New Roman" w:cs="Times New Roman"/>
          <w:i/>
          <w:iCs/>
        </w:rPr>
        <w:t xml:space="preserve"> </w:t>
      </w:r>
    </w:p>
    <w:p w14:paraId="06EB68BC" w14:textId="0C537501" w:rsidR="00D25124" w:rsidRPr="00D44C0B" w:rsidRDefault="00D25124" w:rsidP="00736889">
      <w:pPr>
        <w:spacing w:before="100" w:beforeAutospacing="1" w:after="100" w:afterAutospacing="1" w:line="276" w:lineRule="auto"/>
        <w:jc w:val="both"/>
        <w:rPr>
          <w:rFonts w:ascii="Times New Roman" w:hAnsi="Times New Roman" w:cs="Times New Roman"/>
          <w:i/>
          <w:iCs/>
          <w:color w:val="000000" w:themeColor="text1"/>
        </w:rPr>
      </w:pPr>
      <w:r w:rsidRPr="00D44C0B">
        <w:rPr>
          <w:rFonts w:ascii="Times New Roman" w:hAnsi="Times New Roman" w:cs="Times New Roman"/>
          <w:i/>
          <w:iCs/>
          <w:color w:val="000000" w:themeColor="text1"/>
        </w:rPr>
        <w:t xml:space="preserve">and to the discussion (p </w:t>
      </w:r>
      <w:r w:rsidR="0031263A" w:rsidRPr="00D44C0B">
        <w:rPr>
          <w:rFonts w:ascii="Times New Roman" w:hAnsi="Times New Roman" w:cs="Times New Roman"/>
          <w:i/>
          <w:iCs/>
          <w:color w:val="000000" w:themeColor="text1"/>
        </w:rPr>
        <w:t>13</w:t>
      </w:r>
      <w:r w:rsidRPr="00D44C0B">
        <w:rPr>
          <w:rFonts w:ascii="Times New Roman" w:hAnsi="Times New Roman" w:cs="Times New Roman"/>
          <w:i/>
          <w:iCs/>
          <w:color w:val="000000" w:themeColor="text1"/>
        </w:rPr>
        <w:t xml:space="preserve">): </w:t>
      </w:r>
    </w:p>
    <w:p w14:paraId="35A961CA" w14:textId="379849C8" w:rsidR="006B1541" w:rsidRPr="00D44C0B" w:rsidRDefault="006B1541" w:rsidP="00736889">
      <w:pPr>
        <w:spacing w:before="100" w:beforeAutospacing="1" w:after="100" w:afterAutospacing="1" w:line="276" w:lineRule="auto"/>
        <w:jc w:val="both"/>
        <w:rPr>
          <w:rFonts w:ascii="Times New Roman" w:hAnsi="Times New Roman" w:cs="Times New Roman"/>
          <w:i/>
          <w:iCs/>
        </w:rPr>
      </w:pPr>
      <w:r w:rsidRPr="00D44C0B">
        <w:rPr>
          <w:rFonts w:ascii="Times New Roman" w:hAnsi="Times New Roman" w:cs="Times New Roman"/>
          <w:i/>
          <w:iCs/>
          <w:highlight w:val="yellow"/>
        </w:rPr>
        <w:t>Considering a broader spectrum of marginally associated trait variants confirmed these observed proportions and directions, with &gt;50% of pulse pressure variant effects being intensified, and ~15% of obesity variant effects being attenuated with age.</w:t>
      </w:r>
    </w:p>
    <w:p w14:paraId="26433AFE" w14:textId="3EC6C42F" w:rsidR="00F54DCB" w:rsidRPr="00D44C0B" w:rsidRDefault="00F54DCB" w:rsidP="00736889">
      <w:pPr>
        <w:spacing w:after="100" w:afterAutospacing="1" w:line="276" w:lineRule="auto"/>
        <w:jc w:val="both"/>
        <w:rPr>
          <w:rFonts w:ascii="Times New Roman" w:hAnsi="Times New Roman" w:cs="Times New Roman"/>
          <w:color w:val="2F5496" w:themeColor="accent5" w:themeShade="BF"/>
        </w:rPr>
      </w:pPr>
      <w:r w:rsidRPr="00D44C0B">
        <w:rPr>
          <w:rFonts w:ascii="Times New Roman" w:hAnsi="Times New Roman" w:cs="Times New Roman"/>
          <w:color w:val="2F5496" w:themeColor="accent5" w:themeShade="BF"/>
        </w:rPr>
        <w:t>8. Based on the proportions, some demo</w:t>
      </w:r>
      <w:r w:rsidR="00F92B45" w:rsidRPr="00D44C0B">
        <w:rPr>
          <w:rFonts w:ascii="Times New Roman" w:hAnsi="Times New Roman" w:cs="Times New Roman"/>
          <w:color w:val="2F5496" w:themeColor="accent5" w:themeShade="BF"/>
        </w:rPr>
        <w:t>n</w:t>
      </w:r>
      <w:r w:rsidRPr="00D44C0B">
        <w:rPr>
          <w:rFonts w:ascii="Times New Roman" w:hAnsi="Times New Roman" w:cs="Times New Roman"/>
          <w:color w:val="2F5496" w:themeColor="accent5" w:themeShade="BF"/>
        </w:rPr>
        <w:t>stration can be made to guide associated analysis and heritability estimation for GWAS.</w:t>
      </w:r>
    </w:p>
    <w:p w14:paraId="26F4DDFD" w14:textId="2322ED70" w:rsidR="00F81899" w:rsidRPr="00D44C0B" w:rsidRDefault="00F81899" w:rsidP="00736889">
      <w:pPr>
        <w:spacing w:after="100" w:afterAutospacing="1" w:line="276" w:lineRule="auto"/>
        <w:jc w:val="both"/>
        <w:rPr>
          <w:rFonts w:ascii="Times New Roman" w:hAnsi="Times New Roman" w:cs="Times New Roman"/>
          <w:i/>
          <w:iCs/>
          <w:color w:val="2F5496" w:themeColor="accent5" w:themeShade="BF"/>
        </w:rPr>
      </w:pPr>
      <w:r w:rsidRPr="00D44C0B">
        <w:rPr>
          <w:rFonts w:ascii="Times New Roman" w:hAnsi="Times New Roman" w:cs="Times New Roman"/>
          <w:b/>
          <w:i/>
          <w:iCs/>
          <w:color w:val="000000" w:themeColor="text1"/>
          <w:lang w:val="en-US"/>
        </w:rPr>
        <w:t xml:space="preserve">Response: </w:t>
      </w:r>
      <w:r w:rsidRPr="00D44C0B">
        <w:rPr>
          <w:rFonts w:ascii="Times New Roman" w:hAnsi="Times New Roman" w:cs="Times New Roman"/>
          <w:i/>
          <w:iCs/>
          <w:color w:val="000000" w:themeColor="text1"/>
          <w:lang w:val="en-US"/>
        </w:rPr>
        <w:t xml:space="preserve">We fully agree with the reviewer that our findings may inform associated GWAS analyses. </w:t>
      </w:r>
      <w:r w:rsidR="00940686" w:rsidRPr="00D44C0B">
        <w:rPr>
          <w:rFonts w:ascii="Times New Roman" w:hAnsi="Times New Roman" w:cs="Times New Roman"/>
          <w:i/>
          <w:iCs/>
          <w:color w:val="000000" w:themeColor="text1"/>
          <w:lang w:val="en-US"/>
        </w:rPr>
        <w:t xml:space="preserve">However, these will be manifold with different implications on various aspects of GWAS follow up. We think that a comprehensive illustration of how to account for age dependency in these analyses will be too extensive for this paper. Yet, to make readers aware of this </w:t>
      </w:r>
      <w:r w:rsidR="0031263A" w:rsidRPr="00D44C0B">
        <w:rPr>
          <w:rFonts w:ascii="Times New Roman" w:hAnsi="Times New Roman" w:cs="Times New Roman"/>
          <w:i/>
          <w:iCs/>
          <w:color w:val="000000" w:themeColor="text1"/>
          <w:lang w:val="en-US"/>
        </w:rPr>
        <w:t xml:space="preserve">methodological </w:t>
      </w:r>
      <w:r w:rsidR="00940686" w:rsidRPr="00D44C0B">
        <w:rPr>
          <w:rFonts w:ascii="Times New Roman" w:hAnsi="Times New Roman" w:cs="Times New Roman"/>
          <w:i/>
          <w:iCs/>
          <w:color w:val="000000" w:themeColor="text1"/>
          <w:lang w:val="en-US"/>
        </w:rPr>
        <w:t>potential, we have added the following text to the discussion</w:t>
      </w:r>
      <w:r w:rsidR="0031263A" w:rsidRPr="00D44C0B">
        <w:rPr>
          <w:rFonts w:ascii="Times New Roman" w:hAnsi="Times New Roman" w:cs="Times New Roman"/>
          <w:i/>
          <w:iCs/>
          <w:color w:val="000000" w:themeColor="text1"/>
          <w:lang w:val="en-US"/>
        </w:rPr>
        <w:t xml:space="preserve"> (p 17)</w:t>
      </w:r>
      <w:r w:rsidR="00940686" w:rsidRPr="00D44C0B">
        <w:rPr>
          <w:rFonts w:ascii="Times New Roman" w:hAnsi="Times New Roman" w:cs="Times New Roman"/>
          <w:i/>
          <w:iCs/>
          <w:color w:val="000000" w:themeColor="text1"/>
          <w:lang w:val="en-US"/>
        </w:rPr>
        <w:t xml:space="preserve">: </w:t>
      </w:r>
    </w:p>
    <w:p w14:paraId="30F230CB" w14:textId="50C96977" w:rsidR="00C92F2A" w:rsidRPr="00D44C0B" w:rsidRDefault="00F81899" w:rsidP="00736889">
      <w:pPr>
        <w:spacing w:before="100" w:beforeAutospacing="1" w:after="100" w:afterAutospacing="1" w:line="276" w:lineRule="auto"/>
        <w:jc w:val="both"/>
        <w:rPr>
          <w:rFonts w:ascii="Times New Roman" w:hAnsi="Times New Roman" w:cs="Times New Roman"/>
          <w:i/>
          <w:iCs/>
          <w:color w:val="2F5496" w:themeColor="accent5" w:themeShade="BF"/>
          <w:lang w:val="en-US"/>
        </w:rPr>
      </w:pPr>
      <w:r w:rsidRPr="00D44C0B">
        <w:rPr>
          <w:rFonts w:ascii="Times New Roman" w:hAnsi="Times New Roman" w:cs="Times New Roman"/>
          <w:i/>
          <w:iCs/>
          <w:highlight w:val="yellow"/>
        </w:rPr>
        <w:t>Our results emphasize the importance to account for age-dependency in several aspects of GWAS, such as fine mapping or heritability estimation, and may open the route to future methods developments.</w:t>
      </w:r>
    </w:p>
    <w:p w14:paraId="240D44F9" w14:textId="724ED6B4" w:rsidR="00816B9B" w:rsidRPr="00D44C0B" w:rsidRDefault="00403A2B" w:rsidP="00736889">
      <w:pPr>
        <w:spacing w:before="100" w:beforeAutospacing="1" w:after="100" w:afterAutospacing="1" w:line="276" w:lineRule="auto"/>
        <w:jc w:val="both"/>
        <w:rPr>
          <w:rFonts w:ascii="Times New Roman" w:hAnsi="Times New Roman" w:cs="Times New Roman"/>
          <w:color w:val="2F5496" w:themeColor="accent5" w:themeShade="BF"/>
        </w:rPr>
      </w:pPr>
      <w:r w:rsidRPr="00D44C0B">
        <w:rPr>
          <w:rFonts w:ascii="Times New Roman" w:hAnsi="Times New Roman" w:cs="Times New Roman"/>
          <w:color w:val="2F5496" w:themeColor="accent5" w:themeShade="BF"/>
        </w:rPr>
        <w:br/>
        <w:t>10. "The identified genetic-by-age interaction effects mostly overlapped with marginal effect loci." This is expected. It would be necessary to systematically compare the involved biological pathways associated with variants with and without the genetic-by-age interaction effect. The authors provide a more detailed discussion of the biological relevance of the identified loci and their potential functional implications. Is the difference on variant level or gene levels?</w:t>
      </w:r>
    </w:p>
    <w:p w14:paraId="7C27D914" w14:textId="08246144" w:rsidR="00940686" w:rsidRPr="00D44C0B" w:rsidRDefault="00940686" w:rsidP="00736889">
      <w:pPr>
        <w:spacing w:before="100" w:beforeAutospacing="1" w:after="100" w:afterAutospacing="1" w:line="276" w:lineRule="auto"/>
        <w:jc w:val="both"/>
        <w:rPr>
          <w:rFonts w:ascii="Times New Roman" w:hAnsi="Times New Roman" w:cs="Times New Roman"/>
          <w:i/>
          <w:iCs/>
          <w:color w:val="000000" w:themeColor="text1"/>
          <w:lang w:val="en-US"/>
        </w:rPr>
      </w:pPr>
      <w:r w:rsidRPr="00D44C0B">
        <w:rPr>
          <w:rFonts w:ascii="Times New Roman" w:hAnsi="Times New Roman" w:cs="Times New Roman"/>
          <w:b/>
          <w:i/>
          <w:iCs/>
          <w:color w:val="000000" w:themeColor="text1"/>
          <w:lang w:val="en-US"/>
        </w:rPr>
        <w:t xml:space="preserve">Response: </w:t>
      </w:r>
      <w:r w:rsidRPr="00D44C0B">
        <w:rPr>
          <w:rFonts w:ascii="Times New Roman" w:hAnsi="Times New Roman" w:cs="Times New Roman"/>
          <w:i/>
          <w:iCs/>
          <w:color w:val="000000" w:themeColor="text1"/>
          <w:lang w:val="en-US"/>
        </w:rPr>
        <w:t xml:space="preserve">We thank the reviewer for this important suggestion. Based on </w:t>
      </w:r>
      <w:r w:rsidR="00736889" w:rsidRPr="00D44C0B">
        <w:rPr>
          <w:rFonts w:ascii="Times New Roman" w:hAnsi="Times New Roman" w:cs="Times New Roman"/>
          <w:i/>
          <w:iCs/>
          <w:color w:val="000000" w:themeColor="text1"/>
          <w:lang w:val="en-US"/>
        </w:rPr>
        <w:t xml:space="preserve">this </w:t>
      </w:r>
      <w:r w:rsidRPr="00D44C0B">
        <w:rPr>
          <w:rFonts w:ascii="Times New Roman" w:hAnsi="Times New Roman" w:cs="Times New Roman"/>
          <w:i/>
          <w:iCs/>
          <w:color w:val="000000" w:themeColor="text1"/>
          <w:lang w:val="en-US"/>
        </w:rPr>
        <w:t>comment</w:t>
      </w:r>
      <w:r w:rsidR="00C511AE" w:rsidRPr="00D44C0B">
        <w:rPr>
          <w:rFonts w:ascii="Times New Roman" w:hAnsi="Times New Roman" w:cs="Times New Roman"/>
          <w:i/>
          <w:iCs/>
          <w:color w:val="000000" w:themeColor="text1"/>
          <w:lang w:val="en-US"/>
        </w:rPr>
        <w:t xml:space="preserve"> and complimentary to the existing tissue enrichment at </w:t>
      </w:r>
      <w:proofErr w:type="spellStart"/>
      <w:r w:rsidR="00C511AE" w:rsidRPr="00D44C0B">
        <w:rPr>
          <w:rFonts w:ascii="Times New Roman" w:hAnsi="Times New Roman" w:cs="Times New Roman"/>
          <w:i/>
          <w:iCs/>
          <w:color w:val="000000" w:themeColor="text1"/>
          <w:lang w:val="en-US"/>
        </w:rPr>
        <w:t>GxAge</w:t>
      </w:r>
      <w:proofErr w:type="spellEnd"/>
      <w:r w:rsidR="00C511AE" w:rsidRPr="00D44C0B">
        <w:rPr>
          <w:rFonts w:ascii="Times New Roman" w:hAnsi="Times New Roman" w:cs="Times New Roman"/>
          <w:i/>
          <w:iCs/>
          <w:color w:val="000000" w:themeColor="text1"/>
          <w:lang w:val="en-US"/>
        </w:rPr>
        <w:t xml:space="preserve"> loci, </w:t>
      </w:r>
      <w:r w:rsidRPr="00D44C0B">
        <w:rPr>
          <w:rFonts w:ascii="Times New Roman" w:hAnsi="Times New Roman" w:cs="Times New Roman"/>
          <w:i/>
          <w:iCs/>
          <w:color w:val="000000" w:themeColor="text1"/>
          <w:lang w:val="en-US"/>
        </w:rPr>
        <w:t xml:space="preserve">we have added tissue-specific enrichment analyses </w:t>
      </w:r>
      <w:r w:rsidR="00C511AE" w:rsidRPr="00D44C0B">
        <w:rPr>
          <w:rFonts w:ascii="Times New Roman" w:hAnsi="Times New Roman" w:cs="Times New Roman"/>
          <w:i/>
          <w:iCs/>
          <w:color w:val="000000" w:themeColor="text1"/>
          <w:lang w:val="en-US"/>
        </w:rPr>
        <w:t xml:space="preserve">for </w:t>
      </w:r>
      <w:r w:rsidRPr="00D44C0B">
        <w:rPr>
          <w:rFonts w:ascii="Times New Roman" w:hAnsi="Times New Roman" w:cs="Times New Roman"/>
          <w:i/>
          <w:iCs/>
          <w:color w:val="000000" w:themeColor="text1"/>
          <w:lang w:val="en-US"/>
        </w:rPr>
        <w:t>main effect loci</w:t>
      </w:r>
      <w:r w:rsidR="00377162" w:rsidRPr="00D44C0B">
        <w:rPr>
          <w:rFonts w:ascii="Times New Roman" w:hAnsi="Times New Roman" w:cs="Times New Roman"/>
          <w:i/>
          <w:iCs/>
          <w:color w:val="000000" w:themeColor="text1"/>
          <w:lang w:val="en-US"/>
        </w:rPr>
        <w:t xml:space="preserve"> </w:t>
      </w:r>
      <w:r w:rsidRPr="00D44C0B">
        <w:rPr>
          <w:rFonts w:ascii="Times New Roman" w:hAnsi="Times New Roman" w:cs="Times New Roman"/>
          <w:i/>
          <w:iCs/>
          <w:color w:val="000000" w:themeColor="text1"/>
          <w:lang w:val="en-US"/>
        </w:rPr>
        <w:t xml:space="preserve">that do not change </w:t>
      </w:r>
      <w:r w:rsidR="00377162" w:rsidRPr="00D44C0B">
        <w:rPr>
          <w:rFonts w:ascii="Times New Roman" w:hAnsi="Times New Roman" w:cs="Times New Roman"/>
          <w:i/>
          <w:iCs/>
          <w:color w:val="000000" w:themeColor="text1"/>
          <w:lang w:val="en-US"/>
        </w:rPr>
        <w:t xml:space="preserve">their effects </w:t>
      </w:r>
      <w:r w:rsidRPr="00D44C0B">
        <w:rPr>
          <w:rFonts w:ascii="Times New Roman" w:hAnsi="Times New Roman" w:cs="Times New Roman"/>
          <w:i/>
          <w:iCs/>
          <w:color w:val="000000" w:themeColor="text1"/>
          <w:lang w:val="en-US"/>
        </w:rPr>
        <w:t>with age (no</w:t>
      </w:r>
      <w:r w:rsidR="00377162" w:rsidRPr="00D44C0B">
        <w:rPr>
          <w:rFonts w:ascii="Times New Roman" w:hAnsi="Times New Roman" w:cs="Times New Roman"/>
          <w:i/>
          <w:iCs/>
          <w:color w:val="000000" w:themeColor="text1"/>
          <w:lang w:val="en-US"/>
        </w:rPr>
        <w:t>-</w:t>
      </w:r>
      <w:proofErr w:type="spellStart"/>
      <w:r w:rsidRPr="00D44C0B">
        <w:rPr>
          <w:rFonts w:ascii="Times New Roman" w:hAnsi="Times New Roman" w:cs="Times New Roman"/>
          <w:i/>
          <w:iCs/>
          <w:color w:val="000000" w:themeColor="text1"/>
          <w:lang w:val="en-US"/>
        </w:rPr>
        <w:t>GxAge</w:t>
      </w:r>
      <w:proofErr w:type="spellEnd"/>
      <w:r w:rsidRPr="00D44C0B">
        <w:rPr>
          <w:rFonts w:ascii="Times New Roman" w:hAnsi="Times New Roman" w:cs="Times New Roman"/>
          <w:i/>
          <w:iCs/>
          <w:color w:val="000000" w:themeColor="text1"/>
          <w:lang w:val="en-US"/>
        </w:rPr>
        <w:t xml:space="preserve">). For pulse pressure, we found a clear distinction </w:t>
      </w:r>
      <w:r w:rsidR="00C511AE" w:rsidRPr="00D44C0B">
        <w:rPr>
          <w:rFonts w:ascii="Times New Roman" w:hAnsi="Times New Roman" w:cs="Times New Roman"/>
          <w:i/>
          <w:iCs/>
          <w:color w:val="000000" w:themeColor="text1"/>
          <w:lang w:val="en-US"/>
        </w:rPr>
        <w:t xml:space="preserve">of tissue enrichments between </w:t>
      </w:r>
      <w:proofErr w:type="spellStart"/>
      <w:r w:rsidR="00C511AE" w:rsidRPr="00D44C0B">
        <w:rPr>
          <w:rFonts w:ascii="Times New Roman" w:hAnsi="Times New Roman" w:cs="Times New Roman"/>
          <w:i/>
          <w:iCs/>
          <w:color w:val="000000" w:themeColor="text1"/>
          <w:lang w:val="en-US"/>
        </w:rPr>
        <w:t>GxAge</w:t>
      </w:r>
      <w:proofErr w:type="spellEnd"/>
      <w:r w:rsidR="00C511AE" w:rsidRPr="00D44C0B">
        <w:rPr>
          <w:rFonts w:ascii="Times New Roman" w:hAnsi="Times New Roman" w:cs="Times New Roman"/>
          <w:i/>
          <w:iCs/>
          <w:color w:val="000000" w:themeColor="text1"/>
          <w:lang w:val="en-US"/>
        </w:rPr>
        <w:t xml:space="preserve"> and </w:t>
      </w:r>
      <w:r w:rsidR="00377162" w:rsidRPr="00D44C0B">
        <w:rPr>
          <w:rFonts w:ascii="Times New Roman" w:hAnsi="Times New Roman" w:cs="Times New Roman"/>
          <w:i/>
          <w:iCs/>
          <w:color w:val="000000" w:themeColor="text1"/>
          <w:lang w:val="en-US"/>
        </w:rPr>
        <w:t>no-</w:t>
      </w:r>
      <w:proofErr w:type="spellStart"/>
      <w:r w:rsidR="00377162" w:rsidRPr="00D44C0B">
        <w:rPr>
          <w:rFonts w:ascii="Times New Roman" w:hAnsi="Times New Roman" w:cs="Times New Roman"/>
          <w:i/>
          <w:iCs/>
          <w:color w:val="000000" w:themeColor="text1"/>
          <w:lang w:val="en-US"/>
        </w:rPr>
        <w:t>GxAge</w:t>
      </w:r>
      <w:proofErr w:type="spellEnd"/>
      <w:r w:rsidR="00377162" w:rsidRPr="00D44C0B">
        <w:rPr>
          <w:rFonts w:ascii="Times New Roman" w:hAnsi="Times New Roman" w:cs="Times New Roman"/>
          <w:i/>
          <w:iCs/>
          <w:color w:val="000000" w:themeColor="text1"/>
          <w:lang w:val="en-US"/>
        </w:rPr>
        <w:t xml:space="preserve"> </w:t>
      </w:r>
      <w:r w:rsidR="00C511AE" w:rsidRPr="00D44C0B">
        <w:rPr>
          <w:rFonts w:ascii="Times New Roman" w:hAnsi="Times New Roman" w:cs="Times New Roman"/>
          <w:i/>
          <w:iCs/>
          <w:color w:val="000000" w:themeColor="text1"/>
          <w:lang w:val="en-US"/>
        </w:rPr>
        <w:t>loci. While</w:t>
      </w:r>
      <w:r w:rsidR="00C511AE" w:rsidRPr="00D44C0B">
        <w:rPr>
          <w:rFonts w:ascii="Times New Roman" w:hAnsi="Times New Roman" w:cs="Times New Roman"/>
          <w:color w:val="000000" w:themeColor="text1"/>
          <w:lang w:val="en-US"/>
        </w:rPr>
        <w:t xml:space="preserve"> </w:t>
      </w:r>
      <w:proofErr w:type="spellStart"/>
      <w:r w:rsidRPr="00D44C0B">
        <w:rPr>
          <w:rFonts w:ascii="Times New Roman" w:hAnsi="Times New Roman" w:cs="Times New Roman"/>
          <w:i/>
          <w:iCs/>
          <w:color w:val="000000" w:themeColor="text1"/>
          <w:lang w:val="en-US"/>
        </w:rPr>
        <w:t>GxAge</w:t>
      </w:r>
      <w:proofErr w:type="spellEnd"/>
      <w:r w:rsidRPr="00D44C0B">
        <w:rPr>
          <w:rFonts w:ascii="Times New Roman" w:hAnsi="Times New Roman" w:cs="Times New Roman"/>
          <w:i/>
          <w:iCs/>
          <w:color w:val="000000" w:themeColor="text1"/>
          <w:lang w:val="en-US"/>
        </w:rPr>
        <w:t xml:space="preserve"> loci </w:t>
      </w:r>
      <w:r w:rsidR="00C511AE" w:rsidRPr="00D44C0B">
        <w:rPr>
          <w:rFonts w:ascii="Times New Roman" w:hAnsi="Times New Roman" w:cs="Times New Roman"/>
          <w:i/>
          <w:iCs/>
          <w:color w:val="000000" w:themeColor="text1"/>
          <w:lang w:val="en-US"/>
        </w:rPr>
        <w:lastRenderedPageBreak/>
        <w:t xml:space="preserve">picked </w:t>
      </w:r>
      <w:r w:rsidRPr="00D44C0B">
        <w:rPr>
          <w:rFonts w:ascii="Times New Roman" w:hAnsi="Times New Roman" w:cs="Times New Roman"/>
          <w:i/>
          <w:iCs/>
          <w:color w:val="000000" w:themeColor="text1"/>
          <w:lang w:val="en-US"/>
        </w:rPr>
        <w:t>up genes with expression effects in relevant blood vessel tissues</w:t>
      </w:r>
      <w:r w:rsidR="00C511AE" w:rsidRPr="00D44C0B">
        <w:rPr>
          <w:rFonts w:ascii="Times New Roman" w:hAnsi="Times New Roman" w:cs="Times New Roman"/>
          <w:i/>
          <w:iCs/>
          <w:color w:val="000000" w:themeColor="text1"/>
          <w:lang w:val="en-US"/>
        </w:rPr>
        <w:t xml:space="preserve">, this </w:t>
      </w:r>
      <w:r w:rsidR="009E4359" w:rsidRPr="00D44C0B">
        <w:rPr>
          <w:rFonts w:ascii="Times New Roman" w:hAnsi="Times New Roman" w:cs="Times New Roman"/>
          <w:i/>
          <w:iCs/>
          <w:color w:val="000000" w:themeColor="text1"/>
          <w:lang w:val="en-US"/>
        </w:rPr>
        <w:t xml:space="preserve">was not observed for the </w:t>
      </w:r>
      <w:r w:rsidR="00377162" w:rsidRPr="00D44C0B">
        <w:rPr>
          <w:rFonts w:ascii="Times New Roman" w:hAnsi="Times New Roman" w:cs="Times New Roman"/>
          <w:i/>
          <w:iCs/>
          <w:color w:val="000000" w:themeColor="text1"/>
          <w:lang w:val="en-US"/>
        </w:rPr>
        <w:t>no-</w:t>
      </w:r>
      <w:proofErr w:type="spellStart"/>
      <w:r w:rsidR="00377162" w:rsidRPr="00D44C0B">
        <w:rPr>
          <w:rFonts w:ascii="Times New Roman" w:hAnsi="Times New Roman" w:cs="Times New Roman"/>
          <w:i/>
          <w:iCs/>
          <w:color w:val="000000" w:themeColor="text1"/>
          <w:lang w:val="en-US"/>
        </w:rPr>
        <w:t>GxAge</w:t>
      </w:r>
      <w:proofErr w:type="spellEnd"/>
      <w:r w:rsidR="00377162" w:rsidRPr="00D44C0B">
        <w:rPr>
          <w:rFonts w:ascii="Times New Roman" w:hAnsi="Times New Roman" w:cs="Times New Roman"/>
          <w:i/>
          <w:iCs/>
          <w:color w:val="000000" w:themeColor="text1"/>
          <w:lang w:val="en-US"/>
        </w:rPr>
        <w:t xml:space="preserve"> </w:t>
      </w:r>
      <w:r w:rsidR="009E4359" w:rsidRPr="00D44C0B">
        <w:rPr>
          <w:rFonts w:ascii="Times New Roman" w:hAnsi="Times New Roman" w:cs="Times New Roman"/>
          <w:i/>
          <w:iCs/>
          <w:color w:val="000000" w:themeColor="text1"/>
          <w:lang w:val="en-US"/>
        </w:rPr>
        <w:t>loci. The finding was consistently observed in enrichment analyses by FUMA, DEPICT and FORGE2</w:t>
      </w:r>
      <w:r w:rsidR="00C511AE" w:rsidRPr="00D44C0B">
        <w:rPr>
          <w:rFonts w:ascii="Times New Roman" w:hAnsi="Times New Roman" w:cs="Times New Roman"/>
          <w:i/>
          <w:iCs/>
          <w:color w:val="000000" w:themeColor="text1"/>
          <w:lang w:val="en-US"/>
        </w:rPr>
        <w:t xml:space="preserve">. The latter is </w:t>
      </w:r>
      <w:r w:rsidR="009E4359" w:rsidRPr="00D44C0B">
        <w:rPr>
          <w:rFonts w:ascii="Times New Roman" w:hAnsi="Times New Roman" w:cs="Times New Roman"/>
          <w:i/>
          <w:iCs/>
          <w:color w:val="000000" w:themeColor="text1"/>
          <w:lang w:val="en-US"/>
        </w:rPr>
        <w:t xml:space="preserve">a direct variant-to-tissue method based on chromatin activity, which was added based on one comment by Reviewer 2. </w:t>
      </w:r>
      <w:r w:rsidR="00D34E54" w:rsidRPr="00D44C0B">
        <w:rPr>
          <w:rFonts w:ascii="Times New Roman" w:hAnsi="Times New Roman" w:cs="Times New Roman"/>
          <w:i/>
          <w:iCs/>
          <w:color w:val="000000" w:themeColor="text1"/>
          <w:lang w:val="en-US"/>
        </w:rPr>
        <w:t xml:space="preserve">We </w:t>
      </w:r>
      <w:r w:rsidR="00377162" w:rsidRPr="00D44C0B">
        <w:rPr>
          <w:rFonts w:ascii="Times New Roman" w:hAnsi="Times New Roman" w:cs="Times New Roman"/>
          <w:i/>
          <w:iCs/>
          <w:color w:val="000000" w:themeColor="text1"/>
          <w:lang w:val="en-US"/>
        </w:rPr>
        <w:t xml:space="preserve">thus </w:t>
      </w:r>
      <w:r w:rsidR="00D34E54" w:rsidRPr="00D44C0B">
        <w:rPr>
          <w:rFonts w:ascii="Times New Roman" w:hAnsi="Times New Roman" w:cs="Times New Roman"/>
          <w:i/>
          <w:iCs/>
          <w:color w:val="000000" w:themeColor="text1"/>
          <w:lang w:val="en-US"/>
        </w:rPr>
        <w:t>conclude</w:t>
      </w:r>
      <w:r w:rsidR="00377162" w:rsidRPr="00D44C0B">
        <w:rPr>
          <w:rFonts w:ascii="Times New Roman" w:hAnsi="Times New Roman" w:cs="Times New Roman"/>
          <w:i/>
          <w:iCs/>
          <w:color w:val="000000" w:themeColor="text1"/>
          <w:lang w:val="en-US"/>
        </w:rPr>
        <w:t>d</w:t>
      </w:r>
      <w:r w:rsidR="00D34E54" w:rsidRPr="00D44C0B">
        <w:rPr>
          <w:rFonts w:ascii="Times New Roman" w:hAnsi="Times New Roman" w:cs="Times New Roman"/>
          <w:i/>
          <w:iCs/>
          <w:color w:val="000000" w:themeColor="text1"/>
          <w:lang w:val="en-US"/>
        </w:rPr>
        <w:t xml:space="preserve"> that the difference derives more from genes being involved in aging processes rather than the variants themselves. We present these comparative analyses in the updated main text, </w:t>
      </w:r>
      <w:r w:rsidR="0017630E" w:rsidRPr="00D44C0B">
        <w:rPr>
          <w:rFonts w:ascii="Times New Roman" w:hAnsi="Times New Roman" w:cs="Times New Roman"/>
          <w:i/>
          <w:iCs/>
          <w:color w:val="000000" w:themeColor="text1"/>
          <w:lang w:val="en-US"/>
        </w:rPr>
        <w:t xml:space="preserve">the </w:t>
      </w:r>
      <w:r w:rsidR="00D34E54" w:rsidRPr="00D44C0B">
        <w:rPr>
          <w:rFonts w:ascii="Times New Roman" w:hAnsi="Times New Roman" w:cs="Times New Roman"/>
          <w:b/>
          <w:i/>
          <w:iCs/>
          <w:color w:val="000000" w:themeColor="text1"/>
          <w:lang w:val="en-US"/>
        </w:rPr>
        <w:t>updated Figure 8</w:t>
      </w:r>
      <w:r w:rsidR="00D34E54" w:rsidRPr="00D44C0B">
        <w:rPr>
          <w:rFonts w:ascii="Times New Roman" w:hAnsi="Times New Roman" w:cs="Times New Roman"/>
          <w:i/>
          <w:iCs/>
          <w:color w:val="000000" w:themeColor="text1"/>
          <w:lang w:val="en-US"/>
        </w:rPr>
        <w:t xml:space="preserve"> (panel B and C show the FUMA results for </w:t>
      </w:r>
      <w:proofErr w:type="spellStart"/>
      <w:r w:rsidR="00D34E54" w:rsidRPr="00D44C0B">
        <w:rPr>
          <w:rFonts w:ascii="Times New Roman" w:hAnsi="Times New Roman" w:cs="Times New Roman"/>
          <w:i/>
          <w:iCs/>
          <w:color w:val="000000" w:themeColor="text1"/>
          <w:lang w:val="en-US"/>
        </w:rPr>
        <w:t>GxAge</w:t>
      </w:r>
      <w:proofErr w:type="spellEnd"/>
      <w:r w:rsidR="00D34E54" w:rsidRPr="00D44C0B">
        <w:rPr>
          <w:rFonts w:ascii="Times New Roman" w:hAnsi="Times New Roman" w:cs="Times New Roman"/>
          <w:i/>
          <w:iCs/>
          <w:color w:val="000000" w:themeColor="text1"/>
          <w:lang w:val="en-US"/>
        </w:rPr>
        <w:t xml:space="preserve"> and </w:t>
      </w:r>
      <w:r w:rsidR="00377162" w:rsidRPr="00D44C0B">
        <w:rPr>
          <w:rFonts w:ascii="Times New Roman" w:hAnsi="Times New Roman" w:cs="Times New Roman"/>
          <w:i/>
          <w:iCs/>
          <w:color w:val="000000" w:themeColor="text1"/>
          <w:lang w:val="en-US"/>
        </w:rPr>
        <w:t>no-</w:t>
      </w:r>
      <w:proofErr w:type="spellStart"/>
      <w:r w:rsidR="00377162" w:rsidRPr="00D44C0B">
        <w:rPr>
          <w:rFonts w:ascii="Times New Roman" w:hAnsi="Times New Roman" w:cs="Times New Roman"/>
          <w:i/>
          <w:iCs/>
          <w:color w:val="000000" w:themeColor="text1"/>
          <w:lang w:val="en-US"/>
        </w:rPr>
        <w:t>GxAge</w:t>
      </w:r>
      <w:proofErr w:type="spellEnd"/>
      <w:r w:rsidR="00377162" w:rsidRPr="00D44C0B">
        <w:rPr>
          <w:rFonts w:ascii="Times New Roman" w:hAnsi="Times New Roman" w:cs="Times New Roman"/>
          <w:i/>
          <w:iCs/>
          <w:color w:val="000000" w:themeColor="text1"/>
          <w:lang w:val="en-US"/>
        </w:rPr>
        <w:t xml:space="preserve"> </w:t>
      </w:r>
      <w:r w:rsidR="00D34E54" w:rsidRPr="00D44C0B">
        <w:rPr>
          <w:rFonts w:ascii="Times New Roman" w:hAnsi="Times New Roman" w:cs="Times New Roman"/>
          <w:i/>
          <w:iCs/>
          <w:color w:val="000000" w:themeColor="text1"/>
          <w:lang w:val="en-US"/>
        </w:rPr>
        <w:t xml:space="preserve">loci, respectively), </w:t>
      </w:r>
      <w:r w:rsidR="0017630E" w:rsidRPr="00D44C0B">
        <w:rPr>
          <w:rFonts w:ascii="Times New Roman" w:hAnsi="Times New Roman" w:cs="Times New Roman"/>
          <w:i/>
          <w:iCs/>
          <w:color w:val="000000" w:themeColor="text1"/>
          <w:lang w:val="en-US"/>
        </w:rPr>
        <w:t xml:space="preserve">the </w:t>
      </w:r>
      <w:r w:rsidR="00D34E54" w:rsidRPr="00D44C0B">
        <w:rPr>
          <w:rFonts w:ascii="Times New Roman" w:hAnsi="Times New Roman" w:cs="Times New Roman"/>
          <w:b/>
          <w:i/>
          <w:iCs/>
          <w:color w:val="000000" w:themeColor="text1"/>
          <w:lang w:val="en-US"/>
        </w:rPr>
        <w:t>new Figure S</w:t>
      </w:r>
      <w:r w:rsidR="0017630E" w:rsidRPr="00D44C0B">
        <w:rPr>
          <w:rFonts w:ascii="Times New Roman" w:hAnsi="Times New Roman" w:cs="Times New Roman"/>
          <w:b/>
          <w:i/>
          <w:iCs/>
          <w:color w:val="000000" w:themeColor="text1"/>
          <w:lang w:val="en-US"/>
        </w:rPr>
        <w:t>6</w:t>
      </w:r>
      <w:r w:rsidR="00D34E54" w:rsidRPr="00D44C0B">
        <w:rPr>
          <w:rFonts w:ascii="Times New Roman" w:hAnsi="Times New Roman" w:cs="Times New Roman"/>
          <w:i/>
          <w:iCs/>
          <w:color w:val="000000" w:themeColor="text1"/>
          <w:lang w:val="en-US"/>
        </w:rPr>
        <w:t xml:space="preserve"> (panel A and B show the DEPICT results for </w:t>
      </w:r>
      <w:proofErr w:type="spellStart"/>
      <w:r w:rsidR="00D34E54" w:rsidRPr="00D44C0B">
        <w:rPr>
          <w:rFonts w:ascii="Times New Roman" w:hAnsi="Times New Roman" w:cs="Times New Roman"/>
          <w:i/>
          <w:iCs/>
          <w:color w:val="000000" w:themeColor="text1"/>
          <w:lang w:val="en-US"/>
        </w:rPr>
        <w:t>GxAge</w:t>
      </w:r>
      <w:proofErr w:type="spellEnd"/>
      <w:r w:rsidR="00D34E54" w:rsidRPr="00D44C0B">
        <w:rPr>
          <w:rFonts w:ascii="Times New Roman" w:hAnsi="Times New Roman" w:cs="Times New Roman"/>
          <w:i/>
          <w:iCs/>
          <w:color w:val="000000" w:themeColor="text1"/>
          <w:lang w:val="en-US"/>
        </w:rPr>
        <w:t xml:space="preserve"> and </w:t>
      </w:r>
      <w:r w:rsidR="00377162" w:rsidRPr="00D44C0B">
        <w:rPr>
          <w:rFonts w:ascii="Times New Roman" w:hAnsi="Times New Roman" w:cs="Times New Roman"/>
          <w:i/>
          <w:iCs/>
          <w:color w:val="000000" w:themeColor="text1"/>
          <w:lang w:val="en-US"/>
        </w:rPr>
        <w:t>no-</w:t>
      </w:r>
      <w:proofErr w:type="spellStart"/>
      <w:r w:rsidR="00377162" w:rsidRPr="00D44C0B">
        <w:rPr>
          <w:rFonts w:ascii="Times New Roman" w:hAnsi="Times New Roman" w:cs="Times New Roman"/>
          <w:i/>
          <w:iCs/>
          <w:color w:val="000000" w:themeColor="text1"/>
          <w:lang w:val="en-US"/>
        </w:rPr>
        <w:t>GxAge</w:t>
      </w:r>
      <w:proofErr w:type="spellEnd"/>
      <w:r w:rsidR="00377162" w:rsidRPr="00D44C0B">
        <w:rPr>
          <w:rFonts w:ascii="Times New Roman" w:hAnsi="Times New Roman" w:cs="Times New Roman"/>
          <w:i/>
          <w:iCs/>
          <w:color w:val="000000" w:themeColor="text1"/>
          <w:lang w:val="en-US"/>
        </w:rPr>
        <w:t xml:space="preserve"> </w:t>
      </w:r>
      <w:r w:rsidR="00D34E54" w:rsidRPr="00D44C0B">
        <w:rPr>
          <w:rFonts w:ascii="Times New Roman" w:hAnsi="Times New Roman" w:cs="Times New Roman"/>
          <w:i/>
          <w:iCs/>
          <w:color w:val="000000" w:themeColor="text1"/>
          <w:lang w:val="en-US"/>
        </w:rPr>
        <w:t xml:space="preserve">loci, respectively) and </w:t>
      </w:r>
      <w:r w:rsidR="00D34E54" w:rsidRPr="00D44C0B">
        <w:rPr>
          <w:rFonts w:ascii="Times New Roman" w:hAnsi="Times New Roman" w:cs="Times New Roman"/>
          <w:b/>
          <w:i/>
          <w:iCs/>
          <w:color w:val="000000" w:themeColor="text1"/>
          <w:lang w:val="en-US"/>
        </w:rPr>
        <w:t>new Table S1</w:t>
      </w:r>
      <w:r w:rsidR="0017630E" w:rsidRPr="00D44C0B">
        <w:rPr>
          <w:rFonts w:ascii="Times New Roman" w:hAnsi="Times New Roman" w:cs="Times New Roman"/>
          <w:b/>
          <w:i/>
          <w:iCs/>
          <w:color w:val="000000" w:themeColor="text1"/>
          <w:lang w:val="en-US"/>
        </w:rPr>
        <w:t>1</w:t>
      </w:r>
      <w:r w:rsidR="00D34E54" w:rsidRPr="00D44C0B">
        <w:rPr>
          <w:rFonts w:ascii="Times New Roman" w:hAnsi="Times New Roman" w:cs="Times New Roman"/>
          <w:i/>
          <w:iCs/>
          <w:color w:val="000000" w:themeColor="text1"/>
          <w:lang w:val="en-US"/>
        </w:rPr>
        <w:t xml:space="preserve"> (FORGE2 results for </w:t>
      </w:r>
      <w:proofErr w:type="spellStart"/>
      <w:r w:rsidR="00D34E54" w:rsidRPr="00D44C0B">
        <w:rPr>
          <w:rFonts w:ascii="Times New Roman" w:hAnsi="Times New Roman" w:cs="Times New Roman"/>
          <w:i/>
          <w:iCs/>
          <w:color w:val="000000" w:themeColor="text1"/>
          <w:lang w:val="en-US"/>
        </w:rPr>
        <w:t>GxAge</w:t>
      </w:r>
      <w:proofErr w:type="spellEnd"/>
      <w:r w:rsidR="00D34E54" w:rsidRPr="00D44C0B">
        <w:rPr>
          <w:rFonts w:ascii="Times New Roman" w:hAnsi="Times New Roman" w:cs="Times New Roman"/>
          <w:i/>
          <w:iCs/>
          <w:color w:val="000000" w:themeColor="text1"/>
          <w:lang w:val="en-US"/>
        </w:rPr>
        <w:t xml:space="preserve"> and </w:t>
      </w:r>
      <w:r w:rsidR="00377162" w:rsidRPr="00D44C0B">
        <w:rPr>
          <w:rFonts w:ascii="Times New Roman" w:hAnsi="Times New Roman" w:cs="Times New Roman"/>
          <w:i/>
          <w:iCs/>
          <w:color w:val="000000" w:themeColor="text1"/>
          <w:lang w:val="en-US"/>
        </w:rPr>
        <w:t>no-</w:t>
      </w:r>
      <w:proofErr w:type="spellStart"/>
      <w:r w:rsidR="00377162" w:rsidRPr="00D44C0B">
        <w:rPr>
          <w:rFonts w:ascii="Times New Roman" w:hAnsi="Times New Roman" w:cs="Times New Roman"/>
          <w:i/>
          <w:iCs/>
          <w:color w:val="000000" w:themeColor="text1"/>
          <w:lang w:val="en-US"/>
        </w:rPr>
        <w:t>GxAge</w:t>
      </w:r>
      <w:proofErr w:type="spellEnd"/>
      <w:r w:rsidR="00377162" w:rsidRPr="00D44C0B">
        <w:rPr>
          <w:rFonts w:ascii="Times New Roman" w:hAnsi="Times New Roman" w:cs="Times New Roman"/>
          <w:i/>
          <w:iCs/>
          <w:color w:val="000000" w:themeColor="text1"/>
          <w:lang w:val="en-US"/>
        </w:rPr>
        <w:t xml:space="preserve"> </w:t>
      </w:r>
      <w:r w:rsidR="00D34E54" w:rsidRPr="00D44C0B">
        <w:rPr>
          <w:rFonts w:ascii="Times New Roman" w:hAnsi="Times New Roman" w:cs="Times New Roman"/>
          <w:i/>
          <w:iCs/>
          <w:color w:val="000000" w:themeColor="text1"/>
          <w:lang w:val="en-US"/>
        </w:rPr>
        <w:t xml:space="preserve">loci). </w:t>
      </w:r>
    </w:p>
    <w:p w14:paraId="1BD41F1F" w14:textId="1CB4AE6D" w:rsidR="00D34E54" w:rsidRPr="00D44C0B" w:rsidRDefault="00D34E54" w:rsidP="00736889">
      <w:pPr>
        <w:spacing w:before="100" w:beforeAutospacing="1" w:after="100" w:afterAutospacing="1" w:line="276" w:lineRule="auto"/>
        <w:jc w:val="both"/>
        <w:rPr>
          <w:rFonts w:ascii="Times New Roman" w:hAnsi="Times New Roman" w:cs="Times New Roman"/>
          <w:i/>
          <w:iCs/>
          <w:color w:val="000000" w:themeColor="text1"/>
          <w:lang w:val="en-US"/>
        </w:rPr>
      </w:pPr>
      <w:r w:rsidRPr="00D44C0B">
        <w:rPr>
          <w:rFonts w:ascii="Times New Roman" w:hAnsi="Times New Roman" w:cs="Times New Roman"/>
          <w:i/>
          <w:iCs/>
          <w:color w:val="000000" w:themeColor="text1"/>
          <w:lang w:val="en-US"/>
        </w:rPr>
        <w:t xml:space="preserve">The updated main </w:t>
      </w:r>
      <w:r w:rsidR="0017630E" w:rsidRPr="00D44C0B">
        <w:rPr>
          <w:rFonts w:ascii="Times New Roman" w:hAnsi="Times New Roman" w:cs="Times New Roman"/>
          <w:i/>
          <w:iCs/>
          <w:color w:val="000000" w:themeColor="text1"/>
          <w:lang w:val="en-US"/>
        </w:rPr>
        <w:t>results text</w:t>
      </w:r>
      <w:r w:rsidRPr="00D44C0B">
        <w:rPr>
          <w:rFonts w:ascii="Times New Roman" w:hAnsi="Times New Roman" w:cs="Times New Roman"/>
          <w:i/>
          <w:iCs/>
          <w:color w:val="000000" w:themeColor="text1"/>
          <w:lang w:val="en-US"/>
        </w:rPr>
        <w:t xml:space="preserve"> reads as follows</w:t>
      </w:r>
      <w:r w:rsidR="0017630E" w:rsidRPr="00D44C0B">
        <w:rPr>
          <w:rFonts w:ascii="Times New Roman" w:hAnsi="Times New Roman" w:cs="Times New Roman"/>
          <w:i/>
          <w:iCs/>
          <w:color w:val="000000" w:themeColor="text1"/>
          <w:lang w:val="en-US"/>
        </w:rPr>
        <w:t xml:space="preserve"> (p 12)</w:t>
      </w:r>
      <w:r w:rsidRPr="00D44C0B">
        <w:rPr>
          <w:rFonts w:ascii="Times New Roman" w:hAnsi="Times New Roman" w:cs="Times New Roman"/>
          <w:i/>
          <w:iCs/>
          <w:color w:val="000000" w:themeColor="text1"/>
          <w:lang w:val="en-US"/>
        </w:rPr>
        <w:t xml:space="preserve">: </w:t>
      </w:r>
    </w:p>
    <w:p w14:paraId="1FA52AE7" w14:textId="77777777" w:rsidR="00164759" w:rsidRPr="00D44C0B" w:rsidRDefault="00164759" w:rsidP="00736889">
      <w:pPr>
        <w:spacing w:before="100" w:beforeAutospacing="1" w:after="100" w:afterAutospacing="1" w:line="276" w:lineRule="auto"/>
        <w:jc w:val="both"/>
        <w:rPr>
          <w:rFonts w:ascii="Times New Roman" w:hAnsi="Times New Roman" w:cs="Times New Roman"/>
          <w:i/>
          <w:iCs/>
        </w:rPr>
      </w:pPr>
      <w:bookmarkStart w:id="5" w:name="_Hlk168591227"/>
      <w:r w:rsidRPr="00D44C0B">
        <w:rPr>
          <w:rFonts w:ascii="Times New Roman" w:hAnsi="Times New Roman" w:cs="Times New Roman"/>
          <w:i/>
          <w:iCs/>
          <w:highlight w:val="yellow"/>
        </w:rPr>
        <w:t xml:space="preserve">We conducted tissue-specific expression analyses with FUMA and observed significantly differentially expressed genes in tibial arteries and in aorta arteries (FDR&lt;5%, </w:t>
      </w:r>
      <w:r w:rsidRPr="00D44C0B">
        <w:rPr>
          <w:rFonts w:ascii="Times New Roman" w:hAnsi="Times New Roman" w:cs="Times New Roman"/>
          <w:b/>
          <w:i/>
          <w:iCs/>
          <w:highlight w:val="yellow"/>
        </w:rPr>
        <w:t>Figure 8A+B</w:t>
      </w:r>
      <w:r w:rsidRPr="00D44C0B">
        <w:rPr>
          <w:rFonts w:ascii="Times New Roman" w:hAnsi="Times New Roman" w:cs="Times New Roman"/>
          <w:i/>
          <w:iCs/>
          <w:highlight w:val="yellow"/>
        </w:rPr>
        <w:t>,</w:t>
      </w:r>
      <w:r w:rsidRPr="00D44C0B">
        <w:rPr>
          <w:rFonts w:ascii="Times New Roman" w:hAnsi="Times New Roman" w:cs="Times New Roman"/>
          <w:b/>
          <w:i/>
          <w:iCs/>
          <w:highlight w:val="yellow"/>
        </w:rPr>
        <w:t xml:space="preserve"> Table S9</w:t>
      </w:r>
      <w:r w:rsidRPr="00D44C0B">
        <w:rPr>
          <w:rFonts w:ascii="Times New Roman" w:hAnsi="Times New Roman" w:cs="Times New Roman"/>
          <w:i/>
          <w:iCs/>
          <w:highlight w:val="yellow"/>
        </w:rPr>
        <w:t>). In terms of direction, the enrichment in arteries was particularly observed for upregulated gene expression (</w:t>
      </w:r>
      <w:r w:rsidRPr="00D44C0B">
        <w:rPr>
          <w:rFonts w:ascii="Times New Roman" w:hAnsi="Times New Roman" w:cs="Times New Roman"/>
          <w:b/>
          <w:i/>
          <w:iCs/>
          <w:highlight w:val="yellow"/>
        </w:rPr>
        <w:t>Table S9, Figure S5</w:t>
      </w:r>
      <w:r w:rsidRPr="00D44C0B">
        <w:rPr>
          <w:rFonts w:ascii="Times New Roman" w:hAnsi="Times New Roman" w:cs="Times New Roman"/>
          <w:i/>
          <w:iCs/>
          <w:highlight w:val="yellow"/>
        </w:rPr>
        <w:t xml:space="preserve">). A confirmatory pattern was observed by enrichment analysis with DEPICT, which yielded significant enrichment of gene expression effects in 16 tissues and cell types including blood vessels, arteries, veins, and endothelial cells (tissue enrichment FDR&lt;5%, </w:t>
      </w:r>
      <w:r w:rsidRPr="00D44C0B">
        <w:rPr>
          <w:rFonts w:ascii="Times New Roman" w:hAnsi="Times New Roman" w:cs="Times New Roman"/>
          <w:b/>
          <w:i/>
          <w:iCs/>
          <w:highlight w:val="yellow"/>
        </w:rPr>
        <w:t>Figure 8C, Figure S6, Table S10</w:t>
      </w:r>
      <w:r w:rsidRPr="00D44C0B">
        <w:rPr>
          <w:rFonts w:ascii="Times New Roman" w:hAnsi="Times New Roman" w:cs="Times New Roman"/>
          <w:i/>
          <w:iCs/>
          <w:highlight w:val="yellow"/>
        </w:rPr>
        <w:t xml:space="preserve">). Strikingly, the enrichment in relevant tissues could not be found in complimentary enrichment analyses that were based on 26 pulse pressure loci without genetic-by-age interaction (i.e., associated but no genetic-by-age interaction; </w:t>
      </w:r>
      <w:proofErr w:type="spellStart"/>
      <w:r w:rsidRPr="00D44C0B">
        <w:rPr>
          <w:rFonts w:ascii="Times New Roman" w:hAnsi="Times New Roman" w:cs="Times New Roman"/>
          <w:i/>
          <w:iCs/>
          <w:highlight w:val="yellow"/>
        </w:rPr>
        <w:t>P</w:t>
      </w:r>
      <w:r w:rsidRPr="00D44C0B">
        <w:rPr>
          <w:rFonts w:ascii="Times New Roman" w:hAnsi="Times New Roman" w:cs="Times New Roman"/>
          <w:i/>
          <w:iCs/>
          <w:highlight w:val="yellow"/>
          <w:vertAlign w:val="subscript"/>
        </w:rPr>
        <w:t>Marginal</w:t>
      </w:r>
      <w:proofErr w:type="spellEnd"/>
      <w:r w:rsidRPr="00D44C0B">
        <w:rPr>
          <w:rFonts w:ascii="Times New Roman" w:hAnsi="Times New Roman" w:cs="Times New Roman"/>
          <w:i/>
          <w:iCs/>
          <w:highlight w:val="yellow"/>
        </w:rPr>
        <w:t>&lt;5x10</w:t>
      </w:r>
      <w:r w:rsidRPr="00D44C0B">
        <w:rPr>
          <w:rFonts w:ascii="Times New Roman" w:hAnsi="Times New Roman" w:cs="Times New Roman"/>
          <w:i/>
          <w:iCs/>
          <w:highlight w:val="yellow"/>
          <w:vertAlign w:val="superscript"/>
        </w:rPr>
        <w:t>-8</w:t>
      </w:r>
      <w:r w:rsidRPr="00D44C0B">
        <w:rPr>
          <w:rFonts w:ascii="Times New Roman" w:hAnsi="Times New Roman" w:cs="Times New Roman"/>
          <w:i/>
          <w:iCs/>
          <w:highlight w:val="yellow"/>
        </w:rPr>
        <w:t xml:space="preserve"> and </w:t>
      </w:r>
      <w:proofErr w:type="spellStart"/>
      <w:r w:rsidRPr="00D44C0B">
        <w:rPr>
          <w:rFonts w:ascii="Times New Roman" w:hAnsi="Times New Roman" w:cs="Times New Roman"/>
          <w:i/>
          <w:iCs/>
          <w:highlight w:val="yellow"/>
        </w:rPr>
        <w:t>P</w:t>
      </w:r>
      <w:r w:rsidRPr="00D44C0B">
        <w:rPr>
          <w:rFonts w:ascii="Times New Roman" w:hAnsi="Times New Roman" w:cs="Times New Roman"/>
          <w:i/>
          <w:iCs/>
          <w:highlight w:val="yellow"/>
          <w:vertAlign w:val="subscript"/>
        </w:rPr>
        <w:t>GxAge</w:t>
      </w:r>
      <w:proofErr w:type="spellEnd"/>
      <w:r w:rsidRPr="00D44C0B">
        <w:rPr>
          <w:rFonts w:ascii="Times New Roman" w:hAnsi="Times New Roman" w:cs="Times New Roman"/>
          <w:i/>
          <w:iCs/>
          <w:highlight w:val="yellow"/>
        </w:rPr>
        <w:t xml:space="preserve">&gt;0.48; </w:t>
      </w:r>
      <w:r w:rsidRPr="00D44C0B">
        <w:rPr>
          <w:rFonts w:ascii="Times New Roman" w:hAnsi="Times New Roman" w:cs="Times New Roman"/>
          <w:b/>
          <w:i/>
          <w:iCs/>
          <w:highlight w:val="yellow"/>
        </w:rPr>
        <w:t>Figure 8B+C</w:t>
      </w:r>
      <w:r w:rsidRPr="00D44C0B">
        <w:rPr>
          <w:rFonts w:ascii="Times New Roman" w:hAnsi="Times New Roman" w:cs="Times New Roman"/>
          <w:i/>
          <w:iCs/>
          <w:highlight w:val="yellow"/>
        </w:rPr>
        <w:t xml:space="preserve">). </w:t>
      </w:r>
      <w:bookmarkStart w:id="6" w:name="_Hlk168584373"/>
      <w:bookmarkStart w:id="7" w:name="_Hlk168591709"/>
      <w:r w:rsidRPr="00D44C0B">
        <w:rPr>
          <w:rFonts w:ascii="Times New Roman" w:hAnsi="Times New Roman" w:cs="Times New Roman"/>
          <w:i/>
          <w:iCs/>
          <w:highlight w:val="yellow"/>
        </w:rPr>
        <w:t xml:space="preserve">This distinction was confirmed by direct variant-to-tissue mapping based om chromatin activity (FORGE2 </w:t>
      </w:r>
      <w:r w:rsidRPr="00D44C0B">
        <w:rPr>
          <w:rFonts w:ascii="Times New Roman" w:hAnsi="Times New Roman" w:cs="Times New Roman"/>
          <w:i/>
          <w:iCs/>
          <w:highlight w:val="yellow"/>
        </w:rPr>
        <w:fldChar w:fldCharType="begin" w:fldLock="1"/>
      </w:r>
      <w:r w:rsidRPr="00D44C0B">
        <w:rPr>
          <w:rFonts w:ascii="Times New Roman" w:hAnsi="Times New Roman" w:cs="Times New Roman"/>
          <w:i/>
          <w:iCs/>
          <w:highlight w:val="yellow"/>
        </w:rPr>
        <w:instrText>ADDIN CSL_CITATION {"citationItems":[{"id":"ITEM-1","itemData":{"DOI":"10.1186/s13059-021-02560-3","ISSN":"1474760X","PMID":"34996498","abstract":"Background: Genome-wide association study (GWAS) single nucleotide polymorphisms (SNPs) are known to preferentially co-locate to active regulatory elements in tissues and cell types relevant to disease aetiology. Further characterisation of associated cell type-specific regulation can broaden our understanding of how GWAS signals may contribute to disease risk. Results: To gain insight into potential functional mechanisms underlying GWAS associations, we developed FORGE2 (https://forge2.altiusinstitute.org/), which is an updated version of the FORGE web tool. FORGE2 uses an expanded atlas of cell type-specific regulatory element annotations, including DNase I hotspots, five histone mark categories and 15 hidden Markov model (HMM) chromatin states, to identify tissue- and cell type-specific signals. An analysis of 3,604 GWAS from the NHGRI-EBI GWAS catalogue yielded at least one significant disease/trait-tissue association for 2,057 GWAS, including &gt; 400 associations specific to epigenomic marks in immune tissues and cell types, &gt; 30 associations specific to heart tissue, and &gt; 60 associations specific to brain tissue, highlighting the key potential of tissue- and cell type-specific regulatory elements. Importantly, we demonstrate that FORGE2 analysis can separate previously observed accessible chromatin enrichments into different chromatin states, such as enhancers or active transcription start sites, providing a greater understanding of underlying regulatory mechanisms. Interestingly, tissue-specific enrichments for repressive chromatin states and histone marks were also detected, suggesting a role for tissue-specific repressed regions in GWAS-mediated disease aetiology. Conclusion: In summary, we demonstrate that FORGE2 has the potential to uncover previously unreported disease-tissue associations and identify new candidate mechanisms. FORGE2 is a transparent, user-friendly web tool for the integrative analysis of loci discovered from GWAS.","author":[{"dropping-particle":"","family":"Breeze","given":"Charles E.","non-dropping-particle":"","parse-names":false,"suffix":""},{"dropping-particle":"","family":"Haugen","given":"Eric","non-dropping-particle":"","parse-names":false,"suffix":""},{"dropping-particle":"","family":"Reynolds","given":"Alex","non-dropping-particle":"","parse-names":false,"suffix":""},{"dropping-particle":"","family":"Teschendorff","given":"Andrew","non-dropping-particle":"","parse-names":false,"suffix":""},{"dropping-particle":"","family":"Dongen","given":"Jenny","non-dropping-particle":"van","parse-names":false,"suffix":""},{"dropping-particle":"","family":"Lan","given":"Qing","non-dropping-particle":"","parse-names":false,"suffix":""},{"dropping-particle":"","family":"Rothman","given":"Nathaniel","non-dropping-particle":"","parse-names":false,"suffix":""},{"dropping-particle":"","family":"Bourque","given":"Guillaume","non-dropping-particle":"","parse-names":false,"suffix":""},{"dropping-particle":"","family":"Dunham","given":"Ian","non-dropping-particle":"","parse-names":false,"suffix":""},{"dropping-particle":"","family":"Beck","given":"Stephan","non-dropping-particle":"","parse-names":false,"suffix":""},{"dropping-particle":"","family":"Stamatoyannopoulos","given":"John","non-dropping-particle":"","parse-names":false,"suffix":""},{"dropping-particle":"","family":"Franceschini","given":"Nora","non-dropping-particle":"","parse-names":false,"suffix":""},{"dropping-particle":"","family":"Berndt","given":"Sonja I.","non-dropping-particle":"","parse-names":false,"suffix":""}],"container-title":"Genome Biology","id":"ITEM-1","issue":"1","issued":{"date-parts":[["2022"]]},"page":"1-22","publisher":"Genome Biology","title":"Integrative analysis of 3604 GWAS reveals multiple novel cell type-specific regulatory associations","type":"article-journal","volume":"23"},"uris":["http://www.mendeley.com/documents/?uuid=e06466c4-fc57-4447-9900-e302260de10e"]}],"mendeley":{"formattedCitation":"[14]","plainTextFormattedCitation":"[14]","previouslyFormattedCitation":"[14]"},"properties":{"noteIndex":0},"schema":"https://github.com/citation-style-language/schema/raw/master/csl-citation.json"}</w:instrText>
      </w:r>
      <w:r w:rsidRPr="00D44C0B">
        <w:rPr>
          <w:rFonts w:ascii="Times New Roman" w:hAnsi="Times New Roman" w:cs="Times New Roman"/>
          <w:i/>
          <w:iCs/>
          <w:highlight w:val="yellow"/>
        </w:rPr>
        <w:fldChar w:fldCharType="separate"/>
      </w:r>
      <w:r w:rsidRPr="00D44C0B">
        <w:rPr>
          <w:rFonts w:ascii="Times New Roman" w:hAnsi="Times New Roman" w:cs="Times New Roman"/>
          <w:i/>
          <w:iCs/>
          <w:noProof/>
          <w:highlight w:val="yellow"/>
        </w:rPr>
        <w:t>[14]</w:t>
      </w:r>
      <w:r w:rsidRPr="00D44C0B">
        <w:rPr>
          <w:rFonts w:ascii="Times New Roman" w:hAnsi="Times New Roman" w:cs="Times New Roman"/>
          <w:i/>
          <w:iCs/>
          <w:highlight w:val="yellow"/>
        </w:rPr>
        <w:fldChar w:fldCharType="end"/>
      </w:r>
      <w:r w:rsidRPr="00D44C0B">
        <w:rPr>
          <w:rFonts w:ascii="Times New Roman" w:hAnsi="Times New Roman" w:cs="Times New Roman"/>
          <w:i/>
          <w:iCs/>
          <w:highlight w:val="yellow"/>
        </w:rPr>
        <w:t>), which yielded a significant enrichment of blood vessel cells for the 26 genetic-by-age interaction pulse pressure loci (4 out of 14 blood vessel cells were mapped with nominal significance, binomial enrichment P= 0.004) but no enrichment for the 26 loci without genetic-by-age interaction (</w:t>
      </w:r>
      <w:r w:rsidRPr="00D44C0B">
        <w:rPr>
          <w:rFonts w:ascii="Times New Roman" w:hAnsi="Times New Roman" w:cs="Times New Roman"/>
          <w:b/>
          <w:i/>
          <w:iCs/>
          <w:highlight w:val="yellow"/>
        </w:rPr>
        <w:t>Table S11</w:t>
      </w:r>
      <w:r w:rsidRPr="00D44C0B">
        <w:rPr>
          <w:rFonts w:ascii="Times New Roman" w:hAnsi="Times New Roman" w:cs="Times New Roman"/>
          <w:i/>
          <w:iCs/>
          <w:highlight w:val="yellow"/>
        </w:rPr>
        <w:t>).</w:t>
      </w:r>
      <w:bookmarkEnd w:id="6"/>
      <w:r w:rsidRPr="00D44C0B">
        <w:rPr>
          <w:rFonts w:ascii="Times New Roman" w:hAnsi="Times New Roman" w:cs="Times New Roman"/>
          <w:i/>
          <w:iCs/>
          <w:highlight w:val="yellow"/>
        </w:rPr>
        <w:t xml:space="preserve"> </w:t>
      </w:r>
      <w:bookmarkEnd w:id="7"/>
      <w:r w:rsidRPr="00D44C0B">
        <w:rPr>
          <w:rFonts w:ascii="Times New Roman" w:hAnsi="Times New Roman" w:cs="Times New Roman"/>
          <w:i/>
          <w:iCs/>
          <w:highlight w:val="yellow"/>
        </w:rPr>
        <w:t>Together, these results underscore the biological relevance of age as intensifying modulator in pulse pressure genetics and biology.</w:t>
      </w:r>
      <w:r w:rsidRPr="00D44C0B">
        <w:rPr>
          <w:rFonts w:ascii="Times New Roman" w:hAnsi="Times New Roman" w:cs="Times New Roman"/>
          <w:i/>
          <w:iCs/>
        </w:rPr>
        <w:t xml:space="preserve"> </w:t>
      </w:r>
      <w:bookmarkEnd w:id="5"/>
    </w:p>
    <w:p w14:paraId="61D73074" w14:textId="28DF7556" w:rsidR="00D34E54" w:rsidRPr="00D44C0B" w:rsidRDefault="00D34E54" w:rsidP="00736889">
      <w:pPr>
        <w:spacing w:before="100" w:beforeAutospacing="1" w:after="100" w:afterAutospacing="1" w:line="276" w:lineRule="auto"/>
        <w:jc w:val="both"/>
        <w:rPr>
          <w:rFonts w:ascii="Times New Roman" w:hAnsi="Times New Roman" w:cs="Times New Roman"/>
          <w:i/>
          <w:iCs/>
          <w:color w:val="000000" w:themeColor="text1"/>
        </w:rPr>
      </w:pPr>
      <w:r w:rsidRPr="00D44C0B">
        <w:rPr>
          <w:rFonts w:ascii="Times New Roman" w:hAnsi="Times New Roman" w:cs="Times New Roman"/>
          <w:i/>
          <w:iCs/>
          <w:color w:val="000000" w:themeColor="text1"/>
        </w:rPr>
        <w:t xml:space="preserve">The updated </w:t>
      </w:r>
      <w:r w:rsidRPr="00D44C0B">
        <w:rPr>
          <w:rFonts w:ascii="Times New Roman" w:hAnsi="Times New Roman" w:cs="Times New Roman"/>
          <w:b/>
          <w:i/>
          <w:iCs/>
          <w:color w:val="000000" w:themeColor="text1"/>
        </w:rPr>
        <w:t>Figure 8</w:t>
      </w:r>
      <w:r w:rsidRPr="00D44C0B">
        <w:rPr>
          <w:rFonts w:ascii="Times New Roman" w:hAnsi="Times New Roman" w:cs="Times New Roman"/>
          <w:i/>
          <w:iCs/>
          <w:color w:val="000000" w:themeColor="text1"/>
        </w:rPr>
        <w:t xml:space="preserve"> looks as follows: </w:t>
      </w:r>
    </w:p>
    <w:p w14:paraId="63D49C16" w14:textId="7C16DDA0" w:rsidR="00D34E54" w:rsidRPr="00D44C0B" w:rsidRDefault="00377162" w:rsidP="00736889">
      <w:pPr>
        <w:spacing w:before="100" w:beforeAutospacing="1" w:after="100" w:afterAutospacing="1" w:line="276" w:lineRule="auto"/>
        <w:jc w:val="both"/>
        <w:rPr>
          <w:rFonts w:ascii="Times New Roman" w:hAnsi="Times New Roman" w:cs="Times New Roman"/>
          <w:color w:val="000000" w:themeColor="text1"/>
        </w:rPr>
      </w:pPr>
      <w:r w:rsidRPr="00D44C0B">
        <w:rPr>
          <w:rFonts w:ascii="Times New Roman" w:hAnsi="Times New Roman" w:cs="Times New Roman"/>
          <w:noProof/>
        </w:rPr>
        <w:t xml:space="preserve"> </w:t>
      </w:r>
      <w:r w:rsidR="00164759" w:rsidRPr="00D44C0B">
        <w:rPr>
          <w:rFonts w:ascii="Times New Roman" w:hAnsi="Times New Roman" w:cs="Times New Roman"/>
          <w:noProof/>
        </w:rPr>
        <w:drawing>
          <wp:inline distT="0" distB="0" distL="0" distR="0" wp14:anchorId="14413C5D" wp14:editId="61126F00">
            <wp:extent cx="5229778" cy="3036292"/>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35266" cy="3039478"/>
                    </a:xfrm>
                    <a:prstGeom prst="rect">
                      <a:avLst/>
                    </a:prstGeom>
                  </pic:spPr>
                </pic:pic>
              </a:graphicData>
            </a:graphic>
          </wp:inline>
        </w:drawing>
      </w:r>
    </w:p>
    <w:p w14:paraId="390199F7" w14:textId="75F1004E" w:rsidR="00A63FAD" w:rsidRPr="00D44C0B" w:rsidRDefault="00A63FAD" w:rsidP="00736889">
      <w:pPr>
        <w:spacing w:before="100" w:beforeAutospacing="1" w:after="100" w:afterAutospacing="1" w:line="276" w:lineRule="auto"/>
        <w:jc w:val="both"/>
        <w:rPr>
          <w:rFonts w:ascii="Times New Roman" w:hAnsi="Times New Roman" w:cs="Times New Roman"/>
          <w:i/>
          <w:iCs/>
          <w:color w:val="000000" w:themeColor="text1"/>
        </w:rPr>
      </w:pPr>
      <w:r w:rsidRPr="00D44C0B">
        <w:rPr>
          <w:rFonts w:ascii="Times New Roman" w:hAnsi="Times New Roman" w:cs="Times New Roman"/>
          <w:i/>
          <w:iCs/>
          <w:color w:val="000000" w:themeColor="text1"/>
        </w:rPr>
        <w:t xml:space="preserve">The new </w:t>
      </w:r>
      <w:r w:rsidRPr="00D44C0B">
        <w:rPr>
          <w:rFonts w:ascii="Times New Roman" w:hAnsi="Times New Roman" w:cs="Times New Roman"/>
          <w:b/>
          <w:i/>
          <w:iCs/>
          <w:color w:val="000000" w:themeColor="text1"/>
        </w:rPr>
        <w:t>Figure S</w:t>
      </w:r>
      <w:r w:rsidR="0017630E" w:rsidRPr="00D44C0B">
        <w:rPr>
          <w:rFonts w:ascii="Times New Roman" w:hAnsi="Times New Roman" w:cs="Times New Roman"/>
          <w:b/>
          <w:i/>
          <w:iCs/>
          <w:color w:val="000000" w:themeColor="text1"/>
        </w:rPr>
        <w:t>6</w:t>
      </w:r>
      <w:r w:rsidRPr="00D44C0B">
        <w:rPr>
          <w:rFonts w:ascii="Times New Roman" w:hAnsi="Times New Roman" w:cs="Times New Roman"/>
          <w:i/>
          <w:iCs/>
          <w:color w:val="000000" w:themeColor="text1"/>
        </w:rPr>
        <w:t xml:space="preserve"> </w:t>
      </w:r>
      <w:r w:rsidR="0017630E" w:rsidRPr="00D44C0B">
        <w:rPr>
          <w:rFonts w:ascii="Times New Roman" w:hAnsi="Times New Roman" w:cs="Times New Roman"/>
          <w:i/>
          <w:iCs/>
          <w:color w:val="000000" w:themeColor="text1"/>
        </w:rPr>
        <w:t xml:space="preserve">with DEPICT results </w:t>
      </w:r>
      <w:r w:rsidRPr="00D44C0B">
        <w:rPr>
          <w:rFonts w:ascii="Times New Roman" w:hAnsi="Times New Roman" w:cs="Times New Roman"/>
          <w:i/>
          <w:iCs/>
          <w:color w:val="000000" w:themeColor="text1"/>
        </w:rPr>
        <w:t xml:space="preserve">looks as follows: </w:t>
      </w:r>
    </w:p>
    <w:p w14:paraId="3815D7B9" w14:textId="21A61998" w:rsidR="00A63FAD" w:rsidRPr="00D44C0B" w:rsidRDefault="00377162" w:rsidP="00736889">
      <w:pPr>
        <w:spacing w:before="100" w:beforeAutospacing="1" w:after="100" w:afterAutospacing="1" w:line="276" w:lineRule="auto"/>
        <w:jc w:val="both"/>
        <w:rPr>
          <w:rFonts w:ascii="Times New Roman" w:hAnsi="Times New Roman" w:cs="Times New Roman"/>
          <w:color w:val="000000" w:themeColor="text1"/>
        </w:rPr>
      </w:pPr>
      <w:r w:rsidRPr="00D44C0B">
        <w:rPr>
          <w:rFonts w:ascii="Times New Roman" w:hAnsi="Times New Roman" w:cs="Times New Roman"/>
          <w:noProof/>
        </w:rPr>
        <w:lastRenderedPageBreak/>
        <w:t xml:space="preserve"> </w:t>
      </w:r>
      <w:r w:rsidRPr="00D44C0B">
        <w:rPr>
          <w:rFonts w:ascii="Times New Roman" w:hAnsi="Times New Roman" w:cs="Times New Roman"/>
          <w:noProof/>
        </w:rPr>
        <w:drawing>
          <wp:inline distT="0" distB="0" distL="0" distR="0" wp14:anchorId="5B2E8A11" wp14:editId="1DF26AF4">
            <wp:extent cx="3763010" cy="4951722"/>
            <wp:effectExtent l="0" t="0" r="8890" b="190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559" b="1"/>
                    <a:stretch/>
                  </pic:blipFill>
                  <pic:spPr bwMode="auto">
                    <a:xfrm>
                      <a:off x="0" y="0"/>
                      <a:ext cx="3770582" cy="4961686"/>
                    </a:xfrm>
                    <a:prstGeom prst="rect">
                      <a:avLst/>
                    </a:prstGeom>
                    <a:ln>
                      <a:noFill/>
                    </a:ln>
                    <a:extLst>
                      <a:ext uri="{53640926-AAD7-44D8-BBD7-CCE9431645EC}">
                        <a14:shadowObscured xmlns:a14="http://schemas.microsoft.com/office/drawing/2010/main"/>
                      </a:ext>
                    </a:extLst>
                  </pic:spPr>
                </pic:pic>
              </a:graphicData>
            </a:graphic>
          </wp:inline>
        </w:drawing>
      </w:r>
    </w:p>
    <w:p w14:paraId="379439A0" w14:textId="693469FF" w:rsidR="0017630E" w:rsidRPr="00D44C0B" w:rsidRDefault="0017630E" w:rsidP="00736889">
      <w:pPr>
        <w:spacing w:before="100" w:beforeAutospacing="1" w:after="100" w:afterAutospacing="1" w:line="276" w:lineRule="auto"/>
        <w:jc w:val="both"/>
        <w:rPr>
          <w:rFonts w:ascii="Times New Roman" w:hAnsi="Times New Roman" w:cs="Times New Roman"/>
          <w:i/>
          <w:iCs/>
          <w:color w:val="000000" w:themeColor="text1"/>
        </w:rPr>
      </w:pPr>
      <w:r w:rsidRPr="00D44C0B">
        <w:rPr>
          <w:rFonts w:ascii="Times New Roman" w:hAnsi="Times New Roman" w:cs="Times New Roman"/>
          <w:i/>
          <w:iCs/>
          <w:color w:val="000000" w:themeColor="text1"/>
        </w:rPr>
        <w:t xml:space="preserve">The new </w:t>
      </w:r>
      <w:r w:rsidRPr="00D44C0B">
        <w:rPr>
          <w:rFonts w:ascii="Times New Roman" w:hAnsi="Times New Roman" w:cs="Times New Roman"/>
          <w:b/>
          <w:i/>
          <w:iCs/>
          <w:color w:val="000000" w:themeColor="text1"/>
        </w:rPr>
        <w:t>Table S11</w:t>
      </w:r>
      <w:r w:rsidRPr="00D44C0B">
        <w:rPr>
          <w:rFonts w:ascii="Times New Roman" w:hAnsi="Times New Roman" w:cs="Times New Roman"/>
          <w:i/>
          <w:iCs/>
          <w:color w:val="000000" w:themeColor="text1"/>
        </w:rPr>
        <w:t xml:space="preserve"> with FORGE2 results looks as follows: </w:t>
      </w:r>
    </w:p>
    <w:p w14:paraId="62245869" w14:textId="39006009" w:rsidR="0017630E" w:rsidRPr="00D44C0B" w:rsidRDefault="00377162" w:rsidP="00736889">
      <w:pPr>
        <w:spacing w:before="100" w:beforeAutospacing="1" w:after="100" w:afterAutospacing="1" w:line="276" w:lineRule="auto"/>
        <w:jc w:val="both"/>
        <w:rPr>
          <w:rFonts w:ascii="Times New Roman" w:hAnsi="Times New Roman" w:cs="Times New Roman"/>
          <w:color w:val="000000" w:themeColor="text1"/>
        </w:rPr>
      </w:pPr>
      <w:r w:rsidRPr="00D44C0B">
        <w:rPr>
          <w:rFonts w:ascii="Times New Roman" w:hAnsi="Times New Roman" w:cs="Times New Roman"/>
          <w:noProof/>
        </w:rPr>
        <w:drawing>
          <wp:inline distT="0" distB="0" distL="0" distR="0" wp14:anchorId="5E7113DB" wp14:editId="668CCB18">
            <wp:extent cx="5760720" cy="185674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1856740"/>
                    </a:xfrm>
                    <a:prstGeom prst="rect">
                      <a:avLst/>
                    </a:prstGeom>
                  </pic:spPr>
                </pic:pic>
              </a:graphicData>
            </a:graphic>
          </wp:inline>
        </w:drawing>
      </w:r>
    </w:p>
    <w:p w14:paraId="39921E56" w14:textId="77777777" w:rsidR="0017630E" w:rsidRPr="00D44C0B" w:rsidRDefault="0017630E" w:rsidP="00736889">
      <w:pPr>
        <w:spacing w:before="100" w:beforeAutospacing="1" w:after="100" w:afterAutospacing="1" w:line="276" w:lineRule="auto"/>
        <w:jc w:val="both"/>
        <w:rPr>
          <w:rFonts w:ascii="Times New Roman" w:hAnsi="Times New Roman" w:cs="Times New Roman"/>
          <w:color w:val="000000" w:themeColor="text1"/>
        </w:rPr>
      </w:pPr>
    </w:p>
    <w:p w14:paraId="69CFA8D8" w14:textId="57D6DFF8" w:rsidR="00552D51" w:rsidRPr="00D44C0B" w:rsidRDefault="00552D51" w:rsidP="00736889">
      <w:pPr>
        <w:spacing w:before="100" w:beforeAutospacing="1" w:after="100" w:afterAutospacing="1" w:line="276" w:lineRule="auto"/>
        <w:jc w:val="both"/>
        <w:rPr>
          <w:rFonts w:ascii="Times New Roman" w:hAnsi="Times New Roman" w:cs="Times New Roman"/>
          <w:color w:val="2F5496" w:themeColor="accent5" w:themeShade="BF"/>
        </w:rPr>
      </w:pPr>
      <w:r w:rsidRPr="00D44C0B">
        <w:rPr>
          <w:rFonts w:ascii="Times New Roman" w:hAnsi="Times New Roman" w:cs="Times New Roman"/>
          <w:color w:val="2F5496" w:themeColor="accent5" w:themeShade="BF"/>
        </w:rPr>
        <w:t>4. It would be interesting to extend the framework to incorporate both cross-section and longitudinal data.</w:t>
      </w:r>
    </w:p>
    <w:p w14:paraId="3462EF3C" w14:textId="62C42B7A" w:rsidR="00643C96" w:rsidRPr="00D44C0B" w:rsidRDefault="00552D51" w:rsidP="00736889">
      <w:pPr>
        <w:spacing w:before="100" w:beforeAutospacing="1" w:after="100" w:afterAutospacing="1" w:line="276" w:lineRule="auto"/>
        <w:jc w:val="both"/>
        <w:rPr>
          <w:rFonts w:ascii="Times New Roman" w:hAnsi="Times New Roman" w:cs="Times New Roman"/>
          <w:i/>
          <w:iCs/>
          <w:color w:val="000000" w:themeColor="text1"/>
          <w:lang w:val="en-US"/>
        </w:rPr>
      </w:pPr>
      <w:r w:rsidRPr="00D44C0B">
        <w:rPr>
          <w:rFonts w:ascii="Times New Roman" w:hAnsi="Times New Roman" w:cs="Times New Roman"/>
          <w:b/>
          <w:i/>
          <w:iCs/>
          <w:color w:val="000000" w:themeColor="text1"/>
          <w:lang w:val="en-US"/>
        </w:rPr>
        <w:t xml:space="preserve">Response: </w:t>
      </w:r>
      <w:r w:rsidRPr="00D44C0B">
        <w:rPr>
          <w:rFonts w:ascii="Times New Roman" w:hAnsi="Times New Roman" w:cs="Times New Roman"/>
          <w:i/>
          <w:iCs/>
          <w:color w:val="000000" w:themeColor="text1"/>
          <w:lang w:val="en-US"/>
        </w:rPr>
        <w:t xml:space="preserve">We fully agree with the reviewer that combining cross-sectional and longitudinal data into a single linear mixed model would be ideal. However, </w:t>
      </w:r>
      <w:r w:rsidR="00D865ED" w:rsidRPr="00D44C0B">
        <w:rPr>
          <w:rFonts w:ascii="Times New Roman" w:hAnsi="Times New Roman" w:cs="Times New Roman"/>
          <w:i/>
          <w:iCs/>
          <w:color w:val="000000" w:themeColor="text1"/>
          <w:lang w:val="en-US"/>
        </w:rPr>
        <w:t xml:space="preserve">this is currently difficult to apply for GWAS. </w:t>
      </w:r>
      <w:r w:rsidR="00D865ED" w:rsidRPr="00D44C0B">
        <w:rPr>
          <w:rFonts w:ascii="Times New Roman" w:hAnsi="Times New Roman" w:cs="Times New Roman"/>
          <w:i/>
          <w:iCs/>
          <w:color w:val="000000" w:themeColor="text1"/>
          <w:lang w:val="en-US"/>
        </w:rPr>
        <w:lastRenderedPageBreak/>
        <w:t xml:space="preserve">There is no LLM implementation for GWAS of biobank-scale data available that allows to integrate longitudinal data with </w:t>
      </w:r>
      <w:proofErr w:type="spellStart"/>
      <w:r w:rsidR="00D865ED" w:rsidRPr="00D44C0B">
        <w:rPr>
          <w:rFonts w:ascii="Times New Roman" w:hAnsi="Times New Roman" w:cs="Times New Roman"/>
          <w:i/>
          <w:iCs/>
          <w:color w:val="000000" w:themeColor="text1"/>
          <w:lang w:val="en-US"/>
        </w:rPr>
        <w:t>GxAge</w:t>
      </w:r>
      <w:proofErr w:type="spellEnd"/>
      <w:r w:rsidR="00D865ED" w:rsidRPr="00D44C0B">
        <w:rPr>
          <w:rFonts w:ascii="Times New Roman" w:hAnsi="Times New Roman" w:cs="Times New Roman"/>
          <w:i/>
          <w:iCs/>
          <w:color w:val="000000" w:themeColor="text1"/>
          <w:lang w:val="en-US"/>
        </w:rPr>
        <w:t xml:space="preserve"> testing</w:t>
      </w:r>
      <w:r w:rsidR="0017630E" w:rsidRPr="00D44C0B">
        <w:rPr>
          <w:rFonts w:ascii="Times New Roman" w:hAnsi="Times New Roman" w:cs="Times New Roman"/>
          <w:i/>
          <w:iCs/>
          <w:color w:val="000000" w:themeColor="text1"/>
          <w:lang w:val="en-US"/>
        </w:rPr>
        <w:t>, and to incorporate individuals with single measurements</w:t>
      </w:r>
      <w:r w:rsidR="00D865ED" w:rsidRPr="00D44C0B">
        <w:rPr>
          <w:rFonts w:ascii="Times New Roman" w:hAnsi="Times New Roman" w:cs="Times New Roman"/>
          <w:i/>
          <w:iCs/>
          <w:color w:val="000000" w:themeColor="text1"/>
          <w:lang w:val="en-US"/>
        </w:rPr>
        <w:t xml:space="preserve">. Furthermore, this </w:t>
      </w:r>
      <w:r w:rsidRPr="00D44C0B">
        <w:rPr>
          <w:rFonts w:ascii="Times New Roman" w:hAnsi="Times New Roman" w:cs="Times New Roman"/>
          <w:i/>
          <w:iCs/>
          <w:color w:val="000000" w:themeColor="text1"/>
          <w:lang w:val="en-US"/>
        </w:rPr>
        <w:t xml:space="preserve">model </w:t>
      </w:r>
      <w:r w:rsidR="00D865ED" w:rsidRPr="00D44C0B">
        <w:rPr>
          <w:rFonts w:ascii="Times New Roman" w:hAnsi="Times New Roman" w:cs="Times New Roman"/>
          <w:i/>
          <w:iCs/>
          <w:color w:val="000000" w:themeColor="text1"/>
          <w:lang w:val="en-US"/>
        </w:rPr>
        <w:t xml:space="preserve">may </w:t>
      </w:r>
      <w:r w:rsidRPr="00D44C0B">
        <w:rPr>
          <w:rFonts w:ascii="Times New Roman" w:hAnsi="Times New Roman" w:cs="Times New Roman"/>
          <w:i/>
          <w:iCs/>
          <w:color w:val="000000" w:themeColor="text1"/>
          <w:lang w:val="en-US"/>
        </w:rPr>
        <w:t xml:space="preserve">strongly depend on the sample size ratios of individuals with single </w:t>
      </w:r>
      <w:r w:rsidR="00D865ED" w:rsidRPr="00D44C0B">
        <w:rPr>
          <w:rFonts w:ascii="Times New Roman" w:hAnsi="Times New Roman" w:cs="Times New Roman"/>
          <w:i/>
          <w:iCs/>
          <w:color w:val="000000" w:themeColor="text1"/>
          <w:lang w:val="en-US"/>
        </w:rPr>
        <w:t xml:space="preserve">versus </w:t>
      </w:r>
      <w:r w:rsidRPr="00D44C0B">
        <w:rPr>
          <w:rFonts w:ascii="Times New Roman" w:hAnsi="Times New Roman" w:cs="Times New Roman"/>
          <w:i/>
          <w:iCs/>
          <w:color w:val="000000" w:themeColor="text1"/>
          <w:lang w:val="en-US"/>
        </w:rPr>
        <w:t xml:space="preserve">multiple measurements, </w:t>
      </w:r>
      <w:r w:rsidR="00D865ED" w:rsidRPr="00D44C0B">
        <w:rPr>
          <w:rFonts w:ascii="Times New Roman" w:hAnsi="Times New Roman" w:cs="Times New Roman"/>
          <w:i/>
          <w:iCs/>
          <w:color w:val="000000" w:themeColor="text1"/>
          <w:lang w:val="en-US"/>
        </w:rPr>
        <w:t xml:space="preserve">as well as </w:t>
      </w:r>
      <w:r w:rsidRPr="00D44C0B">
        <w:rPr>
          <w:rFonts w:ascii="Times New Roman" w:hAnsi="Times New Roman" w:cs="Times New Roman"/>
          <w:i/>
          <w:iCs/>
          <w:color w:val="000000" w:themeColor="text1"/>
          <w:lang w:val="en-US"/>
        </w:rPr>
        <w:t xml:space="preserve">on the number of trajectories per person. In our situation, we have approx. 350,000 individuals with single measurements and only up to 50,000 with two measurements. </w:t>
      </w:r>
      <w:r w:rsidR="00D865ED" w:rsidRPr="00D44C0B">
        <w:rPr>
          <w:rFonts w:ascii="Times New Roman" w:hAnsi="Times New Roman" w:cs="Times New Roman"/>
          <w:i/>
          <w:iCs/>
          <w:color w:val="000000" w:themeColor="text1"/>
          <w:lang w:val="en-US"/>
        </w:rPr>
        <w:t xml:space="preserve">It is not clear, how </w:t>
      </w:r>
      <w:r w:rsidRPr="00D44C0B">
        <w:rPr>
          <w:rFonts w:ascii="Times New Roman" w:hAnsi="Times New Roman" w:cs="Times New Roman"/>
          <w:i/>
          <w:iCs/>
          <w:color w:val="000000" w:themeColor="text1"/>
          <w:lang w:val="en-US"/>
        </w:rPr>
        <w:t>LMM</w:t>
      </w:r>
      <w:r w:rsidR="00C511AE" w:rsidRPr="00D44C0B">
        <w:rPr>
          <w:rFonts w:ascii="Times New Roman" w:hAnsi="Times New Roman" w:cs="Times New Roman"/>
          <w:i/>
          <w:iCs/>
          <w:color w:val="000000" w:themeColor="text1"/>
          <w:lang w:val="en-US"/>
        </w:rPr>
        <w:t>s</w:t>
      </w:r>
      <w:r w:rsidRPr="00D44C0B">
        <w:rPr>
          <w:rFonts w:ascii="Times New Roman" w:hAnsi="Times New Roman" w:cs="Times New Roman"/>
          <w:i/>
          <w:iCs/>
          <w:color w:val="000000" w:themeColor="text1"/>
          <w:lang w:val="en-US"/>
        </w:rPr>
        <w:t xml:space="preserve"> with person-specific </w:t>
      </w:r>
      <w:r w:rsidR="00D865ED" w:rsidRPr="00D44C0B">
        <w:rPr>
          <w:rFonts w:ascii="Times New Roman" w:hAnsi="Times New Roman" w:cs="Times New Roman"/>
          <w:i/>
          <w:iCs/>
          <w:color w:val="000000" w:themeColor="text1"/>
          <w:lang w:val="en-US"/>
        </w:rPr>
        <w:t xml:space="preserve">intercepts and </w:t>
      </w:r>
      <w:r w:rsidRPr="00D44C0B">
        <w:rPr>
          <w:rFonts w:ascii="Times New Roman" w:hAnsi="Times New Roman" w:cs="Times New Roman"/>
          <w:i/>
          <w:iCs/>
          <w:color w:val="000000" w:themeColor="text1"/>
          <w:lang w:val="en-US"/>
        </w:rPr>
        <w:t>slopes</w:t>
      </w:r>
      <w:r w:rsidR="00D865ED" w:rsidRPr="00D44C0B">
        <w:rPr>
          <w:rFonts w:ascii="Times New Roman" w:hAnsi="Times New Roman" w:cs="Times New Roman"/>
          <w:i/>
          <w:iCs/>
          <w:color w:val="000000" w:themeColor="text1"/>
          <w:lang w:val="en-US"/>
        </w:rPr>
        <w:t xml:space="preserve"> will perform in this situation</w:t>
      </w:r>
      <w:r w:rsidRPr="00D44C0B">
        <w:rPr>
          <w:rFonts w:ascii="Times New Roman" w:hAnsi="Times New Roman" w:cs="Times New Roman"/>
          <w:i/>
          <w:iCs/>
          <w:color w:val="000000" w:themeColor="text1"/>
          <w:lang w:val="en-US"/>
        </w:rPr>
        <w:t xml:space="preserve">. </w:t>
      </w:r>
      <w:r w:rsidR="00643C96" w:rsidRPr="00D44C0B">
        <w:rPr>
          <w:rFonts w:ascii="Times New Roman" w:hAnsi="Times New Roman" w:cs="Times New Roman"/>
          <w:i/>
          <w:iCs/>
          <w:color w:val="000000" w:themeColor="text1"/>
          <w:lang w:val="en-US"/>
        </w:rPr>
        <w:t>To address this, we have added the following text to the discussion</w:t>
      </w:r>
      <w:r w:rsidR="0017630E" w:rsidRPr="00D44C0B">
        <w:rPr>
          <w:rFonts w:ascii="Times New Roman" w:hAnsi="Times New Roman" w:cs="Times New Roman"/>
          <w:i/>
          <w:iCs/>
          <w:color w:val="000000" w:themeColor="text1"/>
          <w:lang w:val="en-US"/>
        </w:rPr>
        <w:t xml:space="preserve"> (p 16)</w:t>
      </w:r>
      <w:r w:rsidR="00643C96" w:rsidRPr="00D44C0B">
        <w:rPr>
          <w:rFonts w:ascii="Times New Roman" w:hAnsi="Times New Roman" w:cs="Times New Roman"/>
          <w:i/>
          <w:iCs/>
          <w:color w:val="000000" w:themeColor="text1"/>
          <w:lang w:val="en-US"/>
        </w:rPr>
        <w:t xml:space="preserve">: </w:t>
      </w:r>
    </w:p>
    <w:p w14:paraId="20DB1D09" w14:textId="2531FE2D" w:rsidR="00D865ED" w:rsidRPr="00D44C0B" w:rsidRDefault="00643C96" w:rsidP="00736889">
      <w:pPr>
        <w:spacing w:before="100" w:beforeAutospacing="1" w:after="100" w:afterAutospacing="1" w:line="276" w:lineRule="auto"/>
        <w:jc w:val="both"/>
        <w:rPr>
          <w:rFonts w:ascii="Times New Roman" w:hAnsi="Times New Roman" w:cs="Times New Roman"/>
          <w:i/>
          <w:iCs/>
          <w:color w:val="000000" w:themeColor="text1"/>
          <w:lang w:val="en-US"/>
        </w:rPr>
      </w:pPr>
      <w:r w:rsidRPr="00D44C0B">
        <w:rPr>
          <w:rFonts w:ascii="Times New Roman" w:hAnsi="Times New Roman" w:cs="Times New Roman"/>
          <w:i/>
          <w:iCs/>
          <w:highlight w:val="yellow"/>
        </w:rPr>
        <w:t xml:space="preserve">Furthermore, while LMMs would generally allow to simultaneously </w:t>
      </w:r>
      <w:proofErr w:type="spellStart"/>
      <w:r w:rsidR="00A63FAD" w:rsidRPr="00D44C0B">
        <w:rPr>
          <w:rFonts w:ascii="Times New Roman" w:hAnsi="Times New Roman" w:cs="Times New Roman"/>
          <w:i/>
          <w:iCs/>
          <w:highlight w:val="yellow"/>
        </w:rPr>
        <w:t>analyze</w:t>
      </w:r>
      <w:proofErr w:type="spellEnd"/>
      <w:r w:rsidRPr="00D44C0B">
        <w:rPr>
          <w:rFonts w:ascii="Times New Roman" w:hAnsi="Times New Roman" w:cs="Times New Roman"/>
          <w:i/>
          <w:iCs/>
          <w:highlight w:val="yellow"/>
        </w:rPr>
        <w:t xml:space="preserve"> individuals with single and with multiple measurements, its performance and methodological validity are unclear to date and may depend on the proportion of individuals with single versus multiple measurements.</w:t>
      </w:r>
    </w:p>
    <w:p w14:paraId="3F26F517" w14:textId="0959C309" w:rsidR="00816B9B" w:rsidRPr="00D44C0B" w:rsidRDefault="00403A2B" w:rsidP="00736889">
      <w:pPr>
        <w:spacing w:before="100" w:beforeAutospacing="1" w:after="100" w:afterAutospacing="1" w:line="276" w:lineRule="auto"/>
        <w:jc w:val="both"/>
        <w:rPr>
          <w:rFonts w:ascii="Times New Roman" w:hAnsi="Times New Roman" w:cs="Times New Roman"/>
          <w:color w:val="2F5496" w:themeColor="accent5" w:themeShade="BF"/>
        </w:rPr>
      </w:pPr>
      <w:r w:rsidRPr="00D44C0B">
        <w:rPr>
          <w:rFonts w:ascii="Times New Roman" w:hAnsi="Times New Roman" w:cs="Times New Roman"/>
          <w:color w:val="2F5496" w:themeColor="accent5" w:themeShade="BF"/>
        </w:rPr>
        <w:br/>
        <w:t>11. The discussion could be enhanced by comparing the findings with previous studies and discussing the potential reasons for the observed differences in genetic-by-age interactions across traits.</w:t>
      </w:r>
    </w:p>
    <w:p w14:paraId="657301AB" w14:textId="2CAA56F9" w:rsidR="00007CF4" w:rsidRPr="00D44C0B" w:rsidRDefault="00643C96" w:rsidP="00736889">
      <w:pPr>
        <w:spacing w:before="100" w:beforeAutospacing="1" w:after="100" w:afterAutospacing="1" w:line="276" w:lineRule="auto"/>
        <w:jc w:val="both"/>
        <w:rPr>
          <w:rFonts w:ascii="Times New Roman" w:hAnsi="Times New Roman" w:cs="Times New Roman"/>
          <w:i/>
          <w:iCs/>
        </w:rPr>
      </w:pPr>
      <w:r w:rsidRPr="00D44C0B">
        <w:rPr>
          <w:rFonts w:ascii="Times New Roman" w:hAnsi="Times New Roman" w:cs="Times New Roman"/>
          <w:b/>
          <w:i/>
          <w:iCs/>
          <w:color w:val="000000" w:themeColor="text1"/>
          <w:lang w:val="en-US"/>
        </w:rPr>
        <w:t xml:space="preserve">Response: </w:t>
      </w:r>
      <w:r w:rsidRPr="00D44C0B">
        <w:rPr>
          <w:rFonts w:ascii="Times New Roman" w:hAnsi="Times New Roman" w:cs="Times New Roman"/>
          <w:i/>
          <w:iCs/>
        </w:rPr>
        <w:t>Generally, f</w:t>
      </w:r>
      <w:r w:rsidR="00185221" w:rsidRPr="00D44C0B">
        <w:rPr>
          <w:rFonts w:ascii="Times New Roman" w:hAnsi="Times New Roman" w:cs="Times New Roman"/>
          <w:i/>
          <w:iCs/>
        </w:rPr>
        <w:t xml:space="preserve">indings of </w:t>
      </w:r>
      <w:r w:rsidR="00A63FAD" w:rsidRPr="00D44C0B">
        <w:rPr>
          <w:rFonts w:ascii="Times New Roman" w:hAnsi="Times New Roman" w:cs="Times New Roman"/>
          <w:i/>
          <w:iCs/>
        </w:rPr>
        <w:t xml:space="preserve">genetic-by-age interaction for </w:t>
      </w:r>
      <w:r w:rsidR="00185221" w:rsidRPr="00D44C0B">
        <w:rPr>
          <w:rFonts w:ascii="Times New Roman" w:hAnsi="Times New Roman" w:cs="Times New Roman"/>
          <w:i/>
          <w:iCs/>
        </w:rPr>
        <w:t>the metabolic traits are sparse</w:t>
      </w:r>
      <w:r w:rsidR="00A63FAD" w:rsidRPr="00D44C0B">
        <w:rPr>
          <w:rFonts w:ascii="Times New Roman" w:hAnsi="Times New Roman" w:cs="Times New Roman"/>
          <w:i/>
          <w:iCs/>
        </w:rPr>
        <w:t xml:space="preserve">. To our knowledge, there is no previous work </w:t>
      </w:r>
      <w:r w:rsidR="00007CF4" w:rsidRPr="00D44C0B">
        <w:rPr>
          <w:rFonts w:ascii="Times New Roman" w:hAnsi="Times New Roman" w:cs="Times New Roman"/>
          <w:i/>
          <w:iCs/>
        </w:rPr>
        <w:t xml:space="preserve">that included </w:t>
      </w:r>
      <w:proofErr w:type="spellStart"/>
      <w:r w:rsidR="00A63FAD" w:rsidRPr="00D44C0B">
        <w:rPr>
          <w:rFonts w:ascii="Times New Roman" w:hAnsi="Times New Roman" w:cs="Times New Roman"/>
          <w:i/>
          <w:iCs/>
        </w:rPr>
        <w:t>GxAge</w:t>
      </w:r>
      <w:proofErr w:type="spellEnd"/>
      <w:r w:rsidR="00A63FAD" w:rsidRPr="00D44C0B">
        <w:rPr>
          <w:rFonts w:ascii="Times New Roman" w:hAnsi="Times New Roman" w:cs="Times New Roman"/>
          <w:i/>
          <w:iCs/>
        </w:rPr>
        <w:t xml:space="preserve"> </w:t>
      </w:r>
      <w:r w:rsidR="00007CF4" w:rsidRPr="00D44C0B">
        <w:rPr>
          <w:rFonts w:ascii="Times New Roman" w:hAnsi="Times New Roman" w:cs="Times New Roman"/>
          <w:i/>
          <w:iCs/>
        </w:rPr>
        <w:t>terms in GWAS regression models. Yet, for BMI and blood pressure traits including pulse pressure, we found two large age-stratified GWAS meta-analyses by GIANT (for BMI) and by CHAREG/</w:t>
      </w:r>
      <w:proofErr w:type="spellStart"/>
      <w:r w:rsidR="00007CF4" w:rsidRPr="00D44C0B">
        <w:rPr>
          <w:rFonts w:ascii="Times New Roman" w:hAnsi="Times New Roman" w:cs="Times New Roman"/>
          <w:i/>
          <w:iCs/>
        </w:rPr>
        <w:t>GBPgen</w:t>
      </w:r>
      <w:proofErr w:type="spellEnd"/>
      <w:r w:rsidR="00007CF4" w:rsidRPr="00D44C0B">
        <w:rPr>
          <w:rFonts w:ascii="Times New Roman" w:hAnsi="Times New Roman" w:cs="Times New Roman"/>
          <w:i/>
          <w:iCs/>
        </w:rPr>
        <w:t xml:space="preserve">/ICBP for blood pressure. For BMI, four of our loci overlapped with the age-specific loci by GIANT. </w:t>
      </w:r>
      <w:r w:rsidR="00FD7E1F" w:rsidRPr="00D44C0B">
        <w:rPr>
          <w:rFonts w:ascii="Times New Roman" w:hAnsi="Times New Roman" w:cs="Times New Roman"/>
          <w:i/>
          <w:iCs/>
        </w:rPr>
        <w:t xml:space="preserve">For pulse pressure, only one locus (near PIK3CG) was mentioned for its nominal significant age-dependent effect by the previous paper (not by conservative Bonferroni-corrected significance). </w:t>
      </w:r>
    </w:p>
    <w:p w14:paraId="6BDFFC3F" w14:textId="3EB008CD" w:rsidR="00FD7E1F" w:rsidRPr="00D44C0B" w:rsidRDefault="00FD7E1F" w:rsidP="00736889">
      <w:pPr>
        <w:spacing w:before="100" w:beforeAutospacing="1" w:after="100" w:afterAutospacing="1" w:line="276" w:lineRule="auto"/>
        <w:jc w:val="both"/>
        <w:rPr>
          <w:rFonts w:ascii="Times New Roman" w:hAnsi="Times New Roman" w:cs="Times New Roman"/>
          <w:i/>
          <w:iCs/>
        </w:rPr>
      </w:pPr>
      <w:r w:rsidRPr="00D44C0B">
        <w:rPr>
          <w:rFonts w:ascii="Times New Roman" w:hAnsi="Times New Roman" w:cs="Times New Roman"/>
          <w:i/>
          <w:iCs/>
        </w:rPr>
        <w:t xml:space="preserve">We address these papers in the discussion (p. 13): </w:t>
      </w:r>
    </w:p>
    <w:p w14:paraId="19522E3E" w14:textId="00C4CC0F" w:rsidR="00FD7E1F" w:rsidRPr="00D44C0B" w:rsidRDefault="00FD7E1F" w:rsidP="00736889">
      <w:pPr>
        <w:spacing w:before="100" w:beforeAutospacing="1" w:after="100" w:afterAutospacing="1" w:line="276" w:lineRule="auto"/>
        <w:jc w:val="both"/>
        <w:rPr>
          <w:rFonts w:ascii="Times New Roman" w:hAnsi="Times New Roman" w:cs="Times New Roman"/>
          <w:i/>
          <w:iCs/>
        </w:rPr>
      </w:pPr>
      <w:r w:rsidRPr="00D44C0B">
        <w:rPr>
          <w:rFonts w:ascii="Times New Roman" w:hAnsi="Times New Roman" w:cs="Times New Roman"/>
          <w:i/>
          <w:iCs/>
          <w:highlight w:val="yellow"/>
        </w:rPr>
        <w:t xml:space="preserve">This pattern was consistent with previous work from the GIANT consortium that identified 11 loci with smaller genetic effect sizes on BMI among older compared to younger adults using age-stratified GWAS meta-analyses on cross-sectional data </w:t>
      </w:r>
      <w:r w:rsidRPr="00D44C0B">
        <w:rPr>
          <w:rFonts w:ascii="Times New Roman" w:hAnsi="Times New Roman" w:cs="Times New Roman"/>
          <w:i/>
          <w:iCs/>
          <w:highlight w:val="yellow"/>
        </w:rPr>
        <w:fldChar w:fldCharType="begin" w:fldLock="1"/>
      </w:r>
      <w:r w:rsidRPr="00D44C0B">
        <w:rPr>
          <w:rFonts w:ascii="Times New Roman" w:hAnsi="Times New Roman" w:cs="Times New Roman"/>
          <w:i/>
          <w:iCs/>
          <w:highlight w:val="yellow"/>
        </w:rPr>
        <w:instrText>ADDIN CSL_CITATION {"citationItems":[{"id":"ITEM-1","itemData":{"DOI":"10.1371/journal.pgen.1005378","ISBN":"2007352051788","ISSN":"15537404","PMID":"26426971","abstract":"Genome-wide association studies (GWAS) have identified more than 100 genetic variants contributing to BMI, a measure of body size, or waist-to-hip ratio (adjusted for BMI, WHRadjBMI), a measure of body shape. Body size and shape change as people grow older and these changes differ substantially between men and women. To systematically screen for age- and/or sex-specific effects of genetic variants on BMI and WHRadjBMI, we performed meta-analyses of 114 studies (up to 320,485 individuals of European descent) with genome-wide chip and/or Metabochip data by the Genetic Investigation of Anthropometric Traits (GIANT) Consortium. Each study tested the association of up to ~2.8M SNPs with BMI and WHRadjBMI in four strata (men ≤50y, men &gt;50y, women ≤50y, women &gt;50y) and summary statistics were combined in stratum-specific meta-analyses. We then screened for variants that showed age-specific effects (G x AGE), sex-specific effects (G x SEX) or age-specific effects that differed between men and women (G x AGE x SEX). For BMI, we identified 15 loci (11 previously established for main effects, four novel) that showed significant (FDR&lt;5%) age-specific effects, of which 11 had larger effects in younger (&lt;50y) than in older adults (≥50y). No sex-dependent effects were identified for BMI. For WHRadjBMI, we identified 44 loci (27 previously established for main effects, 17 novel) with sex-specific effects, of which 28 showed larger effects in women than in men, five showed larger effects in men than in women, and 11 showed opposite effects between sexes. No age-dependent effects were identified for WHRadjBMI. This is the first genome-wide interaction meta-analysis to report convincing evidence of age-dependent genetic effects on BMI. In addition, we confirm the sex-specificity of genetic effects on WHRadjBMI. These results may provide further insights into the biology that underlies weight change with age or the sexually dimorphism of body shape.","author":[{"dropping-particle":"","family":"Winkler","given":"Thomas W.","non-dropping-particle":"","parse-names":false,"suffix":""},{"dropping-particle":"","family":"Justice","given":"Anne E.","non-dropping-particle":"","parse-names":false,"suffix":""},{"dropping-particle":"","family":"Graff","given":"Mariaelisa","non-dropping-particle":"","parse-names":false,"suffix":""},{"dropping-particle":"","family":"Barata","given":"Llilda","non-dropping-particle":"","parse-names":false,"suffix":""},{"dropping-particle":"","family":"Feitosa","given":"Mary F.","non-dropping-particle":"","parse-names":false,"suffix":""},{"dropping-particle":"","family":"Chu","given":"Su","non-dropping-particle":"","parse-names":false,"suffix":""},{"dropping-particle":"","family":"Czajkowski","given":"Jacek","non-dropping-particle":"","parse-names":false,"suffix":""},{"dropping-particle":"","family":"Esko","given":"Tõnu","non-dropping-particle":"","parse-names":false,"suffix":""},{"dropping-particle":"","family":"Fall","given":"Tove","non-dropping-particle":"","parse-names":false,"suffix":""},{"dropping-particle":"","family":"Kilpeläinen","given":"Tuomas O.","non-dropping-particle":"","parse-names":false,"suffix":""},{"dropping-particle":"","family":"Lu","given":"Yingchang","non-dropping-particle":"","parse-names":false,"suffix":""},{"dropping-particle":"","family":"Mägi","given":"Reedik","non-dropping-particle":"","parse-names":false,"suffix":""},{"dropping-particle":"","family":"Mihailov","given":"Evelin","non-dropping-particle":"","parse-names":false,"suffix":""},{"dropping-particle":"","family":"Pers","given":"Tune H.","non-dropping-particle":"","parse-names":false,"suffix":""},{"dropping-particle":"","family":"Rüeger","given":"Sina","non-dropping-particle":"","parse-names":false,"suffix":""},{"dropping-particle":"","family":"Teumer","given":"Alexander","non-dropping-particle":"","parse-names":false,"suffix":""},{"dropping-particle":"","family":"Ehret","given":"Georg B.","non-dropping-particle":"","parse-names":false,"suffix":""},{"dropping-particle":"","family":"Ferreira","given":"Teresa","non-dropping-particle":"","parse-names":false,"suffix":""},{"dropping-particle":"","family":"Heard-Costa","given":"Nancy L.","non-dropping-particle":"","parse-names":false,"suffix":""},{"dropping-particle":"","family":"Karjalainen","given":"Juha","non-dropping-particle":"","parse-names":false,"suffix":""},{"dropping-particle":"","family":"Lagou","given":"Vasiliki","non-dropping-particle":"","parse-names":false,"suffix":""},{"dropping-particle":"","family":"Mahajan","given":"Anubha","non-dropping-particle":"","parse-names":false,"suffix":""},{"dropping-particle":"","family":"Neinast","given":"Michael D.","non-dropping-particle":"","parse-names":false,"suffix":""},{"dropping-particle":"","family":"Prokopenko","given":"Inga","non-dropping-particle":"","parse-names":false,"suffix":""},{"dropping-particle":"","family":"Simino","given":"Jeannette","non-dropping-particle":"","parse-names":false,"suffix":""},{"dropping-particle":"","family":"Teslovich","given":"Tanya M.","non-dropping-particle":"","parse-names":false,"suffix":""},{"dropping-particle":"","family":"Jansen","given":"Rick","non-dropping-particle":"","parse-names":false,"suffix":""},{"dropping-particle":"","family":"Westra","given":"Harm Jan","non-dropping-particle":"","parse-names":false,"suffix":""},{"dropping-particle":"","family":"White","given":"Charles C.","non-dropping-particle":"","parse-names":false,"suffix":""},{"dropping-particle":"","family":"Absher","given":"Devin","non-dropping-particle":"","parse-names":false,"suffix":""},{"dropping-particle":"","family":"Ahluwalia","given":"Tarunveer S.","non-dropping-particle":"","parse-names":false,"suffix":""},{"dropping-particle":"","family":"Ahmad","given":"Shafqat","non-dropping-particle":"","parse-names":false,"suffix":""},{"dropping-particle":"","family":"Albrecht","given":"Eva","non-dropping-particle":"","parse-names":false,"suffix":""},{"dropping-particle":"","family":"Alves","given":"Alexessander Couto","non-dropping-particle":"","parse-names":false,"suffix":""},{"dropping-particle":"","family":"Bragg-Gresham","given":"Jennifer L.","non-dropping-particle":"","parse-names":false,"suffix":""},{"dropping-particle":"","family":"Craen","given":"Anton J.M.","non-dropping-particle":"de","parse-names":false,"suffix":""},{"dropping-particle":"","family":"Bis","given":"Joshua C.","non-dropping-particle":"","parse-names":false,"suffix":""},{"dropping-particle":"","family":"Bonnefond","given":"Amélie","non-dropping-particle":"","parse-names":false,"suffix":""},{"dropping-particle":"","family":"Boucher","given":"Gabrielle","non-dropping-particle":"","parse-names":false,"suffix":""},{"dropping-particle":"","family":"Cadby","given":"Gemma","non-dropping-particle":"","parse-names":false,"suffix":""},{"dropping-particle":"","family":"Cheng","given":"Yu Ching","non-dropping-particle":"","parse-names":false,"suffix":""},{"dropping-particle":"","family":"Chiang","given":"Charleston W.K.","non-dropping-particle":"","parse-names":false,"suffix":""},{"dropping-particle":"","family":"Delgado","given":"Graciela","non-dropping-particle":"","parse-names":false,"suffix":""},{"dropping-particle":"","family":"Demirkan","given":"Ayse","non-dropping-particle":"","parse-names":false,"suffix":""},{"dropping-particle":"","family":"Dueker","given":"Nicole","non-dropping-particle":"","parse-names":false,"suffix":""},{"dropping-particle":"","family":"Eklund","given":"Niina","non-dropping-particle":"","parse-names":false,"suffix":""},{"dropping-particle":"","family":"Eiriksdottir","given":"Gudny","non-dropping-particle":"","parse-names":false,"suffix":""},{"dropping-particle":"","family":"Eriksson","given":"Joel","non-dropping-particle":"","parse-names":false,"suffix":""},{"dropping-particle":"","family":"Feenstra","given":"Bjarke","non-dropping-particle":"","parse-names":false,"suffix":""},{"dropping-particle":"","family":"Fischer","given":"Krista","non-dropping-particle":"","parse-names":false,"suffix":""},{"dropping-particle":"","family":"Frau","given":"Francesca","non-dropping-particle":"","parse-names":false,"suffix":""},{"dropping-particle":"","family":"Galesloot","given":"Tessel E.","non-dropping-particle":"","parse-names":false,"suffix":""},{"dropping-particle":"","family":"Geller","given":"Frank","non-dropping-particle":"","parse-names":false,"suffix":""},{"dropping-particle":"","family":"Goel","given":"Anuj","non-dropping-particle":"","parse-names":false,"suffix":""},{"dropping-particle":"","family":"Gorski","given":"Mathias","non-dropping-particle":"","parse-names":false,"suffix":""},{"dropping-particle":"","family":"Grammer","given":"Tanja B.","non-dropping-particle":"","parse-names":false,"suffix":""},{"dropping-particle":"","family":"Gustafsson","given":"Stefan","non-dropping-particle":"","parse-names":false,"suffix":""},{"dropping-particle":"","family":"Haitjema","given":"Saskia","non-dropping-particle":"","parse-names":false,"suffix":""},{"dropping-particle":"","family":"Hottenga","given":"Jouke Jan","non-dropping-particle":"","parse-names":false,"suffix":""},{"dropping-particle":"","family":"Huffman","given":"Jennifer E.","non-dropping-particle":"","parse-names":false,"suffix":""},{"dropping-particle":"","family":"Jackson","given":"Anne U.","non-dropping-particle":"","parse-names":false,"suffix":""},{"dropping-particle":"","family":"Jacobs","given":"Kevin B.","non-dropping-particle":"","parse-names":false,"suffix":""},{"dropping-particle":"","family":"Johansson","given":"Åsa","non-dropping-particle":"","parse-names":false,"suffix":""},{"dropping-particle":"","family":"Kaakinen","given":"Marika","non-dropping-particle":"","parse-names":false,"suffix":""},{"dropping-particle":"","family":"Kleber","given":"Marcus E.","non-dropping-particle":"","parse-names":false,"suffix":""},{"dropping-particle":"","family":"Lahti","given":"Jari","non-dropping-particle":"","parse-names":false,"suffix":""},{"dropping-particle":"","family":"Leach","given":"Irene Mateo","non-dropping-particle":"","parse-names":false,"suffix":""},{"dropping-particle":"","family":"Lehne","given":"Benjamin","non-dropping-particle":"","parse-names":false,"suffix":""},{"dropping-particle":"","family":"Liu","given":"Youfang","non-dropping-particle":"","parse-names":false,"suffix":""},{"dropping-particle":"","family":"Lo","given":"Ken Sin","non-dropping-particle":"","parse-names":false,"suffix":""},{"dropping-particle":"","family":"Lorentzon","given":"Mattias","non-dropping-particle":"","parse-names":false,"suffix":""},{"dropping-particle":"","family":"Luan","given":"Jian'an","non-dropping-particle":"","parse-names":false,"suffix":""},{"dropping-particle":"","family":"Madden","given":"Pamela A.F.","non-dropping-particle":"","parse-names":false,"suffix":""},{"dropping-particle":"","family":"Mangino","given":"Massimo","non-dropping-particle":"","parse-names":false,"suffix":""},{"dropping-particle":"","family":"McKnight","given":"Barbara","non-dropping-particle":"","parse-names":false,"suffix":""},{"dropping-particle":"","family":"Medina-Gomez","given":"Carolina","non-dropping-particle":"","parse-names":false,"suffix":""},{"dropping-particle":"","family":"Monda","given":"Keri L.","non-dropping-particle":"","parse-names":false,"suffix":""},{"dropping-particle":"","family":"Montasser","given":"May E.","non-dropping-particle":"","parse-names":false,"suffix":""},{"dropping-particle":"","family":"Müller","given":"Gabriele","non-dropping-particle":"","parse-names":false,"suffix":""},{"dropping-particle":"","family":"Müller-Nurasyid","given":"Martina","non-dropping-particle":"","parse-names":false,"suffix":""},{"dropping-particle":"","family":"Nolte","given":"Ilja M.","non-dropping-particle":"","parse-names":false,"suffix":""},{"dropping-particle":"","family":"Panoutsopoulou","given":"Kalliope","non-dropping-particle":"","parse-names":false,"suffix":""},{"dropping-particle":"","family":"Pascoe","given":"Laura","non-dropping-particle":"","parse-names":false,"suffix":""},{"dropping-particle":"","family":"Paternoster","given":"Lavinia","non-dropping-particle":"","parse-names":false,"suffix":""},{"dropping-particle":"","family":"Rayner","given":"Nigel W.","non-dropping-particle":"","parse-names":false,"suffix":""},{"dropping-particle":"","family":"Renström","given":"Frida","non-dropping-particle":"","parse-names":false,"suffix":""},{"dropping-particle":"","family":"Rizzi","given":"Federica","non-dropping-particle":"","parse-names":false,"suffix":""},{"dropping-particle":"","family":"Rose","given":"Lynda M.","non-dropping-particle":"","parse-names":false,"suffix":""},{"dropping-particle":"","family":"Ryan","given":"Kathy A.","non-dropping-particle":"","parse-names":false,"suffix":""},{"dropping-particle":"","family":"Salo","given":"Perttu","non-dropping-particle":"","parse-names":false,"suffix":""},{"dropping-particle":"","family":"Sanna","given":"Serena","non-dropping-particle":"","parse-names":false,"suffix":""},{"dropping-particle":"","family":"Scharnagl","given":"Hubert","non-dropping-particle":"","parse-names":false,"suffix":""},{"dropping-particle":"","family":"Shi","given":"Jianxin","non-dropping-particle":"","parse-names":false,"suffix":""},{"dropping-particle":"","family":"Smith","given":"Albert Vernon","non-dropping-particle":"","parse-names":false,"suffix":""},{"dropping-particle":"","family":"Southam","given":"Lorraine","non-dropping-particle":"","parse-names":false,"suffix":""},{"dropping-particle":"","family":"Stančáková","given":"Alena","non-dropping-particle":"","parse-names":false,"suffix":""},{"dropping-particle":"","family":"Steinthorsdottir","given":"Valgerdur","non-dropping-particle":"","parse-names":false,"suffix":""},{"dropping-particle":"","family":"Strawbridge","given":"Rona J.","non-dropping-particle":"","parse-names":false,"suffix":""},{"dropping-particle":"","family":"Sung","given":"Yun Ju","non-dropping-particle":"","parse-names":false,"suffix":""},{"dropping-particle":"","family":"Tachmazidou","given":"Ioanna","non-dropping-particle":"","parse-names":false,"suffix":""},{"dropping-particle":"","family":"Tanaka","given":"Toshiko","non-dropping-particle":"","parse-names":false,"suffix":""},{"dropping-particle":"","family":"Thorleifsson","given":"Gudmar","non-dropping-particle":"","parse-names":false,"suffix":""},{"dropping-particle":"","family":"Trompet","given":"Stella","non-dropping-particle":"","parse-names":false,"suffix":""},{"dropping-particle":"","family":"Pervjakova","given":"Natalia","non-dropping-particle":"","parse-names":false,"suffix":""},{"dropping-particle":"","family":"Tyrer","given":"Jonathan P.","non-dropping-particle":"","parse-names":false,"suffix":""},{"dropping-particle":"","family":"Vandenput","given":"Liesbeth","non-dropping-particle":"","parse-names":false,"suffix":""},{"dropping-particle":"","family":"Laan","given":"Sander W.","non-dropping-particle":"van der","parse-names":false,"suffix":""},{"dropping-particle":"","family":"Velde","given":"Nathalie","non-dropping-particle":"van der","parse-names":false,"suffix":""},{"dropping-particle":"","family":"Setten","given":"Jessica","non-dropping-particle":"van","parse-names":false,"suffix":""},{"dropping-particle":"V.","family":"Vliet-Ostaptchouk","given":"Jana","non-dropping-particle":"van","parse-names":false,"suffix":""},{"dropping-particle":"","family":"Verweij","given":"Niek","non-dropping-particle":"","parse-names":false,"suffix":""},{"dropping-particle":"","family":"Vlachopoulou","given":"Efthymia","non-dropping-particle":"","parse-names":false,"suffix":""},{"dropping-particle":"","family":"Waite","given":"Lindsay L.","non-dropping-particle":"","parse-names":false,"suffix":""},{"dropping-particle":"","family":"Wang","given":"Sophie R.","non-dropping-particle":"","parse-names":false,"suffix":""},{"dropping-particle":"","family":"Wang","given":"Zhaoming","non-dropping-particle":"","parse-names":false,"suffix":""},{"dropping-particle":"","family":"Wild","given":"Sarah H.","non-dropping-particle":"","parse-names":false,"suffix":""},{"dropping-particle":"","family":"Willenborg","given":"Christina","non-dropping-particle":"","parse-names":false,"suffix":""},{"dropping-particle":"","family":"Wilson","given":"James F.","non-dropping-particle":"","parse-names":false,"suffix":""},{"dropping-particle":"","family":"Wong","given":"Andrew","non-dropping-particle":"","parse-names":false,"suffix":""},{"dropping-particle":"","family":"Yang","given":"Jian","non-dropping-particle":"","parse-names":false,"suffix":""},{"dropping-particle":"","family":"Yengo","given":"Loïc","non-dropping-particle":"","parse-names":false,"suffix":""},{"dropping-particle":"","family":"Yerges-Armstrong","given":"Laura M.","non-dropping-particle":"","parse-names":false,"suffix":""},{"dropping-particle":"","family":"Yu","given":"Lei","non-dropping-particle":"","parse-names":false,"suffix":""},{"dropping-particle":"","family":"Zhang","given":"Weihua","non-dropping-particle":"","parse-names":false,"suffix":""},{"dropping-particle":"","family":"Zhao","given":"Jing Hua","non-dropping-particle":"","parse-names":false,"suffix":""},{"dropping-particle":"","family":"Andersson","given":"Ehm A.","non-dropping-particle":"","parse-names":false,"suffix":""},{"dropping-particle":"","family":"Bakker","given":"Stephan J.L.","non-dropping-particle":"","parse-names":false,"suffix":""},{"dropping-particle":"","family":"Baldassarre","given":"Damiano","non-dropping-particle":"","parse-names":false,"suffix":""},{"dropping-particle":"","family":"Banasik","given":"Karina","non-dropping-particle":"","parse-names":false,"suffix":""},{"dropping-particle":"","family":"Barcella","given":"Matteo","non-dropping-particle":"","parse-names":false,"suffix":""},{"dropping-particle":"","family":"Barlassina","given":"Cristina","non-dropping-particle":"","parse-names":false,"suffix":""},{"dropping-particle":"","family":"Bellis","given":"Claire","non-dropping-particle":"","parse-names":false,"suffix":""},{"dropping-particle":"","family":"Benaglio","given":"Paola","non-dropping-particle":"","parse-names":false,"suffix":""},{"dropping-particle":"","family":"Blangero","given":"John","non-dropping-particle":"","parse-names":false,"suffix":""},{"dropping-particle":"","family":"Blüher","given":"Matthias","non-dropping-particle":"","parse-names":false,"suffix":""},{"dropping-particle":"","family":"Bonnet","given":"Fabrice","non-dropping-particle":"","parse-names":false,"suffix":""},{"dropping-particle":"","family":"Bonnycastle","given":"Lori L.","non-dropping-particle":"","parse-names":false,"suffix":""},{"dropping-particle":"","family":"Boyd","given":"Heather A.","non-dropping-particle":"","parse-names":false,"suffix":""},{"dropping-particle":"","family":"Bruinenberg","given":"Marcel","non-dropping-particle":"","parse-names":false,"suffix":""},{"dropping-particle":"","family":"Buchman","given":"Aron S.","non-dropping-particle":"","parse-names":false,"suffix":""},{"dropping-particle":"","family":"Campbell","given":"Harry","non-dropping-particle":"","parse-names":false,"suffix":""},{"dropping-particle":"","family":"Chen","given":"Yii Der Ida","non-dropping-particle":"","parse-names":false,"suffix":""},{"dropping-particle":"","family":"Chines","given":"Peter S.","non-dropping-particle":"","parse-names":false,"suffix":""},{"dropping-particle":"","family":"Claudi-Boehm","given":"Simone","non-dropping-particle":"","parse-names":false,"suffix":""},{"dropping-particle":"","family":"Cole","given":"John","non-dropping-particle":"","parse-names":false,"suffix":""},{"dropping-particle":"","family":"Collins","given":"Francis S.","non-dropping-particle":"","parse-names":false,"suffix":""},{"dropping-particle":"","family":"Geus","given":"Eco J.C.","non-dropping-particle":"de","parse-names":false,"suffix":""},{"dropping-particle":"","family":"Groot","given":"Lisette C.P.G.M.","non-dropping-particle":"de","parse-names":false,"suffix":""},{"dropping-particle":"","family":"Dimitriou","given":"Maria","non-dropping-particle":"","parse-names":false,"suffix":""},{"dropping-particle":"","family":"Duan","given":"Jubao","non-dropping-particle":"","parse-names":false,"suffix":""},{"dropping-particle":"","family":"Enroth","given":"Stefan","non-dropping-particle":"","parse-names":false,"suffix":""},{"dropping-particle":"","family":"Eury","given":"Elodie","non-dropping-particle":"","parse-names":false,"suffix":""},{"dropping-particle":"","family":"Farmaki","given":"Aliki Eleni","non-dropping-particle":"","parse-names":false,"suffix":""},{"dropping-particle":"","family":"Forouhi","given":"Nita G.","non-dropping-particle":"","parse-names":false,"suffix":""},{"dropping-particle":"","family":"Friedrich","given":"Nele","non-dropping-particle":"","parse-names":false,"suffix":""},{"dropping-particle":"V.","family":"Gejman","given":"Pablo","non-dropping-particle":"","parse-names":false,"suffix":""},{"dropping-particle":"","family":"Gigante","given":"Bruna","non-dropping-particle":"","parse-names":false,"suffix":""},{"dropping-particle":"","family":"Glorioso","given":"Nicola","non-dropping-particle":"","parse-names":false,"suffix":""},{"dropping-particle":"","family":"Go","given":"Alan S.","non-dropping-particle":"","parse-names":false,"suffix":""},{"dropping-particle":"","family":"Gottesman","given":"Omri","non-dropping-particle":"","parse-names":false,"suffix":""},{"dropping-particle":"","family":"Gräßler","given":"Jürgen","non-dropping-particle":"","parse-names":false,"suffix":""},{"dropping-particle":"","family":"Grallert","given":"Harald","non-dropping-particle":"","parse-names":false,"suffix":""},{"dropping-particle":"","family":"Grarup","given":"Niels","non-dropping-particle":"","parse-names":false,"suffix":""},{"dropping-particle":"","family":"Gu","given":"Yu Mei","non-dropping-particle":"","parse-names":false,"suffix":""},{"dropping-particle":"","family":"Broer","given":"Linda","non-dropping-particle":"","parse-names":false,"suffix":""},{"dropping-particle":"","family":"Ham","given":"Annelies C.","non-dropping-particle":"","parse-names":false,"suffix":""},{"dropping-particle":"","family":"Hansen","given":"Torben","non-dropping-particle":"","parse-names":false,"suffix":""},{"dropping-particle":"","family":"Harris","given":"Tamara B.","non-dropping-particle":"","parse-names":false,"suffix":""},{"dropping-particle":"","family":"Hartman","given":"Catharina A.","non-dropping-particle":"","parse-names":false,"suffix":""},{"dropping-particle":"","family":"Hassinen","given":"Maija","non-dropping-particle":"","parse-names":false,"suffix":""},{"dropping-particle":"","family":"Hastie","given":"Nicholas","non-dropping-particle":"","parse-names":false,"suffix":""},{"dropping-particle":"","family":"Hattersley","given":"Andrew T.","non-dropping-particle":"","parse-names":false,"suffix":""},{"dropping-particle":"","family":"Heath","given":"Andrew C.","non-dropping-particle":"","parse-names":false,"suffix":""},{"dropping-particle":"","family":"Henders","given":"Anjali K.","non-dropping-particle":"","parse-names":false,"suffix":""},{"dropping-particle":"","family":"Hernandez","given":"Dena","non-dropping-particle":"","parse-names":false,"suffix":""},{"dropping-particle":"","family":"Hillege","given":"Hans","non-dropping-particle":"","parse-names":false,"suffix":""},{"dropping-particle":"","family":"Holmen","given":"Oddgeir","non-dropping-particle":"","parse-names":false,"suffix":""},{"dropping-particle":"","family":"Hovingh","given":"Kees G.","non-dropping-particle":"","parse-names":false,"suffix":""},{"dropping-particle":"","family":"Hui","given":"Jennie","non-dropping-particle":"","parse-names":false,"suffix":""},{"dropping-particle":"","family":"Husemoen","given":"Lise L.","non-dropping-particle":"","parse-names":false,"suffix":""},{"dropping-particle":"","family":"Hutri-Kähönen","given":"Nina","non-dropping-particle":"","parse-names":false,"suffix":""},{"dropping-particle":"","family":"Hysi","given":"Pirro G.","non-dropping-particle":"","parse-names":false,"suffix":""},{"dropping-particle":"","family":"Illig","given":"Thomas","non-dropping-particle":"","parse-names":false,"suffix":""},{"dropping-particle":"","family":"Jager","given":"Philip L.","non-dropping-particle":"De","parse-names":false,"suffix":""},{"dropping-particle":"","family":"Jalilzadeh","given":"Shapour","non-dropping-particle":"","parse-names":false,"suffix":""},{"dropping-particle":"","family":"Jørgensen","given":"Torben","non-dropping-particle":"","parse-names":false,"suffix":""},{"dropping-particle":"","family":"Jukema","given":"J. Wouter","non-dropping-particle":"","parse-names":false,"suffix":""},{"dropping-particle":"","family":"Juonala","given":"Markus","non-dropping-particle":"","parse-names":false,"suffix":""},{"dropping-particle":"","family":"Kanoni","given":"Stavroula","non-dropping-particle":"","parse-names":false,"suffix":""},{"dropping-particle":"","family":"Karaleftheri","given":"Maria","non-dropping-particle":"","parse-names":false,"suffix":""},{"dropping-particle":"","family":"Khaw","given":"Kay Tee","non-dropping-particle":"","parse-names":false,"suffix":""},{"dropping-particle":"","family":"Kinnunen","given":"Leena","non-dropping-particle":"","parse-names":false,"suffix":""},{"dropping-particle":"","family":"Kittner","given":"Steven J.","non-dropping-particle":"","parse-names":false,"suffix":""},{"dropping-particle":"","family":"Koenig","given":"Wolfgang","non-dropping-particle":"","parse-names":false,"suffix":""},{"dropping-particle":"","family":"Kolcic","given":"Ivana","non-dropping-particle":"","parse-names":false,"suffix":""},{"dropping-particle":"","family":"Kovacs","given":"Peter","non-dropping-particle":"","parse-names":false,"suffix":""},{"dropping-particle":"","family":"Krarup","given":"Nikolaj T.","non-dropping-particle":"","parse-names":false,"suffix":""},{"dropping-particle":"","family":"Kratzer","given":"Wolfgang","non-dropping-particle":"","parse-names":false,"suffix":""},{"dropping-particle":"","family":"Krüger","given":"Janine","non-dropping-particle":"","parse-names":false,"suffix":""},{"dropping-particle":"","family":"Kuh","given":"Diana","non-dropping-particle":"","parse-names":false,"suffix":""},{"dropping-particle":"","family":"Kumari","given":"Meena","non-dropping-particle":"","parse-names":false,"suffix":""},{"dropping-particle":"","family":"Kyriakou","given":"Theodosios","non-dropping-particle":"","parse-names":false,"suffix":""},{"dropping-particle":"","family":"Langenberg","given":"Claudia","non-dropping-particle":"","parse-names":false,"suffix":""},{"dropping-particle":"","family":"Lannfelt","given":"Lars","non-dropping-particle":"","parse-names":false,"suffix":""},{"dropping-particle":"","family":"Lanzani","given":"Chiara","non-dropping-particle":"","parse-names":false,"suffix":""},{"dropping-particle":"","family":"Lotay","given":"Vaneet","non-dropping-particle":"","parse-names":false,"suffix":""},{"dropping-particle":"","family":"Launer","given":"Lenore J.","non-dropping-particle":"","parse-names":false,"suffix":""},{"dropping-particle":"","family":"Leander","given":"Karin","non-dropping-particle":"","parse-names":false,"suffix":""},{"dropping-particle":"","family":"Lindström","given":"Jaana","non-dropping-particle":"","parse-names":false,"suffix":""},{"dropping-particle":"","family":"Linneberg","given":"Allan","non-dropping-particle":"","parse-names":false,"suffix":""},{"dropping-particle":"","family":"Liu","given":"Yan Ping","non-dropping-particle":"","parse-names":false,"suffix":""},{"dropping-particle":"","family":"Lobbens","given":"Stéphane","non-dropping-particle":"","parse-names":false,"suffix":""},{"dropping-particle":"","family":"Luben","given":"Robert","non-dropping-particle":"","parse-names":false,"suffix":""},{"dropping-particle":"","family":"Lyssenko","given":"Valeriya","non-dropping-particle":"","parse-names":false,"suffix":""},{"dropping-particle":"","family":"Männistö","given":"Satu","non-dropping-particle":"","parse-names":false,"suffix":""},{"dropping-particle":"","family":"Magnusson","given":"Patrik K.","non-dropping-particle":"","parse-names":false,"suffix":""},{"dropping-particle":"","family":"McArdle","given":"Wendy L.","non-dropping-particle":"","parse-names":false,"suffix":""},{"dropping-particle":"","family":"Menni","given":"Cristina","non-dropping-particle":"","parse-names":false,"suffix":""},{"dropping-particle":"","family":"Merger","given":"Sigrun","non-dropping-particle":"","parse-names":false,"suffix":""},{"dropping-particle":"","family":"Milani","given":"Lili","non-dropping-particle":"","parse-names":false,"suffix":""},{"dropping-particle":"","family":"Montgomery","given":"Grant W.","non-dropping-particle":"","parse-names":false,"suffix":""},{"dropping-particle":"","family":"Morris","given":"Andrew P.","non-dropping-particle":"","parse-names":false,"suffix":""},{"dropping-particle":"","family":"Narisu","given":"Narisu","non-dropping-particle":"","parse-names":false,"suffix":""},{"dropping-particle":"","family":"Nelis","given":"Mari","non-dropping-particle":"","parse-names":false,"suffix":""},{"dropping-particle":"","family":"Ong","given":"Ken K.","non-dropping-particle":"","parse-names":false,"suffix":""},{"dropping-particle":"","family":"Palotie","given":"Aarno","non-dropping-particle":"","parse-names":false,"suffix":""},{"dropping-particle":"","family":"Pérusse","given":"Louis","non-dropping-particle":"","parse-names":false,"suffix":""},{"dropping-particle":"","family":"Pichler","given":"Irene","non-dropping-particle":"","parse-names":false,"suffix":""},{"dropping-particle":"","family":"Pilia","given":"Maria G.","non-dropping-particle":"","parse-names":false,"suffix":""},{"dropping-particle":"","family":"Pouta","given":"Anneli","non-dropping-particle":"","parse-names":false,"suffix":""},{"dropping-particle":"","family":"Rheinberger","given":"Myriam","non-dropping-particle":"","parse-names":false,"suffix":""},{"dropping-particle":"","family":"Ribel-Madsen","given":"Rasmus","non-dropping-particle":"","parse-names":false,"suffix":""},{"dropping-particle":"","family":"Richards","given":"Marcus","non-dropping-particle":"","parse-names":false,"suffix":""},{"dropping-particle":"","family":"Rice","given":"Kenneth M.","non-dropping-particle":"","parse-names":false,"suffix":""},{"dropping-particle":"","family":"Rice","given":"Treva K.","non-dropping-particle":"","parse-names":false,"suffix":""},{"dropping-particle":"","family":"Rivolta","given":"Carlo","non-dropping-particle":"","parse-names":false,"suffix":""},{"dropping-particle":"","family":"Salomaa","given":"Veikko","non-dropping-particle":"","parse-names":false,"suffix":""},{"dropping-particle":"","family":"Sanders","given":"Alan R.","non-dropping-particle":"","parse-names":false,"suffix":""},{"dropping-particle":"","family":"Sarzynski","given":"Mark A.","non-dropping-particle":"","parse-names":false,"suffix":""},{"dropping-particle":"","family":"Scholtens","given":"Salome","non-dropping-particle":"","parse-names":false,"suffix":""},{"dropping-particle":"","family":"Scott","given":"Robert A.","non-dropping-particle":"","parse-names":false,"suffix":""},{"dropping-particle":"","family":"Scott","given":"William R.","non-dropping-particle":"","parse-names":false,"suffix":""},{"dropping-particle":"","family":"Sebert","given":"Sylvain","non-dropping-particle":"","parse-names":false,"suffix":""},{"dropping-particle":"","family":"Sengupta","given":"Sebanti","non-dropping-particle":"","parse-names":false,"suffix":""},{"dropping-particle":"","family":"Sennblad","given":"Bengt","non-dropping-particle":"","parse-names":false,"suffix":""},{"dropping-particle":"","family":"Seufferlein","given":"Thomas","non-dropping-particle":"","parse-names":false,"suffix":""},{"dropping-particle":"","family":"Silveira","given":"Angela","non-dropping-particle":"","parse-names":false,"suffix":""},{"dropping-particle":"","family":"Slagboom","given":"P. Eline","non-dropping-particle":"","parse-names":false,"suffix":""},{"dropping-particle":"","family":"Smit","given":"Jan H.","non-dropping-particle":"","parse-names":false,"suffix":""},{"dropping-particle":"","family":"Sparsø","given":"Thomas H.","non-dropping-particle":"","parse-names":false,"suffix":""},{"dropping-particle":"","family":"Stirrups","given":"Kathleen","non-dropping-particle":"","parse-names":false,"suffix":""},{"dropping-particle":"","family":"Stolk","given":"Ronald P.","non-dropping-particle":"","parse-names":false,"suffix":""},{"dropping-particle":"","family":"Stringham","given":"Heather M.","non-dropping-particle":"","parse-names":false,"suffix":""},{"dropping-particle":"","family":"Swertz","given":"Morris A.","non-dropping-particle":"","parse-names":false,"suffix":""},{"dropping-particle":"","family":"Swift","given":"Amy J.","non-dropping-particle":"","parse-names":false,"suffix":""},{"dropping-particle":"","family":"Syvänen","given":"Ann Christine","non-dropping-particle":"","parse-names":false,"suffix":""},{"dropping-particle":"","family":"Tan","given":"Sian Tsung","non-dropping-particle":"","parse-names":false,"suffix":""},{"dropping-particle":"","family":"Thorand","given":"Barbara","non-dropping-particle":"","parse-names":false,"suffix":""},{"dropping-particle":"","family":"Tönjes","given":"Anke","non-dropping-particle":"","parse-names":false,"suffix":""},{"dropping-particle":"","family":"Tremblay","given":"Angelo","non-dropping-particle":"","parse-names":false,"suffix":""},{"dropping-particle":"","family":"Tsafantakis","given":"Emmanouil","non-dropping-particle":"","parse-names":false,"suffix":""},{"dropping-particle":"","family":"Most","given":"Peter J.","non-dropping-particle":"van der","parse-names":false,"suffix":""},{"dropping-particle":"","family":"Völker","given":"Uwe","non-dropping-particle":"","parse-names":false,"suffix":""},{"dropping-particle":"","family":"Vohl","given":"Marie Claude","non-dropping-particle":"","parse-names":false,"suffix":""},{"dropping-particle":"","family":"Vonk","given":"Judith M.","non-dropping-particle":"","parse-names":false,"suffix":""},{"dropping-particle":"","family":"Waldenberger","given":"Melanie","non-dropping-particle":"","parse-names":false,"suffix":""},{"dropping-particle":"","family":"Walker","given":"Ryan W.","non-dropping-particle":"","parse-names":false,"suffix":""},{"dropping-particle":"","family":"Wennauer","given":"Roman","non-dropping-particle":"","parse-names":false,"suffix":""},{"dropping-particle":"","family":"Widén","given":"Elisabeth","non-dropping-particle":"","parse-names":false,"suffix":""},{"dropping-particle":"","family":"Willemsen","given":"Gonneke","non-dropping-particle":"","parse-names":false,"suffix":""},{"dropping-particle":"","family":"Wilsgaard","given":"Tom","non-dropping-particle":"","parse-names":false,"suffix":""},{"dropping-particle":"","family":"Wright","given":"Alan F.","non-dropping-particle":"","parse-names":false,"suffix":""},{"dropping-particle":"","family":"Zillikens","given":"M. Carola","non-dropping-particle":"","parse-names":false,"suffix":""},{"dropping-particle":"","family":"Dijk","given":"Suzanne C.","non-dropping-particle":"van","parse-names":false,"suffix":""},{"dropping-particle":"","family":"Schoor","given":"Natasja M.","non-dropping-particle":"van","parse-names":false,"suffix":""},{"dropping-particle":"","family":"Asselbergs","given":"Folkert W.","non-dropping-particle":"","parse-names":false,"suffix":""},{"dropping-particle":"","family":"Bakker","given":"Paul I.W.","non-dropping-particle":"de","parse-names":false,"suffix":""},{"dropping-particle":"","family":"Beckmann","given":"Jacques S.","non-dropping-particle":"","parse-names":false,"suffix":""},{"dropping-particle":"","family":"Beilby","given":"John","non-dropping-particle":"","parse-names":false,"suffix":""},{"dropping-particle":"","family":"Bennett","given":"David A.","non-dropping-particle":"","parse-names":false,"suffix":""},{"dropping-particle":"","family":"Bergman","given":"Richard N.","non-dropping-particle":"","parse-names":false,"suffix":""},{"dropping-particle":"","family":"Bergmann","given":"Sven","non-dropping-particle":"","parse-names":false,"suffix":""},{"dropping-particle":"","family":"Böger","given":"Carsten A.","non-dropping-particle":"","parse-names":false,"suffix":""},{"dropping-particle":"","family":"Boehm","given":"Bernhard O.","non-dropping-particle":"","parse-names":false,"suffix":""},{"dropping-particle":"","family":"Boerwinkle","given":"Eric","non-dropping-particle":"","parse-names":false,"suffix":""},{"dropping-particle":"","family":"Boomsma","given":"Dorret I.","non-dropping-particle":"","parse-names":false,"suffix":""},{"dropping-particle":"","family":"Bornstein","given":"Stefan R.","non-dropping-particle":"","parse-names":false,"suffix":""},{"dropping-particle":"","family":"Bottinger","given":"Erwin P.","non-dropping-particle":"","parse-names":false,"suffix":""},{"dropping-particle":"","family":"Bouchard","given":"Claude","non-dropping-particle":"","parse-names":false,"suffix":""},{"dropping-particle":"","family":"Chambers","given":"John C.","non-dropping-particle":"","parse-names":false,"suffix":""},{"dropping-particle":"","family":"Chanock","given":"Stephen J.","non-dropping-particle":"","parse-names":false,"suffix":""},{"dropping-particle":"","family":"Chasman","given":"Daniel I.","non-dropping-particle":"","parse-names":false,"suffix":""},{"dropping-particle":"","family":"Cucca","given":"Francesco","non-dropping-particle":"","parse-names":false,"suffix":""},{"dropping-particle":"","family":"Cusi","given":"Daniele","non-dropping-particle":"","parse-names":false,"suffix":""},{"dropping-particle":"","family":"Dedoussis","given":"George","non-dropping-particle":"","parse-names":false,"suffix":""},{"dropping-particle":"","family":"Erdmann","given":"Jeanette","non-dropping-particle":"","parse-names":false,"suffix":""},{"dropping-particle":"","family":"Eriksson","given":"Johan G.","non-dropping-particle":"","parse-names":false,"suffix":""},{"dropping-particle":"","family":"Evans","given":"Denis A.","non-dropping-particle":"","parse-names":false,"suffix":""},{"dropping-particle":"","family":"Faire","given":"Ulf","non-dropping-particle":"de","parse-names":false,"suffix":""},{"dropping-particle":"","family":"Farrall","given":"Martin","non-dropping-particle":"","parse-names":false,"suffix":""},{"dropping-particle":"","family":"Ferrucci","given":"Luigi","non-dropping-particle":"","parse-names":false,"suffix":""},{"dropping-particle":"","family":"Ford","given":"Ian","non-dropping-particle":"","parse-names":false,"suffix":""},{"dropping-particle":"","family":"Franke","given":"Lude","non-dropping-particle":"","parse-names":false,"suffix":""},{"dropping-particle":"","family":"Franks","given":"Paul W.","non-dropping-particle":"","parse-names":false,"suffix":""},{"dropping-particle":"","family":"Froguel","given":"Philippe","non-dropping-particle":"","parse-names":false,"suffix":""},{"dropping-particle":"","family":"Gansevoort","given":"Ron T.","non-dropping-particle":"","parse-names":false,"suffix":""},{"dropping-particle":"","family":"Gieger","given":"Christian","non-dropping-particle":"","parse-names":false,"suffix":""},{"dropping-particle":"","family":"Grönberg","given":"Henrik","non-dropping-particle":"","parse-names":false,"suffix":""},{"dropping-particle":"","family":"Gudnason","given":"Vilmundur","non-dropping-particle":"","parse-names":false,"suffix":""},{"dropping-particle":"","family":"Gyllensten","given":"Ulf","non-dropping-particle":"","parse-names":false,"suffix":""},{"dropping-particle":"","family":"Hall","given":"Per","non-dropping-particle":"","parse-names":false,"suffix":""},{"dropping-particle":"","family":"Hamsten","given":"Anders","non-dropping-particle":"","parse-names":false,"suffix":""},{"dropping-particle":"","family":"Harst","given":"Pim","non-dropping-particle":"van der","parse-names":false,"suffix":""},{"dropping-particle":"","family":"Hayward","given":"Caroline","non-dropping-particle":"","parse-names":false,"suffix":""},{"dropping-particle":"","family":"Heliövaara","given":"Markku","non-dropping-particle":"","parse-names":false,"suffix":""},{"dropping-particle":"","family":"Hengstenberg","given":"Christian","non-dropping-particle":"","parse-names":false,"suffix":""},{"dropping-particle":"","family":"Hicks","given":"Andrew A.","non-dropping-particle":"","parse-names":false,"suffix":""},{"dropping-particle":"","family":"Hingorani","given":"Aroon","non-dropping-particle":"","parse-names":false,"suffix":""},{"dropping-particle":"","family":"Hofman","given":"Albert","non-dropping-particle":"","parse-names":false,"suffix":""},{"dropping-particle":"","family":"Hu","given":"Frank","non-dropping-particle":"","parse-names":false,"suffix":""},{"dropping-particle":"V.","family":"Huikuri","given":"Heikki","non-dropping-particle":"","parse-names":false,"suffix":""},{"dropping-particle":"","family":"Hveem","given":"Kristian","non-dropping-particle":"","parse-names":false,"suffix":""},{"dropping-particle":"","family":"James","given":"Alan L.","non-dropping-particle":"","parse-names":false,"suffix":""},{"dropping-particle":"","family":"Jordan","given":"Joanne M.","non-dropping-particle":"","parse-names":false,"suffix":""},{"dropping-particle":"","family":"Jula","given":"Antti","non-dropping-particle":"","parse-names":false,"suffix":""},{"dropping-particle":"","family":"Kähönen","given":"Mika","non-dropping-particle":"","parse-names":false,"suffix":""},{"dropping-particle":"","family":"Kajantie","given":"Eero","non-dropping-particle":"","parse-names":false,"suffix":""},{"dropping-particle":"","family":"Kathiresan","given":"Sekar","non-dropping-particle":"","parse-names":false,"suffix":""},{"dropping-particle":"","family":"Kiemeney","given":"Lambertus A.L.M.","non-dropping-particle":"","parse-names":false,"suffix":""},{"dropping-particle":"","family":"Kivimaki","given":"Mika","non-dropping-particle":"","parse-names":false,"suffix":""},{"dropping-particle":"","family":"Knekt","given":"Paul B.","non-dropping-particle":"","parse-names":false,"suffix":""},{"dropping-particle":"","family":"Koistinen","given":"Heikki A.","non-dropping-particle":"","parse-names":false,"suffix":""},{"dropping-particle":"","family":"Kooner","given":"Jaspal S.","non-dropping-particle":"","parse-names":false,"suffix":""},{"dropping-particle":"","family":"Koskinen","given":"Seppo","non-dropping-particle":"","parse-names":false,"suffix":""},{"dropping-particle":"","family":"Kuusisto","given":"Johanna","non-dropping-particle":"","parse-names":false,"suffix":""},{"dropping-particle":"","family":"Maerz","given":"Winfried","non-dropping-particle":"","parse-names":false,"suffix":""},{"dropping-particle":"","family":"Martin","given":"Nicholas G.","non-dropping-particle":"","parse-names":false,"suffix":""},{"dropping-particle":"","family":"Laakso","given":"Markku","non-dropping-particle":"","parse-names":false,"suffix":""},{"dropping-particle":"","family":"Lakka","given":"Timo A.","non-dropping-particle":"","parse-names":false,"suffix":""},{"dropping-particle":"","family":"Lehtimäki","given":"Terho","non-dropping-particle":"","parse-names":false,"suffix":""},{"dropping-particle":"","family":"Lettre","given":"Guillaume","non-dropping-particle":"","parse-names":false,"suffix":""},{"dropping-particle":"","family":"Levinson","given":"Douglas F.","non-dropping-particle":"","parse-names":false,"suffix":""},{"dropping-particle":"","family":"Lind","given":"Lars","non-dropping-particle":"","parse-names":false,"suffix":""},{"dropping-particle":"","family":"Lokki","given":"Marja Liisa","non-dropping-particle":"","parse-names":false,"suffix":""},{"dropping-particle":"","family":"Mäntyselkä","given":"Pekka","non-dropping-particle":"","parse-names":false,"suffix":""},{"dropping-particle":"","family":"Melbye","given":"Mads","non-dropping-particle":"","parse-names":false,"suffix":""},{"dropping-particle":"","family":"Metspalu","given":"Andres","non-dropping-particle":"","parse-names":false,"suffix":""},{"dropping-particle":"","family":"Mitchell","given":"Braxton D.","non-dropping-particle":"","parse-names":false,"suffix":""},{"dropping-particle":"","family":"Moll","given":"Frans L.","non-dropping-particle":"","parse-names":false,"suffix":""},{"dropping-particle":"","family":"Murray","given":"Jeffrey C.","non-dropping-particle":"","parse-names":false,"suffix":""},{"dropping-particle":"","family":"Musk","given":"Arthur W.","non-dropping-particle":"","parse-names":false,"suffix":""},{"dropping-particle":"","family":"Nieminen","given":"Markku S.","non-dropping-particle":"","parse-names":false,"suffix":""},{"dropping-particle":"","family":"Njølstad","given":"Inger","non-dropping-particle":"","parse-names":false,"suffix":""},{"dropping-particle":"","family":"Ohlsson","given":"Claes","non-dropping-particle":"","parse-names":false,"suffix":""},{"dropping-particle":"","family":"Oldehinkel","given":"Albertine J.","non-dropping-particle":"","parse-names":false,"suffix":""},{"dropping-particle":"","family":"Oostra","given":"Ben A.","non-dropping-particle":"","parse-names":false,"suffix":""},{"dropping-particle":"","family":"Palmer","given":"Lyle J.","non-dropping-particle":"","parse-names":false,"suffix":""},{"dropping-particle":"","family":"Pankow","given":"James S.","non-dropping-particle":"","parse-names":false,"suffix":""},{"dropping-particle":"","family":"Pasterkamp","given":"Gerard","non-dropping-particle":"","parse-names":false,"suffix":""},{"dropping-particle":"","family":"Pedersen","given":"Nancy L.","non-dropping-particle":"","parse-names":false,"suffix":""},{"dropping-particle":"","family":"Pedersen","given":"Oluf","non-dropping-particle":"","parse-names":false,"suffix":""},{"dropping-particle":"","family":"Penninx","given":"Brenda W.","non-dropping-particle":"","parse-names":false,"suffix":""},{"dropping-particle":"","family":"Perola","given":"Markus","non-dropping-particle":"","parse-names":false,"suffix":""},{"dropping-particle":"","family":"Peters","given":"Annette","non-dropping-particle":"","parse-names":false,"suffix":""},{"dropping-particle":"","family":"Polašek","given":"Ozren","non-dropping-particle":"","parse-names":false,"suffix":""},{"dropping-particle":"","family":"Pramstaller","given":"Peter P.","non-dropping-particle":"","parse-names":false,"suffix":""},{"dropping-particle":"","family":"Psaty","given":"Bruce M.","non-dropping-particle":"","parse-names":false,"suffix":""},{"dropping-particle":"","family":"Qi","given":"Lu","non-dropping-particle":"","parse-names":false,"suffix":""},{"dropping-particle":"","family":"Quertermous","given":"Thomas","non-dropping-particle":"","parse-names":false,"suffix":""},{"dropping-particle":"","family":"Raitakari","given":"Olli T.","non-dropping-particle":"","parse-names":false,"suffix":""},{"dropping-particle":"","family":"Rankinen","given":"Tuomo","non-dropping-particle":"","parse-names":false,"suffix":""},{"dropping-particle":"","family":"Rauramaa","given":"Rainer","non-dropping-particle":"","parse-names":false,"suffix":""},{"dropping-particle":"","family":"Ridker","given":"Paul M.","non-dropping-particle":"","parse-names":false,"suffix":""},{"dropping-particle":"","family":"Rioux","given":"John D.","non-dropping-particle":"","parse-names":false,"suffix":""},{"dropping-particle":"","family":"Rivadeneira","given":"Fernando","non-dropping-particle":"","parse-names":false,"suffix":""},{"dropping-particle":"","family":"Rotter","given":"Jerome I.","non-dropping-particle":"","parse-names":false,"suffix":""},{"dropping-particle":"","family":"Rudan","given":"Igor","non-dropping-particle":"","parse-names":false,"suffix":""},{"dropping-particle":"","family":"Ruijter","given":"Hester M.","non-dropping-particle":"den","parse-names":false,"suffix":""},{"dropping-particle":"","family":"Saltevo","given":"Juha","non-dropping-particle":"","parse-names":false,"suffix":""},{"dropping-particle":"","family":"Sattar","given":"Naveed","non-dropping-particle":"","parse-names":false,"suffix":""},{"dropping-particle":"","family":"Schunkert","given":"Heribert","non-dropping-particle":"","parse-names":false,"suffix":""},{"dropping-particle":"","family":"Schwarz","given":"Peter E.H.","non-dropping-particle":"","parse-names":false,"suffix":""},{"dropping-particle":"","family":"Shuldiner","given":"Alan R.","non-dropping-particle":"","parse-names":false,"suffix":""},{"dropping-particle":"","family":"Sinisalo","given":"Juha","non-dropping-particle":"","parse-names":false,"suffix":""},{"dropping-particle":"","family":"Snieder","given":"Harold","non-dropping-particle":"","parse-names":false,"suffix":""},{"dropping-particle":"","family":"Sørensen","given":"Thorkild I.A.","non-dropping-particle":"","parse-names":false,"suffix":""},{"dropping-particle":"","family":"Spector","given":"Tim D.","non-dropping-particle":"","parse-names":false,"suffix":""},{"dropping-particle":"","family":"Staessen","given":"Jan A.","non-dropping-particle":"","parse-names":false,"suffix":""},{"dropping-particle":"","family":"Stefania","given":"Bandinelli","non-dropping-particle":"","parse-names":false,"suffix":""},{"dropping-particle":"","family":"Thorsteinsdottir","given":"Unnur","non-dropping-particle":"","parse-names":false,"suffix":""},{"dropping-particle":"","family":"Stumvoll","given":"Michael","non-dropping-particle":"","parse-names":false,"suffix":""},{"dropping-particle":"","family":"Tardif","given":"Jean Claude","non-dropping-particle":"","parse-names":false,"suffix":""},{"dropping-particle":"","family":"Tremoli","given":"Elena","non-dropping-particle":"","parse-names":false,"suffix":""},{"dropping-particle":"","family":"Tuomilehto","given":"Jaakko","non-dropping-particle":"","parse-names":false,"suffix":""},{"dropping-particle":"","family":"Uitterlinden","given":"André G.","non-dropping-particle":"","parse-names":false,"suffix":""},{"dropping-particle":"","family":"Uusitupa","given":"Matti","non-dropping-particle":"","parse-names":false,"suffix":""},{"dropping-particle":"","family":"Verbeek","given":"André L.M.","non-dropping-particle":"","parse-names":false,"suffix":""},{"dropping-particle":"","family":"Vermeulen","given":"Sita H.","non-dropping-particle":"","parse-names":false,"suffix":""},{"dropping-particle":"","family":"Viikari","given":"Jorma S.","non-dropping-particle":"","parse-names":false,"suffix":""},{"dropping-particle":"","family":"Vitart","given":"Veronique","non-dropping-particle":"","parse-names":false,"suffix":""},{"dropping-particle":"","family":"Völzke","given":"Henry","non-dropping-particle":"","parse-names":false,"suffix":""},{"dropping-particle":"","family":"Vollenweider","given":"Peter","non-dropping-particle":"","parse-names":false,"suffix":""},{"dropping-particle":"","family":"Waeber","given":"Gérard","non-dropping-particle":"","parse-names":false,"suffix":""},{"dropping-particle":"","family":"Walker","given":"Mark","non-dropping-particle":"","parse-names":false,"suffix":""},{"dropping-particle":"","family":"Wallaschofski","given":"Henri","non-dropping-particle":"","parse-names":false,"suffix":""},{"dropping-particle":"","family":"Wareham","given":"Nicholas J.","non-dropping-particle":"","parse-names":false,"suffix":""},{"dropping-particle":"","family":"Watkins","given":"Hugh","non-dropping-particle":"","parse-names":false,"suffix":""},{"dropping-particle":"","family":"Zeggini","given":"Eleftheria","non-dropping-particle":"","parse-names":false,"suffix":""},{"dropping-particle":"","family":"Chakravarti","given":"Aravinda","non-dropping-particle":"","parse-names":false,"suffix":""},{"dropping-particle":"","family":"Clegg","given":"Deborah J.","non-dropping-particle":"","parse-names":false,"suffix":""},{"dropping-particle":"","family":"Cupples","given":"L. Adrienne","non-dropping-particle":"","parse-names":false,"suffix":""},{"dropping-particle":"","family":"Gordon-Larsen","given":"Penny","non-dropping-particle":"","parse-names":false,"suffix":""},{"dropping-particle":"","family":"Jaquish","given":"Cashell E.","non-dropping-particle":"","parse-names":false,"suffix":""},{"dropping-particle":"","family":"Rao","given":"D. C.","non-dropping-particle":"","parse-names":false,"suffix":""},{"dropping-particle":"","family":"Abecasis","given":"Goncalo R.","non-dropping-particle":"","parse-names":false,"suffix":""},{"dropping-particle":"","family":"Assimes","given":"Themistocles L.","non-dropping-particle":"","parse-names":false,"suffix":""},{"dropping-particle":"","family":"Barroso","given":"Inês","non-dropping-particle":"","parse-names":false,"suffix":""},{"dropping-particle":"","family":"Berndt","given":"Sonja I.","non-dropping-particle":"","parse-names":false,"suffix":""},{"dropping-particle":"","family":"Boehnke","given":"Michael","non-dropping-particle":"","parse-names":false,"suffix":""},{"dropping-particle":"","family":"Deloukas","given":"Panos","non-dropping-particle":"","parse-names":false,"suffix":""},{"dropping-particle":"","family":"Fox","given":"Caroline S.","non-dropping-particle":"","parse-names":false,"suffix":""},{"dropping-particle":"","family":"Groop","given":"Leif C.","non-dropping-particle":"","parse-names":false,"suffix":""},{"dropping-particle":"","family":"Hunter","given":"David J.","non-dropping-particle":"","parse-names":false,"suffix":""},{"dropping-particle":"","family":"Ingelsson","given":"Erik","non-dropping-particle":"","parse-names":false,"suffix":""},{"dropping-particle":"","family":"Kaplan","given":"Robert C.","non-dropping-particle":"","parse-names":false,"suffix":""},{"dropping-particle":"","family":"McCarthy","given":"Mark I.","non-dropping-particle":"","parse-names":false,"suffix":""},{"dropping-particle":"","family":"Mohlke","given":"Karen L.","non-dropping-particle":"","parse-names":false,"suffix":""},{"dropping-particle":"","family":"O'Connell","given":"Jeffrey R.","non-dropping-particle":"","parse-names":false,"suffix":""},{"dropping-particle":"","family":"Schlessinger","given":"David","non-dropping-particle":"","parse-names":false,"suffix":""},{"dropping-particle":"","family":"Strachan","given":"David P.","non-dropping-particle":"","parse-names":false,"suffix":""},{"dropping-particle":"","family":"Stefansson","given":"Kari","non-dropping-particle":"","parse-names":false,"suffix":""},{"dropping-particle":"","family":"Duijn","given":"Cornelia M.","non-dropping-particle":"van","parse-names":false,"suffix":""},{"dropping-particle":"","family":"Hirschhorn","given":"Joel N.","non-dropping-particle":"","parse-names":false,"suffix":""},{"dropping-particle":"","family":"Lindgren","given":"Cecilia M.","non-dropping-particle":"","parse-names":false,"suffix":""},{"dropping-particle":"","family":"Heid","given":"Iris M.","non-dropping-particle":"","parse-names":false,"suffix":""},{"dropping-particle":"","family":"North","given":"Kari E.","non-dropping-particle":"","parse-names":false,"suffix":""},{"dropping-particle":"","family":"Borecki","given":"Ingrid B.","non-dropping-particle":"","parse-names":false,"suffix":""},{"dropping-particle":"","family":"Kutalik","given":"Zoltán","non-dropping-particle":"","parse-names":false,"suffix":""},{"dropping-particle":"","family":"Loos","given":"Ruth J.F.","non-dropping-particle":"","parse-names":false,"suffix":""}],"container-title":"PLoS Genetics","id":"ITEM-1","issue":"10","issued":{"date-parts":[["2015"]]},"number-of-pages":"1-42","title":"The Influence of Age and Sex on Genetic Associations with Adult Body Size and Shape: A Large-Scale Genome-Wide Interaction Study","type":"book","volume":"11"},"uris":["http://www.mendeley.com/documents/?uuid=da370a33-1015-4420-87ee-775d124a45b3"]}],"mendeley":{"formattedCitation":"[15]","plainTextFormattedCitation":"[15]","previouslyFormattedCitation":"[15]"},"properties":{"noteIndex":0},"schema":"https://github.com/citation-style-language/schema/raw/master/csl-citation.json"}</w:instrText>
      </w:r>
      <w:r w:rsidRPr="00D44C0B">
        <w:rPr>
          <w:rFonts w:ascii="Times New Roman" w:hAnsi="Times New Roman" w:cs="Times New Roman"/>
          <w:i/>
          <w:iCs/>
          <w:highlight w:val="yellow"/>
        </w:rPr>
        <w:fldChar w:fldCharType="separate"/>
      </w:r>
      <w:r w:rsidRPr="00D44C0B">
        <w:rPr>
          <w:rFonts w:ascii="Times New Roman" w:hAnsi="Times New Roman" w:cs="Times New Roman"/>
          <w:i/>
          <w:iCs/>
          <w:noProof/>
          <w:highlight w:val="yellow"/>
        </w:rPr>
        <w:t>[15]</w:t>
      </w:r>
      <w:r w:rsidRPr="00D44C0B">
        <w:rPr>
          <w:rFonts w:ascii="Times New Roman" w:hAnsi="Times New Roman" w:cs="Times New Roman"/>
          <w:i/>
          <w:iCs/>
          <w:highlight w:val="yellow"/>
        </w:rPr>
        <w:fldChar w:fldCharType="end"/>
      </w:r>
      <w:r w:rsidRPr="00D44C0B">
        <w:rPr>
          <w:rFonts w:ascii="Times New Roman" w:hAnsi="Times New Roman" w:cs="Times New Roman"/>
          <w:i/>
          <w:iCs/>
          <w:highlight w:val="yellow"/>
        </w:rPr>
        <w:t xml:space="preserve">. Four of the 11 loci by GIANT were validated by our analyses of BMI-change using independent longitudinal data from UKB (near TMEM18, EFR3B, </w:t>
      </w:r>
      <w:r w:rsidRPr="00D44C0B">
        <w:rPr>
          <w:rFonts w:ascii="Times New Roman" w:hAnsi="Times New Roman" w:cs="Times New Roman"/>
          <w:i/>
          <w:iCs/>
          <w:highlight w:val="yellow"/>
          <w:lang w:val="en-US"/>
        </w:rPr>
        <w:t>SEC16B</w:t>
      </w:r>
      <w:r w:rsidRPr="00D44C0B">
        <w:rPr>
          <w:rFonts w:ascii="Times New Roman" w:hAnsi="Times New Roman" w:cs="Times New Roman"/>
          <w:i/>
          <w:iCs/>
          <w:highlight w:val="yellow"/>
        </w:rPr>
        <w:t xml:space="preserve"> and FTO).</w:t>
      </w:r>
    </w:p>
    <w:p w14:paraId="5FBE7A94" w14:textId="51C89183" w:rsidR="00007CF4" w:rsidRPr="00D44C0B" w:rsidRDefault="00FD7E1F" w:rsidP="00736889">
      <w:pPr>
        <w:spacing w:before="100" w:beforeAutospacing="1" w:after="100" w:afterAutospacing="1" w:line="276" w:lineRule="auto"/>
        <w:jc w:val="both"/>
        <w:rPr>
          <w:rFonts w:ascii="Times New Roman" w:hAnsi="Times New Roman" w:cs="Times New Roman"/>
          <w:i/>
          <w:iCs/>
        </w:rPr>
      </w:pPr>
      <w:r w:rsidRPr="00D44C0B">
        <w:rPr>
          <w:rFonts w:ascii="Times New Roman" w:hAnsi="Times New Roman" w:cs="Times New Roman"/>
          <w:i/>
          <w:iCs/>
        </w:rPr>
        <w:t>We mention the previous blood pressure paper also in discussion (p 14):</w:t>
      </w:r>
    </w:p>
    <w:p w14:paraId="44648B16" w14:textId="60389744" w:rsidR="00FD7E1F" w:rsidRPr="00D44C0B" w:rsidRDefault="00FD7E1F" w:rsidP="00736889">
      <w:pPr>
        <w:spacing w:before="100" w:beforeAutospacing="1" w:after="100" w:afterAutospacing="1" w:line="276" w:lineRule="auto"/>
        <w:jc w:val="both"/>
        <w:rPr>
          <w:rFonts w:ascii="Times New Roman" w:hAnsi="Times New Roman" w:cs="Times New Roman"/>
          <w:i/>
          <w:iCs/>
        </w:rPr>
      </w:pPr>
      <w:r w:rsidRPr="00D44C0B">
        <w:rPr>
          <w:rFonts w:ascii="Times New Roman" w:hAnsi="Times New Roman" w:cs="Times New Roman"/>
          <w:i/>
          <w:iCs/>
          <w:highlight w:val="yellow"/>
        </w:rPr>
        <w:t xml:space="preserve">Only the locus near PIK3CG was mentioned before for a potential age-dependent effect on pulse pressure, however without Bonferroni-corrected significance </w:t>
      </w:r>
      <w:r w:rsidRPr="00D44C0B">
        <w:rPr>
          <w:rFonts w:ascii="Times New Roman" w:hAnsi="Times New Roman" w:cs="Times New Roman"/>
          <w:i/>
          <w:iCs/>
          <w:highlight w:val="yellow"/>
        </w:rPr>
        <w:fldChar w:fldCharType="begin" w:fldLock="1"/>
      </w:r>
      <w:r w:rsidRPr="00D44C0B">
        <w:rPr>
          <w:rFonts w:ascii="Times New Roman" w:hAnsi="Times New Roman" w:cs="Times New Roman"/>
          <w:i/>
          <w:iCs/>
          <w:highlight w:val="yellow"/>
        </w:rPr>
        <w:instrText>ADDIN CSL_CITATION {"citationItems":[{"id":"ITEM-1","itemData":{"DOI":"10.1016/j.ajhg.2014.05.010","ISSN":"15376605","PMID":"24954895","abstract":"Although age-dependent effects on blood pressure (BP) have been reported, they have not been systematically investigated in large-scale genome-wide association studies (GWASs). We leveraged the infrastructure of three well-established consortia (CHARGE, GBPgen, and ICBP) and a nonstandard approach (age stratification and metaregression) to conduct a genome-wide search of common variants with age-dependent effects on systolic (SBP), diastolic (DBP), mean arterial (MAP), and pulse (PP) pressure. In a two-staged design using 99,241 individuals of European ancestry, we identified 20 genome-wide significant (p≤ 5 10) loci by using joint tests of the SNP main effect and SNP-age interaction. Nine of the significant loci demonstrated nominal evidence of age-dependent effects on BP by tests of the interactions alone. Index SNPs in the EHBP1L1 (DBP and MAP), CASZ1 (SBP and MAP), and GOSR2 (PP) loci exhibited the largest age interactions, with opposite directions of effect in the young versus the old. The changes in the genetic effects over time were small but nonnegligible (up to 1.58 mm Hg over 60 years). The EHBP1L1 locus was discovered through gene-age interactions only in whites but had DBP main effects replicated (p = 8.3 10) in 8,682 Asians from Singapore, indicating potential interethnic heterogeneity. A secondary analysis revealed 22 loci with evidence of age-specific effects (e.g., only in 20 to 29-year-olds). Age can be used to select samples with larger genetic effect sizes and more homogenous phenotypes, which may increase statistical power. Age-dependent effects identified through novel statistical approaches can provide insight into the biology and temporal regulation underlying BP associations. © 2014 The American Society of Human Genetics.","author":[{"dropping-particle":"","family":"Simino","given":"Jeannette","non-dropping-particle":"","parse-names":false,"suffix":""},{"dropping-particle":"","family":"Shi","given":"Gang","non-dropping-particle":"","parse-names":false,"suffix":""},{"dropping-particle":"","family":"Bis","given":"Joshua C.","non-dropping-particle":"","parse-names":false,"suffix":""},{"dropping-particle":"","family":"Chasman","given":"Daniel I.","non-dropping-particle":"","parse-names":false,"suffix":""},{"dropping-particle":"","family":"Ehret","given":"Georg B.","non-dropping-particle":"","parse-names":false,"suffix":""},{"dropping-particle":"","family":"Gu","given":"Xiangjun","non-dropping-particle":"","parse-names":false,"suffix":""},{"dropping-particle":"","family":"Guo","given":"Xiuqing","non-dropping-particle":"","parse-names":false,"suffix":""},{"dropping-particle":"","family":"Hwang","given":"Shih Jen","non-dropping-particle":"","parse-names":false,"suffix":""},{"dropping-particle":"","family":"Sijbrands","given":"Eric","non-dropping-particle":"","parse-names":false,"suffix":""},{"dropping-particle":"V.","family":"Smith","given":"Albert","non-dropping-particle":"","parse-names":false,"suffix":""},{"dropping-particle":"","family":"Verwoert","given":"Germaine C.","non-dropping-particle":"","parse-names":false,"suffix":""},{"dropping-particle":"","family":"Bragg-Gresham","given":"Jennifer L.","non-dropping-particle":"","parse-names":false,"suffix":""},{"dropping-particle":"","family":"Cadby","given":"Gemma","non-dropping-particle":"","parse-names":false,"suffix":""},{"dropping-particle":"","family":"Chen","given":"Peng","non-dropping-particle":"","parse-names":false,"suffix":""},{"dropping-particle":"","family":"Cheng","given":"Ching Yu","non-dropping-particle":"","parse-names":false,"suffix":""},{"dropping-particle":"","family":"Corre","given":"Tanguy","non-dropping-particle":"","parse-names":false,"suffix":""},{"dropping-particle":"","family":"Boer","given":"Rudolf A.","non-dropping-particle":"De","parse-names":false,"suffix":""},{"dropping-particle":"","family":"Goel","given":"Anuj","non-dropping-particle":"","parse-names":false,"suffix":""},{"dropping-particle":"","family":"Johnson","given":"Toby","non-dropping-particle":"","parse-names":false,"suffix":""},{"dropping-particle":"","family":"Khor","given":"Chiea Chuen","non-dropping-particle":"","parse-names":false,"suffix":""},{"dropping-particle":"","family":"Lluís-Ganella","given":"Carla","non-dropping-particle":"","parse-names":false,"suffix":""},{"dropping-particle":"","family":"Luan","given":"Jian'An","non-dropping-particle":"","parse-names":false,"suffix":""},{"dropping-particle":"","family":"Lyytikäinen","given":"Leo Pekka","non-dropping-particle":"","parse-names":false,"suffix":""},{"dropping-particle":"","family":"Nolte","given":"Ilja M.","non-dropping-particle":"","parse-names":false,"suffix":""},{"dropping-particle":"","family":"Sim","given":"Xueling","non-dropping-particle":"","parse-names":false,"suffix":""},{"dropping-particle":"","family":"Sõber","given":"Siim","non-dropping-particle":"","parse-names":false,"suffix":""},{"dropping-particle":"","family":"Most","given":"Peter J.","non-dropping-particle":"Van Der","parse-names":false,"suffix":""},{"dropping-particle":"","family":"Verweij","given":"Niek","non-dropping-particle":"","parse-names":false,"suffix":""},{"dropping-particle":"","family":"Zhao","given":"Jing Hua","non-dropping-particle":"","parse-names":false,"suffix":""},{"dropping-particle":"","family":"Amin","given":"Najaf","non-dropping-particle":"","parse-names":false,"suffix":""},{"dropping-particle":"","family":"Boerwinkle","given":"Eric","non-dropping-particle":"","parse-names":false,"suffix":""},{"dropping-particle":"","family":"Bouchard","given":"Claude","non-dropping-particle":"","parse-names":false,"suffix":""},{"dropping-particle":"","family":"Dehghan","given":"Abbas","non-dropping-particle":"","parse-names":false,"suffix":""},{"dropping-particle":"","family":"Eiriksdottir","given":"Gudny","non-dropping-particle":"","parse-names":false,"suffix":""},{"dropping-particle":"","family":"Elosua","given":"Roberto","non-dropping-particle":"","parse-names":false,"suffix":""},{"dropping-particle":"","family":"Franco","given":"Oscar H.","non-dropping-particle":"","parse-names":false,"suffix":""},{"dropping-particle":"","family":"Gieger","given":"Christian","non-dropping-particle":"","parse-names":false,"suffix":""},{"dropping-particle":"","family":"Harris","given":"Tamara B.","non-dropping-particle":"","parse-names":false,"suffix":""},{"dropping-particle":"","family":"Hercberg","given":"Serge","non-dropping-particle":"","parse-names":false,"suffix":""},{"dropping-particle":"","family":"Hofman","given":"Albert","non-dropping-particle":"","parse-names":false,"suffix":""},{"dropping-particle":"","family":"James","given":"Alan L.","non-dropping-particle":"","parse-names":false,"suffix":""},{"dropping-particle":"","family":"Johnson","given":"Andrew D.","non-dropping-particle":"","parse-names":false,"suffix":""},{"dropping-particle":"","family":"Kähönen","given":"Mika","non-dropping-particle":"","parse-names":false,"suffix":""},{"dropping-particle":"","family":"Khaw","given":"Kay Tee","non-dropping-particle":"","parse-names":false,"suffix":""},{"dropping-particle":"","family":"Kutalik","given":"Zoltan","non-dropping-particle":"","parse-names":false,"suffix":""},{"dropping-particle":"","family":"Larson","given":"Martin G.","non-dropping-particle":"","parse-names":false,"suffix":""},{"dropping-particle":"","family":"Launer","given":"Lenore J.","non-dropping-particle":"","parse-names":false,"suffix":""},{"dropping-particle":"","family":"Li","given":"Guo","non-dropping-particle":"","parse-names":false,"suffix":""},{"dropping-particle":"","family":"Liu","given":"Jianjun","non-dropping-particle":"","parse-names":false,"suffix":""},{"dropping-particle":"","family":"Liu","given":"Kiang","non-dropping-particle":"","parse-names":false,"suffix":""},{"dropping-particle":"","family":"Morrison","given":"Alanna C.","non-dropping-particle":"","parse-names":false,"suffix":""},{"dropping-particle":"","family":"Navis","given":"Gerjan","non-dropping-particle":"","parse-names":false,"suffix":""},{"dropping-particle":"","family":"Ong","given":"Rick Twee Hee","non-dropping-particle":"","parse-names":false,"suffix":""},{"dropping-particle":"","family":"Papanicolau","given":"George J.","non-dropping-particle":"","parse-names":false,"suffix":""},{"dropping-particle":"","family":"Penninx","given":"Brenda W.","non-dropping-particle":"","parse-names":false,"suffix":""},{"dropping-particle":"","family":"Psaty","given":"Bruce M.","non-dropping-particle":"","parse-names":false,"suffix":""},{"dropping-particle":"","family":"Raffel","given":"Leslie J.","non-dropping-particle":"","parse-names":false,"suffix":""},{"dropping-particle":"","family":"Raitakari","given":"Olli T.","non-dropping-particle":"","parse-names":false,"suffix":""},{"dropping-particle":"","family":"Rice","given":"Kenneth","non-dropping-particle":"","parse-names":false,"suffix":""},{"dropping-particle":"","family":"Rivadeneira","given":"Fernando","non-dropping-particle":"","parse-names":false,"suffix":""},{"dropping-particle":"","family":"Rose","given":"Lynda M.","non-dropping-particle":"","parse-names":false,"suffix":""},{"dropping-particle":"","family":"Sanna","given":"Serena","non-dropping-particle":"","parse-names":false,"suffix":""},{"dropping-particle":"","family":"Scott","given":"Robert A.","non-dropping-particle":"","parse-names":false,"suffix":""},{"dropping-particle":"","family":"Siscovick","given":"David S.","non-dropping-particle":"","parse-names":false,"suffix":""},{"dropping-particle":"","family":"Stolk","given":"Ronald P.","non-dropping-particle":"","parse-names":false,"suffix":""},{"dropping-particle":"","family":"Uitterlinden","given":"Andre G.","non-dropping-particle":"","parse-names":false,"suffix":""},{"dropping-particle":"","family":"Vaidya","given":"Dhananjay","non-dropping-particle":"","parse-names":false,"suffix":""},{"dropping-particle":"","family":"Klauw","given":"Melanie M.","non-dropping-particle":"Van Der","parse-names":false,"suffix":""},{"dropping-particle":"","family":"Vasan","given":"Ramachandran S.","non-dropping-particle":"","parse-names":false,"suffix":""},{"dropping-particle":"","family":"Vithana","given":"Eranga Nishanthie","non-dropping-particle":"","parse-names":false,"suffix":""},{"dropping-particle":"","family":"Völker","given":"Uwe","non-dropping-particle":"","parse-names":false,"suffix":""},{"dropping-particle":"","family":"Völzke","given":"Henry","non-dropping-particle":"","parse-names":false,"suffix":""},{"dropping-particle":"","family":"Watkins","given":"Hugh","non-dropping-particle":"","parse-names":false,"suffix":""},{"dropping-particle":"","family":"Young","given":"Terri L.","non-dropping-particle":"","parse-names":false,"suffix":""},{"dropping-particle":"","family":"Aung","given":"Tin","non-dropping-particle":"","parse-names":false,"suffix":""},{"dropping-particle":"","family":"Bochud","given":"Murielle","non-dropping-particle":"","parse-names":false,"suffix":""},{"dropping-particle":"","family":"Farrall","given":"Martin","non-dropping-particle":"","parse-names":false,"suffix":""},{"dropping-particle":"","family":"Hartman","given":"Catharina A.","non-dropping-particle":"","parse-names":false,"suffix":""},{"dropping-particle":"","family":"Laan","given":"Maris","non-dropping-particle":"","parse-names":false,"suffix":""},{"dropping-particle":"","family":"Lakatta","given":"Edward G.","non-dropping-particle":"","parse-names":false,"suffix":""},{"dropping-particle":"","family":"Lehtimäki","given":"Terho","non-dropping-particle":"","parse-names":false,"suffix":""},{"dropping-particle":"","family":"Loos","given":"Ruth J.F.","non-dropping-particle":"","parse-names":false,"suffix":""},{"dropping-particle":"","family":"Lucas","given":"Gavin","non-dropping-particle":"","parse-names":false,"suffix":""},{"dropping-particle":"","family":"Meneton","given":"Pierre","non-dropping-particle":"","parse-names":false,"suffix":""},{"dropping-particle":"","family":"Palmer","given":"Lyle J.","non-dropping-particle":"","parse-names":false,"suffix":""},{"dropping-particle":"","family":"Rettig","given":"Rainer","non-dropping-particle":"","parse-names":false,"suffix":""},{"dropping-particle":"","family":"Snieder","given":"Harold","non-dropping-particle":"","parse-names":false,"suffix":""},{"dropping-particle":"","family":"Tai","given":"E. Shyong","non-dropping-particle":"","parse-names":false,"suffix":""},{"dropping-particle":"","family":"Teo","given":"Yik Ying","non-dropping-particle":"","parse-names":false,"suffix":""},{"dropping-particle":"","family":"Harst","given":"Pim","non-dropping-particle":"Van Der","parse-names":false,"suffix":""},{"dropping-particle":"","family":"Wareham","given":"Nicholas J.","non-dropping-particle":"","parse-names":false,"suffix":""},{"dropping-particle":"","family":"Wijmenga","given":"Cisca","non-dropping-particle":"","parse-names":false,"suffix":""},{"dropping-particle":"","family":"Wong","given":"Tien Yin","non-dropping-particle":"","parse-names":false,"suffix":""},{"dropping-particle":"","family":"Fornage","given":"Myriam","non-dropping-particle":"","parse-names":false,"suffix":""},{"dropping-particle":"","family":"Gudnason","given":"Vilmundur","non-dropping-particle":"","parse-names":false,"suffix":""},{"dropping-particle":"","family":"Levy","given":"Daniel","non-dropping-particle":"","parse-names":false,"suffix":""},{"dropping-particle":"","family":"Palmas","given":"Walter","non-dropping-particle":"","parse-names":false,"suffix":""},{"dropping-particle":"","family":"Ridker","given":"Paul M.","non-dropping-particle":"","parse-names":false,"suffix":""},{"dropping-particle":"","family":"Rotter","given":"Jerome I.","non-dropping-particle":"","parse-names":false,"suffix":""},{"dropping-particle":"","family":"Duijn","given":"Cornelia M.","non-dropping-particle":"Van","parse-names":false,"suffix":""},{"dropping-particle":"","family":"Witteman","given":"Jacqueline C.M.","non-dropping-particle":"","parse-names":false,"suffix":""},{"dropping-particle":"","family":"Chakravarti","given":"Aravinda","non-dropping-particle":"","parse-names":false,"suffix":""},{"dropping-particle":"","family":"Rao","given":"Dabeeru C.","non-dropping-particle":"","parse-names":false,"suffix":""}],"container-title":"American Journal of Human Genetics","id":"ITEM-1","issue":"1","issued":{"date-parts":[["2014"]]},"page":"24-38","title":"Gene-age interactions in blood pressure regulation: A large-scale investigation with the CHARGE, global BPgen, and ICBP consortia","type":"article-journal","volume":"95"},"uris":["http://www.mendeley.com/documents/?uuid=e11593a3-21a5-4068-acfb-46d674affa8b"]}],"mendeley":{"formattedCitation":"[28]","plainTextFormattedCitation":"[28]"},"properties":{"noteIndex":0},"schema":"https://github.com/citation-style-language/schema/raw/master/csl-citation.json"}</w:instrText>
      </w:r>
      <w:r w:rsidRPr="00D44C0B">
        <w:rPr>
          <w:rFonts w:ascii="Times New Roman" w:hAnsi="Times New Roman" w:cs="Times New Roman"/>
          <w:i/>
          <w:iCs/>
          <w:highlight w:val="yellow"/>
        </w:rPr>
        <w:fldChar w:fldCharType="separate"/>
      </w:r>
      <w:r w:rsidRPr="00D44C0B">
        <w:rPr>
          <w:rFonts w:ascii="Times New Roman" w:hAnsi="Times New Roman" w:cs="Times New Roman"/>
          <w:i/>
          <w:iCs/>
          <w:noProof/>
          <w:highlight w:val="yellow"/>
        </w:rPr>
        <w:t>[28]</w:t>
      </w:r>
      <w:r w:rsidRPr="00D44C0B">
        <w:rPr>
          <w:rFonts w:ascii="Times New Roman" w:hAnsi="Times New Roman" w:cs="Times New Roman"/>
          <w:i/>
          <w:iCs/>
          <w:highlight w:val="yellow"/>
        </w:rPr>
        <w:fldChar w:fldCharType="end"/>
      </w:r>
      <w:r w:rsidRPr="00D44C0B">
        <w:rPr>
          <w:rFonts w:ascii="Times New Roman" w:hAnsi="Times New Roman" w:cs="Times New Roman"/>
          <w:i/>
          <w:iCs/>
          <w:highlight w:val="yellow"/>
        </w:rPr>
        <w:t>.</w:t>
      </w:r>
    </w:p>
    <w:p w14:paraId="7B21C978" w14:textId="242D24CD" w:rsidR="00403A2B" w:rsidRPr="00D44C0B" w:rsidRDefault="00403A2B" w:rsidP="00736889">
      <w:pPr>
        <w:spacing w:before="100" w:beforeAutospacing="1" w:after="100" w:afterAutospacing="1" w:line="276" w:lineRule="auto"/>
        <w:jc w:val="both"/>
        <w:rPr>
          <w:rFonts w:ascii="Times New Roman" w:hAnsi="Times New Roman" w:cs="Times New Roman"/>
          <w:color w:val="2F5496" w:themeColor="accent5" w:themeShade="BF"/>
        </w:rPr>
      </w:pPr>
      <w:r w:rsidRPr="00D44C0B">
        <w:rPr>
          <w:rFonts w:ascii="Times New Roman" w:hAnsi="Times New Roman" w:cs="Times New Roman"/>
          <w:color w:val="2F5496" w:themeColor="accent5" w:themeShade="BF"/>
          <w:lang w:val="en-US"/>
        </w:rPr>
        <w:br/>
      </w:r>
      <w:r w:rsidRPr="00D44C0B">
        <w:rPr>
          <w:rFonts w:ascii="Times New Roman" w:hAnsi="Times New Roman" w:cs="Times New Roman"/>
          <w:color w:val="2F5496" w:themeColor="accent5" w:themeShade="BF"/>
        </w:rPr>
        <w:t>12. The authors acknowledge the limitations of their study, such as the focus on the European population and the use of chronological age. It would be beneficial to discuss how these limitations might affect the generalizability of the findings and any potential strategies to overcome them in future research.</w:t>
      </w:r>
    </w:p>
    <w:p w14:paraId="474E0A17" w14:textId="055D93E4" w:rsidR="00FD7E1F" w:rsidRPr="00D44C0B" w:rsidRDefault="00FD7E1F" w:rsidP="00736889">
      <w:pPr>
        <w:spacing w:before="100" w:beforeAutospacing="1" w:after="100" w:afterAutospacing="1" w:line="276" w:lineRule="auto"/>
        <w:jc w:val="both"/>
        <w:rPr>
          <w:rFonts w:ascii="Times New Roman" w:hAnsi="Times New Roman" w:cs="Times New Roman"/>
          <w:i/>
          <w:iCs/>
        </w:rPr>
      </w:pPr>
      <w:r w:rsidRPr="00D44C0B">
        <w:rPr>
          <w:rFonts w:ascii="Times New Roman" w:hAnsi="Times New Roman" w:cs="Times New Roman"/>
          <w:b/>
          <w:i/>
          <w:iCs/>
        </w:rPr>
        <w:t>Response</w:t>
      </w:r>
      <w:r w:rsidRPr="00D44C0B">
        <w:rPr>
          <w:rFonts w:ascii="Times New Roman" w:hAnsi="Times New Roman" w:cs="Times New Roman"/>
          <w:i/>
          <w:iCs/>
        </w:rPr>
        <w:t>: Indeed, these are important points for the reader to put our results into context of future work. Our f</w:t>
      </w:r>
      <w:r w:rsidR="00185221" w:rsidRPr="00D44C0B">
        <w:rPr>
          <w:rFonts w:ascii="Times New Roman" w:hAnsi="Times New Roman" w:cs="Times New Roman"/>
          <w:i/>
          <w:iCs/>
        </w:rPr>
        <w:t xml:space="preserve">ramework </w:t>
      </w:r>
      <w:r w:rsidRPr="00D44C0B">
        <w:rPr>
          <w:rFonts w:ascii="Times New Roman" w:hAnsi="Times New Roman" w:cs="Times New Roman"/>
          <w:i/>
          <w:iCs/>
        </w:rPr>
        <w:t>can easily be generalized and be applied to other ancestries and traits. We address this in discussion (p 17):</w:t>
      </w:r>
    </w:p>
    <w:p w14:paraId="674F474F" w14:textId="1DB982CD" w:rsidR="00FD7E1F" w:rsidRPr="00D44C0B" w:rsidRDefault="00FD7E1F" w:rsidP="00736889">
      <w:pPr>
        <w:spacing w:before="100" w:beforeAutospacing="1" w:after="100" w:afterAutospacing="1" w:line="276" w:lineRule="auto"/>
        <w:jc w:val="both"/>
        <w:rPr>
          <w:rFonts w:ascii="Times New Roman" w:hAnsi="Times New Roman" w:cs="Times New Roman"/>
          <w:i/>
          <w:iCs/>
        </w:rPr>
      </w:pPr>
      <w:r w:rsidRPr="00D44C0B">
        <w:rPr>
          <w:rFonts w:ascii="Times New Roman" w:hAnsi="Times New Roman" w:cs="Times New Roman"/>
          <w:i/>
          <w:iCs/>
          <w:highlight w:val="yellow"/>
        </w:rPr>
        <w:t xml:space="preserve">Another limitation of our study is the focus on the European population. Yet, our 2-stage approach is readily applicable to non-European populations and to other traits </w:t>
      </w:r>
      <w:r w:rsidRPr="00D44C0B">
        <w:rPr>
          <w:rFonts w:ascii="Times New Roman" w:hAnsi="Times New Roman" w:cs="Times New Roman"/>
          <w:i/>
          <w:iCs/>
          <w:highlight w:val="yellow"/>
        </w:rPr>
        <w:fldChar w:fldCharType="begin" w:fldLock="1"/>
      </w:r>
      <w:r w:rsidRPr="00D44C0B">
        <w:rPr>
          <w:rFonts w:ascii="Times New Roman" w:hAnsi="Times New Roman" w:cs="Times New Roman"/>
          <w:i/>
          <w:iCs/>
          <w:highlight w:val="yellow"/>
        </w:rPr>
        <w:instrText>ADDIN CSL_CITATION {"citationItems":[{"id":"ITEM-1","itemData":{"DOI":"10.1038/nrg.2017.89","ISSN":"14710064","abstract":"Recent studies have highlighted the imperatives of including diverse and under-represented individuals in human genomics research and the striking gaps in attaining that inclusion. With its multidecade experience in supporting research and policy efforts in human genomics, the National Human Genome Research Institute is committed to establishing foundational approaches to study the role of genomic variation in health and disease that include diverse populations. Large-scale efforts to understand biology and health have yielded key scientific findings, lessons and recommendations on how to increase diversity in genomic research studies and the genomic research workforce. Increased attention to diversity will increase the accuracy, utility and acceptability of using genomic information for clinical care.","author":[{"dropping-particle":"","family":"Hindorff","given":"Lucia A.","non-dropping-particle":"","parse-names":false,"suffix":""},{"dropping-particle":"","family":"Bonham","given":"Vence L.","non-dropping-particle":"","parse-names":false,"suffix":""},{"dropping-particle":"","family":"Brody","given":"Lawrence C.","non-dropping-particle":"","parse-names":false,"suffix":""},{"dropping-particle":"","family":"Ginoza","given":"Margaret E.C.","non-dropping-particle":"","parse-names":false,"suffix":""},{"dropping-particle":"","family":"Hutter","given":"Carolyn M.","non-dropping-particle":"","parse-names":false,"suffix":""},{"dropping-particle":"","family":"Manolio","given":"Teri A.","non-dropping-particle":"","parse-names":false,"suffix":""},{"dropping-particle":"","family":"Green","given":"Eric D.","non-dropping-particle":"","parse-names":false,"suffix":""}],"container-title":"Nature Reviews Genetics","id":"ITEM-1","issued":{"date-parts":[["2018"]]},"title":"Prioritizing diversity in human genomics research","type":"article"},"uris":["http://www.mendeley.com/documents/?uuid=740835c4-2237-4c0d-a11f-4d3ec7010d02"]}],"mendeley":{"formattedCitation":"[34]","plainTextFormattedCitation":"[34]","previouslyFormattedCitation":"[33]"},"properties":{"noteIndex":0},"schema":"https://github.com/citation-style-language/schema/raw/master/csl-citation.json"}</w:instrText>
      </w:r>
      <w:r w:rsidRPr="00D44C0B">
        <w:rPr>
          <w:rFonts w:ascii="Times New Roman" w:hAnsi="Times New Roman" w:cs="Times New Roman"/>
          <w:i/>
          <w:iCs/>
          <w:highlight w:val="yellow"/>
        </w:rPr>
        <w:fldChar w:fldCharType="separate"/>
      </w:r>
      <w:r w:rsidRPr="00D44C0B">
        <w:rPr>
          <w:rFonts w:ascii="Times New Roman" w:hAnsi="Times New Roman" w:cs="Times New Roman"/>
          <w:i/>
          <w:iCs/>
          <w:noProof/>
          <w:highlight w:val="yellow"/>
        </w:rPr>
        <w:t>[34]</w:t>
      </w:r>
      <w:r w:rsidRPr="00D44C0B">
        <w:rPr>
          <w:rFonts w:ascii="Times New Roman" w:hAnsi="Times New Roman" w:cs="Times New Roman"/>
          <w:i/>
          <w:iCs/>
          <w:highlight w:val="yellow"/>
        </w:rPr>
        <w:fldChar w:fldCharType="end"/>
      </w:r>
      <w:r w:rsidRPr="00D44C0B">
        <w:rPr>
          <w:rFonts w:ascii="Times New Roman" w:hAnsi="Times New Roman" w:cs="Times New Roman"/>
          <w:i/>
          <w:iCs/>
          <w:highlight w:val="yellow"/>
        </w:rPr>
        <w:t>.</w:t>
      </w:r>
    </w:p>
    <w:p w14:paraId="0322C8DD" w14:textId="5CD83F21" w:rsidR="00FD7E1F" w:rsidRPr="00D44C0B" w:rsidRDefault="00FD7E1F" w:rsidP="00736889">
      <w:pPr>
        <w:spacing w:before="100" w:beforeAutospacing="1" w:after="100" w:afterAutospacing="1" w:line="276" w:lineRule="auto"/>
        <w:jc w:val="both"/>
        <w:rPr>
          <w:rFonts w:ascii="Times New Roman" w:hAnsi="Times New Roman" w:cs="Times New Roman"/>
          <w:i/>
          <w:iCs/>
        </w:rPr>
      </w:pPr>
      <w:r w:rsidRPr="00D44C0B">
        <w:rPr>
          <w:rFonts w:ascii="Times New Roman" w:hAnsi="Times New Roman" w:cs="Times New Roman"/>
          <w:i/>
          <w:iCs/>
        </w:rPr>
        <w:lastRenderedPageBreak/>
        <w:t xml:space="preserve">In terms of chronological vs biological age, we </w:t>
      </w:r>
      <w:r w:rsidR="008947BE" w:rsidRPr="00D44C0B">
        <w:rPr>
          <w:rFonts w:ascii="Times New Roman" w:hAnsi="Times New Roman" w:cs="Times New Roman"/>
          <w:i/>
          <w:iCs/>
        </w:rPr>
        <w:t xml:space="preserve">now provide a more detailed discussion on the interpretation of gage-dependent effects on the molecular level (p. 17): </w:t>
      </w:r>
    </w:p>
    <w:p w14:paraId="22E6831F" w14:textId="42453191" w:rsidR="008947BE" w:rsidRPr="00D44C0B" w:rsidRDefault="008947BE" w:rsidP="00736889">
      <w:pPr>
        <w:spacing w:before="100" w:beforeAutospacing="1" w:after="100" w:afterAutospacing="1" w:line="276" w:lineRule="auto"/>
        <w:jc w:val="both"/>
        <w:rPr>
          <w:rFonts w:ascii="Times New Roman" w:hAnsi="Times New Roman" w:cs="Times New Roman"/>
        </w:rPr>
      </w:pPr>
      <w:bookmarkStart w:id="8" w:name="_Hlk168573405"/>
      <w:r w:rsidRPr="00D44C0B">
        <w:rPr>
          <w:rFonts w:ascii="Times New Roman" w:hAnsi="Times New Roman" w:cs="Times New Roman"/>
          <w:i/>
          <w:iCs/>
          <w:highlight w:val="yellow"/>
        </w:rPr>
        <w:t xml:space="preserve">Biological aging can differ from chronological aging at the molecular level. Age clocks based on telomere length and age-dependent DNA methylation CpG sites reflect this process </w:t>
      </w:r>
      <w:r w:rsidRPr="00D44C0B">
        <w:rPr>
          <w:rFonts w:ascii="Times New Roman" w:hAnsi="Times New Roman" w:cs="Times New Roman"/>
          <w:i/>
          <w:iCs/>
          <w:highlight w:val="yellow"/>
        </w:rPr>
        <w:fldChar w:fldCharType="begin" w:fldLock="1"/>
      </w:r>
      <w:r w:rsidRPr="00D44C0B">
        <w:rPr>
          <w:rFonts w:ascii="Times New Roman" w:hAnsi="Times New Roman" w:cs="Times New Roman"/>
          <w:i/>
          <w:iCs/>
          <w:highlight w:val="yellow"/>
        </w:rPr>
        <w:instrText>ADDIN CSL_CITATION {"citationItems":[{"id":"ITEM-1","itemData":{"DOI":"10.1038/s43587-023-00462-6","ISSN":"26628465","abstract":"Aging, often considered a result of random cellular damage, can be accurately estimated using DNA methylation profiles, the foundation of pan-tissue epigenetic clocks. Here, we demonstrate the development of universal pan-mammalian clocks, using 11,754 methylation arrays from our Mammalian Methylation Consortium, which encompass 59 tissue types across 185 mammalian species. These predictive models estimate mammalian tissue age with high accuracy (r &gt; 0.96). Age deviations correlate with human mortality risk, mouse somatotropic axis mutations and caloric restriction. We identified specific cytosines with methylation levels that change with age across numerous species. These sites, highly enriched in polycomb repressive complex 2-binding locations, are near genes implicated in mammalian development, cancer, obesity and longevity. Our findings offer new evidence suggesting that aging is evolutionarily conserved and intertwined with developmental processes across all mammals.","author":[{"dropping-particle":"","family":"Lu","given":"A. T.","non-dropping-particle":"","parse-names":false,"suffix":""},{"dropping-particle":"","family":"Fei","given":"Z.","non-dropping-particle":"","parse-names":false,"suffix":""},{"dropping-particle":"","family":"Haghani","given":"A.","non-dropping-particle":"","parse-names":false,"suffix":""},{"dropping-particle":"","family":"Robeck","given":"T. R.","non-dropping-particle":"","parse-names":false,"suffix":""},{"dropping-particle":"","family":"Zoller","given":"J. A.","non-dropping-particle":"","parse-names":false,"suffix":""},{"dropping-particle":"","family":"Li","given":"C. Z.","non-dropping-particle":"","parse-names":false,"suffix":""},{"dropping-particle":"","family":"Lowe","given":"R.","non-dropping-particle":"","parse-names":false,"suffix":""},{"dropping-particle":"","family":"Yan","given":"Q.","non-dropping-particle":"","parse-names":false,"suffix":""},{"dropping-particle":"","family":"Zhang","given":"J.","non-dropping-particle":"","parse-names":false,"suffix":""},{"dropping-particle":"","family":"Vu","given":"H.","non-dropping-particle":"","parse-names":false,"suffix":""},{"dropping-particle":"","family":"Ablaeva","given":"J.","non-dropping-particle":"","parse-names":false,"suffix":""},{"dropping-particle":"","family":"Acosta-Rodriguez","given":"V. A.","non-dropping-particle":"","parse-names":false,"suffix":""},{"dropping-particle":"","family":"Adams","given":"D. M.","non-dropping-particle":"","parse-names":false,"suffix":""},{"dropping-particle":"","family":"Almunia","given":"J.","non-dropping-particle":"","parse-names":false,"suffix":""},{"dropping-particle":"","family":"Aloysius","given":"A.","non-dropping-particle":"","parse-names":false,"suffix":""},{"dropping-particle":"","family":"Ardehali","given":"R.","non-dropping-particle":"","parse-names":false,"suffix":""},{"dropping-particle":"","family":"Arneson","given":"A.","non-dropping-particle":"","parse-names":false,"suffix":""},{"dropping-particle":"","family":"Baker","given":"C. S.","non-dropping-particle":"","parse-names":false,"suffix":""},{"dropping-particle":"","family":"Banks","given":"G.","non-dropping-particle":"","parse-names":false,"suffix":""},{"dropping-particle":"","family":"Belov","given":"K.","non-dropping-particle":"","parse-names":false,"suffix":""},{"dropping-particle":"","family":"Bennett","given":"N. C.","non-dropping-particle":"","parse-names":false,"suffix":""},{"dropping-particle":"","family":"Black","given":"P.","non-dropping-particle":"","parse-names":false,"suffix":""},{"dropping-particle":"","family":"Blumstein","given":"D. T.","non-dropping-particle":"","parse-names":false,"suffix":""},{"dropping-particle":"","family":"Bors","given":"E. K.","non-dropping-particle":"","parse-names":false,"suffix":""},{"dropping-particle":"","family":"Breeze","given":"C. E.","non-dropping-particle":"","parse-names":false,"suffix":""},{"dropping-particle":"","family":"Brooke","given":"R. T.","non-dropping-particle":"","parse-names":false,"suffix":""},{"dropping-particle":"","family":"Brown","given":"J. L.","non-dropping-particle":"","parse-names":false,"suffix":""},{"dropping-particle":"","family":"Carter","given":"G. G.","non-dropping-particle":"","parse-names":false,"suffix":""},{"dropping-particle":"","family":"Caulton","given":"A.","non-dropping-particle":"","parse-names":false,"suffix":""},{"dropping-particle":"","family":"Cavin","given":"J. M.","non-dropping-particle":"","parse-names":false,"suffix":""},{"dropping-particle":"","family":"Chakrabarti","given":"L.","non-dropping-particle":"","parse-names":false,"suffix":""},{"dropping-particle":"","family":"Chatzistamou","given":"I.","non-dropping-particle":"","parse-names":false,"suffix":""},{"dropping-particle":"","family":"Chen","given":"H.","non-dropping-particle":"","parse-names":false,"suffix":""},{"dropping-particle":"","family":"Cheng","given":"K.","non-dropping-particle":"","parse-names":false,"suffix":""},{"dropping-particle":"","family":"Chiavellini","given":"P.","non-dropping-particle":"","parse-names":false,"suffix":""},{"dropping-particle":"","family":"Choi","given":"O. W.","non-dropping-particle":"","parse-names":false,"suffix":""},{"dropping-particle":"","family":"Clarke","given":"S. M.","non-dropping-particle":"","parse-names":false,"suffix":""},{"dropping-particle":"","family":"Cooper","given":"L. N.","non-dropping-particle":"","parse-names":false,"suffix":""},{"dropping-particle":"","family":"Cossette","given":"M. L.","non-dropping-particle":"","parse-names":false,"suffix":""},{"dropping-particle":"","family":"Day","given":"J.","non-dropping-particle":"","parse-names":false,"suffix":""},{"dropping-particle":"","family":"DeYoung","given":"J.","non-dropping-particle":"","parse-names":false,"suffix":""},{"dropping-particle":"","family":"DiRocco","given":"S.","non-dropping-particle":"","parse-names":false,"suffix":""},{"dropping-particle":"","family":"Dold","given":"C.","non-dropping-particle":"","parse-names":false,"suffix":""},{"dropping-particle":"","family":"Ehmke","given":"E. E.","non-dropping-particle":"","parse-names":false,"suffix":""},{"dropping-particle":"","family":"Emmons","given":"C. K.","non-dropping-particle":"","parse-names":false,"suffix":""},{"dropping-particle":"","family":"Emmrich","given":"S.","non-dropping-particle":"","parse-names":false,"suffix":""},{"dropping-particle":"","family":"Erbay","given":"E.","non-dropping-particle":"","parse-names":false,"suffix":""},{"dropping-particle":"","family":"Erlacher-Reid","given":"C.","non-dropping-particle":"","parse-names":false,"suffix":""},{"dropping-particle":"","family":"Faulkes","given":"C. G.","non-dropping-particle":"","parse-names":false,"suffix":""},{"dropping-particle":"","family":"Ferguson","given":"S. H.","non-dropping-particle":"","parse-names":false,"suffix":""},{"dropping-particle":"","family":"Finno","given":"C. J.","non-dropping-particle":"","parse-names":false,"suffix":""},{"dropping-particle":"","family":"Flower","given":"J. E.","non-dropping-particle":"","parse-names":false,"suffix":""},{"dropping-particle":"","family":"Gaillard","given":"J. M.","non-dropping-particle":"","parse-names":false,"suffix":""},{"dropping-particle":"","family":"Garde","given":"E.","non-dropping-particle":"","parse-names":false,"suffix":""},{"dropping-particle":"","family":"Gerber","given":"L.","non-dropping-particle":"","parse-names":false,"suffix":""},{"dropping-particle":"","family":"Gladyshev","given":"V. N.","non-dropping-particle":"","parse-names":false,"suffix":""},{"dropping-particle":"","family":"Gorbunova","given":"V.","non-dropping-particle":"","parse-names":false,"suffix":""},{"dropping-particle":"","family":"Goya","given":"R. G.","non-dropping-particle":"","parse-names":false,"suffix":""},{"dropping-particle":"","family":"Grant","given":"M. J.","non-dropping-particle":"","parse-names":false,"suffix":""},{"dropping-particle":"","family":"Green","given":"C. B.","non-dropping-particle":"","parse-names":false,"suffix":""},{"dropping-particle":"","family":"Hales","given":"E. N.","non-dropping-particle":"","parse-names":false,"suffix":""},{"dropping-particle":"","family":"Hanson","given":"M. B.","non-dropping-particle":"","parse-names":false,"suffix":""},{"dropping-particle":"","family":"Hart","given":"D. W.","non-dropping-particle":"","parse-names":false,"suffix":""},{"dropping-particle":"","family":"Haulena","given":"M.","non-dropping-particle":"","parse-names":false,"suffix":""},{"dropping-particle":"","family":"Herrick","given":"K.","non-dropping-particle":"","parse-names":false,"suffix":""},{"dropping-particle":"","family":"Hogan","given":"A. N.","non-dropping-particle":"","parse-names":false,"suffix":""},{"dropping-particle":"","family":"Hogg","given":"C. J.","non-dropping-particle":"","parse-names":false,"suffix":""},{"dropping-particle":"","family":"Hore","given":"T. A.","non-dropping-particle":"","parse-names":false,"suffix":""},{"dropping-particle":"","family":"Huang","given":"T.","non-dropping-particle":"","parse-names":false,"suffix":""},{"dropping-particle":"","family":"Izpisua Belmonte","given":"J. C.","non-dropping-particle":"","parse-names":false,"suffix":""},{"dropping-particle":"","family":"Jasinska","given":"A. J.","non-dropping-particle":"","parse-names":false,"suffix":""},{"dropping-particle":"","family":"Jones","given":"G.","non-dropping-particle":"","parse-names":false,"suffix":""},{"dropping-particle":"","family":"Jourdain","given":"E.","non-dropping-particle":"","parse-names":false,"suffix":""},{"dropping-particle":"","family":"Kashpur","given":"O.","non-dropping-particle":"","parse-names":false,"suffix":""},{"dropping-particle":"","family":"Katcher","given":"H.","non-dropping-particle":"","parse-names":false,"suffix":""},{"dropping-particle":"","family":"Katsumata","given":"E.","non-dropping-particle":"","parse-names":false,"suffix":""},{"dropping-particle":"","family":"Kaza","given":"V.","non-dropping-particle":"","parse-names":false,"suffix":""},{"dropping-particle":"","family":"Kiaris","given":"H.","non-dropping-particle":"","parse-names":false,"suffix":""},{"dropping-particle":"","family":"Kobor","given":"M. S.","non-dropping-particle":"","parse-names":false,"suffix":""},{"dropping-particle":"","family":"Kordowitzki","given":"P.","non-dropping-particle":"","parse-names":false,"suffix":""},{"dropping-particle":"","family":"Koski","given":"W. R.","non-dropping-particle":"","parse-names":false,"suffix":""},{"dropping-particle":"","family":"Krützen","given":"M.","non-dropping-particle":"","parse-names":false,"suffix":""},{"dropping-particle":"","family":"Kwon","given":"S. B.","non-dropping-particle":"","parse-names":false,"suffix":""},{"dropping-particle":"","family":"Larison","given":"B.","non-dropping-particle":"","parse-names":false,"suffix":""},{"dropping-particle":"","family":"Lee","given":"S. G.","non-dropping-particle":"","parse-names":false,"suffix":""},{"dropping-particle":"","family":"Lehmann","given":"M.","non-dropping-particle":"","parse-names":false,"suffix":""},{"dropping-particle":"","family":"Lemaitre","given":"J. F.","non-dropping-particle":"","parse-names":false,"suffix":""},{"dropping-particle":"","family":"Levine","given":"A. J.","non-dropping-particle":"","parse-names":false,"suffix":""},{"dropping-particle":"","family":"Li","given":"C.","non-dropping-particle":"","parse-names":false,"suffix":""},{"dropping-particle":"","family":"Li","given":"X.","non-dropping-particle":"","parse-names":false,"suffix":""},{"dropping-particle":"","family":"Lim","given":"A. R.","non-dropping-particle":"","parse-names":false,"suffix":""},{"dropping-particle":"","family":"Lin","given":"D. T.S.","non-dropping-particle":"","parse-names":false,"suffix":""},{"dropping-particle":"","family":"Lindemann","given":"D. M.","non-dropping-particle":"","parse-names":false,"suffix":""},{"dropping-particle":"","family":"Little","given":"T. J.","non-dropping-particle":"","parse-names":false,"suffix":""},{"dropping-particle":"","family":"Macoretta","given":"N.","non-dropping-particle":"","parse-names":false,"suffix":""},{"dropping-particle":"","family":"Maddox","given":"D.","non-dropping-particle":"","parse-names":false,"suffix":""},{"dropping-particle":"","family":"Matkin","given":"C. O.","non-dropping-particle":"","parse-names":false,"suffix":""},{"dropping-particle":"","family":"Mattison","given":"J. A.","non-dropping-particle":"","parse-names":false,"suffix":""},{"dropping-particle":"","family":"McClure","given":"M.","non-dropping-particle":"","parse-names":false,"suffix":""},{"dropping-particle":"","family":"Mergl","given":"J.","non-dropping-particle":"","parse-names":false,"suffix":""},{"dropping-particle":"","family":"Meudt","given":"J. J.","non-dropping-particle":"","parse-names":false,"suffix":""},{"dropping-particle":"","family":"Montano","given":"G. A.","non-dropping-particle":"","parse-names":false,"suffix":""},{"dropping-particle":"","family":"Mozhui","given":"K.","non-dropping-particle":"","parse-names":false,"suffix":""},{"dropping-particle":"","family":"Munshi-South","given":"J.","non-dropping-particle":"","parse-names":false,"suffix":""},{"dropping-particle":"","family":"Naderi","given":"A.","non-dropping-particle":"","parse-names":false,"suffix":""},{"dropping-particle":"","family":"Nagy","given":"M.","non-dropping-particle":"","parse-names":false,"suffix":""},{"dropping-particle":"","family":"Narayan","given":"P.","non-dropping-particle":"","parse-names":false,"suffix":""},{"dropping-particle":"","family":"Nathanielsz","given":"P. W.","non-dropping-particle":"","parse-names":false,"suffix":""},{"dropping-particle":"","family":"Nguyen","given":"N. B.","non-dropping-particle":"","parse-names":false,"suffix":""},{"dropping-particle":"","family":"Niehrs","given":"C.","non-dropping-particle":"","parse-names":false,"suffix":""},{"dropping-particle":"","family":"O’Brien","given":"J. K.","non-dropping-particle":"","parse-names":false,"suffix":""},{"dropping-particle":"","family":"O’Tierney Ginn","given":"P.","non-dropping-particle":"","parse-names":false,"suffix":""},{"dropping-particle":"","family":"Odom","given":"D. T.","non-dropping-particle":"","parse-names":false,"suffix":""},{"dropping-particle":"","family":"Ophir","given":"A. G.","non-dropping-particle":"","parse-names":false,"suffix":""},{"dropping-particle":"","family":"Osborn","given":"S.","non-dropping-particle":"","parse-names":false,"suffix":""},{"dropping-particle":"","family":"Ostrander","given":"E. A.","non-dropping-particle":"","parse-names":false,"suffix":""},{"dropping-particle":"","family":"Parsons","given":"K. M.","non-dropping-particle":"","parse-names":false,"suffix":""},{"dropping-particle":"","family":"Paul","given":"K. C.","non-dropping-particle":"","parse-names":false,"suffix":""},{"dropping-particle":"","family":"Pellegrini","given":"M.","non-dropping-particle":"","parse-names":false,"suffix":""},{"dropping-particle":"","family":"Peters","given":"K. J.","non-dropping-particle":"","parse-names":false,"suffix":""},{"dropping-particle":"","family":"Pedersen","given":"A. B.","non-dropping-particle":"","parse-names":false,"suffix":""},{"dropping-particle":"","family":"Petersen","given":"J. L.","non-dropping-particle":"","parse-names":false,"suffix":""},{"dropping-particle":"","family":"Pietersen","given":"D. W.","non-dropping-particle":"","parse-names":false,"suffix":""},{"dropping-particle":"","family":"Pinho","given":"G. M.","non-dropping-particle":"","parse-names":false,"suffix":""},{"dropping-particle":"","family":"Plassais","given":"J.","non-dropping-particle":"","parse-names":false,"suffix":""},{"dropping-particle":"","family":"Poganik","given":"J. R.","non-dropping-particle":"","parse-names":false,"suffix":""},{"dropping-particle":"","family":"Prado","given":"N. A.","non-dropping-particle":"","parse-names":false,"suffix":""},{"dropping-particle":"","family":"Reddy","given":"P.","non-dropping-particle":"","parse-names":false,"suffix":""},{"dropping-particle":"","family":"Rey","given":"B.","non-dropping-particle":"","parse-names":false,"suffix":""},{"dropping-particle":"","family":"Ritz","given":"B. R.","non-dropping-particle":"","parse-names":false,"suffix":""},{"dropping-particle":"","family":"Robbins","given":"J.","non-dropping-particle":"","parse-names":false,"suffix":""},{"dropping-particle":"","family":"Rodriguez","given":"M.","non-dropping-particle":"","parse-names":false,"suffix":""},{"dropping-particle":"","family":"Russell","given":"J.","non-dropping-particle":"","parse-names":false,"suffix":""},{"dropping-particle":"","family":"Rydkina","given":"E.","non-dropping-particle":"","parse-names":false,"suffix":""},{"dropping-particle":"","family":"Sailer","given":"L. L.","non-dropping-particle":"","parse-names":false,"suffix":""},{"dropping-particle":"","family":"Salmon","given":"A. B.","non-dropping-particle":"","parse-names":false,"suffix":""},{"dropping-particle":"","family":"Sanghavi","given":"A.","non-dropping-particle":"","parse-names":false,"suffix":""},{"dropping-particle":"","family":"Schachtschneider","given":"K. M.","non-dropping-particle":"","parse-names":false,"suffix":""},{"dropping-particle":"","family":"Schmitt","given":"D.","non-dropping-particle":"","parse-names":false,"suffix":""},{"dropping-particle":"","family":"Schmitt","given":"T.","non-dropping-particle":"","parse-names":false,"suffix":""},{"dropping-particle":"","family":"Schomacher","given":"L.","non-dropping-particle":"","parse-names":false,"suffix":""},{"dropping-particle":"","family":"Schook","given":"L. B.","non-dropping-particle":"","parse-names":false,"suffix":""},{"dropping-particle":"","family":"Sears","given":"K. E.","non-dropping-particle":"","parse-names":false,"suffix":""},{"dropping-particle":"","family":"Seifert","given":"A. W.","non-dropping-particle":"","parse-names":false,"suffix":""},{"dropping-particle":"","family":"Seluanov","given":"A.","non-dropping-particle":"","parse-names":false,"suffix":""},{"dropping-particle":"","family":"Shafer","given":"A. B.A.","non-dropping-particle":"","parse-names":false,"suffix":""},{"dropping-particle":"","family":"Shanmuganayagam","given":"D.","non-dropping-particle":"","parse-names":false,"suffix":""},{"dropping-particle":"V.","family":"Shindyapina","given":"A.","non-dropping-particle":"","parse-names":false,"suffix":""},{"dropping-particle":"","family":"Simmons","given":"M.","non-dropping-particle":"","parse-names":false,"suffix":""},{"dropping-particle":"","family":"Singh","given":"K.","non-dropping-particle":"","parse-names":false,"suffix":""},{"dropping-particle":"","family":"Sinha","given":"I.","non-dropping-particle":"","parse-names":false,"suffix":""},{"dropping-particle":"","family":"Slone","given":"J.","non-dropping-particle":"","parse-names":false,"suffix":""},{"dropping-particle":"","family":"Snell","given":"R. G.","non-dropping-particle":"","parse-names":false,"suffix":""},{"dropping-particle":"","family":"Soltanmaohammadi","given":"E.","non-dropping-particle":"","parse-names":false,"suffix":""},{"dropping-particle":"","family":"Spangler","given":"M. L.","non-dropping-particle":"","parse-names":false,"suffix":""},{"dropping-particle":"","family":"Spriggs","given":"M. C.","non-dropping-particle":"","parse-names":false,"suffix":""},{"dropping-particle":"","family":"Staggs","given":"L.","non-dropping-particle":"","parse-names":false,"suffix":""},{"dropping-particle":"","family":"Stedman","given":"N.","non-dropping-particle":"","parse-names":false,"suffix":""},{"dropping-particle":"","family":"Steinman","given":"K. J.","non-dropping-particle":"","parse-names":false,"suffix":""},{"dropping-particle":"","family":"Stewart","given":"D. T.","non-dropping-particle":"","parse-names":false,"suffix":""},{"dropping-particle":"","family":"Sugrue","given":"V. J.","non-dropping-particle":"","parse-names":false,"suffix":""},{"dropping-particle":"","family":"Szladovits","given":"B.","non-dropping-particle":"","parse-names":false,"suffix":""},{"dropping-particle":"","family":"Takahashi","given":"J. S.","non-dropping-particle":"","parse-names":false,"suffix":""},{"dropping-particle":"","family":"Takasugi","given":"M.","non-dropping-particle":"","parse-names":false,"suffix":""},{"dropping-particle":"","family":"Teeling","given":"E. C.","non-dropping-particle":"","parse-names":false,"suffix":""},{"dropping-particle":"","family":"Thompson","given":"M. J.","non-dropping-particle":"","parse-names":false,"suffix":""},{"dropping-particle":"","family":"Bonn","given":"B.","non-dropping-particle":"Van","parse-names":false,"suffix":""},{"dropping-particle":"","family":"Vernes","given":"S. C.","non-dropping-particle":"","parse-names":false,"suffix":""},{"dropping-particle":"","family":"Villar","given":"D.","non-dropping-particle":"","parse-names":false,"suffix":""},{"dropping-particle":"V.","family":"Vinters","given":"H.","non-dropping-particle":"","parse-names":false,"suffix":""},{"dropping-particle":"","family":"Wallingford","given":"M. C.","non-dropping-particle":"","parse-names":false,"suffix":""},{"dropping-particle":"","family":"Wang","given":"N.","non-dropping-particle":"","parse-names":false,"suffix":""},{"dropping-particle":"","family":"Wayne","given":"R. K.","non-dropping-particle":"","parse-names":false,"suffix":""},{"dropping-particle":"","family":"Wilkinson","given":"G. S.","non-dropping-particle":"","parse-names":false,"suffix":""},{"dropping-particle":"","family":"Williams","given":"C. K.","non-dropping-particle":"","parse-names":false,"suffix":""},{"dropping-particle":"","family":"Williams","given":"R. W.","non-dropping-particle":"","parse-names":false,"suffix":""},{"dropping-particle":"","family":"Yang","given":"X. W.","non-dropping-particle":"","parse-names":false,"suffix":""},{"dropping-particle":"","family":"Yao","given":"M.","non-dropping-particle":"","parse-names":false,"suffix":""},{"dropping-particle":"","family":"Young","given":"B. G.","non-dropping-particle":"","parse-names":false,"suffix":""},{"dropping-particle":"","family":"Zhang","given":"B.","non-dropping-particle":"","parse-names":false,"suffix":""},{"dropping-particle":"","family":"Zhang","given":"Z.","non-dropping-particle":"","parse-names":false,"suffix":""},{"dropping-particle":"","family":"Zhao","given":"P.","non-dropping-particle":"","parse-names":false,"suffix":""},{"dropping-particle":"","family":"Zhao","given":"Y.","non-dropping-particle":"","parse-names":false,"suffix":""},{"dropping-particle":"","family":"Zhou","given":"W.","non-dropping-particle":"","parse-names":false,"suffix":""},{"dropping-particle":"","family":"Zimmermann","given":"J.","non-dropping-particle":"","parse-names":false,"suffix":""},{"dropping-particle":"","family":"Ernst","given":"J.","non-dropping-particle":"","parse-names":false,"suffix":""},{"dropping-particle":"","family":"Raj","given":"K.","non-dropping-particle":"","parse-names":false,"suffix":""},{"dropping-particle":"","family":"Horvath","given":"S.","non-dropping-particle":"","parse-names":false,"suffix":""}],"container-title":"Nature Aging","id":"ITEM-1","issue":"9","issued":{"date-parts":[["2023"]]},"page":"1144-1166","title":"Universal DNA methylation age across mammalian tissues","type":"article-journal","volume":"3"},"uris":["http://www.mendeley.com/documents/?uuid=4654aceb-51e6-47d2-8769-bbc635c603ea"]}],"mendeley":{"formattedCitation":"[37]","plainTextFormattedCitation":"[37]","previouslyFormattedCitation":"[36]"},"properties":{"noteIndex":0},"schema":"https://github.com/citation-style-language/schema/raw/master/csl-citation.json"}</w:instrText>
      </w:r>
      <w:r w:rsidRPr="00D44C0B">
        <w:rPr>
          <w:rFonts w:ascii="Times New Roman" w:hAnsi="Times New Roman" w:cs="Times New Roman"/>
          <w:i/>
          <w:iCs/>
          <w:highlight w:val="yellow"/>
        </w:rPr>
        <w:fldChar w:fldCharType="separate"/>
      </w:r>
      <w:r w:rsidRPr="00D44C0B">
        <w:rPr>
          <w:rFonts w:ascii="Times New Roman" w:hAnsi="Times New Roman" w:cs="Times New Roman"/>
          <w:i/>
          <w:iCs/>
          <w:noProof/>
          <w:highlight w:val="yellow"/>
        </w:rPr>
        <w:t>[37]</w:t>
      </w:r>
      <w:r w:rsidRPr="00D44C0B">
        <w:rPr>
          <w:rFonts w:ascii="Times New Roman" w:hAnsi="Times New Roman" w:cs="Times New Roman"/>
          <w:i/>
          <w:iCs/>
          <w:highlight w:val="yellow"/>
        </w:rPr>
        <w:fldChar w:fldCharType="end"/>
      </w:r>
      <w:r w:rsidRPr="00D44C0B">
        <w:rPr>
          <w:rFonts w:ascii="Times New Roman" w:hAnsi="Times New Roman" w:cs="Times New Roman"/>
          <w:i/>
          <w:iCs/>
          <w:highlight w:val="yellow"/>
        </w:rPr>
        <w:t xml:space="preserve">. Also, the aging immune system, the balance of antibody-producing cells and T cells is strongly age-dependent and has an impact on the ability to respond to several infections </w:t>
      </w:r>
      <w:r w:rsidRPr="00D44C0B">
        <w:rPr>
          <w:rFonts w:ascii="Times New Roman" w:hAnsi="Times New Roman" w:cs="Times New Roman"/>
          <w:i/>
          <w:iCs/>
          <w:highlight w:val="yellow"/>
        </w:rPr>
        <w:fldChar w:fldCharType="begin" w:fldLock="1"/>
      </w:r>
      <w:r w:rsidRPr="00D44C0B">
        <w:rPr>
          <w:rFonts w:ascii="Times New Roman" w:hAnsi="Times New Roman" w:cs="Times New Roman"/>
          <w:i/>
          <w:iCs/>
          <w:highlight w:val="yellow"/>
        </w:rPr>
        <w:instrText>ADDIN CSL_CITATION {"citationItems":[{"id":"ITEM-1","itemData":{"DOI":"10.1038/s41586-024-07238-x","ISSN":"14764687","PMID":"38538791","abstract":"Ageing of the immune system is characterized by decreased lymphopoiesis and adaptive immunity, and increased inflammation and myeloid pathologies1,2. Age-related changes in populations of self-renewing haematopoietic stem cells (HSCs) are thought to underlie these phenomena3. During youth, HSCs with balanced output of lymphoid and myeloid cells (bal-HSCs) predominate over HSCs with myeloid-biased output (my-HSCs), thereby promoting the lymphopoiesis required for initiating adaptive immune responses, while limiting the production of myeloid cells, which can be pro-inflammatory4. Ageing is associated with increased proportions of my-HSCs, resulting in decreased lymphopoiesis and increased myelopoiesis3,5,6. Transfer of bal-HSCs results in abundant lymphoid and myeloid cells, a stable phenotype that is retained after secondary transfer; my-HSCs also retain their patterns of production after secondary transfer5. The origin and potential interconversion of these two subsets is still unclear. If they are separate subsets postnatally, it might be possible to reverse the ageing phenotype by eliminating my-HSCs in aged mice. Here we demonstrate that antibody-mediated depletion of my-HSCs in aged mice restores characteristic features of a more youthful immune system, including increasing common lymphocyte progenitors, naive T cells and B cells, while decreasing age-related markers of immune decline. Depletion of my-HSCs in aged mice improves primary and secondary adaptive immune responses to viral infection. These findings may have relevance to the understanding and intervention of diseases exacerbated or caused by dominance of the haematopoietic system by my-HSCs.","author":[{"dropping-particle":"","family":"Ross","given":"Jason B.","non-dropping-particle":"","parse-names":false,"suffix":""},{"dropping-particle":"","family":"Myers","given":"Lara M.","non-dropping-particle":"","parse-names":false,"suffix":""},{"dropping-particle":"","family":"Noh","given":"Joseph J.","non-dropping-particle":"","parse-names":false,"suffix":""},{"dropping-particle":"","family":"Collins","given":"Madison M.","non-dropping-particle":"","parse-names":false,"suffix":""},{"dropping-particle":"","family":"Carmody","given":"Aaron B.","non-dropping-particle":"","parse-names":false,"suffix":""},{"dropping-particle":"","family":"Messer","given":"Ronald J.","non-dropping-particle":"","parse-names":false,"suffix":""},{"dropping-particle":"","family":"Dhuey","given":"Erica","non-dropping-particle":"","parse-names":false,"suffix":""},{"dropping-particle":"","family":"Hasenkrug","given":"Kim J.","non-dropping-particle":"","parse-names":false,"suffix":""},{"dropping-particle":"","family":"Weissman","given":"Irving L.","non-dropping-particle":"","parse-names":false,"suffix":""}],"container-title":"Nature","id":"ITEM-1","issue":"8006","issued":{"date-parts":[["2024"]]},"page":"162-170","publisher":"Springer US","title":"Depleting myeloid-biased haematopoietic stem cells rejuvenates aged immunity","type":"article-journal","volume":"628"},"uris":["http://www.mendeley.com/documents/?uuid=3090391a-6505-49e6-b220-f93ac8926cc7"]}],"mendeley":{"formattedCitation":"[38]","plainTextFormattedCitation":"[38]","previouslyFormattedCitation":"[37]"},"properties":{"noteIndex":0},"schema":"https://github.com/citation-style-language/schema/raw/master/csl-citation.json"}</w:instrText>
      </w:r>
      <w:r w:rsidRPr="00D44C0B">
        <w:rPr>
          <w:rFonts w:ascii="Times New Roman" w:hAnsi="Times New Roman" w:cs="Times New Roman"/>
          <w:i/>
          <w:iCs/>
          <w:highlight w:val="yellow"/>
        </w:rPr>
        <w:fldChar w:fldCharType="separate"/>
      </w:r>
      <w:r w:rsidRPr="00D44C0B">
        <w:rPr>
          <w:rFonts w:ascii="Times New Roman" w:hAnsi="Times New Roman" w:cs="Times New Roman"/>
          <w:i/>
          <w:iCs/>
          <w:noProof/>
          <w:highlight w:val="yellow"/>
        </w:rPr>
        <w:t>[38]</w:t>
      </w:r>
      <w:r w:rsidRPr="00D44C0B">
        <w:rPr>
          <w:rFonts w:ascii="Times New Roman" w:hAnsi="Times New Roman" w:cs="Times New Roman"/>
          <w:i/>
          <w:iCs/>
          <w:highlight w:val="yellow"/>
        </w:rPr>
        <w:fldChar w:fldCharType="end"/>
      </w:r>
      <w:r w:rsidRPr="00D44C0B">
        <w:rPr>
          <w:rFonts w:ascii="Times New Roman" w:hAnsi="Times New Roman" w:cs="Times New Roman"/>
          <w:i/>
          <w:iCs/>
          <w:highlight w:val="yellow"/>
        </w:rPr>
        <w:t>. Thus, any observed genetic-by-age interaction could potentially be explained by genetic-by-CpG interactions or be linked to mechanisms that are related to the age-dependent immune system</w:t>
      </w:r>
      <w:r w:rsidRPr="00D44C0B">
        <w:rPr>
          <w:rFonts w:ascii="Times New Roman" w:hAnsi="Times New Roman" w:cs="Times New Roman"/>
          <w:highlight w:val="yellow"/>
        </w:rPr>
        <w:t xml:space="preserve">. </w:t>
      </w:r>
      <w:bookmarkEnd w:id="8"/>
    </w:p>
    <w:p w14:paraId="23023639" w14:textId="77777777" w:rsidR="00403A2B" w:rsidRPr="00D44C0B" w:rsidRDefault="00403A2B" w:rsidP="00736889">
      <w:pPr>
        <w:spacing w:line="276" w:lineRule="auto"/>
        <w:jc w:val="both"/>
        <w:rPr>
          <w:rFonts w:ascii="Times New Roman" w:hAnsi="Times New Roman" w:cs="Times New Roman"/>
          <w:lang w:val="en-US"/>
        </w:rPr>
      </w:pPr>
    </w:p>
    <w:p w14:paraId="1FF2CE6C" w14:textId="47ACB2A2" w:rsidR="00600DB1" w:rsidRPr="00D44C0B" w:rsidRDefault="00600DB1" w:rsidP="00736889">
      <w:pPr>
        <w:pStyle w:val="Heading1"/>
        <w:spacing w:before="0" w:line="276" w:lineRule="auto"/>
        <w:contextualSpacing/>
        <w:jc w:val="both"/>
        <w:rPr>
          <w:rFonts w:ascii="Times New Roman" w:hAnsi="Times New Roman" w:cs="Times New Roman"/>
          <w:b/>
          <w:color w:val="2F5496" w:themeColor="accent5" w:themeShade="BF"/>
          <w:sz w:val="22"/>
          <w:szCs w:val="22"/>
          <w:lang w:val="en-US"/>
        </w:rPr>
      </w:pPr>
      <w:r w:rsidRPr="00D44C0B">
        <w:rPr>
          <w:rFonts w:ascii="Times New Roman" w:hAnsi="Times New Roman" w:cs="Times New Roman"/>
          <w:b/>
          <w:color w:val="2F5496" w:themeColor="accent5" w:themeShade="BF"/>
          <w:sz w:val="22"/>
          <w:szCs w:val="22"/>
          <w:lang w:val="en-US"/>
        </w:rPr>
        <w:t>Reviewer #2:</w:t>
      </w:r>
    </w:p>
    <w:p w14:paraId="106B22B2" w14:textId="77777777" w:rsidR="00600DB1" w:rsidRPr="00D44C0B" w:rsidRDefault="00600DB1" w:rsidP="00736889">
      <w:pPr>
        <w:spacing w:line="276" w:lineRule="auto"/>
        <w:jc w:val="both"/>
        <w:rPr>
          <w:rFonts w:ascii="Times New Roman" w:hAnsi="Times New Roman" w:cs="Times New Roman"/>
          <w:lang w:val="en-US"/>
        </w:rPr>
      </w:pPr>
    </w:p>
    <w:p w14:paraId="2E0C6CE6" w14:textId="77777777" w:rsidR="00600DB1" w:rsidRPr="00D44C0B" w:rsidRDefault="00600DB1" w:rsidP="00736889">
      <w:pPr>
        <w:autoSpaceDE w:val="0"/>
        <w:autoSpaceDN w:val="0"/>
        <w:adjustRightInd w:val="0"/>
        <w:spacing w:after="0" w:line="276" w:lineRule="auto"/>
        <w:jc w:val="both"/>
        <w:rPr>
          <w:rFonts w:ascii="Times New Roman" w:hAnsi="Times New Roman" w:cs="Times New Roman"/>
          <w:color w:val="2F5496" w:themeColor="accent5" w:themeShade="BF"/>
        </w:rPr>
      </w:pPr>
      <w:r w:rsidRPr="00D44C0B">
        <w:rPr>
          <w:rFonts w:ascii="Times New Roman" w:hAnsi="Times New Roman" w:cs="Times New Roman"/>
          <w:color w:val="2F5496" w:themeColor="accent5" w:themeShade="BF"/>
        </w:rPr>
        <w:t>The authors describe and conduct a 2-stage approach for detecting genetic-by-age interactions, which includes a pre screening step and an independent longitudinal analysis. While the presented analyses are performed across a variety of phenotypes with abundant data and visualizations, I have a few comments:</w:t>
      </w:r>
    </w:p>
    <w:p w14:paraId="196E6672" w14:textId="77777777" w:rsidR="00D03B3B" w:rsidRPr="00D44C0B" w:rsidRDefault="00D03B3B" w:rsidP="00736889">
      <w:pPr>
        <w:autoSpaceDE w:val="0"/>
        <w:autoSpaceDN w:val="0"/>
        <w:adjustRightInd w:val="0"/>
        <w:spacing w:after="0" w:line="276" w:lineRule="auto"/>
        <w:jc w:val="both"/>
        <w:rPr>
          <w:rFonts w:ascii="Times New Roman" w:hAnsi="Times New Roman" w:cs="Times New Roman"/>
          <w:b/>
          <w:color w:val="000000" w:themeColor="text1"/>
          <w:lang w:val="en-US"/>
        </w:rPr>
      </w:pPr>
    </w:p>
    <w:p w14:paraId="2DBA79D7" w14:textId="5E98EDCD" w:rsidR="00600DB1" w:rsidRPr="00D44C0B" w:rsidRDefault="00D03B3B" w:rsidP="00736889">
      <w:pPr>
        <w:autoSpaceDE w:val="0"/>
        <w:autoSpaceDN w:val="0"/>
        <w:adjustRightInd w:val="0"/>
        <w:spacing w:after="0" w:line="276" w:lineRule="auto"/>
        <w:jc w:val="both"/>
        <w:rPr>
          <w:rFonts w:ascii="Times New Roman" w:hAnsi="Times New Roman" w:cs="Times New Roman"/>
          <w:i/>
          <w:iCs/>
          <w:color w:val="000000" w:themeColor="text1"/>
          <w:lang w:val="en-US"/>
        </w:rPr>
      </w:pPr>
      <w:r w:rsidRPr="00D44C0B">
        <w:rPr>
          <w:rFonts w:ascii="Times New Roman" w:hAnsi="Times New Roman" w:cs="Times New Roman"/>
          <w:b/>
          <w:i/>
          <w:iCs/>
          <w:color w:val="000000" w:themeColor="text1"/>
          <w:lang w:val="en-US"/>
        </w:rPr>
        <w:t xml:space="preserve">Response: </w:t>
      </w:r>
      <w:r w:rsidRPr="00D44C0B">
        <w:rPr>
          <w:rFonts w:ascii="Times New Roman" w:hAnsi="Times New Roman" w:cs="Times New Roman"/>
          <w:i/>
          <w:iCs/>
        </w:rPr>
        <w:t xml:space="preserve">We thank the reviewer for the thorough review, which helped us to improve the manuscript. </w:t>
      </w:r>
      <w:r w:rsidRPr="00D44C0B">
        <w:rPr>
          <w:rFonts w:ascii="Times New Roman" w:hAnsi="Times New Roman" w:cs="Times New Roman"/>
          <w:i/>
          <w:iCs/>
          <w:color w:val="000000" w:themeColor="text1"/>
          <w:lang w:val="en-US"/>
        </w:rPr>
        <w:t>We have addressed the comments below point-by-point and revised the manuscript accordingly (we marked all added and revised chapters and items in yellow in the manuscript).</w:t>
      </w:r>
    </w:p>
    <w:p w14:paraId="629C4151" w14:textId="77777777" w:rsidR="00164759" w:rsidRPr="00D44C0B" w:rsidRDefault="00164759" w:rsidP="00164759">
      <w:pPr>
        <w:spacing w:before="240" w:after="0" w:line="276" w:lineRule="auto"/>
        <w:jc w:val="both"/>
        <w:rPr>
          <w:rFonts w:ascii="Times New Roman" w:hAnsi="Times New Roman" w:cs="Times New Roman"/>
          <w:i/>
          <w:iCs/>
          <w:color w:val="000000" w:themeColor="text1"/>
          <w:lang w:val="en-US"/>
        </w:rPr>
      </w:pPr>
      <w:r w:rsidRPr="00D44C0B">
        <w:rPr>
          <w:rFonts w:ascii="Times New Roman" w:hAnsi="Times New Roman" w:cs="Times New Roman"/>
          <w:i/>
          <w:iCs/>
          <w:color w:val="000000" w:themeColor="text1"/>
          <w:lang w:val="en-US"/>
        </w:rPr>
        <w:t xml:space="preserve">In addition to the requested changes, we have decided to remove the kidney traits from this paper. The main reason for this was that kidney traits were the only one to use data outside of UK Biobank, which made the analysis workflow a little asymmetric and overly complex. There were also no novel findings for kidney. Given the additional analyses conducted for the revision, we decided to remove kidney traits in order to focus the paper on the interesting aspects while keeping the analyses symmetric. </w:t>
      </w:r>
    </w:p>
    <w:p w14:paraId="53EA67C8" w14:textId="77777777" w:rsidR="00164759" w:rsidRPr="00D44C0B" w:rsidRDefault="00164759" w:rsidP="00736889">
      <w:pPr>
        <w:autoSpaceDE w:val="0"/>
        <w:autoSpaceDN w:val="0"/>
        <w:adjustRightInd w:val="0"/>
        <w:spacing w:after="0" w:line="276" w:lineRule="auto"/>
        <w:jc w:val="both"/>
        <w:rPr>
          <w:rFonts w:ascii="Times New Roman" w:hAnsi="Times New Roman" w:cs="Times New Roman"/>
          <w:color w:val="2F5496" w:themeColor="accent5" w:themeShade="BF"/>
          <w:lang w:val="en-US"/>
        </w:rPr>
      </w:pPr>
    </w:p>
    <w:p w14:paraId="59FF2D86" w14:textId="77777777" w:rsidR="00D03B3B" w:rsidRPr="00D44C0B" w:rsidRDefault="00D03B3B" w:rsidP="00736889">
      <w:pPr>
        <w:autoSpaceDE w:val="0"/>
        <w:autoSpaceDN w:val="0"/>
        <w:adjustRightInd w:val="0"/>
        <w:spacing w:after="0" w:line="276" w:lineRule="auto"/>
        <w:jc w:val="both"/>
        <w:rPr>
          <w:rFonts w:ascii="Times New Roman" w:hAnsi="Times New Roman" w:cs="Times New Roman"/>
          <w:color w:val="2F5496" w:themeColor="accent5" w:themeShade="BF"/>
        </w:rPr>
      </w:pPr>
    </w:p>
    <w:p w14:paraId="65E0EF1E" w14:textId="77777777" w:rsidR="00600DB1" w:rsidRPr="00D44C0B" w:rsidRDefault="00600DB1" w:rsidP="00736889">
      <w:pPr>
        <w:autoSpaceDE w:val="0"/>
        <w:autoSpaceDN w:val="0"/>
        <w:adjustRightInd w:val="0"/>
        <w:spacing w:after="0" w:line="276" w:lineRule="auto"/>
        <w:jc w:val="both"/>
        <w:rPr>
          <w:rFonts w:ascii="Times New Roman" w:hAnsi="Times New Roman" w:cs="Times New Roman"/>
          <w:color w:val="2F5496" w:themeColor="accent5" w:themeShade="BF"/>
        </w:rPr>
      </w:pPr>
      <w:r w:rsidRPr="00D44C0B">
        <w:rPr>
          <w:rFonts w:ascii="Times New Roman" w:hAnsi="Times New Roman" w:cs="Times New Roman"/>
          <w:color w:val="2F5496" w:themeColor="accent5" w:themeShade="BF"/>
        </w:rPr>
        <w:t>Major comments:</w:t>
      </w:r>
    </w:p>
    <w:p w14:paraId="01422CB7" w14:textId="77777777" w:rsidR="00600DB1" w:rsidRPr="00D44C0B" w:rsidRDefault="00600DB1" w:rsidP="00736889">
      <w:pPr>
        <w:autoSpaceDE w:val="0"/>
        <w:autoSpaceDN w:val="0"/>
        <w:adjustRightInd w:val="0"/>
        <w:spacing w:after="0" w:line="276" w:lineRule="auto"/>
        <w:jc w:val="both"/>
        <w:rPr>
          <w:rFonts w:ascii="Times New Roman" w:hAnsi="Times New Roman" w:cs="Times New Roman"/>
          <w:color w:val="2F5496" w:themeColor="accent5" w:themeShade="BF"/>
        </w:rPr>
      </w:pPr>
    </w:p>
    <w:p w14:paraId="62BA21A6" w14:textId="6BF3818F" w:rsidR="00600DB1" w:rsidRPr="00D44C0B" w:rsidRDefault="00600DB1" w:rsidP="007E7EDC">
      <w:pPr>
        <w:pStyle w:val="ListParagraph"/>
        <w:numPr>
          <w:ilvl w:val="0"/>
          <w:numId w:val="19"/>
        </w:numPr>
        <w:autoSpaceDE w:val="0"/>
        <w:autoSpaceDN w:val="0"/>
        <w:adjustRightInd w:val="0"/>
        <w:spacing w:after="0" w:line="276" w:lineRule="auto"/>
        <w:jc w:val="both"/>
        <w:rPr>
          <w:rFonts w:ascii="Times New Roman" w:hAnsi="Times New Roman" w:cs="Times New Roman"/>
          <w:color w:val="2F5496" w:themeColor="accent5" w:themeShade="BF"/>
        </w:rPr>
      </w:pPr>
      <w:r w:rsidRPr="00D44C0B">
        <w:rPr>
          <w:rFonts w:ascii="Times New Roman" w:hAnsi="Times New Roman" w:cs="Times New Roman"/>
          <w:color w:val="2F5496" w:themeColor="accent5" w:themeShade="BF"/>
        </w:rPr>
        <w:t>Certain metrics (e.g. BMI) may increase over age. Is it possible to correct for e.g. BMI or other covariates that might partly explain the strong relationship between pulse pressure and age? How have you taken this into consideration (this was not clear from initial reading)?</w:t>
      </w:r>
    </w:p>
    <w:p w14:paraId="4C4415F4" w14:textId="77777777" w:rsidR="00A81C09" w:rsidRPr="00D44C0B" w:rsidRDefault="00A81C09" w:rsidP="00736889">
      <w:pPr>
        <w:autoSpaceDE w:val="0"/>
        <w:autoSpaceDN w:val="0"/>
        <w:adjustRightInd w:val="0"/>
        <w:spacing w:after="0" w:line="276" w:lineRule="auto"/>
        <w:jc w:val="both"/>
        <w:rPr>
          <w:rFonts w:ascii="Times New Roman" w:hAnsi="Times New Roman" w:cs="Times New Roman"/>
          <w:color w:val="2F5496" w:themeColor="accent5" w:themeShade="BF"/>
        </w:rPr>
      </w:pPr>
    </w:p>
    <w:p w14:paraId="0C141283" w14:textId="43C69C0D" w:rsidR="00C511AE" w:rsidRPr="00D44C0B" w:rsidRDefault="00B3101A" w:rsidP="00736889">
      <w:pPr>
        <w:autoSpaceDE w:val="0"/>
        <w:autoSpaceDN w:val="0"/>
        <w:adjustRightInd w:val="0"/>
        <w:spacing w:after="0" w:line="276" w:lineRule="auto"/>
        <w:jc w:val="both"/>
        <w:rPr>
          <w:rFonts w:ascii="Times New Roman" w:hAnsi="Times New Roman" w:cs="Times New Roman"/>
          <w:i/>
          <w:iCs/>
          <w:color w:val="000000" w:themeColor="text1"/>
        </w:rPr>
      </w:pPr>
      <w:r w:rsidRPr="00D44C0B">
        <w:rPr>
          <w:rFonts w:ascii="Times New Roman" w:hAnsi="Times New Roman" w:cs="Times New Roman"/>
          <w:b/>
          <w:i/>
          <w:iCs/>
          <w:color w:val="000000" w:themeColor="text1"/>
          <w:lang w:val="en-US"/>
        </w:rPr>
        <w:t xml:space="preserve">Response: </w:t>
      </w:r>
      <w:r w:rsidR="00C511AE" w:rsidRPr="00D44C0B">
        <w:rPr>
          <w:rFonts w:ascii="Times New Roman" w:hAnsi="Times New Roman" w:cs="Times New Roman"/>
          <w:i/>
          <w:iCs/>
          <w:color w:val="000000" w:themeColor="text1"/>
        </w:rPr>
        <w:t xml:space="preserve">We appreciate the reviewer’s feedback. We concur that any </w:t>
      </w:r>
      <w:proofErr w:type="spellStart"/>
      <w:r w:rsidR="00C511AE" w:rsidRPr="00D44C0B">
        <w:rPr>
          <w:rFonts w:ascii="Times New Roman" w:hAnsi="Times New Roman" w:cs="Times New Roman"/>
          <w:i/>
          <w:iCs/>
          <w:color w:val="000000" w:themeColor="text1"/>
        </w:rPr>
        <w:t>GxAge</w:t>
      </w:r>
      <w:proofErr w:type="spellEnd"/>
      <w:r w:rsidR="00C511AE" w:rsidRPr="00D44C0B">
        <w:rPr>
          <w:rFonts w:ascii="Times New Roman" w:hAnsi="Times New Roman" w:cs="Times New Roman"/>
          <w:i/>
          <w:iCs/>
          <w:color w:val="000000" w:themeColor="text1"/>
        </w:rPr>
        <w:t xml:space="preserve"> interaction identified could potentially reflect the interaction of the SNP with another age-dependent variable, such as BMI (</w:t>
      </w:r>
      <w:proofErr w:type="spellStart"/>
      <w:r w:rsidR="00C511AE" w:rsidRPr="00D44C0B">
        <w:rPr>
          <w:rFonts w:ascii="Times New Roman" w:hAnsi="Times New Roman" w:cs="Times New Roman"/>
          <w:i/>
          <w:iCs/>
          <w:color w:val="000000" w:themeColor="text1"/>
        </w:rPr>
        <w:t>GxAge</w:t>
      </w:r>
      <w:proofErr w:type="spellEnd"/>
      <w:r w:rsidR="00C511AE" w:rsidRPr="00D44C0B">
        <w:rPr>
          <w:rFonts w:ascii="Times New Roman" w:hAnsi="Times New Roman" w:cs="Times New Roman"/>
          <w:i/>
          <w:iCs/>
          <w:color w:val="000000" w:themeColor="text1"/>
        </w:rPr>
        <w:t xml:space="preserve"> might indeed be </w:t>
      </w:r>
      <w:proofErr w:type="spellStart"/>
      <w:r w:rsidR="00C511AE" w:rsidRPr="00D44C0B">
        <w:rPr>
          <w:rFonts w:ascii="Times New Roman" w:hAnsi="Times New Roman" w:cs="Times New Roman"/>
          <w:i/>
          <w:iCs/>
          <w:color w:val="000000" w:themeColor="text1"/>
        </w:rPr>
        <w:t>GxBMI</w:t>
      </w:r>
      <w:proofErr w:type="spellEnd"/>
      <w:r w:rsidR="00C511AE" w:rsidRPr="00D44C0B">
        <w:rPr>
          <w:rFonts w:ascii="Times New Roman" w:hAnsi="Times New Roman" w:cs="Times New Roman"/>
          <w:i/>
          <w:iCs/>
          <w:color w:val="000000" w:themeColor="text1"/>
        </w:rPr>
        <w:t xml:space="preserve">). The reason </w:t>
      </w:r>
      <w:proofErr w:type="spellStart"/>
      <w:r w:rsidR="00C511AE" w:rsidRPr="00D44C0B">
        <w:rPr>
          <w:rFonts w:ascii="Times New Roman" w:hAnsi="Times New Roman" w:cs="Times New Roman"/>
          <w:i/>
          <w:iCs/>
          <w:color w:val="000000" w:themeColor="text1"/>
        </w:rPr>
        <w:t>GxAge</w:t>
      </w:r>
      <w:proofErr w:type="spellEnd"/>
      <w:r w:rsidR="00C511AE" w:rsidRPr="00D44C0B">
        <w:rPr>
          <w:rFonts w:ascii="Times New Roman" w:hAnsi="Times New Roman" w:cs="Times New Roman"/>
          <w:i/>
          <w:iCs/>
          <w:color w:val="000000" w:themeColor="text1"/>
        </w:rPr>
        <w:t xml:space="preserve"> was detected may be because </w:t>
      </w:r>
      <w:proofErr w:type="spellStart"/>
      <w:r w:rsidR="00C511AE" w:rsidRPr="00D44C0B">
        <w:rPr>
          <w:rFonts w:ascii="Times New Roman" w:hAnsi="Times New Roman" w:cs="Times New Roman"/>
          <w:i/>
          <w:iCs/>
          <w:color w:val="000000" w:themeColor="text1"/>
        </w:rPr>
        <w:t>GxBMI</w:t>
      </w:r>
      <w:proofErr w:type="spellEnd"/>
      <w:r w:rsidR="00C511AE" w:rsidRPr="00D44C0B">
        <w:rPr>
          <w:rFonts w:ascii="Times New Roman" w:hAnsi="Times New Roman" w:cs="Times New Roman"/>
          <w:i/>
          <w:iCs/>
          <w:color w:val="000000" w:themeColor="text1"/>
        </w:rPr>
        <w:t xml:space="preserve"> was not included in the model as a covariate. It’s important to recognize that confounding of </w:t>
      </w:r>
      <w:proofErr w:type="spellStart"/>
      <w:r w:rsidR="00C511AE" w:rsidRPr="00D44C0B">
        <w:rPr>
          <w:rFonts w:ascii="Times New Roman" w:hAnsi="Times New Roman" w:cs="Times New Roman"/>
          <w:i/>
          <w:iCs/>
          <w:color w:val="000000" w:themeColor="text1"/>
        </w:rPr>
        <w:t>GxE</w:t>
      </w:r>
      <w:proofErr w:type="spellEnd"/>
      <w:r w:rsidR="00C511AE" w:rsidRPr="00D44C0B">
        <w:rPr>
          <w:rFonts w:ascii="Times New Roman" w:hAnsi="Times New Roman" w:cs="Times New Roman"/>
          <w:i/>
          <w:iCs/>
          <w:color w:val="000000" w:themeColor="text1"/>
        </w:rPr>
        <w:t xml:space="preserve"> by </w:t>
      </w:r>
      <w:proofErr w:type="spellStart"/>
      <w:r w:rsidR="00C511AE" w:rsidRPr="00D44C0B">
        <w:rPr>
          <w:rFonts w:ascii="Times New Roman" w:hAnsi="Times New Roman" w:cs="Times New Roman"/>
          <w:i/>
          <w:iCs/>
          <w:color w:val="000000" w:themeColor="text1"/>
        </w:rPr>
        <w:t>GxC</w:t>
      </w:r>
      <w:proofErr w:type="spellEnd"/>
      <w:r w:rsidR="00C511AE" w:rsidRPr="00D44C0B">
        <w:rPr>
          <w:rFonts w:ascii="Times New Roman" w:hAnsi="Times New Roman" w:cs="Times New Roman"/>
          <w:i/>
          <w:iCs/>
          <w:color w:val="000000" w:themeColor="text1"/>
        </w:rPr>
        <w:t xml:space="preserve"> can occur when E and C are correlated. To address this issue, we have performed sensitivity analyses by incorporating </w:t>
      </w:r>
      <w:proofErr w:type="spellStart"/>
      <w:r w:rsidR="00C511AE" w:rsidRPr="00D44C0B">
        <w:rPr>
          <w:rFonts w:ascii="Times New Roman" w:hAnsi="Times New Roman" w:cs="Times New Roman"/>
          <w:i/>
          <w:iCs/>
          <w:color w:val="000000" w:themeColor="text1"/>
        </w:rPr>
        <w:t>GxBMI</w:t>
      </w:r>
      <w:proofErr w:type="spellEnd"/>
      <w:r w:rsidR="00C511AE" w:rsidRPr="00D44C0B">
        <w:rPr>
          <w:rFonts w:ascii="Times New Roman" w:hAnsi="Times New Roman" w:cs="Times New Roman"/>
          <w:i/>
          <w:iCs/>
          <w:color w:val="000000" w:themeColor="text1"/>
        </w:rPr>
        <w:t xml:space="preserve"> interaction terms as covariates in the </w:t>
      </w:r>
      <w:proofErr w:type="spellStart"/>
      <w:r w:rsidR="00C511AE" w:rsidRPr="00D44C0B">
        <w:rPr>
          <w:rFonts w:ascii="Times New Roman" w:hAnsi="Times New Roman" w:cs="Times New Roman"/>
          <w:i/>
          <w:iCs/>
          <w:color w:val="000000" w:themeColor="text1"/>
        </w:rPr>
        <w:t>GxAge</w:t>
      </w:r>
      <w:proofErr w:type="spellEnd"/>
      <w:r w:rsidR="00C511AE" w:rsidRPr="00D44C0B">
        <w:rPr>
          <w:rFonts w:ascii="Times New Roman" w:hAnsi="Times New Roman" w:cs="Times New Roman"/>
          <w:i/>
          <w:iCs/>
          <w:color w:val="000000" w:themeColor="text1"/>
        </w:rPr>
        <w:t xml:space="preserve"> interaction model for pulse pressure. The results are detailed in the main text (p. 12):</w:t>
      </w:r>
    </w:p>
    <w:p w14:paraId="76EA9339" w14:textId="77777777" w:rsidR="00613BE2" w:rsidRPr="00D44C0B" w:rsidRDefault="00613BE2" w:rsidP="00736889">
      <w:pPr>
        <w:autoSpaceDE w:val="0"/>
        <w:autoSpaceDN w:val="0"/>
        <w:adjustRightInd w:val="0"/>
        <w:spacing w:after="0" w:line="276" w:lineRule="auto"/>
        <w:jc w:val="both"/>
        <w:rPr>
          <w:rFonts w:ascii="Times New Roman" w:hAnsi="Times New Roman" w:cs="Times New Roman"/>
          <w:i/>
          <w:iCs/>
          <w:highlight w:val="yellow"/>
        </w:rPr>
      </w:pPr>
    </w:p>
    <w:p w14:paraId="6AE81298" w14:textId="4B6A8290" w:rsidR="00613BE2" w:rsidRPr="00D44C0B" w:rsidRDefault="00613BE2" w:rsidP="00736889">
      <w:pPr>
        <w:autoSpaceDE w:val="0"/>
        <w:autoSpaceDN w:val="0"/>
        <w:adjustRightInd w:val="0"/>
        <w:spacing w:after="0" w:line="276" w:lineRule="auto"/>
        <w:jc w:val="both"/>
        <w:rPr>
          <w:rFonts w:ascii="Times New Roman" w:hAnsi="Times New Roman" w:cs="Times New Roman"/>
          <w:i/>
          <w:iCs/>
        </w:rPr>
      </w:pPr>
      <w:r w:rsidRPr="00D44C0B">
        <w:rPr>
          <w:rFonts w:ascii="Times New Roman" w:hAnsi="Times New Roman" w:cs="Times New Roman"/>
          <w:i/>
          <w:iCs/>
          <w:highlight w:val="yellow"/>
        </w:rPr>
        <w:t>The observed genetic-by-age interaction effects for pulse pressure were not confounded by genetic-by-BMI interaction in sensitivity analyses (</w:t>
      </w:r>
      <w:r w:rsidRPr="00D44C0B">
        <w:rPr>
          <w:rFonts w:ascii="Times New Roman" w:hAnsi="Times New Roman" w:cs="Times New Roman"/>
          <w:b/>
          <w:bCs/>
          <w:i/>
          <w:iCs/>
          <w:highlight w:val="yellow"/>
        </w:rPr>
        <w:t>Table S1</w:t>
      </w:r>
      <w:r w:rsidR="0017630E" w:rsidRPr="00D44C0B">
        <w:rPr>
          <w:rFonts w:ascii="Times New Roman" w:hAnsi="Times New Roman" w:cs="Times New Roman"/>
          <w:b/>
          <w:bCs/>
          <w:i/>
          <w:iCs/>
          <w:highlight w:val="yellow"/>
        </w:rPr>
        <w:t>8</w:t>
      </w:r>
      <w:r w:rsidR="00C511AE" w:rsidRPr="00D44C0B">
        <w:rPr>
          <w:rFonts w:ascii="Times New Roman" w:hAnsi="Times New Roman" w:cs="Times New Roman"/>
          <w:bCs/>
          <w:i/>
          <w:iCs/>
          <w:highlight w:val="yellow"/>
        </w:rPr>
        <w:t>)</w:t>
      </w:r>
      <w:r w:rsidRPr="00D44C0B">
        <w:rPr>
          <w:rFonts w:ascii="Times New Roman" w:hAnsi="Times New Roman" w:cs="Times New Roman"/>
          <w:i/>
          <w:iCs/>
          <w:highlight w:val="yellow"/>
        </w:rPr>
        <w:t xml:space="preserve">. </w:t>
      </w:r>
    </w:p>
    <w:p w14:paraId="5ED1625A" w14:textId="77777777" w:rsidR="00613BE2" w:rsidRPr="00D44C0B" w:rsidRDefault="00613BE2" w:rsidP="00736889">
      <w:pPr>
        <w:autoSpaceDE w:val="0"/>
        <w:autoSpaceDN w:val="0"/>
        <w:adjustRightInd w:val="0"/>
        <w:spacing w:after="0" w:line="276" w:lineRule="auto"/>
        <w:jc w:val="both"/>
        <w:rPr>
          <w:rFonts w:ascii="Times New Roman" w:hAnsi="Times New Roman" w:cs="Times New Roman"/>
          <w:i/>
          <w:iCs/>
          <w:color w:val="000000" w:themeColor="text1"/>
        </w:rPr>
      </w:pPr>
    </w:p>
    <w:p w14:paraId="36ABFAB8" w14:textId="26B42855" w:rsidR="00A81C09" w:rsidRPr="00D44C0B" w:rsidRDefault="00613BE2" w:rsidP="00736889">
      <w:pPr>
        <w:autoSpaceDE w:val="0"/>
        <w:autoSpaceDN w:val="0"/>
        <w:adjustRightInd w:val="0"/>
        <w:spacing w:after="0" w:line="276" w:lineRule="auto"/>
        <w:jc w:val="both"/>
        <w:rPr>
          <w:rFonts w:ascii="Times New Roman" w:hAnsi="Times New Roman" w:cs="Times New Roman"/>
          <w:i/>
          <w:iCs/>
          <w:color w:val="000000" w:themeColor="text1"/>
        </w:rPr>
      </w:pPr>
      <w:r w:rsidRPr="00D44C0B">
        <w:rPr>
          <w:rFonts w:ascii="Times New Roman" w:hAnsi="Times New Roman" w:cs="Times New Roman"/>
          <w:i/>
          <w:iCs/>
          <w:color w:val="000000" w:themeColor="text1"/>
        </w:rPr>
        <w:t xml:space="preserve">The </w:t>
      </w:r>
      <w:r w:rsidR="00C511AE" w:rsidRPr="00D44C0B">
        <w:rPr>
          <w:rFonts w:ascii="Times New Roman" w:hAnsi="Times New Roman" w:cs="Times New Roman"/>
          <w:i/>
          <w:iCs/>
          <w:color w:val="000000" w:themeColor="text1"/>
        </w:rPr>
        <w:t xml:space="preserve">sensitivity </w:t>
      </w:r>
      <w:r w:rsidRPr="00D44C0B">
        <w:rPr>
          <w:rFonts w:ascii="Times New Roman" w:hAnsi="Times New Roman" w:cs="Times New Roman"/>
          <w:i/>
          <w:iCs/>
          <w:color w:val="000000" w:themeColor="text1"/>
        </w:rPr>
        <w:t xml:space="preserve">results were </w:t>
      </w:r>
      <w:r w:rsidR="00B3101A" w:rsidRPr="00D44C0B">
        <w:rPr>
          <w:rFonts w:ascii="Times New Roman" w:hAnsi="Times New Roman" w:cs="Times New Roman"/>
          <w:i/>
          <w:iCs/>
          <w:color w:val="000000" w:themeColor="text1"/>
        </w:rPr>
        <w:t xml:space="preserve">added to the </w:t>
      </w:r>
      <w:r w:rsidR="00B3101A" w:rsidRPr="00D44C0B">
        <w:rPr>
          <w:rFonts w:ascii="Times New Roman" w:hAnsi="Times New Roman" w:cs="Times New Roman"/>
          <w:b/>
          <w:i/>
          <w:iCs/>
          <w:color w:val="000000" w:themeColor="text1"/>
        </w:rPr>
        <w:t>new Table S</w:t>
      </w:r>
      <w:r w:rsidR="0017630E" w:rsidRPr="00D44C0B">
        <w:rPr>
          <w:rFonts w:ascii="Times New Roman" w:hAnsi="Times New Roman" w:cs="Times New Roman"/>
          <w:b/>
          <w:i/>
          <w:iCs/>
          <w:color w:val="000000" w:themeColor="text1"/>
        </w:rPr>
        <w:t>8</w:t>
      </w:r>
      <w:r w:rsidR="00B3101A" w:rsidRPr="00D44C0B">
        <w:rPr>
          <w:rFonts w:ascii="Times New Roman" w:hAnsi="Times New Roman" w:cs="Times New Roman"/>
          <w:i/>
          <w:iCs/>
          <w:color w:val="000000" w:themeColor="text1"/>
        </w:rPr>
        <w:t xml:space="preserve">: </w:t>
      </w:r>
    </w:p>
    <w:p w14:paraId="54BAAD3E" w14:textId="517053E7" w:rsidR="00B3101A" w:rsidRPr="00D44C0B" w:rsidRDefault="00B3101A" w:rsidP="00736889">
      <w:pPr>
        <w:autoSpaceDE w:val="0"/>
        <w:autoSpaceDN w:val="0"/>
        <w:adjustRightInd w:val="0"/>
        <w:spacing w:after="0" w:line="276" w:lineRule="auto"/>
        <w:jc w:val="both"/>
        <w:rPr>
          <w:rFonts w:ascii="Times New Roman" w:hAnsi="Times New Roman" w:cs="Times New Roman"/>
          <w:i/>
          <w:iCs/>
          <w:color w:val="000000" w:themeColor="text1"/>
        </w:rPr>
      </w:pPr>
      <w:r w:rsidRPr="00D44C0B">
        <w:rPr>
          <w:rFonts w:ascii="Times New Roman" w:hAnsi="Times New Roman" w:cs="Times New Roman"/>
          <w:i/>
          <w:iCs/>
          <w:color w:val="000000" w:themeColor="text1"/>
        </w:rPr>
        <w:t xml:space="preserve"> </w:t>
      </w:r>
    </w:p>
    <w:p w14:paraId="2530F7EA" w14:textId="415B4623" w:rsidR="00A81C09" w:rsidRPr="00D44C0B" w:rsidRDefault="0017630E" w:rsidP="00736889">
      <w:pPr>
        <w:autoSpaceDE w:val="0"/>
        <w:autoSpaceDN w:val="0"/>
        <w:adjustRightInd w:val="0"/>
        <w:spacing w:after="0" w:line="276" w:lineRule="auto"/>
        <w:jc w:val="both"/>
        <w:rPr>
          <w:rFonts w:ascii="Times New Roman" w:hAnsi="Times New Roman" w:cs="Times New Roman"/>
          <w:color w:val="2F5496" w:themeColor="accent5" w:themeShade="BF"/>
        </w:rPr>
      </w:pPr>
      <w:r w:rsidRPr="00D44C0B">
        <w:rPr>
          <w:rFonts w:ascii="Times New Roman" w:hAnsi="Times New Roman" w:cs="Times New Roman"/>
          <w:noProof/>
        </w:rPr>
        <w:lastRenderedPageBreak/>
        <w:drawing>
          <wp:inline distT="0" distB="0" distL="0" distR="0" wp14:anchorId="659E7372" wp14:editId="7D00CCCC">
            <wp:extent cx="5760720" cy="947420"/>
            <wp:effectExtent l="0" t="0" r="0" b="508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947420"/>
                    </a:xfrm>
                    <a:prstGeom prst="rect">
                      <a:avLst/>
                    </a:prstGeom>
                  </pic:spPr>
                </pic:pic>
              </a:graphicData>
            </a:graphic>
          </wp:inline>
        </w:drawing>
      </w:r>
    </w:p>
    <w:p w14:paraId="19A9CDDA" w14:textId="77777777" w:rsidR="00600DB1" w:rsidRPr="00D44C0B" w:rsidRDefault="00600DB1" w:rsidP="00736889">
      <w:pPr>
        <w:autoSpaceDE w:val="0"/>
        <w:autoSpaceDN w:val="0"/>
        <w:adjustRightInd w:val="0"/>
        <w:spacing w:after="0" w:line="276" w:lineRule="auto"/>
        <w:jc w:val="both"/>
        <w:rPr>
          <w:rFonts w:ascii="Times New Roman" w:hAnsi="Times New Roman" w:cs="Times New Roman"/>
          <w:color w:val="2F5496" w:themeColor="accent5" w:themeShade="BF"/>
        </w:rPr>
      </w:pPr>
    </w:p>
    <w:p w14:paraId="224ADC65" w14:textId="62E53ABD" w:rsidR="00600DB1" w:rsidRPr="00D44C0B" w:rsidRDefault="00600DB1" w:rsidP="007E7EDC">
      <w:pPr>
        <w:pStyle w:val="ListParagraph"/>
        <w:numPr>
          <w:ilvl w:val="0"/>
          <w:numId w:val="19"/>
        </w:numPr>
        <w:autoSpaceDE w:val="0"/>
        <w:autoSpaceDN w:val="0"/>
        <w:adjustRightInd w:val="0"/>
        <w:spacing w:after="0" w:line="276" w:lineRule="auto"/>
        <w:jc w:val="both"/>
        <w:rPr>
          <w:rFonts w:ascii="Times New Roman" w:hAnsi="Times New Roman" w:cs="Times New Roman"/>
          <w:color w:val="2F5496" w:themeColor="accent5" w:themeShade="BF"/>
        </w:rPr>
      </w:pPr>
      <w:r w:rsidRPr="00D44C0B">
        <w:rPr>
          <w:rFonts w:ascii="Times New Roman" w:hAnsi="Times New Roman" w:cs="Times New Roman"/>
          <w:color w:val="2F5496" w:themeColor="accent5" w:themeShade="BF"/>
        </w:rPr>
        <w:t>"The fact that genetic effect sizes on kidney function and pulse pressure are enlarged at older ages underscores that the identified loci predispose accelerated aging processes" Can you relate this comment to the literature on epigenetic aging/</w:t>
      </w:r>
      <w:proofErr w:type="spellStart"/>
      <w:r w:rsidRPr="00D44C0B">
        <w:rPr>
          <w:rFonts w:ascii="Times New Roman" w:hAnsi="Times New Roman" w:cs="Times New Roman"/>
          <w:color w:val="2F5496" w:themeColor="accent5" w:themeShade="BF"/>
        </w:rPr>
        <w:t>DNAm</w:t>
      </w:r>
      <w:proofErr w:type="spellEnd"/>
      <w:r w:rsidRPr="00D44C0B">
        <w:rPr>
          <w:rFonts w:ascii="Times New Roman" w:hAnsi="Times New Roman" w:cs="Times New Roman"/>
          <w:color w:val="2F5496" w:themeColor="accent5" w:themeShade="BF"/>
        </w:rPr>
        <w:t xml:space="preserve"> age clocks, which are a complementary method to understand the relationship between aging and different diseases/traits? Can you also relate/discuss observations re pulse pressure and other phenotypes to specific aging processes (e.g. myeloid-biased output haematopoietic stem cells -my-HSCs, https://www.nature.com/articles/s41586-024-07238-x).</w:t>
      </w:r>
    </w:p>
    <w:p w14:paraId="2CF5CB03" w14:textId="77777777" w:rsidR="00600DB1" w:rsidRPr="00D44C0B" w:rsidRDefault="00600DB1" w:rsidP="00736889">
      <w:pPr>
        <w:autoSpaceDE w:val="0"/>
        <w:autoSpaceDN w:val="0"/>
        <w:adjustRightInd w:val="0"/>
        <w:spacing w:after="0" w:line="276" w:lineRule="auto"/>
        <w:jc w:val="both"/>
        <w:rPr>
          <w:rFonts w:ascii="Times New Roman" w:hAnsi="Times New Roman" w:cs="Times New Roman"/>
          <w:color w:val="2F5496" w:themeColor="accent5" w:themeShade="BF"/>
        </w:rPr>
      </w:pPr>
    </w:p>
    <w:p w14:paraId="066DF26A" w14:textId="1BEB0322" w:rsidR="00096484" w:rsidRPr="00D44C0B" w:rsidRDefault="00096484" w:rsidP="00736889">
      <w:pPr>
        <w:autoSpaceDE w:val="0"/>
        <w:autoSpaceDN w:val="0"/>
        <w:adjustRightInd w:val="0"/>
        <w:spacing w:after="0" w:line="276" w:lineRule="auto"/>
        <w:jc w:val="both"/>
        <w:rPr>
          <w:rFonts w:ascii="Times New Roman" w:hAnsi="Times New Roman" w:cs="Times New Roman"/>
          <w:i/>
          <w:iCs/>
        </w:rPr>
      </w:pPr>
      <w:r w:rsidRPr="00D44C0B">
        <w:rPr>
          <w:rFonts w:ascii="Times New Roman" w:hAnsi="Times New Roman" w:cs="Times New Roman"/>
          <w:b/>
          <w:i/>
          <w:iCs/>
          <w:color w:val="000000" w:themeColor="text1"/>
          <w:lang w:val="en-US"/>
        </w:rPr>
        <w:t xml:space="preserve">Response: </w:t>
      </w:r>
      <w:r w:rsidRPr="00D44C0B">
        <w:rPr>
          <w:rFonts w:ascii="Times New Roman" w:hAnsi="Times New Roman" w:cs="Times New Roman"/>
          <w:i/>
          <w:iCs/>
        </w:rPr>
        <w:t xml:space="preserve">We completely agree with the reviewer on this aspect. While the observed impact of age on the genetic effects on pulse pressure seems clear and robust, its biological mechanisms on the molecular level, i.e., how age impacts the genetic effects, are to be studied further. Indeed, given the known connection between methylation and aging, one explanation could be that age dependent CpG sites impact the genetic effects on pulse pressure, i.e., </w:t>
      </w:r>
      <w:proofErr w:type="spellStart"/>
      <w:r w:rsidRPr="00D44C0B">
        <w:rPr>
          <w:rFonts w:ascii="Times New Roman" w:hAnsi="Times New Roman" w:cs="Times New Roman"/>
          <w:i/>
          <w:iCs/>
        </w:rPr>
        <w:t>GxAge</w:t>
      </w:r>
      <w:proofErr w:type="spellEnd"/>
      <w:r w:rsidRPr="00D44C0B">
        <w:rPr>
          <w:rFonts w:ascii="Times New Roman" w:hAnsi="Times New Roman" w:cs="Times New Roman"/>
          <w:i/>
          <w:iCs/>
        </w:rPr>
        <w:t xml:space="preserve"> mirrors potential </w:t>
      </w:r>
      <w:proofErr w:type="spellStart"/>
      <w:r w:rsidRPr="00D44C0B">
        <w:rPr>
          <w:rFonts w:ascii="Times New Roman" w:hAnsi="Times New Roman" w:cs="Times New Roman"/>
          <w:i/>
          <w:iCs/>
        </w:rPr>
        <w:t>GxCpG</w:t>
      </w:r>
      <w:proofErr w:type="spellEnd"/>
      <w:r w:rsidRPr="00D44C0B">
        <w:rPr>
          <w:rFonts w:ascii="Times New Roman" w:hAnsi="Times New Roman" w:cs="Times New Roman"/>
          <w:i/>
          <w:iCs/>
        </w:rPr>
        <w:t xml:space="preserve"> effects. We have added this </w:t>
      </w:r>
      <w:r w:rsidR="00C511AE" w:rsidRPr="00D44C0B">
        <w:rPr>
          <w:rFonts w:ascii="Times New Roman" w:hAnsi="Times New Roman" w:cs="Times New Roman"/>
          <w:i/>
          <w:iCs/>
        </w:rPr>
        <w:t xml:space="preserve">important </w:t>
      </w:r>
      <w:r w:rsidRPr="00D44C0B">
        <w:rPr>
          <w:rFonts w:ascii="Times New Roman" w:hAnsi="Times New Roman" w:cs="Times New Roman"/>
          <w:i/>
          <w:iCs/>
        </w:rPr>
        <w:t>aspect to the discussion as follows</w:t>
      </w:r>
      <w:r w:rsidR="0017630E" w:rsidRPr="00D44C0B">
        <w:rPr>
          <w:rFonts w:ascii="Times New Roman" w:hAnsi="Times New Roman" w:cs="Times New Roman"/>
          <w:i/>
          <w:iCs/>
        </w:rPr>
        <w:t xml:space="preserve"> (p 17):</w:t>
      </w:r>
    </w:p>
    <w:p w14:paraId="0F97FDAD" w14:textId="77777777" w:rsidR="00C500B1" w:rsidRPr="00D44C0B" w:rsidRDefault="00C500B1" w:rsidP="00736889">
      <w:pPr>
        <w:autoSpaceDE w:val="0"/>
        <w:autoSpaceDN w:val="0"/>
        <w:adjustRightInd w:val="0"/>
        <w:spacing w:after="0" w:line="276" w:lineRule="auto"/>
        <w:jc w:val="both"/>
        <w:rPr>
          <w:rFonts w:ascii="Times New Roman" w:hAnsi="Times New Roman" w:cs="Times New Roman"/>
          <w:i/>
          <w:iCs/>
        </w:rPr>
      </w:pPr>
    </w:p>
    <w:p w14:paraId="57C748A4" w14:textId="2AF3D333" w:rsidR="00192770" w:rsidRPr="00D44C0B" w:rsidRDefault="00043517" w:rsidP="00736889">
      <w:pPr>
        <w:autoSpaceDE w:val="0"/>
        <w:autoSpaceDN w:val="0"/>
        <w:adjustRightInd w:val="0"/>
        <w:spacing w:after="0" w:line="276" w:lineRule="auto"/>
        <w:jc w:val="both"/>
        <w:rPr>
          <w:rFonts w:ascii="Times New Roman" w:hAnsi="Times New Roman" w:cs="Times New Roman"/>
          <w:i/>
          <w:iCs/>
        </w:rPr>
      </w:pPr>
      <w:bookmarkStart w:id="9" w:name="_Hlk168584021"/>
      <w:bookmarkStart w:id="10" w:name="_Hlk168916797"/>
      <w:r w:rsidRPr="00D44C0B">
        <w:rPr>
          <w:rFonts w:ascii="Times New Roman" w:hAnsi="Times New Roman" w:cs="Times New Roman"/>
          <w:i/>
          <w:iCs/>
          <w:highlight w:val="yellow"/>
        </w:rPr>
        <w:t xml:space="preserve">Biological aging can differ from chronological aging at the molecular level. Age clocks based on telomere length and age-dependent DNA methylation CpG sites reflect this process </w:t>
      </w:r>
      <w:r w:rsidRPr="00D44C0B">
        <w:rPr>
          <w:rFonts w:ascii="Times New Roman" w:hAnsi="Times New Roman" w:cs="Times New Roman"/>
          <w:i/>
          <w:iCs/>
          <w:highlight w:val="yellow"/>
        </w:rPr>
        <w:fldChar w:fldCharType="begin" w:fldLock="1"/>
      </w:r>
      <w:r w:rsidRPr="00D44C0B">
        <w:rPr>
          <w:rFonts w:ascii="Times New Roman" w:hAnsi="Times New Roman" w:cs="Times New Roman"/>
          <w:i/>
          <w:iCs/>
          <w:highlight w:val="yellow"/>
        </w:rPr>
        <w:instrText>ADDIN CSL_CITATION {"citationItems":[{"id":"ITEM-1","itemData":{"DOI":"10.1038/s43587-023-00462-6","ISSN":"26628465","abstract":"Aging, often considered a result of random cellular damage, can be accurately estimated using DNA methylation profiles, the foundation of pan-tissue epigenetic clocks. Here, we demonstrate the development of universal pan-mammalian clocks, using 11,754 methylation arrays from our Mammalian Methylation Consortium, which encompass 59 tissue types across 185 mammalian species. These predictive models estimate mammalian tissue age with high accuracy (r &gt; 0.96). Age deviations correlate with human mortality risk, mouse somatotropic axis mutations and caloric restriction. We identified specific cytosines with methylation levels that change with age across numerous species. These sites, highly enriched in polycomb repressive complex 2-binding locations, are near genes implicated in mammalian development, cancer, obesity and longevity. Our findings offer new evidence suggesting that aging is evolutionarily conserved and intertwined with developmental processes across all mammals.","author":[{"dropping-particle":"","family":"Lu","given":"A. T.","non-dropping-particle":"","parse-names":false,"suffix":""},{"dropping-particle":"","family":"Fei","given":"Z.","non-dropping-particle":"","parse-names":false,"suffix":""},{"dropping-particle":"","family":"Haghani","given":"A.","non-dropping-particle":"","parse-names":false,"suffix":""},{"dropping-particle":"","family":"Robeck","given":"T. R.","non-dropping-particle":"","parse-names":false,"suffix":""},{"dropping-particle":"","family":"Zoller","given":"J. A.","non-dropping-particle":"","parse-names":false,"suffix":""},{"dropping-particle":"","family":"Li","given":"C. Z.","non-dropping-particle":"","parse-names":false,"suffix":""},{"dropping-particle":"","family":"Lowe","given":"R.","non-dropping-particle":"","parse-names":false,"suffix":""},{"dropping-particle":"","family":"Yan","given":"Q.","non-dropping-particle":"","parse-names":false,"suffix":""},{"dropping-particle":"","family":"Zhang","given":"J.","non-dropping-particle":"","parse-names":false,"suffix":""},{"dropping-particle":"","family":"Vu","given":"H.","non-dropping-particle":"","parse-names":false,"suffix":""},{"dropping-particle":"","family":"Ablaeva","given":"J.","non-dropping-particle":"","parse-names":false,"suffix":""},{"dropping-particle":"","family":"Acosta-Rodriguez","given":"V. A.","non-dropping-particle":"","parse-names":false,"suffix":""},{"dropping-particle":"","family":"Adams","given":"D. M.","non-dropping-particle":"","parse-names":false,"suffix":""},{"dropping-particle":"","family":"Almunia","given":"J.","non-dropping-particle":"","parse-names":false,"suffix":""},{"dropping-particle":"","family":"Aloysius","given":"A.","non-dropping-particle":"","parse-names":false,"suffix":""},{"dropping-particle":"","family":"Ardehali","given":"R.","non-dropping-particle":"","parse-names":false,"suffix":""},{"dropping-particle":"","family":"Arneson","given":"A.","non-dropping-particle":"","parse-names":false,"suffix":""},{"dropping-particle":"","family":"Baker","given":"C. S.","non-dropping-particle":"","parse-names":false,"suffix":""},{"dropping-particle":"","family":"Banks","given":"G.","non-dropping-particle":"","parse-names":false,"suffix":""},{"dropping-particle":"","family":"Belov","given":"K.","non-dropping-particle":"","parse-names":false,"suffix":""},{"dropping-particle":"","family":"Bennett","given":"N. C.","non-dropping-particle":"","parse-names":false,"suffix":""},{"dropping-particle":"","family":"Black","given":"P.","non-dropping-particle":"","parse-names":false,"suffix":""},{"dropping-particle":"","family":"Blumstein","given":"D. T.","non-dropping-particle":"","parse-names":false,"suffix":""},{"dropping-particle":"","family":"Bors","given":"E. K.","non-dropping-particle":"","parse-names":false,"suffix":""},{"dropping-particle":"","family":"Breeze","given":"C. E.","non-dropping-particle":"","parse-names":false,"suffix":""},{"dropping-particle":"","family":"Brooke","given":"R. T.","non-dropping-particle":"","parse-names":false,"suffix":""},{"dropping-particle":"","family":"Brown","given":"J. L.","non-dropping-particle":"","parse-names":false,"suffix":""},{"dropping-particle":"","family":"Carter","given":"G. G.","non-dropping-particle":"","parse-names":false,"suffix":""},{"dropping-particle":"","family":"Caulton","given":"A.","non-dropping-particle":"","parse-names":false,"suffix":""},{"dropping-particle":"","family":"Cavin","given":"J. M.","non-dropping-particle":"","parse-names":false,"suffix":""},{"dropping-particle":"","family":"Chakrabarti","given":"L.","non-dropping-particle":"","parse-names":false,"suffix":""},{"dropping-particle":"","family":"Chatzistamou","given":"I.","non-dropping-particle":"","parse-names":false,"suffix":""},{"dropping-particle":"","family":"Chen","given":"H.","non-dropping-particle":"","parse-names":false,"suffix":""},{"dropping-particle":"","family":"Cheng","given":"K.","non-dropping-particle":"","parse-names":false,"suffix":""},{"dropping-particle":"","family":"Chiavellini","given":"P.","non-dropping-particle":"","parse-names":false,"suffix":""},{"dropping-particle":"","family":"Choi","given":"O. W.","non-dropping-particle":"","parse-names":false,"suffix":""},{"dropping-particle":"","family":"Clarke","given":"S. M.","non-dropping-particle":"","parse-names":false,"suffix":""},{"dropping-particle":"","family":"Cooper","given":"L. N.","non-dropping-particle":"","parse-names":false,"suffix":""},{"dropping-particle":"","family":"Cossette","given":"M. L.","non-dropping-particle":"","parse-names":false,"suffix":""},{"dropping-particle":"","family":"Day","given":"J.","non-dropping-particle":"","parse-names":false,"suffix":""},{"dropping-particle":"","family":"DeYoung","given":"J.","non-dropping-particle":"","parse-names":false,"suffix":""},{"dropping-particle":"","family":"DiRocco","given":"S.","non-dropping-particle":"","parse-names":false,"suffix":""},{"dropping-particle":"","family":"Dold","given":"C.","non-dropping-particle":"","parse-names":false,"suffix":""},{"dropping-particle":"","family":"Ehmke","given":"E. E.","non-dropping-particle":"","parse-names":false,"suffix":""},{"dropping-particle":"","family":"Emmons","given":"C. K.","non-dropping-particle":"","parse-names":false,"suffix":""},{"dropping-particle":"","family":"Emmrich","given":"S.","non-dropping-particle":"","parse-names":false,"suffix":""},{"dropping-particle":"","family":"Erbay","given":"E.","non-dropping-particle":"","parse-names":false,"suffix":""},{"dropping-particle":"","family":"Erlacher-Reid","given":"C.","non-dropping-particle":"","parse-names":false,"suffix":""},{"dropping-particle":"","family":"Faulkes","given":"C. G.","non-dropping-particle":"","parse-names":false,"suffix":""},{"dropping-particle":"","family":"Ferguson","given":"S. H.","non-dropping-particle":"","parse-names":false,"suffix":""},{"dropping-particle":"","family":"Finno","given":"C. J.","non-dropping-particle":"","parse-names":false,"suffix":""},{"dropping-particle":"","family":"Flower","given":"J. E.","non-dropping-particle":"","parse-names":false,"suffix":""},{"dropping-particle":"","family":"Gaillard","given":"J. M.","non-dropping-particle":"","parse-names":false,"suffix":""},{"dropping-particle":"","family":"Garde","given":"E.","non-dropping-particle":"","parse-names":false,"suffix":""},{"dropping-particle":"","family":"Gerber","given":"L.","non-dropping-particle":"","parse-names":false,"suffix":""},{"dropping-particle":"","family":"Gladyshev","given":"V. N.","non-dropping-particle":"","parse-names":false,"suffix":""},{"dropping-particle":"","family":"Gorbunova","given":"V.","non-dropping-particle":"","parse-names":false,"suffix":""},{"dropping-particle":"","family":"Goya","given":"R. G.","non-dropping-particle":"","parse-names":false,"suffix":""},{"dropping-particle":"","family":"Grant","given":"M. J.","non-dropping-particle":"","parse-names":false,"suffix":""},{"dropping-particle":"","family":"Green","given":"C. B.","non-dropping-particle":"","parse-names":false,"suffix":""},{"dropping-particle":"","family":"Hales","given":"E. N.","non-dropping-particle":"","parse-names":false,"suffix":""},{"dropping-particle":"","family":"Hanson","given":"M. B.","non-dropping-particle":"","parse-names":false,"suffix":""},{"dropping-particle":"","family":"Hart","given":"D. W.","non-dropping-particle":"","parse-names":false,"suffix":""},{"dropping-particle":"","family":"Haulena","given":"M.","non-dropping-particle":"","parse-names":false,"suffix":""},{"dropping-particle":"","family":"Herrick","given":"K.","non-dropping-particle":"","parse-names":false,"suffix":""},{"dropping-particle":"","family":"Hogan","given":"A. N.","non-dropping-particle":"","parse-names":false,"suffix":""},{"dropping-particle":"","family":"Hogg","given":"C. J.","non-dropping-particle":"","parse-names":false,"suffix":""},{"dropping-particle":"","family":"Hore","given":"T. A.","non-dropping-particle":"","parse-names":false,"suffix":""},{"dropping-particle":"","family":"Huang","given":"T.","non-dropping-particle":"","parse-names":false,"suffix":""},{"dropping-particle":"","family":"Izpisua Belmonte","given":"J. C.","non-dropping-particle":"","parse-names":false,"suffix":""},{"dropping-particle":"","family":"Jasinska","given":"A. J.","non-dropping-particle":"","parse-names":false,"suffix":""},{"dropping-particle":"","family":"Jones","given":"G.","non-dropping-particle":"","parse-names":false,"suffix":""},{"dropping-particle":"","family":"Jourdain","given":"E.","non-dropping-particle":"","parse-names":false,"suffix":""},{"dropping-particle":"","family":"Kashpur","given":"O.","non-dropping-particle":"","parse-names":false,"suffix":""},{"dropping-particle":"","family":"Katcher","given":"H.","non-dropping-particle":"","parse-names":false,"suffix":""},{"dropping-particle":"","family":"Katsumata","given":"E.","non-dropping-particle":"","parse-names":false,"suffix":""},{"dropping-particle":"","family":"Kaza","given":"V.","non-dropping-particle":"","parse-names":false,"suffix":""},{"dropping-particle":"","family":"Kiaris","given":"H.","non-dropping-particle":"","parse-names":false,"suffix":""},{"dropping-particle":"","family":"Kobor","given":"M. S.","non-dropping-particle":"","parse-names":false,"suffix":""},{"dropping-particle":"","family":"Kordowitzki","given":"P.","non-dropping-particle":"","parse-names":false,"suffix":""},{"dropping-particle":"","family":"Koski","given":"W. R.","non-dropping-particle":"","parse-names":false,"suffix":""},{"dropping-particle":"","family":"Krützen","given":"M.","non-dropping-particle":"","parse-names":false,"suffix":""},{"dropping-particle":"","family":"Kwon","given":"S. B.","non-dropping-particle":"","parse-names":false,"suffix":""},{"dropping-particle":"","family":"Larison","given":"B.","non-dropping-particle":"","parse-names":false,"suffix":""},{"dropping-particle":"","family":"Lee","given":"S. G.","non-dropping-particle":"","parse-names":false,"suffix":""},{"dropping-particle":"","family":"Lehmann","given":"M.","non-dropping-particle":"","parse-names":false,"suffix":""},{"dropping-particle":"","family":"Lemaitre","given":"J. F.","non-dropping-particle":"","parse-names":false,"suffix":""},{"dropping-particle":"","family":"Levine","given":"A. J.","non-dropping-particle":"","parse-names":false,"suffix":""},{"dropping-particle":"","family":"Li","given":"C.","non-dropping-particle":"","parse-names":false,"suffix":""},{"dropping-particle":"","family":"Li","given":"X.","non-dropping-particle":"","parse-names":false,"suffix":""},{"dropping-particle":"","family":"Lim","given":"A. R.","non-dropping-particle":"","parse-names":false,"suffix":""},{"dropping-particle":"","family":"Lin","given":"D. T.S.","non-dropping-particle":"","parse-names":false,"suffix":""},{"dropping-particle":"","family":"Lindemann","given":"D. M.","non-dropping-particle":"","parse-names":false,"suffix":""},{"dropping-particle":"","family":"Little","given":"T. J.","non-dropping-particle":"","parse-names":false,"suffix":""},{"dropping-particle":"","family":"Macoretta","given":"N.","non-dropping-particle":"","parse-names":false,"suffix":""},{"dropping-particle":"","family":"Maddox","given":"D.","non-dropping-particle":"","parse-names":false,"suffix":""},{"dropping-particle":"","family":"Matkin","given":"C. O.","non-dropping-particle":"","parse-names":false,"suffix":""},{"dropping-particle":"","family":"Mattison","given":"J. A.","non-dropping-particle":"","parse-names":false,"suffix":""},{"dropping-particle":"","family":"McClure","given":"M.","non-dropping-particle":"","parse-names":false,"suffix":""},{"dropping-particle":"","family":"Mergl","given":"J.","non-dropping-particle":"","parse-names":false,"suffix":""},{"dropping-particle":"","family":"Meudt","given":"J. J.","non-dropping-particle":"","parse-names":false,"suffix":""},{"dropping-particle":"","family":"Montano","given":"G. A.","non-dropping-particle":"","parse-names":false,"suffix":""},{"dropping-particle":"","family":"Mozhui","given":"K.","non-dropping-particle":"","parse-names":false,"suffix":""},{"dropping-particle":"","family":"Munshi-South","given":"J.","non-dropping-particle":"","parse-names":false,"suffix":""},{"dropping-particle":"","family":"Naderi","given":"A.","non-dropping-particle":"","parse-names":false,"suffix":""},{"dropping-particle":"","family":"Nagy","given":"M.","non-dropping-particle":"","parse-names":false,"suffix":""},{"dropping-particle":"","family":"Narayan","given":"P.","non-dropping-particle":"","parse-names":false,"suffix":""},{"dropping-particle":"","family":"Nathanielsz","given":"P. W.","non-dropping-particle":"","parse-names":false,"suffix":""},{"dropping-particle":"","family":"Nguyen","given":"N. B.","non-dropping-particle":"","parse-names":false,"suffix":""},{"dropping-particle":"","family":"Niehrs","given":"C.","non-dropping-particle":"","parse-names":false,"suffix":""},{"dropping-particle":"","family":"O’Brien","given":"J. K.","non-dropping-particle":"","parse-names":false,"suffix":""},{"dropping-particle":"","family":"O’Tierney Ginn","given":"P.","non-dropping-particle":"","parse-names":false,"suffix":""},{"dropping-particle":"","family":"Odom","given":"D. T.","non-dropping-particle":"","parse-names":false,"suffix":""},{"dropping-particle":"","family":"Ophir","given":"A. G.","non-dropping-particle":"","parse-names":false,"suffix":""},{"dropping-particle":"","family":"Osborn","given":"S.","non-dropping-particle":"","parse-names":false,"suffix":""},{"dropping-particle":"","family":"Ostrander","given":"E. A.","non-dropping-particle":"","parse-names":false,"suffix":""},{"dropping-particle":"","family":"Parsons","given":"K. M.","non-dropping-particle":"","parse-names":false,"suffix":""},{"dropping-particle":"","family":"Paul","given":"K. C.","non-dropping-particle":"","parse-names":false,"suffix":""},{"dropping-particle":"","family":"Pellegrini","given":"M.","non-dropping-particle":"","parse-names":false,"suffix":""},{"dropping-particle":"","family":"Peters","given":"K. J.","non-dropping-particle":"","parse-names":false,"suffix":""},{"dropping-particle":"","family":"Pedersen","given":"A. B.","non-dropping-particle":"","parse-names":false,"suffix":""},{"dropping-particle":"","family":"Petersen","given":"J. L.","non-dropping-particle":"","parse-names":false,"suffix":""},{"dropping-particle":"","family":"Pietersen","given":"D. W.","non-dropping-particle":"","parse-names":false,"suffix":""},{"dropping-particle":"","family":"Pinho","given":"G. M.","non-dropping-particle":"","parse-names":false,"suffix":""},{"dropping-particle":"","family":"Plassais","given":"J.","non-dropping-particle":"","parse-names":false,"suffix":""},{"dropping-particle":"","family":"Poganik","given":"J. R.","non-dropping-particle":"","parse-names":false,"suffix":""},{"dropping-particle":"","family":"Prado","given":"N. A.","non-dropping-particle":"","parse-names":false,"suffix":""},{"dropping-particle":"","family":"Reddy","given":"P.","non-dropping-particle":"","parse-names":false,"suffix":""},{"dropping-particle":"","family":"Rey","given":"B.","non-dropping-particle":"","parse-names":false,"suffix":""},{"dropping-particle":"","family":"Ritz","given":"B. R.","non-dropping-particle":"","parse-names":false,"suffix":""},{"dropping-particle":"","family":"Robbins","given":"J.","non-dropping-particle":"","parse-names":false,"suffix":""},{"dropping-particle":"","family":"Rodriguez","given":"M.","non-dropping-particle":"","parse-names":false,"suffix":""},{"dropping-particle":"","family":"Russell","given":"J.","non-dropping-particle":"","parse-names":false,"suffix":""},{"dropping-particle":"","family":"Rydkina","given":"E.","non-dropping-particle":"","parse-names":false,"suffix":""},{"dropping-particle":"","family":"Sailer","given":"L. L.","non-dropping-particle":"","parse-names":false,"suffix":""},{"dropping-particle":"","family":"Salmon","given":"A. B.","non-dropping-particle":"","parse-names":false,"suffix":""},{"dropping-particle":"","family":"Sanghavi","given":"A.","non-dropping-particle":"","parse-names":false,"suffix":""},{"dropping-particle":"","family":"Schachtschneider","given":"K. M.","non-dropping-particle":"","parse-names":false,"suffix":""},{"dropping-particle":"","family":"Schmitt","given":"D.","non-dropping-particle":"","parse-names":false,"suffix":""},{"dropping-particle":"","family":"Schmitt","given":"T.","non-dropping-particle":"","parse-names":false,"suffix":""},{"dropping-particle":"","family":"Schomacher","given":"L.","non-dropping-particle":"","parse-names":false,"suffix":""},{"dropping-particle":"","family":"Schook","given":"L. B.","non-dropping-particle":"","parse-names":false,"suffix":""},{"dropping-particle":"","family":"Sears","given":"K. E.","non-dropping-particle":"","parse-names":false,"suffix":""},{"dropping-particle":"","family":"Seifert","given":"A. W.","non-dropping-particle":"","parse-names":false,"suffix":""},{"dropping-particle":"","family":"Seluanov","given":"A.","non-dropping-particle":"","parse-names":false,"suffix":""},{"dropping-particle":"","family":"Shafer","given":"A. B.A.","non-dropping-particle":"","parse-names":false,"suffix":""},{"dropping-particle":"","family":"Shanmuganayagam","given":"D.","non-dropping-particle":"","parse-names":false,"suffix":""},{"dropping-particle":"V.","family":"Shindyapina","given":"A.","non-dropping-particle":"","parse-names":false,"suffix":""},{"dropping-particle":"","family":"Simmons","given":"M.","non-dropping-particle":"","parse-names":false,"suffix":""},{"dropping-particle":"","family":"Singh","given":"K.","non-dropping-particle":"","parse-names":false,"suffix":""},{"dropping-particle":"","family":"Sinha","given":"I.","non-dropping-particle":"","parse-names":false,"suffix":""},{"dropping-particle":"","family":"Slone","given":"J.","non-dropping-particle":"","parse-names":false,"suffix":""},{"dropping-particle":"","family":"Snell","given":"R. G.","non-dropping-particle":"","parse-names":false,"suffix":""},{"dropping-particle":"","family":"Soltanmaohammadi","given":"E.","non-dropping-particle":"","parse-names":false,"suffix":""},{"dropping-particle":"","family":"Spangler","given":"M. L.","non-dropping-particle":"","parse-names":false,"suffix":""},{"dropping-particle":"","family":"Spriggs","given":"M. C.","non-dropping-particle":"","parse-names":false,"suffix":""},{"dropping-particle":"","family":"Staggs","given":"L.","non-dropping-particle":"","parse-names":false,"suffix":""},{"dropping-particle":"","family":"Stedman","given":"N.","non-dropping-particle":"","parse-names":false,"suffix":""},{"dropping-particle":"","family":"Steinman","given":"K. J.","non-dropping-particle":"","parse-names":false,"suffix":""},{"dropping-particle":"","family":"Stewart","given":"D. T.","non-dropping-particle":"","parse-names":false,"suffix":""},{"dropping-particle":"","family":"Sugrue","given":"V. J.","non-dropping-particle":"","parse-names":false,"suffix":""},{"dropping-particle":"","family":"Szladovits","given":"B.","non-dropping-particle":"","parse-names":false,"suffix":""},{"dropping-particle":"","family":"Takahashi","given":"J. S.","non-dropping-particle":"","parse-names":false,"suffix":""},{"dropping-particle":"","family":"Takasugi","given":"M.","non-dropping-particle":"","parse-names":false,"suffix":""},{"dropping-particle":"","family":"Teeling","given":"E. C.","non-dropping-particle":"","parse-names":false,"suffix":""},{"dropping-particle":"","family":"Thompson","given":"M. J.","non-dropping-particle":"","parse-names":false,"suffix":""},{"dropping-particle":"","family":"Bonn","given":"B.","non-dropping-particle":"Van","parse-names":false,"suffix":""},{"dropping-particle":"","family":"Vernes","given":"S. C.","non-dropping-particle":"","parse-names":false,"suffix":""},{"dropping-particle":"","family":"Villar","given":"D.","non-dropping-particle":"","parse-names":false,"suffix":""},{"dropping-particle":"V.","family":"Vinters","given":"H.","non-dropping-particle":"","parse-names":false,"suffix":""},{"dropping-particle":"","family":"Wallingford","given":"M. C.","non-dropping-particle":"","parse-names":false,"suffix":""},{"dropping-particle":"","family":"Wang","given":"N.","non-dropping-particle":"","parse-names":false,"suffix":""},{"dropping-particle":"","family":"Wayne","given":"R. K.","non-dropping-particle":"","parse-names":false,"suffix":""},{"dropping-particle":"","family":"Wilkinson","given":"G. S.","non-dropping-particle":"","parse-names":false,"suffix":""},{"dropping-particle":"","family":"Williams","given":"C. K.","non-dropping-particle":"","parse-names":false,"suffix":""},{"dropping-particle":"","family":"Williams","given":"R. W.","non-dropping-particle":"","parse-names":false,"suffix":""},{"dropping-particle":"","family":"Yang","given":"X. W.","non-dropping-particle":"","parse-names":false,"suffix":""},{"dropping-particle":"","family":"Yao","given":"M.","non-dropping-particle":"","parse-names":false,"suffix":""},{"dropping-particle":"","family":"Young","given":"B. G.","non-dropping-particle":"","parse-names":false,"suffix":""},{"dropping-particle":"","family":"Zhang","given":"B.","non-dropping-particle":"","parse-names":false,"suffix":""},{"dropping-particle":"","family":"Zhang","given":"Z.","non-dropping-particle":"","parse-names":false,"suffix":""},{"dropping-particle":"","family":"Zhao","given":"P.","non-dropping-particle":"","parse-names":false,"suffix":""},{"dropping-particle":"","family":"Zhao","given":"Y.","non-dropping-particle":"","parse-names":false,"suffix":""},{"dropping-particle":"","family":"Zhou","given":"W.","non-dropping-particle":"","parse-names":false,"suffix":""},{"dropping-particle":"","family":"Zimmermann","given":"J.","non-dropping-particle":"","parse-names":false,"suffix":""},{"dropping-particle":"","family":"Ernst","given":"J.","non-dropping-particle":"","parse-names":false,"suffix":""},{"dropping-particle":"","family":"Raj","given":"K.","non-dropping-particle":"","parse-names":false,"suffix":""},{"dropping-particle":"","family":"Horvath","given":"S.","non-dropping-particle":"","parse-names":false,"suffix":""}],"container-title":"Nature Aging","id":"ITEM-1","issue":"9","issued":{"date-parts":[["2023"]]},"page":"1144-1166","title":"Universal DNA methylation age across mammalian tissues","type":"article-journal","volume":"3"},"uris":["http://www.mendeley.com/documents/?uuid=4654aceb-51e6-47d2-8769-bbc635c603ea"]}],"mendeley":{"formattedCitation":"[36]","plainTextFormattedCitation":"[36]","previouslyFormattedCitation":"[36]"},"properties":{"noteIndex":0},"schema":"https://github.com/citation-style-language/schema/raw/master/csl-citation.json"}</w:instrText>
      </w:r>
      <w:r w:rsidRPr="00D44C0B">
        <w:rPr>
          <w:rFonts w:ascii="Times New Roman" w:hAnsi="Times New Roman" w:cs="Times New Roman"/>
          <w:i/>
          <w:iCs/>
          <w:highlight w:val="yellow"/>
        </w:rPr>
        <w:fldChar w:fldCharType="separate"/>
      </w:r>
      <w:r w:rsidRPr="00D44C0B">
        <w:rPr>
          <w:rFonts w:ascii="Times New Roman" w:hAnsi="Times New Roman" w:cs="Times New Roman"/>
          <w:i/>
          <w:iCs/>
          <w:noProof/>
          <w:highlight w:val="yellow"/>
        </w:rPr>
        <w:t>[36]</w:t>
      </w:r>
      <w:r w:rsidRPr="00D44C0B">
        <w:rPr>
          <w:rFonts w:ascii="Times New Roman" w:hAnsi="Times New Roman" w:cs="Times New Roman"/>
          <w:i/>
          <w:iCs/>
          <w:highlight w:val="yellow"/>
        </w:rPr>
        <w:fldChar w:fldCharType="end"/>
      </w:r>
      <w:r w:rsidRPr="00D44C0B">
        <w:rPr>
          <w:rFonts w:ascii="Times New Roman" w:hAnsi="Times New Roman" w:cs="Times New Roman"/>
          <w:i/>
          <w:iCs/>
          <w:highlight w:val="yellow"/>
        </w:rPr>
        <w:t xml:space="preserve">. Also, the aging immune system, the balance of antibody-producing cells and T cells is strongly age-dependent and has an impact on the ability to respond to several infections </w:t>
      </w:r>
      <w:r w:rsidRPr="00D44C0B">
        <w:rPr>
          <w:rFonts w:ascii="Times New Roman" w:hAnsi="Times New Roman" w:cs="Times New Roman"/>
          <w:i/>
          <w:iCs/>
          <w:highlight w:val="yellow"/>
        </w:rPr>
        <w:fldChar w:fldCharType="begin" w:fldLock="1"/>
      </w:r>
      <w:r w:rsidRPr="00D44C0B">
        <w:rPr>
          <w:rFonts w:ascii="Times New Roman" w:hAnsi="Times New Roman" w:cs="Times New Roman"/>
          <w:i/>
          <w:iCs/>
          <w:highlight w:val="yellow"/>
        </w:rPr>
        <w:instrText>ADDIN CSL_CITATION {"citationItems":[{"id":"ITEM-1","itemData":{"DOI":"10.1038/s41586-024-07238-x","ISSN":"14764687","PMID":"38538791","abstract":"Ageing of the immune system is characterized by decreased lymphopoiesis and adaptive immunity, and increased inflammation and myeloid pathologies1,2. Age-related changes in populations of self-renewing haematopoietic stem cells (HSCs) are thought to underlie these phenomena3. During youth, HSCs with balanced output of lymphoid and myeloid cells (bal-HSCs) predominate over HSCs with myeloid-biased output (my-HSCs), thereby promoting the lymphopoiesis required for initiating adaptive immune responses, while limiting the production of myeloid cells, which can be pro-inflammatory4. Ageing is associated with increased proportions of my-HSCs, resulting in decreased lymphopoiesis and increased myelopoiesis3,5,6. Transfer of bal-HSCs results in abundant lymphoid and myeloid cells, a stable phenotype that is retained after secondary transfer; my-HSCs also retain their patterns of production after secondary transfer5. The origin and potential interconversion of these two subsets is still unclear. If they are separate subsets postnatally, it might be possible to reverse the ageing phenotype by eliminating my-HSCs in aged mice. Here we demonstrate that antibody-mediated depletion of my-HSCs in aged mice restores characteristic features of a more youthful immune system, including increasing common lymphocyte progenitors, naive T cells and B cells, while decreasing age-related markers of immune decline. Depletion of my-HSCs in aged mice improves primary and secondary adaptive immune responses to viral infection. These findings may have relevance to the understanding and intervention of diseases exacerbated or caused by dominance of the haematopoietic system by my-HSCs.","author":[{"dropping-particle":"","family":"Ross","given":"Jason B.","non-dropping-particle":"","parse-names":false,"suffix":""},{"dropping-particle":"","family":"Myers","given":"Lara M.","non-dropping-particle":"","parse-names":false,"suffix":""},{"dropping-particle":"","family":"Noh","given":"Joseph J.","non-dropping-particle":"","parse-names":false,"suffix":""},{"dropping-particle":"","family":"Collins","given":"Madison M.","non-dropping-particle":"","parse-names":false,"suffix":""},{"dropping-particle":"","family":"Carmody","given":"Aaron B.","non-dropping-particle":"","parse-names":false,"suffix":""},{"dropping-particle":"","family":"Messer","given":"Ronald J.","non-dropping-particle":"","parse-names":false,"suffix":""},{"dropping-particle":"","family":"Dhuey","given":"Erica","non-dropping-particle":"","parse-names":false,"suffix":""},{"dropping-particle":"","family":"Hasenkrug","given":"Kim J.","non-dropping-particle":"","parse-names":false,"suffix":""},{"dropping-particle":"","family":"Weissman","given":"Irving L.","non-dropping-particle":"","parse-names":false,"suffix":""}],"container-title":"Nature","id":"ITEM-1","issue":"8006","issued":{"date-parts":[["2024"]]},"page":"162-170","publisher":"Springer US","title":"Depleting myeloid-biased haematopoietic stem cells rejuvenates aged immunity","type":"article-journal","volume":"628"},"uris":["http://www.mendeley.com/documents/?uuid=3090391a-6505-49e6-b220-f93ac8926cc7"]}],"mendeley":{"formattedCitation":"[37]","plainTextFormattedCitation":"[37]"},"properties":{"noteIndex":0},"schema":"https://github.com/citation-style-language/schema/raw/master/csl-citation.json"}</w:instrText>
      </w:r>
      <w:r w:rsidRPr="00D44C0B">
        <w:rPr>
          <w:rFonts w:ascii="Times New Roman" w:hAnsi="Times New Roman" w:cs="Times New Roman"/>
          <w:i/>
          <w:iCs/>
          <w:highlight w:val="yellow"/>
        </w:rPr>
        <w:fldChar w:fldCharType="separate"/>
      </w:r>
      <w:r w:rsidRPr="00D44C0B">
        <w:rPr>
          <w:rFonts w:ascii="Times New Roman" w:hAnsi="Times New Roman" w:cs="Times New Roman"/>
          <w:i/>
          <w:iCs/>
          <w:noProof/>
          <w:highlight w:val="yellow"/>
        </w:rPr>
        <w:t>[37]</w:t>
      </w:r>
      <w:r w:rsidRPr="00D44C0B">
        <w:rPr>
          <w:rFonts w:ascii="Times New Roman" w:hAnsi="Times New Roman" w:cs="Times New Roman"/>
          <w:i/>
          <w:iCs/>
          <w:highlight w:val="yellow"/>
        </w:rPr>
        <w:fldChar w:fldCharType="end"/>
      </w:r>
      <w:r w:rsidRPr="00D44C0B">
        <w:rPr>
          <w:rFonts w:ascii="Times New Roman" w:hAnsi="Times New Roman" w:cs="Times New Roman"/>
          <w:i/>
          <w:iCs/>
          <w:highlight w:val="yellow"/>
        </w:rPr>
        <w:t>. Thus, any observed genetic-by-age interaction could potentially be explained by genetic-by-CpG interactions or be linked to mechanisms that are related to the age-dependent immune system</w:t>
      </w:r>
      <w:bookmarkEnd w:id="9"/>
      <w:r w:rsidR="00D80B98" w:rsidRPr="00D44C0B">
        <w:rPr>
          <w:rFonts w:ascii="Times New Roman" w:hAnsi="Times New Roman" w:cs="Times New Roman"/>
          <w:i/>
          <w:iCs/>
          <w:highlight w:val="yellow"/>
        </w:rPr>
        <w:t>.</w:t>
      </w:r>
      <w:r w:rsidR="00D80B98" w:rsidRPr="00D44C0B">
        <w:rPr>
          <w:rFonts w:ascii="Times New Roman" w:hAnsi="Times New Roman" w:cs="Times New Roman"/>
          <w:i/>
          <w:iCs/>
        </w:rPr>
        <w:t xml:space="preserve"> </w:t>
      </w:r>
    </w:p>
    <w:bookmarkEnd w:id="10"/>
    <w:p w14:paraId="3FB89CF3" w14:textId="77777777" w:rsidR="00C500B1" w:rsidRPr="00D44C0B" w:rsidRDefault="00C500B1" w:rsidP="00736889">
      <w:pPr>
        <w:autoSpaceDE w:val="0"/>
        <w:autoSpaceDN w:val="0"/>
        <w:adjustRightInd w:val="0"/>
        <w:spacing w:after="0" w:line="276" w:lineRule="auto"/>
        <w:jc w:val="both"/>
        <w:rPr>
          <w:rFonts w:ascii="Times New Roman" w:hAnsi="Times New Roman" w:cs="Times New Roman"/>
          <w:i/>
          <w:iCs/>
        </w:rPr>
      </w:pPr>
    </w:p>
    <w:p w14:paraId="58E21CB4" w14:textId="77777777" w:rsidR="00096484" w:rsidRPr="00D44C0B" w:rsidRDefault="00096484" w:rsidP="00736889">
      <w:pPr>
        <w:autoSpaceDE w:val="0"/>
        <w:autoSpaceDN w:val="0"/>
        <w:adjustRightInd w:val="0"/>
        <w:spacing w:after="0" w:line="276" w:lineRule="auto"/>
        <w:jc w:val="both"/>
        <w:rPr>
          <w:rFonts w:ascii="Times New Roman" w:hAnsi="Times New Roman" w:cs="Times New Roman"/>
          <w:i/>
          <w:iCs/>
          <w:color w:val="000000" w:themeColor="text1"/>
        </w:rPr>
      </w:pPr>
    </w:p>
    <w:p w14:paraId="6274C891" w14:textId="77777777" w:rsidR="00677298" w:rsidRPr="00D44C0B" w:rsidRDefault="00677298" w:rsidP="00736889">
      <w:pPr>
        <w:autoSpaceDE w:val="0"/>
        <w:autoSpaceDN w:val="0"/>
        <w:adjustRightInd w:val="0"/>
        <w:spacing w:after="0" w:line="276" w:lineRule="auto"/>
        <w:jc w:val="both"/>
        <w:rPr>
          <w:rFonts w:ascii="Times New Roman" w:hAnsi="Times New Roman" w:cs="Times New Roman"/>
          <w:i/>
          <w:iCs/>
          <w:color w:val="000000" w:themeColor="text1"/>
        </w:rPr>
      </w:pPr>
    </w:p>
    <w:p w14:paraId="6C79EE08" w14:textId="1B5D3E50" w:rsidR="00600DB1" w:rsidRPr="00D44C0B" w:rsidRDefault="00600DB1" w:rsidP="007E7EDC">
      <w:pPr>
        <w:pStyle w:val="ListParagraph"/>
        <w:numPr>
          <w:ilvl w:val="0"/>
          <w:numId w:val="19"/>
        </w:numPr>
        <w:autoSpaceDE w:val="0"/>
        <w:autoSpaceDN w:val="0"/>
        <w:adjustRightInd w:val="0"/>
        <w:spacing w:after="0" w:line="276" w:lineRule="auto"/>
        <w:jc w:val="both"/>
        <w:rPr>
          <w:rFonts w:ascii="Times New Roman" w:hAnsi="Times New Roman" w:cs="Times New Roman"/>
          <w:color w:val="2F5496" w:themeColor="accent5" w:themeShade="BF"/>
        </w:rPr>
      </w:pPr>
      <w:r w:rsidRPr="00D44C0B">
        <w:rPr>
          <w:rFonts w:ascii="Times New Roman" w:hAnsi="Times New Roman" w:cs="Times New Roman"/>
          <w:color w:val="2F5496" w:themeColor="accent5" w:themeShade="BF"/>
        </w:rPr>
        <w:t xml:space="preserve">it is hard to link many variants to genes, and therefore gene-based analyses of GWAS data can cause a loss in variant-to-tissue signal. To address this issue, can you show a direct variant-to-tissue </w:t>
      </w:r>
      <w:bookmarkStart w:id="11" w:name="_Hlk168500637"/>
      <w:r w:rsidRPr="00D44C0B">
        <w:rPr>
          <w:rFonts w:ascii="Times New Roman" w:hAnsi="Times New Roman" w:cs="Times New Roman"/>
          <w:color w:val="2F5496" w:themeColor="accent5" w:themeShade="BF"/>
        </w:rPr>
        <w:t xml:space="preserve">chromatin activity method </w:t>
      </w:r>
      <w:bookmarkEnd w:id="11"/>
      <w:r w:rsidRPr="00D44C0B">
        <w:rPr>
          <w:rFonts w:ascii="Times New Roman" w:hAnsi="Times New Roman" w:cs="Times New Roman"/>
          <w:color w:val="2F5496" w:themeColor="accent5" w:themeShade="BF"/>
        </w:rPr>
        <w:t xml:space="preserve">(e.g. FORGE2 https://forge2.altiusinstitute.org/) and its tissue-specific associations across pulse pressure and other phenotypes (this comment is related to "Figure 8. Tissue-specific enrichment of gene expression at genetic-by-age interaction loci for pulse pressure"). </w:t>
      </w:r>
    </w:p>
    <w:p w14:paraId="0D7C2856" w14:textId="77777777" w:rsidR="00C06933" w:rsidRPr="00D44C0B" w:rsidRDefault="00C06933" w:rsidP="00736889">
      <w:pPr>
        <w:autoSpaceDE w:val="0"/>
        <w:autoSpaceDN w:val="0"/>
        <w:adjustRightInd w:val="0"/>
        <w:spacing w:after="0" w:line="276" w:lineRule="auto"/>
        <w:jc w:val="both"/>
        <w:rPr>
          <w:rFonts w:ascii="Times New Roman" w:hAnsi="Times New Roman" w:cs="Times New Roman"/>
          <w:color w:val="000000" w:themeColor="text1"/>
        </w:rPr>
      </w:pPr>
    </w:p>
    <w:p w14:paraId="66122F0D" w14:textId="51822496" w:rsidR="005140AA" w:rsidRPr="00D44C0B" w:rsidRDefault="008748AD" w:rsidP="00736889">
      <w:pPr>
        <w:autoSpaceDE w:val="0"/>
        <w:autoSpaceDN w:val="0"/>
        <w:adjustRightInd w:val="0"/>
        <w:spacing w:after="0" w:line="276" w:lineRule="auto"/>
        <w:jc w:val="both"/>
        <w:rPr>
          <w:rFonts w:ascii="Times New Roman" w:hAnsi="Times New Roman" w:cs="Times New Roman"/>
          <w:i/>
          <w:iCs/>
        </w:rPr>
      </w:pPr>
      <w:r w:rsidRPr="00D44C0B">
        <w:rPr>
          <w:rFonts w:ascii="Times New Roman" w:hAnsi="Times New Roman" w:cs="Times New Roman"/>
          <w:b/>
          <w:i/>
          <w:iCs/>
          <w:color w:val="000000" w:themeColor="text1"/>
          <w:lang w:val="en-US"/>
        </w:rPr>
        <w:t xml:space="preserve">Response: </w:t>
      </w:r>
      <w:r w:rsidRPr="00D44C0B">
        <w:rPr>
          <w:rFonts w:ascii="Times New Roman" w:hAnsi="Times New Roman" w:cs="Times New Roman"/>
          <w:i/>
          <w:iCs/>
        </w:rPr>
        <w:t xml:space="preserve">We thank the reviewer for the suggestion and completely agree that a direct variant-to-tissue method will complement our tissue enrichment analyses (which require an intermediate gene mapping step). We have </w:t>
      </w:r>
      <w:r w:rsidR="005140AA" w:rsidRPr="00D44C0B">
        <w:rPr>
          <w:rFonts w:ascii="Times New Roman" w:hAnsi="Times New Roman" w:cs="Times New Roman"/>
          <w:i/>
          <w:iCs/>
        </w:rPr>
        <w:t xml:space="preserve">applied the FORGE2 method to our 26 genetic-by-age interaction variants for pulse pressure (using ENCODE DHS annotations) and found a significant enrichment of blood vessel cells among the results. Strikingly, when applying the method to 26 complimentary pulse pressure variants </w:t>
      </w:r>
      <w:r w:rsidR="00377162" w:rsidRPr="00D44C0B">
        <w:rPr>
          <w:rFonts w:ascii="Times New Roman" w:hAnsi="Times New Roman" w:cs="Times New Roman"/>
          <w:i/>
          <w:iCs/>
        </w:rPr>
        <w:t xml:space="preserve">without genetic-by-age interaction </w:t>
      </w:r>
      <w:r w:rsidR="005140AA" w:rsidRPr="00D44C0B">
        <w:rPr>
          <w:rFonts w:ascii="Times New Roman" w:hAnsi="Times New Roman" w:cs="Times New Roman"/>
          <w:i/>
          <w:iCs/>
        </w:rPr>
        <w:t>(i.e</w:t>
      </w:r>
      <w:r w:rsidR="00C511AE" w:rsidRPr="00D44C0B">
        <w:rPr>
          <w:rFonts w:ascii="Times New Roman" w:hAnsi="Times New Roman" w:cs="Times New Roman"/>
          <w:i/>
          <w:iCs/>
        </w:rPr>
        <w:t>.</w:t>
      </w:r>
      <w:r w:rsidR="005140AA" w:rsidRPr="00D44C0B">
        <w:rPr>
          <w:rFonts w:ascii="Times New Roman" w:hAnsi="Times New Roman" w:cs="Times New Roman"/>
          <w:i/>
          <w:iCs/>
        </w:rPr>
        <w:t xml:space="preserve">, variants with genome-wide significant marginal association on pulse pressure, but no </w:t>
      </w:r>
      <w:proofErr w:type="spellStart"/>
      <w:r w:rsidR="00377162" w:rsidRPr="00D44C0B">
        <w:rPr>
          <w:rFonts w:ascii="Times New Roman" w:hAnsi="Times New Roman" w:cs="Times New Roman"/>
          <w:i/>
          <w:iCs/>
        </w:rPr>
        <w:t>GxAge</w:t>
      </w:r>
      <w:proofErr w:type="spellEnd"/>
      <w:r w:rsidR="005140AA" w:rsidRPr="00D44C0B">
        <w:rPr>
          <w:rFonts w:ascii="Times New Roman" w:hAnsi="Times New Roman" w:cs="Times New Roman"/>
          <w:i/>
          <w:iCs/>
        </w:rPr>
        <w:t xml:space="preserve">), we could not identify an enrichment of blood vessel cell lines. This discrimination was consistent with comparative analyses of </w:t>
      </w:r>
      <w:proofErr w:type="spellStart"/>
      <w:r w:rsidR="005140AA" w:rsidRPr="00D44C0B">
        <w:rPr>
          <w:rFonts w:ascii="Times New Roman" w:hAnsi="Times New Roman" w:cs="Times New Roman"/>
          <w:i/>
          <w:iCs/>
        </w:rPr>
        <w:t>GxAge</w:t>
      </w:r>
      <w:proofErr w:type="spellEnd"/>
      <w:r w:rsidR="005140AA" w:rsidRPr="00D44C0B">
        <w:rPr>
          <w:rFonts w:ascii="Times New Roman" w:hAnsi="Times New Roman" w:cs="Times New Roman"/>
          <w:i/>
          <w:iCs/>
        </w:rPr>
        <w:t xml:space="preserve"> vs. </w:t>
      </w:r>
      <w:r w:rsidR="00377162" w:rsidRPr="00D44C0B">
        <w:rPr>
          <w:rFonts w:ascii="Times New Roman" w:hAnsi="Times New Roman" w:cs="Times New Roman"/>
          <w:i/>
          <w:iCs/>
        </w:rPr>
        <w:t>no-</w:t>
      </w:r>
      <w:proofErr w:type="spellStart"/>
      <w:r w:rsidR="00377162" w:rsidRPr="00D44C0B">
        <w:rPr>
          <w:rFonts w:ascii="Times New Roman" w:hAnsi="Times New Roman" w:cs="Times New Roman"/>
          <w:i/>
          <w:iCs/>
        </w:rPr>
        <w:t>GxAge</w:t>
      </w:r>
      <w:proofErr w:type="spellEnd"/>
      <w:r w:rsidR="00377162" w:rsidRPr="00D44C0B">
        <w:rPr>
          <w:rFonts w:ascii="Times New Roman" w:hAnsi="Times New Roman" w:cs="Times New Roman"/>
          <w:i/>
          <w:iCs/>
        </w:rPr>
        <w:t xml:space="preserve"> </w:t>
      </w:r>
      <w:r w:rsidR="005140AA" w:rsidRPr="00D44C0B">
        <w:rPr>
          <w:rFonts w:ascii="Times New Roman" w:hAnsi="Times New Roman" w:cs="Times New Roman"/>
          <w:i/>
          <w:iCs/>
        </w:rPr>
        <w:t>variants by FUMA and DEPICT (which have also been added to the manuscript</w:t>
      </w:r>
      <w:r w:rsidR="00C511AE" w:rsidRPr="00D44C0B">
        <w:rPr>
          <w:rFonts w:ascii="Times New Roman" w:hAnsi="Times New Roman" w:cs="Times New Roman"/>
          <w:i/>
          <w:iCs/>
        </w:rPr>
        <w:t xml:space="preserve"> based on one comment by reviewer 1</w:t>
      </w:r>
      <w:r w:rsidR="005140AA" w:rsidRPr="00D44C0B">
        <w:rPr>
          <w:rFonts w:ascii="Times New Roman" w:hAnsi="Times New Roman" w:cs="Times New Roman"/>
          <w:i/>
          <w:iCs/>
        </w:rPr>
        <w:t xml:space="preserve">). </w:t>
      </w:r>
    </w:p>
    <w:p w14:paraId="0CA53C89" w14:textId="274EA2F7" w:rsidR="005140AA" w:rsidRPr="00D44C0B" w:rsidRDefault="005140AA" w:rsidP="00736889">
      <w:pPr>
        <w:autoSpaceDE w:val="0"/>
        <w:autoSpaceDN w:val="0"/>
        <w:adjustRightInd w:val="0"/>
        <w:spacing w:after="0" w:line="276" w:lineRule="auto"/>
        <w:jc w:val="both"/>
        <w:rPr>
          <w:rFonts w:ascii="Times New Roman" w:hAnsi="Times New Roman" w:cs="Times New Roman"/>
          <w:i/>
          <w:iCs/>
        </w:rPr>
      </w:pPr>
      <w:r w:rsidRPr="00D44C0B">
        <w:rPr>
          <w:rFonts w:ascii="Times New Roman" w:hAnsi="Times New Roman" w:cs="Times New Roman"/>
          <w:i/>
          <w:iCs/>
        </w:rPr>
        <w:t>We describe the FORGE2 results in the main paper as follows</w:t>
      </w:r>
      <w:r w:rsidR="0017630E" w:rsidRPr="00D44C0B">
        <w:rPr>
          <w:rFonts w:ascii="Times New Roman" w:hAnsi="Times New Roman" w:cs="Times New Roman"/>
          <w:i/>
          <w:iCs/>
        </w:rPr>
        <w:t xml:space="preserve"> (p 12)</w:t>
      </w:r>
      <w:r w:rsidRPr="00D44C0B">
        <w:rPr>
          <w:rFonts w:ascii="Times New Roman" w:hAnsi="Times New Roman" w:cs="Times New Roman"/>
          <w:i/>
          <w:iCs/>
        </w:rPr>
        <w:t xml:space="preserve">: </w:t>
      </w:r>
    </w:p>
    <w:p w14:paraId="11EEB6DA" w14:textId="77777777" w:rsidR="005140AA" w:rsidRPr="00D44C0B" w:rsidRDefault="005140AA" w:rsidP="00736889">
      <w:pPr>
        <w:autoSpaceDE w:val="0"/>
        <w:autoSpaceDN w:val="0"/>
        <w:adjustRightInd w:val="0"/>
        <w:spacing w:after="0" w:line="276" w:lineRule="auto"/>
        <w:jc w:val="both"/>
        <w:rPr>
          <w:rFonts w:ascii="Times New Roman" w:hAnsi="Times New Roman" w:cs="Times New Roman"/>
          <w:i/>
          <w:iCs/>
        </w:rPr>
      </w:pPr>
    </w:p>
    <w:p w14:paraId="19FAB2EA" w14:textId="4472AFF1" w:rsidR="005140AA" w:rsidRPr="00D44C0B" w:rsidRDefault="00377162" w:rsidP="00736889">
      <w:pPr>
        <w:autoSpaceDE w:val="0"/>
        <w:autoSpaceDN w:val="0"/>
        <w:adjustRightInd w:val="0"/>
        <w:spacing w:after="0" w:line="276" w:lineRule="auto"/>
        <w:jc w:val="both"/>
        <w:rPr>
          <w:rFonts w:ascii="Times New Roman" w:hAnsi="Times New Roman" w:cs="Times New Roman"/>
          <w:i/>
          <w:iCs/>
        </w:rPr>
      </w:pPr>
      <w:r w:rsidRPr="00D44C0B">
        <w:rPr>
          <w:rFonts w:ascii="Times New Roman" w:hAnsi="Times New Roman" w:cs="Times New Roman"/>
          <w:i/>
          <w:iCs/>
          <w:highlight w:val="yellow"/>
        </w:rPr>
        <w:lastRenderedPageBreak/>
        <w:t xml:space="preserve">This distinction was confirmed by direct variant-to-tissue mapping based om chromatin activity (FORGE2 </w:t>
      </w:r>
      <w:r w:rsidRPr="00D44C0B">
        <w:rPr>
          <w:rFonts w:ascii="Times New Roman" w:hAnsi="Times New Roman" w:cs="Times New Roman"/>
          <w:i/>
          <w:iCs/>
          <w:highlight w:val="yellow"/>
        </w:rPr>
        <w:fldChar w:fldCharType="begin" w:fldLock="1"/>
      </w:r>
      <w:r w:rsidRPr="00D44C0B">
        <w:rPr>
          <w:rFonts w:ascii="Times New Roman" w:hAnsi="Times New Roman" w:cs="Times New Roman"/>
          <w:i/>
          <w:iCs/>
          <w:highlight w:val="yellow"/>
        </w:rPr>
        <w:instrText>ADDIN CSL_CITATION {"citationItems":[{"id":"ITEM-1","itemData":{"DOI":"10.1186/s13059-021-02560-3","ISSN":"1474760X","PMID":"34996498","abstract":"Background: Genome-wide association study (GWAS) single nucleotide polymorphisms (SNPs) are known to preferentially co-locate to active regulatory elements in tissues and cell types relevant to disease aetiology. Further characterisation of associated cell type-specific regulation can broaden our understanding of how GWAS signals may contribute to disease risk. Results: To gain insight into potential functional mechanisms underlying GWAS associations, we developed FORGE2 (https://forge2.altiusinstitute.org/), which is an updated version of the FORGE web tool. FORGE2 uses an expanded atlas of cell type-specific regulatory element annotations, including DNase I hotspots, five histone mark categories and 15 hidden Markov model (HMM) chromatin states, to identify tissue- and cell type-specific signals. An analysis of 3,604 GWAS from the NHGRI-EBI GWAS catalogue yielded at least one significant disease/trait-tissue association for 2,057 GWAS, including &gt; 400 associations specific to epigenomic marks in immune tissues and cell types, &gt; 30 associations specific to heart tissue, and &gt; 60 associations specific to brain tissue, highlighting the key potential of tissue- and cell type-specific regulatory elements. Importantly, we demonstrate that FORGE2 analysis can separate previously observed accessible chromatin enrichments into different chromatin states, such as enhancers or active transcription start sites, providing a greater understanding of underlying regulatory mechanisms. Interestingly, tissue-specific enrichments for repressive chromatin states and histone marks were also detected, suggesting a role for tissue-specific repressed regions in GWAS-mediated disease aetiology. Conclusion: In summary, we demonstrate that FORGE2 has the potential to uncover previously unreported disease-tissue associations and identify new candidate mechanisms. FORGE2 is a transparent, user-friendly web tool for the integrative analysis of loci discovered from GWAS.","author":[{"dropping-particle":"","family":"Breeze","given":"Charles E.","non-dropping-particle":"","parse-names":false,"suffix":""},{"dropping-particle":"","family":"Haugen","given":"Eric","non-dropping-particle":"","parse-names":false,"suffix":""},{"dropping-particle":"","family":"Reynolds","given":"Alex","non-dropping-particle":"","parse-names":false,"suffix":""},{"dropping-particle":"","family":"Teschendorff","given":"Andrew","non-dropping-particle":"","parse-names":false,"suffix":""},{"dropping-particle":"","family":"Dongen","given":"Jenny","non-dropping-particle":"van","parse-names":false,"suffix":""},{"dropping-particle":"","family":"Lan","given":"Qing","non-dropping-particle":"","parse-names":false,"suffix":""},{"dropping-particle":"","family":"Rothman","given":"Nathaniel","non-dropping-particle":"","parse-names":false,"suffix":""},{"dropping-particle":"","family":"Bourque","given":"Guillaume","non-dropping-particle":"","parse-names":false,"suffix":""},{"dropping-particle":"","family":"Dunham","given":"Ian","non-dropping-particle":"","parse-names":false,"suffix":""},{"dropping-particle":"","family":"Beck","given":"Stephan","non-dropping-particle":"","parse-names":false,"suffix":""},{"dropping-particle":"","family":"Stamatoyannopoulos","given":"John","non-dropping-particle":"","parse-names":false,"suffix":""},{"dropping-particle":"","family":"Franceschini","given":"Nora","non-dropping-particle":"","parse-names":false,"suffix":""},{"dropping-particle":"","family":"Berndt","given":"Sonja I.","non-dropping-particle":"","parse-names":false,"suffix":""}],"container-title":"Genome Biology","id":"ITEM-1","issue":"1","issued":{"date-parts":[["2022"]]},"page":"1-22","publisher":"Genome Biology","title":"Integrative analysis of 3604 GWAS reveals multiple novel cell type-specific regulatory associations","type":"article-journal","volume":"23"},"uris":["http://www.mendeley.com/documents/?uuid=e06466c4-fc57-4447-9900-e302260de10e"]}],"mendeley":{"formattedCitation":"[14]","plainTextFormattedCitation":"[14]","previouslyFormattedCitation":"[14]"},"properties":{"noteIndex":0},"schema":"https://github.com/citation-style-language/schema/raw/master/csl-citation.json"}</w:instrText>
      </w:r>
      <w:r w:rsidRPr="00D44C0B">
        <w:rPr>
          <w:rFonts w:ascii="Times New Roman" w:hAnsi="Times New Roman" w:cs="Times New Roman"/>
          <w:i/>
          <w:iCs/>
          <w:highlight w:val="yellow"/>
        </w:rPr>
        <w:fldChar w:fldCharType="separate"/>
      </w:r>
      <w:r w:rsidRPr="00D44C0B">
        <w:rPr>
          <w:rFonts w:ascii="Times New Roman" w:hAnsi="Times New Roman" w:cs="Times New Roman"/>
          <w:i/>
          <w:iCs/>
          <w:noProof/>
          <w:highlight w:val="yellow"/>
        </w:rPr>
        <w:t>[14]</w:t>
      </w:r>
      <w:r w:rsidRPr="00D44C0B">
        <w:rPr>
          <w:rFonts w:ascii="Times New Roman" w:hAnsi="Times New Roman" w:cs="Times New Roman"/>
          <w:i/>
          <w:iCs/>
          <w:highlight w:val="yellow"/>
        </w:rPr>
        <w:fldChar w:fldCharType="end"/>
      </w:r>
      <w:r w:rsidRPr="00D44C0B">
        <w:rPr>
          <w:rFonts w:ascii="Times New Roman" w:hAnsi="Times New Roman" w:cs="Times New Roman"/>
          <w:i/>
          <w:iCs/>
          <w:highlight w:val="yellow"/>
        </w:rPr>
        <w:t>), which yielded a significant enrichment of blood vessel cells for the 26 genetic-by-age interaction pulse pressure loci (4 out of 14 blood vessel cells were mapped with nominal significance, binomial enrichment P= 0.004) but no enrichment for the 26 loci without genetic-by-age interaction (</w:t>
      </w:r>
      <w:r w:rsidRPr="00D44C0B">
        <w:rPr>
          <w:rFonts w:ascii="Times New Roman" w:hAnsi="Times New Roman" w:cs="Times New Roman"/>
          <w:b/>
          <w:i/>
          <w:iCs/>
          <w:highlight w:val="yellow"/>
        </w:rPr>
        <w:t>Table S11</w:t>
      </w:r>
      <w:r w:rsidRPr="00D44C0B">
        <w:rPr>
          <w:rFonts w:ascii="Times New Roman" w:hAnsi="Times New Roman" w:cs="Times New Roman"/>
          <w:i/>
          <w:iCs/>
          <w:highlight w:val="yellow"/>
        </w:rPr>
        <w:t>).</w:t>
      </w:r>
    </w:p>
    <w:p w14:paraId="42364448" w14:textId="77777777" w:rsidR="00377162" w:rsidRPr="00D44C0B" w:rsidRDefault="00377162" w:rsidP="00736889">
      <w:pPr>
        <w:autoSpaceDE w:val="0"/>
        <w:autoSpaceDN w:val="0"/>
        <w:adjustRightInd w:val="0"/>
        <w:spacing w:after="0" w:line="276" w:lineRule="auto"/>
        <w:jc w:val="both"/>
        <w:rPr>
          <w:rFonts w:ascii="Times New Roman" w:hAnsi="Times New Roman" w:cs="Times New Roman"/>
          <w:i/>
          <w:iCs/>
        </w:rPr>
      </w:pPr>
    </w:p>
    <w:p w14:paraId="0F949132" w14:textId="19CCC856" w:rsidR="00C06933" w:rsidRPr="00D44C0B" w:rsidRDefault="005140AA" w:rsidP="00736889">
      <w:pPr>
        <w:autoSpaceDE w:val="0"/>
        <w:autoSpaceDN w:val="0"/>
        <w:adjustRightInd w:val="0"/>
        <w:spacing w:after="0" w:line="276" w:lineRule="auto"/>
        <w:jc w:val="both"/>
        <w:rPr>
          <w:rFonts w:ascii="Times New Roman" w:hAnsi="Times New Roman" w:cs="Times New Roman"/>
          <w:i/>
          <w:iCs/>
          <w:color w:val="000000" w:themeColor="text1"/>
        </w:rPr>
      </w:pPr>
      <w:r w:rsidRPr="00D44C0B">
        <w:rPr>
          <w:rFonts w:ascii="Times New Roman" w:hAnsi="Times New Roman" w:cs="Times New Roman"/>
          <w:i/>
          <w:iCs/>
          <w:color w:val="000000" w:themeColor="text1"/>
        </w:rPr>
        <w:t xml:space="preserve">We have added the detailed results to the new </w:t>
      </w:r>
      <w:r w:rsidRPr="00D44C0B">
        <w:rPr>
          <w:rFonts w:ascii="Times New Roman" w:hAnsi="Times New Roman" w:cs="Times New Roman"/>
          <w:b/>
          <w:i/>
          <w:iCs/>
          <w:color w:val="000000" w:themeColor="text1"/>
        </w:rPr>
        <w:t>Table S1</w:t>
      </w:r>
      <w:r w:rsidR="0017630E" w:rsidRPr="00D44C0B">
        <w:rPr>
          <w:rFonts w:ascii="Times New Roman" w:hAnsi="Times New Roman" w:cs="Times New Roman"/>
          <w:b/>
          <w:i/>
          <w:iCs/>
          <w:color w:val="000000" w:themeColor="text1"/>
        </w:rPr>
        <w:t>1</w:t>
      </w:r>
      <w:r w:rsidRPr="00D44C0B">
        <w:rPr>
          <w:rFonts w:ascii="Times New Roman" w:hAnsi="Times New Roman" w:cs="Times New Roman"/>
          <w:i/>
          <w:iCs/>
          <w:color w:val="000000" w:themeColor="text1"/>
        </w:rPr>
        <w:t xml:space="preserve">: </w:t>
      </w:r>
    </w:p>
    <w:p w14:paraId="7355FCCE" w14:textId="77777777" w:rsidR="00D03B3B" w:rsidRPr="00D44C0B" w:rsidRDefault="00D03B3B" w:rsidP="00736889">
      <w:pPr>
        <w:autoSpaceDE w:val="0"/>
        <w:autoSpaceDN w:val="0"/>
        <w:adjustRightInd w:val="0"/>
        <w:spacing w:after="0" w:line="276" w:lineRule="auto"/>
        <w:jc w:val="both"/>
        <w:rPr>
          <w:rFonts w:ascii="Times New Roman" w:hAnsi="Times New Roman" w:cs="Times New Roman"/>
          <w:color w:val="000000" w:themeColor="text1"/>
        </w:rPr>
      </w:pPr>
    </w:p>
    <w:p w14:paraId="435DA091" w14:textId="7468F93E" w:rsidR="005140AA" w:rsidRPr="00D44C0B" w:rsidRDefault="00377162" w:rsidP="00736889">
      <w:pPr>
        <w:autoSpaceDE w:val="0"/>
        <w:autoSpaceDN w:val="0"/>
        <w:adjustRightInd w:val="0"/>
        <w:spacing w:after="0" w:line="276" w:lineRule="auto"/>
        <w:jc w:val="both"/>
        <w:rPr>
          <w:rFonts w:ascii="Times New Roman" w:hAnsi="Times New Roman" w:cs="Times New Roman"/>
          <w:color w:val="000000" w:themeColor="text1"/>
        </w:rPr>
      </w:pPr>
      <w:r w:rsidRPr="00D44C0B">
        <w:rPr>
          <w:rFonts w:ascii="Times New Roman" w:hAnsi="Times New Roman" w:cs="Times New Roman"/>
          <w:noProof/>
        </w:rPr>
        <w:drawing>
          <wp:inline distT="0" distB="0" distL="0" distR="0" wp14:anchorId="7A2EB023" wp14:editId="3E022D99">
            <wp:extent cx="5760720" cy="185674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1856740"/>
                    </a:xfrm>
                    <a:prstGeom prst="rect">
                      <a:avLst/>
                    </a:prstGeom>
                  </pic:spPr>
                </pic:pic>
              </a:graphicData>
            </a:graphic>
          </wp:inline>
        </w:drawing>
      </w:r>
    </w:p>
    <w:p w14:paraId="6F32EBFF" w14:textId="77777777" w:rsidR="00C06933" w:rsidRPr="00D44C0B" w:rsidRDefault="00C06933" w:rsidP="00736889">
      <w:pPr>
        <w:autoSpaceDE w:val="0"/>
        <w:autoSpaceDN w:val="0"/>
        <w:adjustRightInd w:val="0"/>
        <w:spacing w:after="0" w:line="276" w:lineRule="auto"/>
        <w:jc w:val="both"/>
        <w:rPr>
          <w:rFonts w:ascii="Times New Roman" w:hAnsi="Times New Roman" w:cs="Times New Roman"/>
          <w:color w:val="2F5496" w:themeColor="accent5" w:themeShade="BF"/>
        </w:rPr>
      </w:pPr>
    </w:p>
    <w:p w14:paraId="1CAD8EBC" w14:textId="77777777" w:rsidR="00600DB1" w:rsidRPr="00D44C0B" w:rsidRDefault="00600DB1" w:rsidP="00736889">
      <w:pPr>
        <w:autoSpaceDE w:val="0"/>
        <w:autoSpaceDN w:val="0"/>
        <w:adjustRightInd w:val="0"/>
        <w:spacing w:after="0" w:line="276" w:lineRule="auto"/>
        <w:jc w:val="both"/>
        <w:rPr>
          <w:rFonts w:ascii="Times New Roman" w:hAnsi="Times New Roman" w:cs="Times New Roman"/>
          <w:color w:val="2F5496" w:themeColor="accent5" w:themeShade="BF"/>
        </w:rPr>
      </w:pPr>
    </w:p>
    <w:p w14:paraId="49499671" w14:textId="66BDE745" w:rsidR="00600DB1" w:rsidRPr="00D44C0B" w:rsidRDefault="00600DB1" w:rsidP="007E7EDC">
      <w:pPr>
        <w:pStyle w:val="ListParagraph"/>
        <w:numPr>
          <w:ilvl w:val="0"/>
          <w:numId w:val="19"/>
        </w:numPr>
        <w:autoSpaceDE w:val="0"/>
        <w:autoSpaceDN w:val="0"/>
        <w:adjustRightInd w:val="0"/>
        <w:spacing w:after="0" w:line="276" w:lineRule="auto"/>
        <w:jc w:val="both"/>
        <w:rPr>
          <w:rFonts w:ascii="Times New Roman" w:hAnsi="Times New Roman" w:cs="Times New Roman"/>
          <w:color w:val="2F5496" w:themeColor="accent5" w:themeShade="BF"/>
        </w:rPr>
      </w:pPr>
      <w:r w:rsidRPr="00D44C0B">
        <w:rPr>
          <w:rFonts w:ascii="Times New Roman" w:hAnsi="Times New Roman" w:cs="Times New Roman"/>
          <w:color w:val="2F5496" w:themeColor="accent5" w:themeShade="BF"/>
        </w:rPr>
        <w:t>GWAS tissue enrichment analysis should be reported not just for pulse pressure, but across all traits with associations (not necessary for the main figure set, but some follow up analysis across traits should at least be shown in the supplement).</w:t>
      </w:r>
    </w:p>
    <w:p w14:paraId="288CF288" w14:textId="77777777" w:rsidR="00C06933" w:rsidRPr="00D44C0B" w:rsidRDefault="00C06933" w:rsidP="00736889">
      <w:pPr>
        <w:autoSpaceDE w:val="0"/>
        <w:autoSpaceDN w:val="0"/>
        <w:adjustRightInd w:val="0"/>
        <w:spacing w:after="0" w:line="276" w:lineRule="auto"/>
        <w:jc w:val="both"/>
        <w:rPr>
          <w:rFonts w:ascii="Times New Roman" w:hAnsi="Times New Roman" w:cs="Times New Roman"/>
          <w:color w:val="2F5496" w:themeColor="accent5" w:themeShade="BF"/>
        </w:rPr>
      </w:pPr>
    </w:p>
    <w:p w14:paraId="52540BB4" w14:textId="7786A672" w:rsidR="00C21D5A" w:rsidRPr="00D44C0B" w:rsidRDefault="005140AA" w:rsidP="00736889">
      <w:pPr>
        <w:autoSpaceDE w:val="0"/>
        <w:autoSpaceDN w:val="0"/>
        <w:adjustRightInd w:val="0"/>
        <w:spacing w:after="0" w:line="276" w:lineRule="auto"/>
        <w:jc w:val="both"/>
        <w:rPr>
          <w:rFonts w:ascii="Times New Roman" w:hAnsi="Times New Roman" w:cs="Times New Roman"/>
          <w:i/>
          <w:iCs/>
        </w:rPr>
      </w:pPr>
      <w:r w:rsidRPr="00D44C0B">
        <w:rPr>
          <w:rFonts w:ascii="Times New Roman" w:hAnsi="Times New Roman" w:cs="Times New Roman"/>
          <w:b/>
          <w:i/>
          <w:iCs/>
          <w:color w:val="000000" w:themeColor="text1"/>
          <w:lang w:val="en-US"/>
        </w:rPr>
        <w:t xml:space="preserve">Response: </w:t>
      </w:r>
      <w:r w:rsidR="00C21D5A" w:rsidRPr="00D44C0B">
        <w:rPr>
          <w:rFonts w:ascii="Times New Roman" w:hAnsi="Times New Roman" w:cs="Times New Roman"/>
          <w:i/>
          <w:iCs/>
        </w:rPr>
        <w:t xml:space="preserve">While we acknowledge the reviewer’s suggestion as valuable, it’s important to note that a substantial number of loci (26) were identified specifically for pulse pressure, allowing for tissue or FORGE2 enrichment analyses. Unfortunately, only up to 6 loci were identified for the other traits, which fell short for meaningful enrichment analyses. Consequently, we opted not to include those results in the paper. However, we did expand our gene prioritization using FUMA from the initial 26 </w:t>
      </w:r>
      <w:proofErr w:type="spellStart"/>
      <w:r w:rsidR="00C21D5A" w:rsidRPr="00D44C0B">
        <w:rPr>
          <w:rFonts w:ascii="Times New Roman" w:hAnsi="Times New Roman" w:cs="Times New Roman"/>
          <w:i/>
          <w:iCs/>
        </w:rPr>
        <w:t>GxAge</w:t>
      </w:r>
      <w:proofErr w:type="spellEnd"/>
      <w:r w:rsidR="00C21D5A" w:rsidRPr="00D44C0B">
        <w:rPr>
          <w:rFonts w:ascii="Times New Roman" w:hAnsi="Times New Roman" w:cs="Times New Roman"/>
          <w:i/>
          <w:iCs/>
        </w:rPr>
        <w:t xml:space="preserve"> variants associated with pulse pressure to encompass all 44 </w:t>
      </w:r>
      <w:proofErr w:type="spellStart"/>
      <w:r w:rsidR="00C21D5A" w:rsidRPr="00D44C0B">
        <w:rPr>
          <w:rFonts w:ascii="Times New Roman" w:hAnsi="Times New Roman" w:cs="Times New Roman"/>
          <w:i/>
          <w:iCs/>
        </w:rPr>
        <w:t>GxAge</w:t>
      </w:r>
      <w:proofErr w:type="spellEnd"/>
      <w:r w:rsidR="00C21D5A" w:rsidRPr="00D44C0B">
        <w:rPr>
          <w:rFonts w:ascii="Times New Roman" w:hAnsi="Times New Roman" w:cs="Times New Roman"/>
          <w:i/>
          <w:iCs/>
        </w:rPr>
        <w:t xml:space="preserve"> variants. These additional results are presented in the main paper (p 8).</w:t>
      </w:r>
    </w:p>
    <w:p w14:paraId="5E4C47A3" w14:textId="77777777" w:rsidR="0017630E" w:rsidRPr="00D44C0B" w:rsidRDefault="0017630E" w:rsidP="00736889">
      <w:pPr>
        <w:autoSpaceDE w:val="0"/>
        <w:autoSpaceDN w:val="0"/>
        <w:adjustRightInd w:val="0"/>
        <w:spacing w:after="0" w:line="276" w:lineRule="auto"/>
        <w:jc w:val="both"/>
        <w:rPr>
          <w:rFonts w:ascii="Times New Roman" w:hAnsi="Times New Roman" w:cs="Times New Roman"/>
        </w:rPr>
      </w:pPr>
    </w:p>
    <w:p w14:paraId="326399E8" w14:textId="583F6AA5" w:rsidR="005140AA" w:rsidRPr="00D44C0B" w:rsidRDefault="005E6241" w:rsidP="00736889">
      <w:pPr>
        <w:autoSpaceDE w:val="0"/>
        <w:autoSpaceDN w:val="0"/>
        <w:adjustRightInd w:val="0"/>
        <w:spacing w:after="0" w:line="276" w:lineRule="auto"/>
        <w:jc w:val="both"/>
        <w:rPr>
          <w:rFonts w:ascii="Times New Roman" w:hAnsi="Times New Roman" w:cs="Times New Roman"/>
          <w:i/>
          <w:iCs/>
        </w:rPr>
      </w:pPr>
      <w:r w:rsidRPr="00D44C0B">
        <w:rPr>
          <w:rFonts w:ascii="Times New Roman" w:hAnsi="Times New Roman" w:cs="Times New Roman"/>
          <w:i/>
          <w:iCs/>
          <w:highlight w:val="yellow"/>
        </w:rPr>
        <w:t xml:space="preserve">Gene prioritization based on DEPICT </w:t>
      </w:r>
      <w:r w:rsidRPr="00D44C0B">
        <w:rPr>
          <w:rFonts w:ascii="Times New Roman" w:hAnsi="Times New Roman" w:cs="Times New Roman"/>
          <w:i/>
          <w:iCs/>
          <w:highlight w:val="yellow"/>
        </w:rPr>
        <w:fldChar w:fldCharType="begin" w:fldLock="1"/>
      </w:r>
      <w:r w:rsidRPr="00D44C0B">
        <w:rPr>
          <w:rFonts w:ascii="Times New Roman" w:hAnsi="Times New Roman" w:cs="Times New Roman"/>
          <w:i/>
          <w:iCs/>
          <w:highlight w:val="yellow"/>
        </w:rPr>
        <w:instrText>ADDIN CSL_CITATION {"citationItems":[{"id":"ITEM-1","itemData":{"DOI":"10.1038/ncomms6890","ISSN":"2041-1723","abstract":"Identifying which genes and pathways explain genetic associations is challenging. Here, the authors present DEPICT, a tool for gene prioritization, pathway analysis and tissue/cell-type enrichment analysis that can be used to generate testable hypotheses from genetic association studies.","author":[{"dropping-particle":"","family":"Pers","given":"Tune H.","non-dropping-particle":"","parse-names":false,"suffix":""},{"dropping-particle":"","family":"Karjalainen","given":"Juha M.","non-dropping-particle":"","parse-names":false,"suffix":""},{"dropping-particle":"","family":"Chan","given":"Yingleong","non-dropping-particle":"","parse-names":false,"suffix":""},{"dropping-particle":"","family":"Westra","given":"Harm-Jan","non-dropping-particle":"","parse-names":false,"suffix":""},{"dropping-particle":"","family":"Wood","given":"Andrew R.","non-dropping-particle":"","parse-names":false,"suffix":""},{"dropping-particle":"","family":"Yang","given":"Jian","non-dropping-particle":"","parse-names":false,"suffix":""},{"dropping-particle":"","family":"Lui","given":"Julian C.","non-dropping-particle":"","parse-names":false,"suffix":""},{"dropping-particle":"","family":"Vedantam","given":"Sailaja","non-dropping-particle":"","parse-names":false,"suffix":""},{"dropping-particle":"","family":"Gustafsson","given":"Stefan","non-dropping-particle":"","parse-names":false,"suffix":""},{"dropping-particle":"","family":"Esko","given":"Tonu","non-dropping-particle":"","parse-names":false,"suffix":""},{"dropping-particle":"","family":"Frayling","given":"Tim","non-dropping-particle":"","parse-names":false,"suffix":""},{"dropping-particle":"","family":"Speliotes","given":"Elizabeth K.","non-dropping-particle":"","parse-names":false,"suffix":""},{"dropping-particle":"","family":"Boehnke","given":"Michael","non-dropping-particle":"","parse-names":false,"suffix":""},{"dropping-particle":"","family":"Raychaudhuri","given":"Soumya","non-dropping-particle":"","parse-names":false,"suffix":""},{"dropping-particle":"","family":"Fehrmann","given":"Rudolf S. N.","non-dropping-particle":"","parse-names":false,"suffix":""},{"dropping-particle":"","family":"Hirschhorn","given":"Joel N.","non-dropping-particle":"","parse-names":false,"suffix":""},{"dropping-particle":"","family":"Franke","given":"Lude","non-dropping-particle":"","parse-names":false,"suffix":""},{"dropping-particle":"","family":"Franke","given":"Lude","non-dropping-particle":"","parse-names":false,"suffix":""}],"container-title":"Nature Communications","id":"ITEM-1","issue":"1","issued":{"date-parts":[["2015","5"]]},"page":"5890","publisher":"Nature Publishing Group","title":"Biological interpretation of genome-wide association studies using predicted gene functions","type":"article-journal","volume":"6"},"uris":["http://www.mendeley.com/documents/?uuid=4cb76768-5e4c-488f-83bb-80c71ff0b71b"]}],"mendeley":{"formattedCitation":"[9]","plainTextFormattedCitation":"[9]","previouslyFormattedCitation":"[9]"},"properties":{"noteIndex":0},"schema":"https://github.com/citation-style-language/schema/raw/master/csl-citation.json"}</w:instrText>
      </w:r>
      <w:r w:rsidRPr="00D44C0B">
        <w:rPr>
          <w:rFonts w:ascii="Times New Roman" w:hAnsi="Times New Roman" w:cs="Times New Roman"/>
          <w:i/>
          <w:iCs/>
          <w:highlight w:val="yellow"/>
        </w:rPr>
        <w:fldChar w:fldCharType="separate"/>
      </w:r>
      <w:r w:rsidRPr="00D44C0B">
        <w:rPr>
          <w:rFonts w:ascii="Times New Roman" w:hAnsi="Times New Roman" w:cs="Times New Roman"/>
          <w:i/>
          <w:iCs/>
          <w:noProof/>
          <w:highlight w:val="yellow"/>
        </w:rPr>
        <w:t>[9]</w:t>
      </w:r>
      <w:r w:rsidRPr="00D44C0B">
        <w:rPr>
          <w:rFonts w:ascii="Times New Roman" w:hAnsi="Times New Roman" w:cs="Times New Roman"/>
          <w:i/>
          <w:iCs/>
          <w:highlight w:val="yellow"/>
        </w:rPr>
        <w:fldChar w:fldCharType="end"/>
      </w:r>
      <w:r w:rsidRPr="00D44C0B">
        <w:rPr>
          <w:rFonts w:ascii="Times New Roman" w:hAnsi="Times New Roman" w:cs="Times New Roman"/>
          <w:i/>
          <w:iCs/>
          <w:highlight w:val="yellow"/>
        </w:rPr>
        <w:t xml:space="preserve"> and FUMA </w:t>
      </w:r>
      <w:r w:rsidRPr="00D44C0B">
        <w:rPr>
          <w:rFonts w:ascii="Times New Roman" w:hAnsi="Times New Roman" w:cs="Times New Roman"/>
          <w:i/>
          <w:iCs/>
          <w:highlight w:val="yellow"/>
        </w:rPr>
        <w:fldChar w:fldCharType="begin" w:fldLock="1"/>
      </w:r>
      <w:r w:rsidRPr="00D44C0B">
        <w:rPr>
          <w:rFonts w:ascii="Times New Roman" w:hAnsi="Times New Roman" w:cs="Times New Roman"/>
          <w:i/>
          <w:iCs/>
          <w:highlight w:val="yellow"/>
        </w:rPr>
        <w:instrText>ADDIN CSL_CITATION {"citationItems":[{"id":"ITEM-1","itemData":{"DOI":"10.1038/s41467-017-01261-5","ISSN":"20411723","PMID":"29184056","abstract":"A main challenge in genome-wide association studies (GWAS) is to pinpoint possible causal variants. Results from GWAS typically do not directly translate into causal variants because the majority of hits are in non-coding or intergenic regions, and the presence of linkage disequilibrium leads to effects being statistically spread out across multiple variants. Post-GWAS annotation facilitates the selection of most likely causal variant(s). Multiple resources are available for post-GWAS annotation, yet these can be time consuming and do not provide integrated visual aids for data interpretation. We, therefore, develop FUMA: an integrative web-based platform using information from multiple biological resources to facilitate functional annotation of GWAS results, gene prioritization and interactive visualization. FUMA accommodates positional, expression quantitative trait loci (eQTL) and chromatin interaction mappings, and provides gene-based, pathway and tissue enrichment results. FUMA results directly aid in generating hypotheses that are testable in functional experiments aimed at proving causal relations.","author":[{"dropping-particle":"","family":"Watanabe","given":"Kyoko","non-dropping-particle":"","parse-names":false,"suffix":""},{"dropping-particle":"","family":"Taskesen","given":"Erdogan","non-dropping-particle":"","parse-names":false,"suffix":""},{"dropping-particle":"","family":"Bochoven","given":"Arjen","non-dropping-particle":"Van","parse-names":false,"suffix":""},{"dropping-particle":"","family":"Posthuma","given":"Danielle","non-dropping-particle":"","parse-names":false,"suffix":""}],"container-title":"Nature Communications","id":"ITEM-1","issued":{"date-parts":[["2017"]]},"title":"Functional mapping and annotation of genetic associations with FUMA","type":"article-journal"},"uris":["http://www.mendeley.com/documents/?uuid=eb4d4e0e-58f7-4934-bed5-9ad95ba4227f"]}],"mendeley":{"formattedCitation":"[10]","plainTextFormattedCitation":"[10]","previouslyFormattedCitation":"[10]"},"properties":{"noteIndex":0},"schema":"https://github.com/citation-style-language/schema/raw/master/csl-citation.json"}</w:instrText>
      </w:r>
      <w:r w:rsidRPr="00D44C0B">
        <w:rPr>
          <w:rFonts w:ascii="Times New Roman" w:hAnsi="Times New Roman" w:cs="Times New Roman"/>
          <w:i/>
          <w:iCs/>
          <w:highlight w:val="yellow"/>
        </w:rPr>
        <w:fldChar w:fldCharType="separate"/>
      </w:r>
      <w:r w:rsidRPr="00D44C0B">
        <w:rPr>
          <w:rFonts w:ascii="Times New Roman" w:hAnsi="Times New Roman" w:cs="Times New Roman"/>
          <w:i/>
          <w:iCs/>
          <w:noProof/>
          <w:highlight w:val="yellow"/>
        </w:rPr>
        <w:t>[10]</w:t>
      </w:r>
      <w:r w:rsidRPr="00D44C0B">
        <w:rPr>
          <w:rFonts w:ascii="Times New Roman" w:hAnsi="Times New Roman" w:cs="Times New Roman"/>
          <w:i/>
          <w:iCs/>
          <w:highlight w:val="yellow"/>
        </w:rPr>
        <w:fldChar w:fldCharType="end"/>
      </w:r>
      <w:r w:rsidRPr="00D44C0B">
        <w:rPr>
          <w:rFonts w:ascii="Times New Roman" w:hAnsi="Times New Roman" w:cs="Times New Roman"/>
          <w:i/>
          <w:iCs/>
          <w:highlight w:val="yellow"/>
        </w:rPr>
        <w:t xml:space="preserve"> highlighted 83 genes at these loci (</w:t>
      </w:r>
      <w:r w:rsidRPr="00D44C0B">
        <w:rPr>
          <w:rFonts w:ascii="Times New Roman" w:hAnsi="Times New Roman" w:cs="Times New Roman"/>
          <w:b/>
          <w:i/>
          <w:iCs/>
          <w:highlight w:val="yellow"/>
        </w:rPr>
        <w:t>Table S4</w:t>
      </w:r>
      <w:r w:rsidRPr="00D44C0B">
        <w:rPr>
          <w:rFonts w:ascii="Times New Roman" w:hAnsi="Times New Roman" w:cs="Times New Roman"/>
          <w:i/>
          <w:iCs/>
          <w:highlight w:val="yellow"/>
        </w:rPr>
        <w:t>).  Clearest evidence was found for 11 genes that were prioritized by both methods at genetic-by-age interaction loci for pulse pressure: CDH13, CDKN1A, DOT1L, EFEMP1, FBN1, FBXO32, IGFBP3, KIAA1462, MRC2, SPSB1, TCF7L1.</w:t>
      </w:r>
    </w:p>
    <w:p w14:paraId="492B5E44" w14:textId="77777777" w:rsidR="005140AA" w:rsidRPr="00D44C0B" w:rsidRDefault="005140AA" w:rsidP="00736889">
      <w:pPr>
        <w:autoSpaceDE w:val="0"/>
        <w:autoSpaceDN w:val="0"/>
        <w:adjustRightInd w:val="0"/>
        <w:spacing w:after="0" w:line="276" w:lineRule="auto"/>
        <w:jc w:val="both"/>
        <w:rPr>
          <w:rFonts w:ascii="Times New Roman" w:hAnsi="Times New Roman" w:cs="Times New Roman"/>
          <w:i/>
          <w:iCs/>
          <w:color w:val="2F5496" w:themeColor="accent5" w:themeShade="BF"/>
        </w:rPr>
      </w:pPr>
    </w:p>
    <w:p w14:paraId="6CDDDD18" w14:textId="7F6B481B" w:rsidR="005E6241" w:rsidRPr="00D44C0B" w:rsidRDefault="005E6241" w:rsidP="00736889">
      <w:pPr>
        <w:autoSpaceDE w:val="0"/>
        <w:autoSpaceDN w:val="0"/>
        <w:adjustRightInd w:val="0"/>
        <w:spacing w:after="0" w:line="276" w:lineRule="auto"/>
        <w:jc w:val="both"/>
        <w:rPr>
          <w:rFonts w:ascii="Times New Roman" w:hAnsi="Times New Roman" w:cs="Times New Roman"/>
          <w:i/>
          <w:iCs/>
        </w:rPr>
      </w:pPr>
      <w:r w:rsidRPr="00D44C0B">
        <w:rPr>
          <w:rFonts w:ascii="Times New Roman" w:hAnsi="Times New Roman" w:cs="Times New Roman"/>
          <w:i/>
          <w:iCs/>
        </w:rPr>
        <w:t xml:space="preserve">The 83 prioritized genes are shown in the updated gene prioritization </w:t>
      </w:r>
      <w:r w:rsidRPr="00D44C0B">
        <w:rPr>
          <w:rFonts w:ascii="Times New Roman" w:hAnsi="Times New Roman" w:cs="Times New Roman"/>
          <w:b/>
          <w:i/>
          <w:iCs/>
        </w:rPr>
        <w:t>Table S4</w:t>
      </w:r>
      <w:r w:rsidRPr="00D44C0B">
        <w:rPr>
          <w:rFonts w:ascii="Times New Roman" w:hAnsi="Times New Roman" w:cs="Times New Roman"/>
          <w:i/>
          <w:iCs/>
        </w:rPr>
        <w:t xml:space="preserve">.  </w:t>
      </w:r>
    </w:p>
    <w:p w14:paraId="701925A8" w14:textId="77777777" w:rsidR="005E6241" w:rsidRPr="00D44C0B" w:rsidRDefault="005E6241" w:rsidP="00736889">
      <w:pPr>
        <w:autoSpaceDE w:val="0"/>
        <w:autoSpaceDN w:val="0"/>
        <w:adjustRightInd w:val="0"/>
        <w:spacing w:after="0" w:line="276" w:lineRule="auto"/>
        <w:jc w:val="both"/>
        <w:rPr>
          <w:rFonts w:ascii="Times New Roman" w:hAnsi="Times New Roman" w:cs="Times New Roman"/>
        </w:rPr>
      </w:pPr>
    </w:p>
    <w:p w14:paraId="7E2DE74C" w14:textId="77777777" w:rsidR="005E6241" w:rsidRPr="00D44C0B" w:rsidRDefault="005E6241" w:rsidP="00736889">
      <w:pPr>
        <w:autoSpaceDE w:val="0"/>
        <w:autoSpaceDN w:val="0"/>
        <w:adjustRightInd w:val="0"/>
        <w:spacing w:after="0" w:line="276" w:lineRule="auto"/>
        <w:jc w:val="both"/>
        <w:rPr>
          <w:rFonts w:ascii="Times New Roman" w:hAnsi="Times New Roman" w:cs="Times New Roman"/>
          <w:color w:val="2F5496" w:themeColor="accent5" w:themeShade="BF"/>
        </w:rPr>
      </w:pPr>
    </w:p>
    <w:p w14:paraId="291B8BAA" w14:textId="312F53A8" w:rsidR="00600DB1" w:rsidRPr="00D44C0B" w:rsidRDefault="00600DB1" w:rsidP="007E7EDC">
      <w:pPr>
        <w:pStyle w:val="ListParagraph"/>
        <w:numPr>
          <w:ilvl w:val="0"/>
          <w:numId w:val="19"/>
        </w:numPr>
        <w:autoSpaceDE w:val="0"/>
        <w:autoSpaceDN w:val="0"/>
        <w:adjustRightInd w:val="0"/>
        <w:spacing w:after="0" w:line="276" w:lineRule="auto"/>
        <w:jc w:val="both"/>
        <w:rPr>
          <w:rFonts w:ascii="Times New Roman" w:hAnsi="Times New Roman" w:cs="Times New Roman"/>
          <w:color w:val="2F5496" w:themeColor="accent5" w:themeShade="BF"/>
        </w:rPr>
      </w:pPr>
      <w:r w:rsidRPr="00D44C0B">
        <w:rPr>
          <w:rFonts w:ascii="Times New Roman" w:hAnsi="Times New Roman" w:cs="Times New Roman"/>
          <w:color w:val="2F5496" w:themeColor="accent5" w:themeShade="BF"/>
        </w:rPr>
        <w:t xml:space="preserve">analysis code should be put on a </w:t>
      </w:r>
      <w:proofErr w:type="spellStart"/>
      <w:r w:rsidRPr="00D44C0B">
        <w:rPr>
          <w:rFonts w:ascii="Times New Roman" w:hAnsi="Times New Roman" w:cs="Times New Roman"/>
          <w:color w:val="2F5496" w:themeColor="accent5" w:themeShade="BF"/>
        </w:rPr>
        <w:t>github</w:t>
      </w:r>
      <w:proofErr w:type="spellEnd"/>
      <w:r w:rsidRPr="00D44C0B">
        <w:rPr>
          <w:rFonts w:ascii="Times New Roman" w:hAnsi="Times New Roman" w:cs="Times New Roman"/>
          <w:color w:val="2F5496" w:themeColor="accent5" w:themeShade="BF"/>
        </w:rPr>
        <w:t xml:space="preserve"> repository or in </w:t>
      </w:r>
      <w:proofErr w:type="spellStart"/>
      <w:r w:rsidRPr="00D44C0B">
        <w:rPr>
          <w:rFonts w:ascii="Times New Roman" w:hAnsi="Times New Roman" w:cs="Times New Roman"/>
          <w:color w:val="2F5496" w:themeColor="accent5" w:themeShade="BF"/>
        </w:rPr>
        <w:t>zenodo</w:t>
      </w:r>
      <w:proofErr w:type="spellEnd"/>
      <w:r w:rsidRPr="00D44C0B">
        <w:rPr>
          <w:rFonts w:ascii="Times New Roman" w:hAnsi="Times New Roman" w:cs="Times New Roman"/>
          <w:color w:val="2F5496" w:themeColor="accent5" w:themeShade="BF"/>
        </w:rPr>
        <w:t xml:space="preserve"> (ideally with a short tutorial) </w:t>
      </w:r>
    </w:p>
    <w:p w14:paraId="20C9D0E0" w14:textId="77777777" w:rsidR="00600DB1" w:rsidRPr="00D44C0B" w:rsidRDefault="00600DB1" w:rsidP="00736889">
      <w:pPr>
        <w:autoSpaceDE w:val="0"/>
        <w:autoSpaceDN w:val="0"/>
        <w:adjustRightInd w:val="0"/>
        <w:spacing w:after="0" w:line="276" w:lineRule="auto"/>
        <w:jc w:val="both"/>
        <w:rPr>
          <w:rFonts w:ascii="Times New Roman" w:hAnsi="Times New Roman" w:cs="Times New Roman"/>
          <w:color w:val="2F5496" w:themeColor="accent5" w:themeShade="BF"/>
        </w:rPr>
      </w:pPr>
    </w:p>
    <w:p w14:paraId="30556342" w14:textId="70ADE9FE" w:rsidR="00D03B3B" w:rsidRPr="00D44C0B" w:rsidRDefault="00D03B3B" w:rsidP="00736889">
      <w:pPr>
        <w:autoSpaceDE w:val="0"/>
        <w:autoSpaceDN w:val="0"/>
        <w:adjustRightInd w:val="0"/>
        <w:spacing w:after="0" w:line="276" w:lineRule="auto"/>
        <w:jc w:val="both"/>
        <w:rPr>
          <w:rFonts w:ascii="Times New Roman" w:hAnsi="Times New Roman" w:cs="Times New Roman"/>
          <w:i/>
          <w:iCs/>
        </w:rPr>
      </w:pPr>
      <w:r w:rsidRPr="00D44C0B">
        <w:rPr>
          <w:rFonts w:ascii="Times New Roman" w:hAnsi="Times New Roman" w:cs="Times New Roman"/>
          <w:b/>
          <w:i/>
          <w:iCs/>
          <w:color w:val="000000" w:themeColor="text1"/>
          <w:lang w:val="en-US"/>
        </w:rPr>
        <w:t xml:space="preserve">Response: </w:t>
      </w:r>
      <w:r w:rsidRPr="00D44C0B">
        <w:rPr>
          <w:rFonts w:ascii="Times New Roman" w:hAnsi="Times New Roman" w:cs="Times New Roman"/>
          <w:i/>
          <w:iCs/>
        </w:rPr>
        <w:t xml:space="preserve">Yes, this is important. We have already prepared a </w:t>
      </w:r>
      <w:proofErr w:type="spellStart"/>
      <w:r w:rsidR="005E6241" w:rsidRPr="00D44C0B">
        <w:rPr>
          <w:rFonts w:ascii="Times New Roman" w:hAnsi="Times New Roman" w:cs="Times New Roman"/>
          <w:i/>
          <w:iCs/>
        </w:rPr>
        <w:t>github</w:t>
      </w:r>
      <w:proofErr w:type="spellEnd"/>
      <w:r w:rsidR="005E6241" w:rsidRPr="00D44C0B">
        <w:rPr>
          <w:rFonts w:ascii="Times New Roman" w:hAnsi="Times New Roman" w:cs="Times New Roman"/>
          <w:i/>
          <w:iCs/>
        </w:rPr>
        <w:t xml:space="preserve"> </w:t>
      </w:r>
      <w:r w:rsidRPr="00D44C0B">
        <w:rPr>
          <w:rFonts w:ascii="Times New Roman" w:hAnsi="Times New Roman" w:cs="Times New Roman"/>
          <w:i/>
          <w:iCs/>
        </w:rPr>
        <w:t>repository</w:t>
      </w:r>
      <w:r w:rsidR="005E6241" w:rsidRPr="00D44C0B">
        <w:rPr>
          <w:rFonts w:ascii="Times New Roman" w:hAnsi="Times New Roman" w:cs="Times New Roman"/>
          <w:i/>
          <w:iCs/>
        </w:rPr>
        <w:t xml:space="preserve"> with code to apply the three approaches to the </w:t>
      </w:r>
      <w:proofErr w:type="spellStart"/>
      <w:r w:rsidR="005E6241" w:rsidRPr="00D44C0B">
        <w:rPr>
          <w:rFonts w:ascii="Times New Roman" w:hAnsi="Times New Roman" w:cs="Times New Roman"/>
          <w:i/>
          <w:iCs/>
        </w:rPr>
        <w:t>regenie</w:t>
      </w:r>
      <w:proofErr w:type="spellEnd"/>
      <w:r w:rsidR="005E6241" w:rsidRPr="00D44C0B">
        <w:rPr>
          <w:rFonts w:ascii="Times New Roman" w:hAnsi="Times New Roman" w:cs="Times New Roman"/>
          <w:i/>
          <w:iCs/>
        </w:rPr>
        <w:t xml:space="preserve"> output. We </w:t>
      </w:r>
      <w:r w:rsidRPr="00D44C0B">
        <w:rPr>
          <w:rFonts w:ascii="Times New Roman" w:hAnsi="Times New Roman" w:cs="Times New Roman"/>
          <w:i/>
          <w:iCs/>
        </w:rPr>
        <w:t xml:space="preserve">will </w:t>
      </w:r>
      <w:r w:rsidR="005E6241" w:rsidRPr="00D44C0B">
        <w:rPr>
          <w:rFonts w:ascii="Times New Roman" w:hAnsi="Times New Roman" w:cs="Times New Roman"/>
          <w:i/>
          <w:iCs/>
        </w:rPr>
        <w:t xml:space="preserve">make the repository </w:t>
      </w:r>
      <w:r w:rsidRPr="00D44C0B">
        <w:rPr>
          <w:rFonts w:ascii="Times New Roman" w:hAnsi="Times New Roman" w:cs="Times New Roman"/>
          <w:i/>
          <w:iCs/>
        </w:rPr>
        <w:t xml:space="preserve">public with the publication of the paper. </w:t>
      </w:r>
    </w:p>
    <w:p w14:paraId="6827CF9D" w14:textId="77777777" w:rsidR="00C06933" w:rsidRPr="00D44C0B" w:rsidRDefault="00C06933" w:rsidP="00736889">
      <w:pPr>
        <w:autoSpaceDE w:val="0"/>
        <w:autoSpaceDN w:val="0"/>
        <w:adjustRightInd w:val="0"/>
        <w:spacing w:after="0" w:line="276" w:lineRule="auto"/>
        <w:jc w:val="both"/>
        <w:rPr>
          <w:rFonts w:ascii="Times New Roman" w:hAnsi="Times New Roman" w:cs="Times New Roman"/>
          <w:color w:val="2F5496" w:themeColor="accent5" w:themeShade="BF"/>
        </w:rPr>
      </w:pPr>
    </w:p>
    <w:p w14:paraId="795EEC3A" w14:textId="77777777" w:rsidR="00600DB1" w:rsidRPr="00D44C0B" w:rsidRDefault="00600DB1" w:rsidP="00736889">
      <w:pPr>
        <w:autoSpaceDE w:val="0"/>
        <w:autoSpaceDN w:val="0"/>
        <w:adjustRightInd w:val="0"/>
        <w:spacing w:after="0" w:line="276" w:lineRule="auto"/>
        <w:jc w:val="both"/>
        <w:rPr>
          <w:rFonts w:ascii="Times New Roman" w:hAnsi="Times New Roman" w:cs="Times New Roman"/>
          <w:color w:val="2F5496" w:themeColor="accent5" w:themeShade="BF"/>
        </w:rPr>
      </w:pPr>
      <w:r w:rsidRPr="00D44C0B">
        <w:rPr>
          <w:rFonts w:ascii="Times New Roman" w:hAnsi="Times New Roman" w:cs="Times New Roman"/>
          <w:color w:val="2F5496" w:themeColor="accent5" w:themeShade="BF"/>
        </w:rPr>
        <w:t>Minor comments:</w:t>
      </w:r>
    </w:p>
    <w:p w14:paraId="49995884" w14:textId="77777777" w:rsidR="00600DB1" w:rsidRPr="00D44C0B" w:rsidRDefault="00600DB1" w:rsidP="00736889">
      <w:pPr>
        <w:autoSpaceDE w:val="0"/>
        <w:autoSpaceDN w:val="0"/>
        <w:adjustRightInd w:val="0"/>
        <w:spacing w:after="0" w:line="276" w:lineRule="auto"/>
        <w:jc w:val="both"/>
        <w:rPr>
          <w:rFonts w:ascii="Times New Roman" w:hAnsi="Times New Roman" w:cs="Times New Roman"/>
          <w:color w:val="2F5496" w:themeColor="accent5" w:themeShade="BF"/>
        </w:rPr>
      </w:pPr>
    </w:p>
    <w:p w14:paraId="1AE5AC14" w14:textId="77777777" w:rsidR="00600DB1" w:rsidRPr="00D44C0B" w:rsidRDefault="00600DB1" w:rsidP="00736889">
      <w:pPr>
        <w:autoSpaceDE w:val="0"/>
        <w:autoSpaceDN w:val="0"/>
        <w:adjustRightInd w:val="0"/>
        <w:spacing w:after="0" w:line="276" w:lineRule="auto"/>
        <w:jc w:val="both"/>
        <w:rPr>
          <w:rFonts w:ascii="Times New Roman" w:hAnsi="Times New Roman" w:cs="Times New Roman"/>
          <w:color w:val="2F5496" w:themeColor="accent5" w:themeShade="BF"/>
        </w:rPr>
      </w:pPr>
      <w:r w:rsidRPr="00D44C0B">
        <w:rPr>
          <w:rFonts w:ascii="Times New Roman" w:hAnsi="Times New Roman" w:cs="Times New Roman"/>
          <w:color w:val="2F5496" w:themeColor="accent5" w:themeShade="BF"/>
        </w:rPr>
        <w:lastRenderedPageBreak/>
        <w:t>line 160: "describe the results in the following." should be "describe the results in the following section."</w:t>
      </w:r>
    </w:p>
    <w:p w14:paraId="424A0159" w14:textId="77777777" w:rsidR="005E6241" w:rsidRPr="00D44C0B" w:rsidRDefault="005E6241" w:rsidP="00736889">
      <w:pPr>
        <w:spacing w:line="276" w:lineRule="auto"/>
        <w:jc w:val="both"/>
        <w:rPr>
          <w:rFonts w:ascii="Times New Roman" w:hAnsi="Times New Roman" w:cs="Times New Roman"/>
          <w:b/>
          <w:i/>
          <w:iCs/>
          <w:color w:val="000000" w:themeColor="text1"/>
          <w:lang w:val="en-US"/>
        </w:rPr>
      </w:pPr>
    </w:p>
    <w:p w14:paraId="6D07E723" w14:textId="5AF69F4C" w:rsidR="00D03B3B" w:rsidRPr="00D44C0B" w:rsidRDefault="00D03B3B" w:rsidP="00736889">
      <w:pPr>
        <w:spacing w:line="276" w:lineRule="auto"/>
        <w:jc w:val="both"/>
        <w:rPr>
          <w:rFonts w:ascii="Times New Roman" w:hAnsi="Times New Roman" w:cs="Times New Roman"/>
          <w:i/>
          <w:iCs/>
        </w:rPr>
      </w:pPr>
      <w:r w:rsidRPr="00D44C0B">
        <w:rPr>
          <w:rFonts w:ascii="Times New Roman" w:hAnsi="Times New Roman" w:cs="Times New Roman"/>
          <w:b/>
          <w:i/>
          <w:iCs/>
          <w:color w:val="000000" w:themeColor="text1"/>
          <w:lang w:val="en-US"/>
        </w:rPr>
        <w:t xml:space="preserve">Response: </w:t>
      </w:r>
      <w:r w:rsidRPr="00D44C0B">
        <w:rPr>
          <w:rFonts w:ascii="Times New Roman" w:hAnsi="Times New Roman" w:cs="Times New Roman"/>
          <w:i/>
          <w:iCs/>
        </w:rPr>
        <w:t xml:space="preserve">Thank you, this was revised. </w:t>
      </w:r>
    </w:p>
    <w:p w14:paraId="7D7AD9F1" w14:textId="77777777" w:rsidR="00D03B3B" w:rsidRPr="00D44C0B" w:rsidRDefault="00D03B3B" w:rsidP="00736889">
      <w:pPr>
        <w:autoSpaceDE w:val="0"/>
        <w:autoSpaceDN w:val="0"/>
        <w:adjustRightInd w:val="0"/>
        <w:spacing w:after="0" w:line="276" w:lineRule="auto"/>
        <w:jc w:val="both"/>
        <w:rPr>
          <w:rFonts w:ascii="Times New Roman" w:hAnsi="Times New Roman" w:cs="Times New Roman"/>
          <w:color w:val="2F5496" w:themeColor="accent5" w:themeShade="BF"/>
        </w:rPr>
      </w:pPr>
    </w:p>
    <w:p w14:paraId="47371995" w14:textId="308F1DE6" w:rsidR="00600DB1" w:rsidRPr="00D44C0B" w:rsidRDefault="00600DB1" w:rsidP="00736889">
      <w:pPr>
        <w:autoSpaceDE w:val="0"/>
        <w:autoSpaceDN w:val="0"/>
        <w:adjustRightInd w:val="0"/>
        <w:spacing w:after="0" w:line="276" w:lineRule="auto"/>
        <w:jc w:val="both"/>
        <w:rPr>
          <w:rFonts w:ascii="Times New Roman" w:hAnsi="Times New Roman" w:cs="Times New Roman"/>
          <w:color w:val="2F5496" w:themeColor="accent5" w:themeShade="BF"/>
        </w:rPr>
      </w:pPr>
      <w:r w:rsidRPr="00D44C0B">
        <w:rPr>
          <w:rFonts w:ascii="Times New Roman" w:hAnsi="Times New Roman" w:cs="Times New Roman"/>
          <w:color w:val="2F5496" w:themeColor="accent5" w:themeShade="BF"/>
        </w:rPr>
        <w:t>line 330: "Alzheimer" -&gt; "Alzheimer's"</w:t>
      </w:r>
    </w:p>
    <w:p w14:paraId="445DC4DB" w14:textId="77777777" w:rsidR="005E6241" w:rsidRPr="00D44C0B" w:rsidRDefault="005E6241" w:rsidP="00736889">
      <w:pPr>
        <w:spacing w:line="276" w:lineRule="auto"/>
        <w:jc w:val="both"/>
        <w:rPr>
          <w:rFonts w:ascii="Times New Roman" w:hAnsi="Times New Roman" w:cs="Times New Roman"/>
          <w:b/>
          <w:color w:val="000000" w:themeColor="text1"/>
          <w:lang w:val="en-US"/>
        </w:rPr>
      </w:pPr>
    </w:p>
    <w:p w14:paraId="7DC117DA" w14:textId="1B3860C7" w:rsidR="00122E63" w:rsidRPr="00D44C0B" w:rsidRDefault="00D03B3B" w:rsidP="00D44C0B">
      <w:pPr>
        <w:spacing w:line="276" w:lineRule="auto"/>
        <w:jc w:val="both"/>
        <w:rPr>
          <w:rFonts w:ascii="Times New Roman" w:hAnsi="Times New Roman" w:cs="Times New Roman"/>
          <w:i/>
          <w:iCs/>
        </w:rPr>
      </w:pPr>
      <w:r w:rsidRPr="00D44C0B">
        <w:rPr>
          <w:rFonts w:ascii="Times New Roman" w:hAnsi="Times New Roman" w:cs="Times New Roman"/>
          <w:b/>
          <w:i/>
          <w:iCs/>
          <w:color w:val="000000" w:themeColor="text1"/>
          <w:lang w:val="en-US"/>
        </w:rPr>
        <w:t xml:space="preserve">Response: </w:t>
      </w:r>
      <w:r w:rsidRPr="00D44C0B">
        <w:rPr>
          <w:rFonts w:ascii="Times New Roman" w:hAnsi="Times New Roman" w:cs="Times New Roman"/>
          <w:i/>
          <w:iCs/>
        </w:rPr>
        <w:t xml:space="preserve">Thank you, this was revised. </w:t>
      </w:r>
    </w:p>
    <w:p w14:paraId="074774E7" w14:textId="77777777" w:rsidR="00D44C0B" w:rsidRPr="00D44C0B" w:rsidRDefault="00D44C0B" w:rsidP="00D44C0B">
      <w:pPr>
        <w:spacing w:after="200" w:line="240" w:lineRule="auto"/>
        <w:rPr>
          <w:rFonts w:ascii="Times New Roman" w:hAnsi="Times New Roman" w:cs="Times New Roman"/>
          <w:i/>
          <w:iCs/>
        </w:rPr>
      </w:pPr>
    </w:p>
    <w:p w14:paraId="2B865B3B" w14:textId="4A144929" w:rsidR="00D44C0B" w:rsidRPr="00D44C0B" w:rsidRDefault="00D44C0B" w:rsidP="00D44C0B">
      <w:pPr>
        <w:spacing w:after="200" w:line="240" w:lineRule="auto"/>
        <w:rPr>
          <w:rFonts w:ascii="Times New Roman" w:eastAsia="Times New Roman" w:hAnsi="Times New Roman" w:cs="Times New Roman"/>
          <w:lang w:val="en-US" w:eastAsia="zh-CN"/>
        </w:rPr>
      </w:pPr>
      <w:r w:rsidRPr="00D44C0B">
        <w:rPr>
          <w:rFonts w:ascii="Times New Roman" w:eastAsia="Times New Roman" w:hAnsi="Times New Roman" w:cs="Times New Roman"/>
          <w:b/>
          <w:bCs/>
          <w:color w:val="000000"/>
          <w:lang w:val="en-US" w:eastAsia="zh-CN"/>
        </w:rPr>
        <w:t>Second round of review</w:t>
      </w:r>
    </w:p>
    <w:p w14:paraId="5C66BFAC" w14:textId="77777777" w:rsidR="00D44C0B" w:rsidRPr="00D44C0B" w:rsidRDefault="00D44C0B" w:rsidP="00D44C0B">
      <w:pPr>
        <w:spacing w:after="200" w:line="240" w:lineRule="auto"/>
        <w:rPr>
          <w:rFonts w:ascii="Times New Roman" w:eastAsia="Times New Roman" w:hAnsi="Times New Roman" w:cs="Times New Roman"/>
          <w:lang w:val="en-US" w:eastAsia="zh-CN"/>
        </w:rPr>
      </w:pPr>
      <w:r w:rsidRPr="00D44C0B">
        <w:rPr>
          <w:rFonts w:ascii="Times New Roman" w:eastAsia="Times New Roman" w:hAnsi="Times New Roman" w:cs="Times New Roman"/>
          <w:b/>
          <w:bCs/>
          <w:color w:val="000000"/>
          <w:lang w:val="en-US" w:eastAsia="zh-CN"/>
        </w:rPr>
        <w:t>Reviewer 1</w:t>
      </w:r>
    </w:p>
    <w:p w14:paraId="6CD41022" w14:textId="77777777" w:rsidR="00D44C0B" w:rsidRPr="00D44C0B" w:rsidRDefault="00D44C0B" w:rsidP="00D44C0B">
      <w:pPr>
        <w:spacing w:after="0" w:line="240" w:lineRule="auto"/>
        <w:rPr>
          <w:rFonts w:ascii="Times New Roman" w:eastAsia="Times New Roman" w:hAnsi="Times New Roman" w:cs="Times New Roman"/>
          <w:lang w:val="en-US" w:eastAsia="zh-CN"/>
        </w:rPr>
      </w:pPr>
      <w:r w:rsidRPr="00D44C0B">
        <w:rPr>
          <w:rFonts w:ascii="Times New Roman" w:eastAsia="Times New Roman" w:hAnsi="Times New Roman" w:cs="Times New Roman"/>
          <w:color w:val="000033"/>
          <w:shd w:val="clear" w:color="auto" w:fill="FFFFFF"/>
          <w:lang w:val="en-US" w:eastAsia="zh-CN"/>
        </w:rPr>
        <w:t>The revised manuscript has shown considerable improvement in the clarity of its presentation of key analytical findings. Nonetheless, I have reservations regarding their responses concerning the methodology. My skepticism persists regarding the study's purported advancements in methodological innovation.</w:t>
      </w:r>
    </w:p>
    <w:p w14:paraId="1E7BE2B6" w14:textId="77777777" w:rsidR="00D44C0B" w:rsidRPr="00D44C0B" w:rsidRDefault="00D44C0B" w:rsidP="00D44C0B">
      <w:pPr>
        <w:spacing w:after="0" w:line="240" w:lineRule="auto"/>
        <w:rPr>
          <w:rFonts w:ascii="Times New Roman" w:eastAsia="Times New Roman" w:hAnsi="Times New Roman" w:cs="Times New Roman"/>
          <w:lang w:val="en-US" w:eastAsia="zh-CN"/>
        </w:rPr>
      </w:pPr>
    </w:p>
    <w:p w14:paraId="11B52B6C" w14:textId="77777777" w:rsidR="00D44C0B" w:rsidRPr="00D44C0B" w:rsidRDefault="00D44C0B" w:rsidP="00D44C0B">
      <w:pPr>
        <w:spacing w:after="200" w:line="240" w:lineRule="auto"/>
        <w:rPr>
          <w:rFonts w:ascii="Times New Roman" w:eastAsia="Times New Roman" w:hAnsi="Times New Roman" w:cs="Times New Roman"/>
          <w:lang w:val="en-US" w:eastAsia="zh-CN"/>
        </w:rPr>
      </w:pPr>
      <w:r w:rsidRPr="00D44C0B">
        <w:rPr>
          <w:rFonts w:ascii="Times New Roman" w:eastAsia="Times New Roman" w:hAnsi="Times New Roman" w:cs="Times New Roman"/>
          <w:color w:val="000033"/>
          <w:shd w:val="clear" w:color="auto" w:fill="FFFFFF"/>
          <w:lang w:val="en-US" w:eastAsia="zh-CN"/>
        </w:rPr>
        <w:t>1. How the three sensitivity analyses can be used properly in practice seems unclear. What is the power of the analyses?</w:t>
      </w:r>
    </w:p>
    <w:p w14:paraId="6E4F96C3" w14:textId="77777777" w:rsidR="00D44C0B" w:rsidRPr="00D44C0B" w:rsidRDefault="00D44C0B" w:rsidP="00D44C0B">
      <w:pPr>
        <w:spacing w:after="200" w:line="240" w:lineRule="auto"/>
        <w:rPr>
          <w:rFonts w:ascii="Times New Roman" w:eastAsia="Times New Roman" w:hAnsi="Times New Roman" w:cs="Times New Roman"/>
          <w:lang w:val="en-US" w:eastAsia="zh-CN"/>
        </w:rPr>
      </w:pPr>
      <w:r w:rsidRPr="00D44C0B">
        <w:rPr>
          <w:rFonts w:ascii="Times New Roman" w:eastAsia="Times New Roman" w:hAnsi="Times New Roman" w:cs="Times New Roman"/>
          <w:color w:val="000033"/>
          <w:shd w:val="clear" w:color="auto" w:fill="FFFFFF"/>
          <w:lang w:val="en-US" w:eastAsia="zh-CN"/>
        </w:rPr>
        <w:t>2. In Figure 3, the right panel looks strange. To better illustrate the study's primary method, which is the two-stage approach, could the authors consider varying 'f' while maintaining a consistent total sample size? Maybe it is unnecessary to show the other 1-sage approaches in the Figure.</w:t>
      </w:r>
    </w:p>
    <w:p w14:paraId="7E57B072" w14:textId="77777777" w:rsidR="00D44C0B" w:rsidRPr="00D44C0B" w:rsidRDefault="00D44C0B" w:rsidP="00D44C0B">
      <w:pPr>
        <w:spacing w:after="200" w:line="240" w:lineRule="auto"/>
        <w:rPr>
          <w:rFonts w:ascii="Times New Roman" w:eastAsia="Times New Roman" w:hAnsi="Times New Roman" w:cs="Times New Roman"/>
          <w:lang w:val="en-US" w:eastAsia="zh-CN"/>
        </w:rPr>
      </w:pPr>
      <w:r w:rsidRPr="00D44C0B">
        <w:rPr>
          <w:rFonts w:ascii="Times New Roman" w:eastAsia="Times New Roman" w:hAnsi="Times New Roman" w:cs="Times New Roman"/>
          <w:color w:val="000033"/>
          <w:shd w:val="clear" w:color="auto" w:fill="FFFFFF"/>
          <w:lang w:val="en-US" w:eastAsia="zh-CN"/>
        </w:rPr>
        <w:t xml:space="preserve">3. If the </w:t>
      </w:r>
      <w:proofErr w:type="spellStart"/>
      <w:r w:rsidRPr="00D44C0B">
        <w:rPr>
          <w:rFonts w:ascii="Times New Roman" w:eastAsia="Times New Roman" w:hAnsi="Times New Roman" w:cs="Times New Roman"/>
          <w:color w:val="000033"/>
          <w:shd w:val="clear" w:color="auto" w:fill="FFFFFF"/>
          <w:lang w:val="en-US" w:eastAsia="zh-CN"/>
        </w:rPr>
        <w:t>GxAge</w:t>
      </w:r>
      <w:proofErr w:type="spellEnd"/>
      <w:r w:rsidRPr="00D44C0B">
        <w:rPr>
          <w:rFonts w:ascii="Times New Roman" w:eastAsia="Times New Roman" w:hAnsi="Times New Roman" w:cs="Times New Roman"/>
          <w:color w:val="000033"/>
          <w:shd w:val="clear" w:color="auto" w:fill="FFFFFF"/>
          <w:lang w:val="en-US" w:eastAsia="zh-CN"/>
        </w:rPr>
        <w:t xml:space="preserve"> interactions </w:t>
      </w:r>
      <w:proofErr w:type="spellStart"/>
      <w:r w:rsidRPr="00D44C0B">
        <w:rPr>
          <w:rFonts w:ascii="Times New Roman" w:eastAsia="Times New Roman" w:hAnsi="Times New Roman" w:cs="Times New Roman"/>
          <w:color w:val="000033"/>
          <w:shd w:val="clear" w:color="auto" w:fill="FFFFFF"/>
          <w:lang w:val="en-US" w:eastAsia="zh-CN"/>
        </w:rPr>
        <w:t>γ_G</w:t>
      </w:r>
      <w:proofErr w:type="spellEnd"/>
      <w:r w:rsidRPr="00D44C0B">
        <w:rPr>
          <w:rFonts w:ascii="Times New Roman" w:eastAsia="Times New Roman" w:hAnsi="Times New Roman" w:cs="Times New Roman"/>
          <w:color w:val="000033"/>
          <w:shd w:val="clear" w:color="auto" w:fill="FFFFFF"/>
          <w:lang w:val="en-US" w:eastAsia="zh-CN"/>
        </w:rPr>
        <w:t xml:space="preserve"> and β_</w:t>
      </w:r>
      <w:proofErr w:type="spellStart"/>
      <w:r w:rsidRPr="00D44C0B">
        <w:rPr>
          <w:rFonts w:ascii="Times New Roman" w:eastAsia="Times New Roman" w:hAnsi="Times New Roman" w:cs="Times New Roman"/>
          <w:color w:val="000033"/>
          <w:shd w:val="clear" w:color="auto" w:fill="FFFFFF"/>
          <w:lang w:val="en-US" w:eastAsia="zh-CN"/>
        </w:rPr>
        <w:t>GxAge</w:t>
      </w:r>
      <w:proofErr w:type="spellEnd"/>
      <w:r w:rsidRPr="00D44C0B">
        <w:rPr>
          <w:rFonts w:ascii="Times New Roman" w:eastAsia="Times New Roman" w:hAnsi="Times New Roman" w:cs="Times New Roman"/>
          <w:color w:val="000033"/>
          <w:shd w:val="clear" w:color="auto" w:fill="FFFFFF"/>
          <w:lang w:val="en-US" w:eastAsia="zh-CN"/>
        </w:rPr>
        <w:t xml:space="preserve"> are equivalent, as the authors stated, why are the powers of the two 1-sage approaches different?</w:t>
      </w:r>
    </w:p>
    <w:p w14:paraId="0518FE21" w14:textId="77777777" w:rsidR="00D44C0B" w:rsidRPr="00D44C0B" w:rsidRDefault="00D44C0B" w:rsidP="00D44C0B">
      <w:pPr>
        <w:spacing w:after="200" w:line="240" w:lineRule="auto"/>
        <w:rPr>
          <w:rFonts w:ascii="Times New Roman" w:eastAsia="Times New Roman" w:hAnsi="Times New Roman" w:cs="Times New Roman"/>
          <w:lang w:val="en-US" w:eastAsia="zh-CN"/>
        </w:rPr>
      </w:pPr>
      <w:r w:rsidRPr="00D44C0B">
        <w:rPr>
          <w:rFonts w:ascii="Times New Roman" w:eastAsia="Times New Roman" w:hAnsi="Times New Roman" w:cs="Times New Roman"/>
          <w:color w:val="000033"/>
          <w:shd w:val="clear" w:color="auto" w:fill="FFFFFF"/>
          <w:lang w:val="en-US" w:eastAsia="zh-CN"/>
        </w:rPr>
        <w:t>4. The genetic-by-age interaction highlighted by this study is indeed intriguing and holds significance; however, I remain skeptical about the study's contribution to methodological innovation. The study does not seem to tackle the critical issues of avoiding cohort effects and accounting for the non-linear impact of age on trait assumptions through the development of novel methodologies. Moreover, the methodology presented is not as streamlined as it could be. If the focus is specifically on the genetic-by-age interaction, the initial selection of variants based on a marginal model might be deemed unnecessary.</w:t>
      </w:r>
    </w:p>
    <w:p w14:paraId="2AD9DD14" w14:textId="77777777" w:rsidR="00D44C0B" w:rsidRPr="00D44C0B" w:rsidRDefault="00D44C0B" w:rsidP="00D44C0B">
      <w:pPr>
        <w:spacing w:after="200" w:line="240" w:lineRule="auto"/>
        <w:rPr>
          <w:rFonts w:ascii="Times New Roman" w:eastAsia="Times New Roman" w:hAnsi="Times New Roman" w:cs="Times New Roman"/>
          <w:lang w:val="en-US" w:eastAsia="zh-CN"/>
        </w:rPr>
      </w:pPr>
      <w:r w:rsidRPr="00D44C0B">
        <w:rPr>
          <w:rFonts w:ascii="Times New Roman" w:eastAsia="Times New Roman" w:hAnsi="Times New Roman" w:cs="Times New Roman"/>
          <w:b/>
          <w:bCs/>
          <w:color w:val="000000"/>
          <w:lang w:val="en-US" w:eastAsia="zh-CN"/>
        </w:rPr>
        <w:t>Reviewer 2</w:t>
      </w:r>
    </w:p>
    <w:p w14:paraId="03031EBD" w14:textId="77777777" w:rsidR="00D44C0B" w:rsidRPr="00D44C0B" w:rsidRDefault="00D44C0B" w:rsidP="00D44C0B">
      <w:pPr>
        <w:spacing w:after="0" w:line="240" w:lineRule="auto"/>
        <w:rPr>
          <w:rFonts w:ascii="Times New Roman" w:eastAsia="Times New Roman" w:hAnsi="Times New Roman" w:cs="Times New Roman"/>
          <w:lang w:val="en-US" w:eastAsia="zh-CN"/>
        </w:rPr>
      </w:pPr>
      <w:r w:rsidRPr="00D44C0B">
        <w:rPr>
          <w:rFonts w:ascii="Times New Roman" w:eastAsia="Times New Roman" w:hAnsi="Times New Roman" w:cs="Times New Roman"/>
          <w:color w:val="000033"/>
          <w:shd w:val="clear" w:color="auto" w:fill="FFFFFF"/>
          <w:lang w:val="en-US" w:eastAsia="zh-CN"/>
        </w:rPr>
        <w:t>No further comments.</w:t>
      </w:r>
    </w:p>
    <w:p w14:paraId="17E22162" w14:textId="77777777" w:rsidR="00122E63" w:rsidRPr="00122E63" w:rsidRDefault="00122E63" w:rsidP="00122E63">
      <w:pPr>
        <w:spacing w:after="0" w:line="240" w:lineRule="auto"/>
        <w:rPr>
          <w:rFonts w:ascii="Times New Roman" w:eastAsia="Times New Roman" w:hAnsi="Times New Roman" w:cs="Times New Roman"/>
          <w:lang w:val="en-US" w:eastAsia="zh-CN"/>
        </w:rPr>
      </w:pPr>
    </w:p>
    <w:p w14:paraId="59275D74" w14:textId="77777777" w:rsidR="00122E63" w:rsidRPr="00122E63" w:rsidRDefault="00122E63" w:rsidP="00122E63">
      <w:pPr>
        <w:spacing w:after="0" w:line="240" w:lineRule="auto"/>
        <w:rPr>
          <w:rFonts w:ascii="Times New Roman" w:eastAsia="Times New Roman" w:hAnsi="Times New Roman" w:cs="Times New Roman"/>
          <w:lang w:val="en-US" w:eastAsia="zh-CN"/>
        </w:rPr>
      </w:pPr>
      <w:r w:rsidRPr="00122E63">
        <w:rPr>
          <w:rFonts w:ascii="Times New Roman" w:eastAsia="Times New Roman" w:hAnsi="Times New Roman" w:cs="Times New Roman"/>
          <w:b/>
          <w:bCs/>
          <w:color w:val="000000"/>
          <w:lang w:val="en-US" w:eastAsia="zh-CN"/>
        </w:rPr>
        <w:t>Authors Response</w:t>
      </w:r>
    </w:p>
    <w:p w14:paraId="47352291" w14:textId="56391576" w:rsidR="00D03B3B" w:rsidRPr="00D44C0B" w:rsidRDefault="00122E63" w:rsidP="00122E63">
      <w:pPr>
        <w:autoSpaceDE w:val="0"/>
        <w:autoSpaceDN w:val="0"/>
        <w:adjustRightInd w:val="0"/>
        <w:spacing w:after="0" w:line="276" w:lineRule="auto"/>
        <w:jc w:val="both"/>
        <w:rPr>
          <w:rFonts w:ascii="Times New Roman" w:hAnsi="Times New Roman" w:cs="Times New Roman"/>
          <w:color w:val="2F5496" w:themeColor="accent5" w:themeShade="BF"/>
        </w:rPr>
      </w:pPr>
      <w:r w:rsidRPr="00D44C0B">
        <w:rPr>
          <w:rFonts w:ascii="Times New Roman" w:eastAsia="Times New Roman" w:hAnsi="Times New Roman" w:cs="Times New Roman"/>
          <w:b/>
          <w:bCs/>
          <w:color w:val="000000"/>
          <w:lang w:val="en-US" w:eastAsia="zh-CN"/>
        </w:rPr>
        <w:t>Point-by-point responses to the reviewers’ comments:</w:t>
      </w:r>
    </w:p>
    <w:p w14:paraId="73BCF6F6" w14:textId="77777777" w:rsidR="00122E63" w:rsidRPr="00D44C0B" w:rsidRDefault="00122E63" w:rsidP="00122E63">
      <w:pPr>
        <w:pStyle w:val="Heading1"/>
        <w:spacing w:before="0" w:line="276" w:lineRule="auto"/>
        <w:contextualSpacing/>
        <w:jc w:val="both"/>
        <w:rPr>
          <w:rFonts w:ascii="Times New Roman" w:hAnsi="Times New Roman" w:cs="Times New Roman"/>
          <w:b/>
          <w:color w:val="2F5496" w:themeColor="accent5" w:themeShade="BF"/>
          <w:sz w:val="22"/>
          <w:szCs w:val="22"/>
          <w:lang w:val="en-US"/>
        </w:rPr>
      </w:pPr>
      <w:r w:rsidRPr="00D44C0B">
        <w:rPr>
          <w:rFonts w:ascii="Times New Roman" w:hAnsi="Times New Roman" w:cs="Times New Roman"/>
          <w:b/>
          <w:color w:val="2F5496" w:themeColor="accent5" w:themeShade="BF"/>
          <w:sz w:val="22"/>
          <w:szCs w:val="22"/>
          <w:lang w:val="en-US"/>
        </w:rPr>
        <w:t xml:space="preserve">Reviewer #1: </w:t>
      </w:r>
    </w:p>
    <w:p w14:paraId="335B2372" w14:textId="77777777" w:rsidR="00122E63" w:rsidRPr="00D44C0B" w:rsidRDefault="00122E63" w:rsidP="00122E63">
      <w:pPr>
        <w:autoSpaceDE w:val="0"/>
        <w:autoSpaceDN w:val="0"/>
        <w:adjustRightInd w:val="0"/>
        <w:spacing w:after="0" w:line="240" w:lineRule="auto"/>
        <w:jc w:val="both"/>
        <w:rPr>
          <w:rFonts w:ascii="Times New Roman" w:hAnsi="Times New Roman" w:cs="Times New Roman"/>
          <w:lang w:val="en-US"/>
        </w:rPr>
      </w:pPr>
    </w:p>
    <w:p w14:paraId="4A6B8B6E" w14:textId="77777777" w:rsidR="00122E63" w:rsidRPr="00D44C0B" w:rsidRDefault="00122E63" w:rsidP="00122E63">
      <w:pPr>
        <w:autoSpaceDE w:val="0"/>
        <w:autoSpaceDN w:val="0"/>
        <w:adjustRightInd w:val="0"/>
        <w:spacing w:after="0" w:line="240" w:lineRule="auto"/>
        <w:jc w:val="both"/>
        <w:rPr>
          <w:rFonts w:ascii="Times New Roman" w:hAnsi="Times New Roman" w:cs="Times New Roman"/>
          <w:color w:val="2F5496" w:themeColor="accent5" w:themeShade="BF"/>
        </w:rPr>
      </w:pPr>
      <w:r w:rsidRPr="00D44C0B">
        <w:rPr>
          <w:rFonts w:ascii="Times New Roman" w:hAnsi="Times New Roman" w:cs="Times New Roman"/>
          <w:color w:val="2F5496" w:themeColor="accent5" w:themeShade="BF"/>
        </w:rPr>
        <w:t xml:space="preserve">The revised manuscript has shown considerable improvement in the clarity of its presentation of key analytical findings. Nonetheless, I have reservations regarding their responses concerning the methodology. My </w:t>
      </w:r>
      <w:proofErr w:type="spellStart"/>
      <w:r w:rsidRPr="00D44C0B">
        <w:rPr>
          <w:rFonts w:ascii="Times New Roman" w:hAnsi="Times New Roman" w:cs="Times New Roman"/>
          <w:color w:val="2F5496" w:themeColor="accent5" w:themeShade="BF"/>
        </w:rPr>
        <w:t>skepticism</w:t>
      </w:r>
      <w:proofErr w:type="spellEnd"/>
      <w:r w:rsidRPr="00D44C0B">
        <w:rPr>
          <w:rFonts w:ascii="Times New Roman" w:hAnsi="Times New Roman" w:cs="Times New Roman"/>
          <w:color w:val="2F5496" w:themeColor="accent5" w:themeShade="BF"/>
        </w:rPr>
        <w:t xml:space="preserve"> persists regarding the study's purported advancements in methodological innovation.</w:t>
      </w:r>
    </w:p>
    <w:p w14:paraId="1AD0CB96" w14:textId="77777777" w:rsidR="00122E63" w:rsidRPr="00D44C0B" w:rsidRDefault="00122E63" w:rsidP="00122E63">
      <w:pPr>
        <w:autoSpaceDE w:val="0"/>
        <w:autoSpaceDN w:val="0"/>
        <w:adjustRightInd w:val="0"/>
        <w:spacing w:after="0" w:line="240" w:lineRule="auto"/>
        <w:jc w:val="both"/>
        <w:rPr>
          <w:rFonts w:ascii="Times New Roman" w:hAnsi="Times New Roman" w:cs="Times New Roman"/>
          <w:color w:val="2F5496" w:themeColor="accent5" w:themeShade="BF"/>
        </w:rPr>
      </w:pPr>
    </w:p>
    <w:p w14:paraId="571EFE0D" w14:textId="77777777" w:rsidR="00122E63" w:rsidRPr="00D44C0B" w:rsidRDefault="00122E63" w:rsidP="00122E63">
      <w:pPr>
        <w:autoSpaceDE w:val="0"/>
        <w:autoSpaceDN w:val="0"/>
        <w:adjustRightInd w:val="0"/>
        <w:spacing w:after="0" w:line="240" w:lineRule="auto"/>
        <w:jc w:val="both"/>
        <w:rPr>
          <w:rFonts w:ascii="Times New Roman" w:hAnsi="Times New Roman" w:cs="Times New Roman"/>
          <w:color w:val="2F5496" w:themeColor="accent5" w:themeShade="BF"/>
        </w:rPr>
      </w:pPr>
      <w:r w:rsidRPr="00D44C0B">
        <w:rPr>
          <w:rFonts w:ascii="Times New Roman" w:hAnsi="Times New Roman" w:cs="Times New Roman"/>
          <w:color w:val="2F5496" w:themeColor="accent5" w:themeShade="BF"/>
        </w:rPr>
        <w:t>1. How the three sensitivity analyses can be used properly in practice seems unclear. What is the power of the analyses?</w:t>
      </w:r>
    </w:p>
    <w:p w14:paraId="5B051A47" w14:textId="77777777" w:rsidR="00122E63" w:rsidRPr="00D44C0B" w:rsidRDefault="00122E63" w:rsidP="00122E63">
      <w:pPr>
        <w:autoSpaceDE w:val="0"/>
        <w:autoSpaceDN w:val="0"/>
        <w:adjustRightInd w:val="0"/>
        <w:spacing w:after="0" w:line="240" w:lineRule="auto"/>
        <w:jc w:val="both"/>
        <w:rPr>
          <w:rFonts w:ascii="Times New Roman" w:hAnsi="Times New Roman" w:cs="Times New Roman"/>
          <w:color w:val="2F5496" w:themeColor="accent5" w:themeShade="BF"/>
        </w:rPr>
      </w:pPr>
    </w:p>
    <w:p w14:paraId="6DCE02A9" w14:textId="77777777" w:rsidR="00122E63" w:rsidRPr="00D44C0B" w:rsidRDefault="00122E63" w:rsidP="00122E63">
      <w:pPr>
        <w:autoSpaceDE w:val="0"/>
        <w:autoSpaceDN w:val="0"/>
        <w:adjustRightInd w:val="0"/>
        <w:spacing w:after="0" w:line="240" w:lineRule="auto"/>
        <w:jc w:val="both"/>
        <w:rPr>
          <w:rFonts w:ascii="Times New Roman" w:hAnsi="Times New Roman" w:cs="Times New Roman"/>
          <w:i/>
          <w:iCs/>
          <w:color w:val="000000" w:themeColor="text1"/>
          <w:lang w:val="en-US"/>
        </w:rPr>
      </w:pPr>
      <w:r w:rsidRPr="00D44C0B">
        <w:rPr>
          <w:rFonts w:ascii="Times New Roman" w:hAnsi="Times New Roman" w:cs="Times New Roman"/>
          <w:b/>
          <w:i/>
          <w:iCs/>
          <w:color w:val="000000" w:themeColor="text1"/>
          <w:lang w:val="en-US"/>
        </w:rPr>
        <w:t xml:space="preserve">Response: </w:t>
      </w:r>
    </w:p>
    <w:p w14:paraId="13490AAD" w14:textId="77777777" w:rsidR="00122E63" w:rsidRPr="00D44C0B" w:rsidRDefault="00122E63" w:rsidP="00122E63">
      <w:pPr>
        <w:autoSpaceDE w:val="0"/>
        <w:autoSpaceDN w:val="0"/>
        <w:adjustRightInd w:val="0"/>
        <w:spacing w:after="0" w:line="240" w:lineRule="auto"/>
        <w:jc w:val="both"/>
        <w:rPr>
          <w:rFonts w:ascii="Times New Roman" w:hAnsi="Times New Roman" w:cs="Times New Roman"/>
          <w:i/>
          <w:iCs/>
          <w:color w:val="000000" w:themeColor="text1"/>
          <w:lang w:val="en-US"/>
        </w:rPr>
      </w:pPr>
      <w:r w:rsidRPr="00D44C0B">
        <w:rPr>
          <w:rFonts w:ascii="Times New Roman" w:hAnsi="Times New Roman" w:cs="Times New Roman"/>
          <w:i/>
          <w:iCs/>
          <w:color w:val="000000" w:themeColor="text1"/>
          <w:lang w:val="en-US"/>
        </w:rPr>
        <w:lastRenderedPageBreak/>
        <w:t xml:space="preserve">We apologize that this was unclear and not fully consistent in the argument. We agree that the power of adjusting for birthyear additionally to age is very limited given the high correlation between birthyear and age in the UKB dataset. Of note, the analysis of each variant’s association with age is very helpful and well-powered. We now state results on this power computation. </w:t>
      </w:r>
    </w:p>
    <w:p w14:paraId="742B5D4B" w14:textId="77777777" w:rsidR="00122E63" w:rsidRPr="00D44C0B" w:rsidRDefault="00122E63" w:rsidP="00122E63">
      <w:pPr>
        <w:autoSpaceDE w:val="0"/>
        <w:autoSpaceDN w:val="0"/>
        <w:adjustRightInd w:val="0"/>
        <w:spacing w:after="0" w:line="240" w:lineRule="auto"/>
        <w:jc w:val="both"/>
        <w:rPr>
          <w:rFonts w:ascii="Times New Roman" w:hAnsi="Times New Roman" w:cs="Times New Roman"/>
          <w:i/>
          <w:iCs/>
          <w:color w:val="000000" w:themeColor="text1"/>
          <w:lang w:val="en-US"/>
        </w:rPr>
      </w:pPr>
    </w:p>
    <w:p w14:paraId="3EA70D44" w14:textId="77777777" w:rsidR="00122E63" w:rsidRPr="00D44C0B" w:rsidRDefault="00122E63" w:rsidP="00122E63">
      <w:pPr>
        <w:autoSpaceDE w:val="0"/>
        <w:autoSpaceDN w:val="0"/>
        <w:adjustRightInd w:val="0"/>
        <w:spacing w:after="0" w:line="240" w:lineRule="auto"/>
        <w:jc w:val="both"/>
        <w:rPr>
          <w:rFonts w:ascii="Times New Roman" w:hAnsi="Times New Roman" w:cs="Times New Roman"/>
          <w:i/>
          <w:iCs/>
          <w:color w:val="000000" w:themeColor="text1"/>
          <w:lang w:val="en-US"/>
        </w:rPr>
      </w:pPr>
      <w:r w:rsidRPr="00D44C0B">
        <w:rPr>
          <w:rFonts w:ascii="Times New Roman" w:hAnsi="Times New Roman" w:cs="Times New Roman"/>
          <w:i/>
          <w:iCs/>
          <w:color w:val="000000" w:themeColor="text1"/>
          <w:lang w:val="en-US"/>
        </w:rPr>
        <w:t xml:space="preserve">We would like to thank the reviewer for this comment based on which, we have clearly re-thought and revised the part on the confounding by birth cohort effect and sensitivity analyses (please see more details also in our answer to comment #4). </w:t>
      </w:r>
    </w:p>
    <w:p w14:paraId="29B4CFD5" w14:textId="77777777" w:rsidR="00122E63" w:rsidRPr="00D44C0B" w:rsidRDefault="00122E63" w:rsidP="00122E63">
      <w:pPr>
        <w:spacing w:after="0"/>
        <w:contextualSpacing/>
        <w:jc w:val="both"/>
        <w:rPr>
          <w:rFonts w:ascii="Times New Roman" w:hAnsi="Times New Roman" w:cs="Times New Roman"/>
          <w:lang w:val="en-US"/>
        </w:rPr>
      </w:pPr>
      <w:bookmarkStart w:id="12" w:name="_Hlk176263501"/>
    </w:p>
    <w:p w14:paraId="1895E7F6" w14:textId="77777777" w:rsidR="00122E63" w:rsidRPr="00D44C0B" w:rsidRDefault="00122E63" w:rsidP="00122E63">
      <w:pPr>
        <w:jc w:val="both"/>
        <w:rPr>
          <w:rFonts w:ascii="Times New Roman" w:hAnsi="Times New Roman" w:cs="Times New Roman"/>
          <w:i/>
          <w:iCs/>
        </w:rPr>
      </w:pPr>
      <w:r w:rsidRPr="00D44C0B">
        <w:rPr>
          <w:rFonts w:ascii="Times New Roman" w:hAnsi="Times New Roman" w:cs="Times New Roman"/>
          <w:i/>
          <w:iCs/>
        </w:rPr>
        <w:t xml:space="preserve">In terms of sensitivity analyses, we have added a new chapter to the </w:t>
      </w:r>
      <w:r w:rsidRPr="00D44C0B">
        <w:rPr>
          <w:rFonts w:ascii="Times New Roman" w:hAnsi="Times New Roman" w:cs="Times New Roman"/>
          <w:b/>
          <w:i/>
          <w:iCs/>
        </w:rPr>
        <w:t>Results</w:t>
      </w:r>
      <w:r w:rsidRPr="00D44C0B">
        <w:rPr>
          <w:rFonts w:ascii="Times New Roman" w:hAnsi="Times New Roman" w:cs="Times New Roman"/>
          <w:i/>
          <w:iCs/>
        </w:rPr>
        <w:t xml:space="preserve"> (page 10): </w:t>
      </w:r>
    </w:p>
    <w:p w14:paraId="49F08A14" w14:textId="77777777" w:rsidR="00122E63" w:rsidRPr="00D44C0B" w:rsidRDefault="00122E63" w:rsidP="00D44C0B">
      <w:pPr>
        <w:pStyle w:val="Heading2"/>
        <w:rPr>
          <w:rFonts w:ascii="Times New Roman" w:hAnsi="Times New Roman" w:cs="Times New Roman"/>
        </w:rPr>
      </w:pPr>
      <w:bookmarkStart w:id="13" w:name="_Hlk176263173"/>
      <w:r w:rsidRPr="00D44C0B">
        <w:rPr>
          <w:rFonts w:ascii="Times New Roman" w:hAnsi="Times New Roman" w:cs="Times New Roman"/>
          <w:highlight w:val="yellow"/>
        </w:rPr>
        <w:t>“Sensitivity analyses for identified 44 genetic-by-age interaction variants</w:t>
      </w:r>
    </w:p>
    <w:p w14:paraId="2BEE0692" w14:textId="77777777" w:rsidR="00122E63" w:rsidRPr="00D44C0B" w:rsidRDefault="00122E63" w:rsidP="00122E63">
      <w:pPr>
        <w:spacing w:after="0"/>
        <w:jc w:val="both"/>
        <w:rPr>
          <w:rFonts w:ascii="Times New Roman" w:hAnsi="Times New Roman" w:cs="Times New Roman"/>
          <w:i/>
          <w:iCs/>
          <w:highlight w:val="yellow"/>
        </w:rPr>
      </w:pPr>
      <w:bookmarkStart w:id="14" w:name="_Hlk178679157"/>
      <w:r w:rsidRPr="00D44C0B">
        <w:rPr>
          <w:rFonts w:ascii="Times New Roman" w:hAnsi="Times New Roman" w:cs="Times New Roman"/>
          <w:i/>
          <w:iCs/>
          <w:highlight w:val="yellow"/>
        </w:rPr>
        <w:t xml:space="preserve">We explored potential confounding by birth cohort effect for the identified genetic-by-age interaction effects on the respective trait. While this can be explored by adjusting for birthyear, genetic-by-birthyear or age-by-birthyear interaction in theory, this is often impossible in practice when age and birthyear are highly correlated (collinearity). This is the case in UKB (r=-0.99; </w:t>
      </w:r>
      <w:r w:rsidRPr="00D44C0B">
        <w:rPr>
          <w:rFonts w:ascii="Times New Roman" w:hAnsi="Times New Roman" w:cs="Times New Roman"/>
          <w:b/>
          <w:i/>
          <w:iCs/>
          <w:highlight w:val="yellow"/>
        </w:rPr>
        <w:t>Methods</w:t>
      </w:r>
      <w:r w:rsidRPr="00D44C0B">
        <w:rPr>
          <w:rFonts w:ascii="Times New Roman" w:hAnsi="Times New Roman" w:cs="Times New Roman"/>
          <w:i/>
          <w:iCs/>
          <w:highlight w:val="yellow"/>
        </w:rPr>
        <w:t>). For the 44 variants identified with genetic-by-age interaction, we attempted adjusting for birthyear and found no impact on genetic-by-age interaction effects, but this was not surprising as this adjustment just reflected the adjustment for age; we also evaluated the genetic variant association with birthyear, but again this was expected to be equivalent to the association with age (</w:t>
      </w:r>
      <w:r w:rsidRPr="00D44C0B">
        <w:rPr>
          <w:rFonts w:ascii="Times New Roman" w:hAnsi="Times New Roman" w:cs="Times New Roman"/>
          <w:b/>
          <w:bCs/>
          <w:i/>
          <w:iCs/>
          <w:highlight w:val="yellow"/>
        </w:rPr>
        <w:t>Table S7</w:t>
      </w:r>
      <w:r w:rsidRPr="00D44C0B">
        <w:rPr>
          <w:rFonts w:ascii="Times New Roman" w:hAnsi="Times New Roman" w:cs="Times New Roman"/>
          <w:i/>
          <w:iCs/>
          <w:highlight w:val="yellow"/>
        </w:rPr>
        <w:t xml:space="preserve">). </w:t>
      </w:r>
    </w:p>
    <w:p w14:paraId="657ED8B1" w14:textId="77777777" w:rsidR="00122E63" w:rsidRPr="00D44C0B" w:rsidRDefault="00122E63" w:rsidP="00122E63">
      <w:pPr>
        <w:spacing w:after="0"/>
        <w:ind w:firstLine="708"/>
        <w:jc w:val="both"/>
        <w:rPr>
          <w:rFonts w:ascii="Times New Roman" w:hAnsi="Times New Roman" w:cs="Times New Roman"/>
          <w:i/>
          <w:iCs/>
          <w:highlight w:val="yellow"/>
        </w:rPr>
      </w:pPr>
      <w:r w:rsidRPr="00D44C0B">
        <w:rPr>
          <w:rFonts w:ascii="Times New Roman" w:hAnsi="Times New Roman" w:cs="Times New Roman"/>
          <w:i/>
          <w:iCs/>
          <w:highlight w:val="yellow"/>
        </w:rPr>
        <w:t>Confounding of the genetic-by-age interaction by birthyear as well as age-dependent selection or survival would imply an association of the genetic variant with age. Among the 44 identified variants, we found only the APOE variant rs429358 associated with age (P</w:t>
      </w:r>
      <w:r w:rsidRPr="00D44C0B">
        <w:rPr>
          <w:rFonts w:ascii="Times New Roman" w:hAnsi="Times New Roman" w:cs="Times New Roman"/>
          <w:i/>
          <w:iCs/>
          <w:highlight w:val="yellow"/>
          <w:vertAlign w:val="subscript"/>
        </w:rPr>
        <w:t>G</w:t>
      </w:r>
      <w:r w:rsidRPr="00D44C0B">
        <w:rPr>
          <w:rFonts w:ascii="Times New Roman" w:hAnsi="Times New Roman" w:cs="Times New Roman"/>
          <w:i/>
          <w:iCs/>
          <w:highlight w:val="yellow"/>
          <w:vertAlign w:val="subscript"/>
        </w:rPr>
        <w:sym w:font="Wingdings" w:char="F0E0"/>
      </w:r>
      <w:r w:rsidRPr="00D44C0B">
        <w:rPr>
          <w:rFonts w:ascii="Times New Roman" w:hAnsi="Times New Roman" w:cs="Times New Roman"/>
          <w:i/>
          <w:iCs/>
          <w:highlight w:val="yellow"/>
          <w:vertAlign w:val="subscript"/>
        </w:rPr>
        <w:t>Age</w:t>
      </w:r>
      <w:r w:rsidRPr="00D44C0B">
        <w:rPr>
          <w:rFonts w:ascii="Times New Roman" w:hAnsi="Times New Roman" w:cs="Times New Roman"/>
          <w:i/>
          <w:iCs/>
          <w:highlight w:val="yellow"/>
        </w:rPr>
        <w:t>=4.6x10</w:t>
      </w:r>
      <w:r w:rsidRPr="00D44C0B">
        <w:rPr>
          <w:rFonts w:ascii="Times New Roman" w:hAnsi="Times New Roman" w:cs="Times New Roman"/>
          <w:i/>
          <w:iCs/>
          <w:highlight w:val="yellow"/>
          <w:vertAlign w:val="superscript"/>
        </w:rPr>
        <w:t>-5</w:t>
      </w:r>
      <w:r w:rsidRPr="00D44C0B">
        <w:rPr>
          <w:rFonts w:ascii="Times New Roman" w:hAnsi="Times New Roman" w:cs="Times New Roman"/>
          <w:i/>
          <w:iCs/>
          <w:highlight w:val="yellow"/>
        </w:rPr>
        <w:t xml:space="preserve">, </w:t>
      </w:r>
      <w:r w:rsidRPr="00D44C0B">
        <w:rPr>
          <w:rFonts w:ascii="Times New Roman" w:hAnsi="Times New Roman" w:cs="Times New Roman"/>
          <w:b/>
          <w:i/>
          <w:iCs/>
          <w:highlight w:val="yellow"/>
        </w:rPr>
        <w:t>Table S7</w:t>
      </w:r>
      <w:r w:rsidRPr="00D44C0B">
        <w:rPr>
          <w:rFonts w:ascii="Times New Roman" w:hAnsi="Times New Roman" w:cs="Times New Roman"/>
          <w:i/>
          <w:iCs/>
          <w:highlight w:val="yellow"/>
        </w:rPr>
        <w:t xml:space="preserve">). Since the rs429358 allele that is less frequent in older age (C allele) is well-known for increasing risk of Alzheimer </w:t>
      </w:r>
      <w:r w:rsidRPr="00D44C0B">
        <w:rPr>
          <w:rFonts w:ascii="Times New Roman" w:hAnsi="Times New Roman" w:cs="Times New Roman"/>
          <w:i/>
          <w:iCs/>
          <w:highlight w:val="yellow"/>
        </w:rPr>
        <w:fldChar w:fldCharType="begin" w:fldLock="1"/>
      </w:r>
      <w:r w:rsidRPr="00D44C0B">
        <w:rPr>
          <w:rFonts w:ascii="Times New Roman" w:hAnsi="Times New Roman" w:cs="Times New Roman"/>
          <w:i/>
          <w:iCs/>
          <w:highlight w:val="yellow"/>
        </w:rPr>
        <w:instrText>ADDIN CSL_CITATION {"citationItems":[{"id":"ITEM-1","itemData":{"DOI":"10.1016/j.neurobiolaging.2019.02.022","ISSN":"15581497","PMID":"30979435","abstract":"The risk of APOE for Alzheimer's disease (AD) is modified by age. Beyond APOE, the polygenic architecture may also be heterogeneous across age. We aim to investigate age-related genetic heterogeneity of AD and identify genomic loci with differential effects across age. Stratified gene-based genome-wide association studies and polygenic variation analyses were performed in the younger (60–79 years, N = 14,895) and older (≥80 years, N = 6559) age-at-onset groups using Alzheimer's Disease Genetics Consortium data. We showed a moderate genetic correlation (rg = 0.64) between the two age groups, supporting genetic heterogeneity. Heritability explained by variants on chromosome 19 (harboring APOE) was significantly larger in younger than in older onset group (p &lt; 0.05). APOE region, BIN1, OR2S2, MS4A4E, and PICALM were identified at the gene-based genome-wide significance (p &lt; 2.73 × 10−6) with larger effects at younger age (except MS4A4E). For the novel gene OR2S2, we further performed leave-one-out analyses, which showed consistent effects across subsamples. Our results suggest using genetically more homogeneous individuals may help detect additional susceptible loci.","author":[{"dropping-particle":"","family":"Lo","given":"Min Tzu","non-dropping-particle":"","parse-names":false,"suffix":""},{"dropping-particle":"","family":"Kauppi","given":"Karolina","non-dropping-particle":"","parse-names":false,"suffix":""},{"dropping-particle":"","family":"Fan","given":"Chun Chieh","non-dropping-particle":"","parse-names":false,"suffix":""},{"dropping-particle":"","family":"Sanyal","given":"Nilotpal","non-dropping-particle":"","parse-names":false,"suffix":""},{"dropping-particle":"","family":"Reas","given":"Emilie T.","non-dropping-particle":"","parse-names":false,"suffix":""},{"dropping-particle":"","family":"Sundar","given":"V. S.","non-dropping-particle":"","parse-names":false,"suffix":""},{"dropping-particle":"","family":"Lee","given":"Wen Chung","non-dropping-particle":"","parse-names":false,"suffix":""},{"dropping-particle":"","family":"Desikan","given":"Rahul S.","non-dropping-particle":"","parse-names":false,"suffix":""},{"dropping-particle":"","family":"McEvoy","given":"Linda K.","non-dropping-particle":"","parse-names":false,"suffix":""},{"dropping-particle":"","family":"Chen","given":"Chi Hua","non-dropping-particle":"","parse-names":false,"suffix":""}],"container-title":"Neurobiology of Aging","id":"ITEM-1","issued":{"date-parts":[["2019"]]},"page":"243.e1-243.e9","publisher":"Elsevier","title":"Identification of genetic heterogeneity of Alzheimer's disease across age","type":"article-journal","volume":"84"},"uris":["http://www.mendeley.com/documents/?uuid=42c09b34-0383-466f-a46d-7b9e39d76e52"]}],"mendeley":{"formattedCitation":"[11]","plainTextFormattedCitation":"[11]","previouslyFormattedCitation":"[11]"},"properties":{"noteIndex":0},"schema":"https://github.com/citation-style-language/schema/raw/master/csl-citation.json"}</w:instrText>
      </w:r>
      <w:r w:rsidRPr="00D44C0B">
        <w:rPr>
          <w:rFonts w:ascii="Times New Roman" w:hAnsi="Times New Roman" w:cs="Times New Roman"/>
          <w:i/>
          <w:iCs/>
          <w:highlight w:val="yellow"/>
        </w:rPr>
        <w:fldChar w:fldCharType="separate"/>
      </w:r>
      <w:r w:rsidRPr="00D44C0B">
        <w:rPr>
          <w:rFonts w:ascii="Times New Roman" w:hAnsi="Times New Roman" w:cs="Times New Roman"/>
          <w:i/>
          <w:iCs/>
          <w:noProof/>
          <w:highlight w:val="yellow"/>
        </w:rPr>
        <w:t>[11]</w:t>
      </w:r>
      <w:r w:rsidRPr="00D44C0B">
        <w:rPr>
          <w:rFonts w:ascii="Times New Roman" w:hAnsi="Times New Roman" w:cs="Times New Roman"/>
          <w:i/>
          <w:iCs/>
          <w:highlight w:val="yellow"/>
        </w:rPr>
        <w:fldChar w:fldCharType="end"/>
      </w:r>
      <w:r w:rsidRPr="00D44C0B">
        <w:rPr>
          <w:rFonts w:ascii="Times New Roman" w:hAnsi="Times New Roman" w:cs="Times New Roman"/>
          <w:i/>
          <w:iCs/>
          <w:highlight w:val="yellow"/>
        </w:rPr>
        <w:t xml:space="preserve"> and early mortality </w:t>
      </w:r>
      <w:r w:rsidRPr="00D44C0B">
        <w:rPr>
          <w:rFonts w:ascii="Times New Roman" w:hAnsi="Times New Roman" w:cs="Times New Roman"/>
          <w:i/>
          <w:iCs/>
          <w:highlight w:val="yellow"/>
        </w:rPr>
        <w:fldChar w:fldCharType="begin" w:fldLock="1"/>
      </w:r>
      <w:r w:rsidRPr="00D44C0B">
        <w:rPr>
          <w:rFonts w:ascii="Times New Roman" w:hAnsi="Times New Roman" w:cs="Times New Roman"/>
          <w:i/>
          <w:iCs/>
          <w:highlight w:val="yellow"/>
        </w:rPr>
        <w:instrText>ADDIN CSL_CITATION {"citationItems":[{"id":"ITEM-1","itemData":{"DOI":"10.1038/ncomms11174","ISSN":"20411723","PMID":"27029810","abstract":"Lifespan is a trait of enormous personal interest. Research into the biological basis of human lifespan, however, is hampered by the long time to death. Using a novel approach of regressing (272,081) parental lifespans beyond age 40 years on participant genotype in a new large data set (UK Biobank), we here show that common variants near the apolipoprotein E and nicotinic acetylcholine receptor subunit alpha 5 genes are associated with lifespan. The effects are strongly sex and age dependent, with APOE I4 differentially influencing maternal lifespan (P=4.2 × 10 â '15, effect â '1.24 years of maternal life per imputed risk allele in parent; sex difference, P=0.011), and a locus near CHRNA3/5 differentially affecting paternal lifespan (P=4.8 × 10 â '11, effect â '0.86 years per allele; sex difference P=0.075). Rare homozygous carriers of the risk alleles at both loci are predicted to have 3.3-3.7 years shorter lives.","author":[{"dropping-particle":"","family":"Joshi","given":"Peter K.","non-dropping-particle":"","parse-names":false,"suffix":""},{"dropping-particle":"","family":"Fischer","given":"Krista","non-dropping-particle":"","parse-names":false,"suffix":""},{"dropping-particle":"","family":"Schraut","given":"Katharina E.","non-dropping-particle":"","parse-names":false,"suffix":""},{"dropping-particle":"","family":"Campbell","given":"Harry","non-dropping-particle":"","parse-names":false,"suffix":""},{"dropping-particle":"","family":"Esko","given":"Toñu","non-dropping-particle":"","parse-names":false,"suffix":""},{"dropping-particle":"","family":"Wilson","given":"James F.","non-dropping-particle":"","parse-names":false,"suffix":""}],"container-title":"Nature Communications","id":"ITEM-1","issued":{"date-parts":[["2016"]]},"page":"1-7","title":"Variants near CHRNA3/5 and APOE have age-and sex-related effects on human lifespan","type":"article-journal","volume":"7"},"uris":["http://www.mendeley.com/documents/?uuid=908d4348-c950-419d-a85c-b47559c566af"]}],"mendeley":{"formattedCitation":"[12]","plainTextFormattedCitation":"[12]","previouslyFormattedCitation":"[12]"},"properties":{"noteIndex":0},"schema":"https://github.com/citation-style-language/schema/raw/master/csl-citation.json"}</w:instrText>
      </w:r>
      <w:r w:rsidRPr="00D44C0B">
        <w:rPr>
          <w:rFonts w:ascii="Times New Roman" w:hAnsi="Times New Roman" w:cs="Times New Roman"/>
          <w:i/>
          <w:iCs/>
          <w:highlight w:val="yellow"/>
        </w:rPr>
        <w:fldChar w:fldCharType="separate"/>
      </w:r>
      <w:r w:rsidRPr="00D44C0B">
        <w:rPr>
          <w:rFonts w:ascii="Times New Roman" w:hAnsi="Times New Roman" w:cs="Times New Roman"/>
          <w:i/>
          <w:iCs/>
          <w:noProof/>
          <w:highlight w:val="yellow"/>
        </w:rPr>
        <w:t>[12]</w:t>
      </w:r>
      <w:r w:rsidRPr="00D44C0B">
        <w:rPr>
          <w:rFonts w:ascii="Times New Roman" w:hAnsi="Times New Roman" w:cs="Times New Roman"/>
          <w:i/>
          <w:iCs/>
          <w:highlight w:val="yellow"/>
        </w:rPr>
        <w:fldChar w:fldCharType="end"/>
      </w:r>
      <w:r w:rsidRPr="00D44C0B">
        <w:rPr>
          <w:rFonts w:ascii="Times New Roman" w:hAnsi="Times New Roman" w:cs="Times New Roman"/>
          <w:i/>
          <w:iCs/>
          <w:highlight w:val="yellow"/>
        </w:rPr>
        <w:t xml:space="preserve">, it is perceivable that this variant’s association with age is explained by decreased study participation among Alzheimer patients (selection) or decreased survival rather than a birth cohort effect. While the observed APOE genetic-by-age interaction on BMI, weight and triglycerides is adjusted for age (i.e. removing age-dependent selection or survival effects at least in part), there might be residual confounding. Our sensitivity analyses to identify genetic variant association with age were reasonably powered (&gt;95% to identify APOE effect on age of 0.12 years/allele; minimal detectable effect size at 80% power =0.09 years per allele, explains ~0.005% of the age variance; N=350,000, alpha=0.05/44, AF = 30%).” </w:t>
      </w:r>
      <w:bookmarkEnd w:id="14"/>
    </w:p>
    <w:p w14:paraId="4E4BED58" w14:textId="77777777" w:rsidR="00122E63" w:rsidRPr="00D44C0B" w:rsidRDefault="00122E63" w:rsidP="00122E63">
      <w:pPr>
        <w:spacing w:after="0"/>
        <w:jc w:val="both"/>
        <w:rPr>
          <w:rFonts w:ascii="Times New Roman" w:hAnsi="Times New Roman" w:cs="Times New Roman"/>
          <w:i/>
          <w:iCs/>
          <w:highlight w:val="green"/>
        </w:rPr>
      </w:pPr>
      <w:r w:rsidRPr="00D44C0B">
        <w:rPr>
          <w:rFonts w:ascii="Times New Roman" w:hAnsi="Times New Roman" w:cs="Times New Roman"/>
          <w:i/>
          <w:iCs/>
          <w:highlight w:val="green"/>
        </w:rPr>
        <w:t xml:space="preserve"> </w:t>
      </w:r>
      <w:bookmarkEnd w:id="13"/>
    </w:p>
    <w:p w14:paraId="51DD2A26" w14:textId="77777777" w:rsidR="00122E63" w:rsidRPr="00D44C0B" w:rsidRDefault="00122E63" w:rsidP="00122E63">
      <w:pPr>
        <w:jc w:val="both"/>
        <w:rPr>
          <w:rFonts w:ascii="Times New Roman" w:hAnsi="Times New Roman" w:cs="Times New Roman"/>
          <w:i/>
          <w:iCs/>
        </w:rPr>
      </w:pPr>
      <w:r w:rsidRPr="00D44C0B">
        <w:rPr>
          <w:rFonts w:ascii="Times New Roman" w:hAnsi="Times New Roman" w:cs="Times New Roman"/>
          <w:i/>
          <w:iCs/>
        </w:rPr>
        <w:t xml:space="preserve">Additionally, we have revised the </w:t>
      </w:r>
      <w:r w:rsidRPr="00D44C0B">
        <w:rPr>
          <w:rFonts w:ascii="Times New Roman" w:hAnsi="Times New Roman" w:cs="Times New Roman"/>
          <w:b/>
          <w:i/>
          <w:iCs/>
        </w:rPr>
        <w:t>Methods</w:t>
      </w:r>
      <w:r w:rsidRPr="00D44C0B">
        <w:rPr>
          <w:rFonts w:ascii="Times New Roman" w:hAnsi="Times New Roman" w:cs="Times New Roman"/>
          <w:i/>
          <w:iCs/>
        </w:rPr>
        <w:t xml:space="preserve"> as follows (page 22): </w:t>
      </w:r>
    </w:p>
    <w:p w14:paraId="2CA6E433" w14:textId="77777777" w:rsidR="00122E63" w:rsidRPr="00D44C0B" w:rsidRDefault="00122E63" w:rsidP="00D44C0B">
      <w:pPr>
        <w:pStyle w:val="Heading2"/>
        <w:rPr>
          <w:rFonts w:ascii="Times New Roman" w:hAnsi="Times New Roman" w:cs="Times New Roman"/>
          <w:highlight w:val="yellow"/>
        </w:rPr>
      </w:pPr>
      <w:bookmarkStart w:id="15" w:name="_Hlk168589084"/>
      <w:r w:rsidRPr="00D44C0B">
        <w:rPr>
          <w:rFonts w:ascii="Times New Roman" w:hAnsi="Times New Roman" w:cs="Times New Roman"/>
          <w:highlight w:val="yellow"/>
        </w:rPr>
        <w:t>“Sensitivity analyses to evaluate birth cohort, selection and survival effects</w:t>
      </w:r>
    </w:p>
    <w:p w14:paraId="198D3DB0" w14:textId="77777777" w:rsidR="00122E63" w:rsidRPr="00D44C0B" w:rsidRDefault="00122E63" w:rsidP="00122E63">
      <w:pPr>
        <w:spacing w:after="0"/>
        <w:jc w:val="both"/>
        <w:rPr>
          <w:rFonts w:ascii="Times New Roman" w:hAnsi="Times New Roman" w:cs="Times New Roman"/>
          <w:i/>
          <w:iCs/>
          <w:highlight w:val="yellow"/>
        </w:rPr>
      </w:pPr>
      <w:r w:rsidRPr="00D44C0B">
        <w:rPr>
          <w:rFonts w:ascii="Times New Roman" w:hAnsi="Times New Roman" w:cs="Times New Roman"/>
          <w:i/>
          <w:iCs/>
          <w:highlight w:val="yellow"/>
        </w:rPr>
        <w:t>A genetic-by-age interaction (</w:t>
      </w:r>
      <w:proofErr w:type="spellStart"/>
      <w:r w:rsidRPr="00D44C0B">
        <w:rPr>
          <w:rFonts w:ascii="Times New Roman" w:hAnsi="Times New Roman" w:cs="Times New Roman"/>
          <w:i/>
          <w:iCs/>
          <w:highlight w:val="yellow"/>
        </w:rPr>
        <w:t>GxAge</w:t>
      </w:r>
      <w:proofErr w:type="spellEnd"/>
      <w:r w:rsidRPr="00D44C0B">
        <w:rPr>
          <w:rFonts w:ascii="Times New Roman" w:hAnsi="Times New Roman" w:cs="Times New Roman"/>
          <w:i/>
          <w:iCs/>
          <w:highlight w:val="yellow"/>
        </w:rPr>
        <w:t>) effect on the trait Y can be confounded by a covariate C that is (</w:t>
      </w:r>
      <w:proofErr w:type="spellStart"/>
      <w:r w:rsidRPr="00D44C0B">
        <w:rPr>
          <w:rFonts w:ascii="Times New Roman" w:hAnsi="Times New Roman" w:cs="Times New Roman"/>
          <w:i/>
          <w:iCs/>
          <w:highlight w:val="yellow"/>
        </w:rPr>
        <w:t>i</w:t>
      </w:r>
      <w:proofErr w:type="spellEnd"/>
      <w:r w:rsidRPr="00D44C0B">
        <w:rPr>
          <w:rFonts w:ascii="Times New Roman" w:hAnsi="Times New Roman" w:cs="Times New Roman"/>
          <w:i/>
          <w:iCs/>
          <w:highlight w:val="yellow"/>
        </w:rPr>
        <w:t xml:space="preserve">) correlated with </w:t>
      </w:r>
      <w:proofErr w:type="spellStart"/>
      <w:r w:rsidRPr="00D44C0B">
        <w:rPr>
          <w:rFonts w:ascii="Times New Roman" w:hAnsi="Times New Roman" w:cs="Times New Roman"/>
          <w:i/>
          <w:iCs/>
          <w:highlight w:val="yellow"/>
        </w:rPr>
        <w:t>GxAge</w:t>
      </w:r>
      <w:proofErr w:type="spellEnd"/>
      <w:r w:rsidRPr="00D44C0B">
        <w:rPr>
          <w:rFonts w:ascii="Times New Roman" w:hAnsi="Times New Roman" w:cs="Times New Roman"/>
          <w:i/>
          <w:iCs/>
          <w:highlight w:val="yellow"/>
        </w:rPr>
        <w:t xml:space="preserve"> and associated with Y (explored by adjusting for C), (ii) correlated with age and exerting a genetic-by-covariate interaction (</w:t>
      </w:r>
      <w:proofErr w:type="spellStart"/>
      <w:r w:rsidRPr="00D44C0B">
        <w:rPr>
          <w:rFonts w:ascii="Times New Roman" w:hAnsi="Times New Roman" w:cs="Times New Roman"/>
          <w:i/>
          <w:iCs/>
          <w:highlight w:val="yellow"/>
        </w:rPr>
        <w:t>GxC</w:t>
      </w:r>
      <w:proofErr w:type="spellEnd"/>
      <w:r w:rsidRPr="00D44C0B">
        <w:rPr>
          <w:rFonts w:ascii="Times New Roman" w:hAnsi="Times New Roman" w:cs="Times New Roman"/>
          <w:i/>
          <w:iCs/>
          <w:highlight w:val="yellow"/>
        </w:rPr>
        <w:t xml:space="preserve">) with the trait (explored by adjusting for </w:t>
      </w:r>
      <w:proofErr w:type="spellStart"/>
      <w:r w:rsidRPr="00D44C0B">
        <w:rPr>
          <w:rFonts w:ascii="Times New Roman" w:hAnsi="Times New Roman" w:cs="Times New Roman"/>
          <w:i/>
          <w:iCs/>
          <w:highlight w:val="yellow"/>
        </w:rPr>
        <w:t>GxC</w:t>
      </w:r>
      <w:proofErr w:type="spellEnd"/>
      <w:r w:rsidRPr="00D44C0B">
        <w:rPr>
          <w:rFonts w:ascii="Times New Roman" w:hAnsi="Times New Roman" w:cs="Times New Roman"/>
          <w:i/>
          <w:iCs/>
          <w:highlight w:val="yellow"/>
        </w:rPr>
        <w:t>), or (iii) correlated with G and the covariate-by-age interaction (</w:t>
      </w:r>
      <w:proofErr w:type="spellStart"/>
      <w:r w:rsidRPr="00D44C0B">
        <w:rPr>
          <w:rFonts w:ascii="Times New Roman" w:hAnsi="Times New Roman" w:cs="Times New Roman"/>
          <w:i/>
          <w:iCs/>
          <w:highlight w:val="yellow"/>
        </w:rPr>
        <w:t>CxAge</w:t>
      </w:r>
      <w:proofErr w:type="spellEnd"/>
      <w:r w:rsidRPr="00D44C0B">
        <w:rPr>
          <w:rFonts w:ascii="Times New Roman" w:hAnsi="Times New Roman" w:cs="Times New Roman"/>
          <w:i/>
          <w:iCs/>
          <w:highlight w:val="yellow"/>
        </w:rPr>
        <w:t xml:space="preserve">) being associated with the trait (explored by adjusting for </w:t>
      </w:r>
      <w:proofErr w:type="spellStart"/>
      <w:r w:rsidRPr="00D44C0B">
        <w:rPr>
          <w:rFonts w:ascii="Times New Roman" w:hAnsi="Times New Roman" w:cs="Times New Roman"/>
          <w:i/>
          <w:iCs/>
          <w:highlight w:val="yellow"/>
        </w:rPr>
        <w:t>CxAge</w:t>
      </w:r>
      <w:proofErr w:type="spellEnd"/>
      <w:r w:rsidRPr="00D44C0B">
        <w:rPr>
          <w:rFonts w:ascii="Times New Roman" w:hAnsi="Times New Roman" w:cs="Times New Roman"/>
          <w:i/>
          <w:iCs/>
          <w:highlight w:val="yellow"/>
        </w:rPr>
        <w:t xml:space="preserve">) </w:t>
      </w:r>
      <w:r w:rsidRPr="00D44C0B">
        <w:rPr>
          <w:rFonts w:ascii="Times New Roman" w:hAnsi="Times New Roman" w:cs="Times New Roman"/>
          <w:i/>
          <w:iCs/>
          <w:highlight w:val="yellow"/>
        </w:rPr>
        <w:fldChar w:fldCharType="begin" w:fldLock="1"/>
      </w:r>
      <w:r w:rsidRPr="00D44C0B">
        <w:rPr>
          <w:rFonts w:ascii="Times New Roman" w:hAnsi="Times New Roman" w:cs="Times New Roman"/>
          <w:i/>
          <w:iCs/>
          <w:highlight w:val="yellow"/>
        </w:rPr>
        <w:instrText>ADDIN CSL_CITATION {"citationItems":[{"id":"ITEM-1","itemData":{"DOI":"10.1016/j.biopsych.2013.09.006","ISBN":"0006-3223","ISSN":"00063223","PMID":"24135711","abstract":"Candidate gene × environment (G × E) interaction research tests the hypothesis that the effects of some environmental variable (e.g., childhood maltreatment) on some outcome measure (e.g., depression) depend on a particular genetic polymorphism. Because this research is inherently nonexperimental, investigators have been rightly concerned that detected interactions could be driven by confounders (e.g., ethnicity, gender, age, socioeconomic status) rather than by the specified genetic or environmental variables per se. In an attempt to eliminate such alternative explanations for detected G × E interactions, investigators routinely enter the potential confounders as covariates in general linear models. However, this practice does not control for the effects these variables might have on the G × E interaction. Rather, to properly control for confounders, researchers need to enter the covariate × environment and the covariate × gene interaction terms in the same model that tests the G × E term. In this manuscript, I demonstrate this point analytically and show that the practice of improperly controlling for covariates is the norm in the G × E interaction literature to date. Thus, many alternative explanations for G × E findings that investigators had thought were eliminated have not been. © 2014 Society of Biological Psychiatry.","author":[{"dropping-particle":"","family":"Keller","given":"Matthew C.","non-dropping-particle":"","parse-names":false,"suffix":""}],"container-title":"Biological Psychiatry","id":"ITEM-1","issue":"1","issued":{"date-parts":[["2014"]]},"page":"18-24","publisher":"Elsevier","title":"Gene × environment interaction studies have not properly controlled for potential confounders: The problem and the (simple) solution","type":"article-journal","volume":"75"},"uris":["http://www.mendeley.com/documents/?uuid=58398b25-ed5d-4a85-ad1e-e9a118816c9b"]}],"mendeley":{"formattedCitation":"[7]","plainTextFormattedCitation":"[7]","previouslyFormattedCitation":"[7]"},"properties":{"noteIndex":0},"schema":"https://github.com/citation-style-language/schema/raw/master/csl-citation.json"}</w:instrText>
      </w:r>
      <w:r w:rsidRPr="00D44C0B">
        <w:rPr>
          <w:rFonts w:ascii="Times New Roman" w:hAnsi="Times New Roman" w:cs="Times New Roman"/>
          <w:i/>
          <w:iCs/>
          <w:highlight w:val="yellow"/>
        </w:rPr>
        <w:fldChar w:fldCharType="separate"/>
      </w:r>
      <w:r w:rsidRPr="00D44C0B">
        <w:rPr>
          <w:rFonts w:ascii="Times New Roman" w:hAnsi="Times New Roman" w:cs="Times New Roman"/>
          <w:i/>
          <w:iCs/>
          <w:noProof/>
          <w:highlight w:val="yellow"/>
        </w:rPr>
        <w:t>[7]</w:t>
      </w:r>
      <w:r w:rsidRPr="00D44C0B">
        <w:rPr>
          <w:rFonts w:ascii="Times New Roman" w:hAnsi="Times New Roman" w:cs="Times New Roman"/>
          <w:i/>
          <w:iCs/>
          <w:highlight w:val="yellow"/>
        </w:rPr>
        <w:fldChar w:fldCharType="end"/>
      </w:r>
      <w:r w:rsidRPr="00D44C0B">
        <w:rPr>
          <w:rFonts w:ascii="Times New Roman" w:hAnsi="Times New Roman" w:cs="Times New Roman"/>
          <w:i/>
          <w:iCs/>
          <w:highlight w:val="yellow"/>
        </w:rPr>
        <w:t xml:space="preserve">. Birthyear can be such a confounder (birth cohort effect) In theory, this can be explored by sensitivity analyses adjusting for birthyear, </w:t>
      </w:r>
      <w:proofErr w:type="spellStart"/>
      <w:r w:rsidRPr="00D44C0B">
        <w:rPr>
          <w:rFonts w:ascii="Times New Roman" w:hAnsi="Times New Roman" w:cs="Times New Roman"/>
          <w:i/>
          <w:iCs/>
          <w:highlight w:val="yellow"/>
        </w:rPr>
        <w:t>GxBirthyear</w:t>
      </w:r>
      <w:proofErr w:type="spellEnd"/>
      <w:r w:rsidRPr="00D44C0B">
        <w:rPr>
          <w:rFonts w:ascii="Times New Roman" w:hAnsi="Times New Roman" w:cs="Times New Roman"/>
          <w:i/>
          <w:iCs/>
          <w:highlight w:val="yellow"/>
        </w:rPr>
        <w:t xml:space="preserve"> and </w:t>
      </w:r>
      <w:proofErr w:type="spellStart"/>
      <w:r w:rsidRPr="00D44C0B">
        <w:rPr>
          <w:rFonts w:ascii="Times New Roman" w:hAnsi="Times New Roman" w:cs="Times New Roman"/>
          <w:i/>
          <w:iCs/>
          <w:highlight w:val="yellow"/>
        </w:rPr>
        <w:t>AgexBirthyear</w:t>
      </w:r>
      <w:proofErr w:type="spellEnd"/>
      <w:r w:rsidRPr="00D44C0B">
        <w:rPr>
          <w:rFonts w:ascii="Times New Roman" w:hAnsi="Times New Roman" w:cs="Times New Roman"/>
          <w:i/>
          <w:iCs/>
          <w:highlight w:val="yellow"/>
        </w:rPr>
        <w:t xml:space="preserve">. Yet, in practice, age and birthyear are often highly correlated in cohort studies leading to collinearity and thus inconclusive results for such sensitivity analyses. We explored this correlation and sensitivity analysis adjusting for birthyear: </w:t>
      </w:r>
    </w:p>
    <w:p w14:paraId="5A845583" w14:textId="27645A35" w:rsidR="00122E63" w:rsidRPr="00D44C0B" w:rsidRDefault="00D44C0B" w:rsidP="00122E63">
      <w:pPr>
        <w:spacing w:after="0"/>
        <w:contextualSpacing/>
        <w:jc w:val="both"/>
        <w:rPr>
          <w:rFonts w:ascii="Times New Roman" w:hAnsi="Times New Roman" w:cs="Times New Roman"/>
          <w:i/>
          <w:iCs/>
          <w:highlight w:val="yellow"/>
        </w:rPr>
      </w:pPr>
      <m:oMathPara>
        <m:oMath>
          <m:r>
            <w:rPr>
              <w:rFonts w:ascii="Cambria Math" w:hAnsi="Cambria Math" w:cs="Times New Roman"/>
              <w:highlight w:val="yellow"/>
              <w:lang w:val="de-DE"/>
            </w:rPr>
            <m:t>Y=</m:t>
          </m:r>
          <m:sSub>
            <m:sSubPr>
              <m:ctrlPr>
                <w:rPr>
                  <w:rFonts w:ascii="Cambria Math" w:hAnsi="Cambria Math" w:cs="Times New Roman"/>
                  <w:i/>
                  <w:iCs/>
                  <w:highlight w:val="yellow"/>
                  <w:lang w:val="de-DE"/>
                </w:rPr>
              </m:ctrlPr>
            </m:sSubPr>
            <m:e>
              <m:r>
                <w:rPr>
                  <w:rFonts w:ascii="Cambria Math" w:hAnsi="Cambria Math" w:cs="Times New Roman"/>
                  <w:highlight w:val="yellow"/>
                  <w:lang w:val="de-DE"/>
                </w:rPr>
                <m:t>β</m:t>
              </m:r>
            </m:e>
            <m:sub>
              <m:r>
                <w:rPr>
                  <w:rFonts w:ascii="Cambria Math" w:hAnsi="Cambria Math" w:cs="Times New Roman"/>
                  <w:highlight w:val="yellow"/>
                  <w:lang w:val="de-DE"/>
                </w:rPr>
                <m:t>0</m:t>
              </m:r>
            </m:sub>
          </m:sSub>
          <m:r>
            <w:rPr>
              <w:rFonts w:ascii="Cambria Math" w:hAnsi="Cambria Math" w:cs="Times New Roman"/>
              <w:highlight w:val="yellow"/>
              <w:lang w:val="de-DE"/>
            </w:rPr>
            <m:t>+</m:t>
          </m:r>
          <m:sSub>
            <m:sSubPr>
              <m:ctrlPr>
                <w:rPr>
                  <w:rFonts w:ascii="Cambria Math" w:hAnsi="Cambria Math" w:cs="Times New Roman"/>
                  <w:i/>
                  <w:iCs/>
                  <w:highlight w:val="yellow"/>
                  <w:lang w:val="de-DE"/>
                </w:rPr>
              </m:ctrlPr>
            </m:sSubPr>
            <m:e>
              <m:r>
                <w:rPr>
                  <w:rFonts w:ascii="Cambria Math" w:hAnsi="Cambria Math" w:cs="Times New Roman"/>
                  <w:highlight w:val="yellow"/>
                  <w:lang w:val="de-DE"/>
                </w:rPr>
                <m:t>β</m:t>
              </m:r>
            </m:e>
            <m:sub>
              <m:r>
                <w:rPr>
                  <w:rFonts w:ascii="Cambria Math" w:hAnsi="Cambria Math" w:cs="Times New Roman"/>
                  <w:highlight w:val="yellow"/>
                  <w:lang w:val="de-DE"/>
                </w:rPr>
                <m:t>G</m:t>
              </m:r>
            </m:sub>
          </m:sSub>
          <m:r>
            <w:rPr>
              <w:rFonts w:ascii="Cambria Math" w:hAnsi="Cambria Math" w:cs="Times New Roman"/>
              <w:highlight w:val="yellow"/>
              <w:lang w:val="de-DE"/>
            </w:rPr>
            <m:t>G+</m:t>
          </m:r>
          <m:sSub>
            <m:sSubPr>
              <m:ctrlPr>
                <w:rPr>
                  <w:rFonts w:ascii="Cambria Math" w:hAnsi="Cambria Math" w:cs="Times New Roman"/>
                  <w:i/>
                  <w:iCs/>
                  <w:highlight w:val="yellow"/>
                  <w:lang w:val="de-DE"/>
                </w:rPr>
              </m:ctrlPr>
            </m:sSubPr>
            <m:e>
              <m:r>
                <w:rPr>
                  <w:rFonts w:ascii="Cambria Math" w:hAnsi="Cambria Math" w:cs="Times New Roman"/>
                  <w:highlight w:val="yellow"/>
                  <w:lang w:val="de-DE"/>
                </w:rPr>
                <m:t>β</m:t>
              </m:r>
            </m:e>
            <m:sub>
              <m:r>
                <w:rPr>
                  <w:rFonts w:ascii="Cambria Math" w:hAnsi="Cambria Math" w:cs="Times New Roman"/>
                  <w:highlight w:val="yellow"/>
                  <w:lang w:val="de-DE"/>
                </w:rPr>
                <m:t>Age</m:t>
              </m:r>
            </m:sub>
          </m:sSub>
          <m:r>
            <w:rPr>
              <w:rFonts w:ascii="Cambria Math" w:hAnsi="Cambria Math" w:cs="Times New Roman"/>
              <w:highlight w:val="yellow"/>
              <w:lang w:val="de-DE"/>
            </w:rPr>
            <m:t>AGE+</m:t>
          </m:r>
          <m:sSub>
            <m:sSubPr>
              <m:ctrlPr>
                <w:rPr>
                  <w:rFonts w:ascii="Cambria Math" w:hAnsi="Cambria Math" w:cs="Times New Roman"/>
                  <w:i/>
                  <w:iCs/>
                  <w:highlight w:val="yellow"/>
                  <w:lang w:val="de-DE"/>
                </w:rPr>
              </m:ctrlPr>
            </m:sSubPr>
            <m:e>
              <m:r>
                <w:rPr>
                  <w:rFonts w:ascii="Cambria Math" w:hAnsi="Cambria Math" w:cs="Times New Roman"/>
                  <w:highlight w:val="yellow"/>
                  <w:lang w:val="de-DE"/>
                </w:rPr>
                <m:t>β</m:t>
              </m:r>
            </m:e>
            <m:sub>
              <m:r>
                <w:rPr>
                  <w:rFonts w:ascii="Cambria Math" w:hAnsi="Cambria Math" w:cs="Times New Roman"/>
                  <w:highlight w:val="yellow"/>
                  <w:lang w:val="de-DE"/>
                </w:rPr>
                <m:t>GxAge</m:t>
              </m:r>
            </m:sub>
          </m:sSub>
          <m:r>
            <w:rPr>
              <w:rFonts w:ascii="Cambria Math" w:hAnsi="Cambria Math" w:cs="Times New Roman"/>
              <w:highlight w:val="yellow"/>
              <w:lang w:val="de-DE"/>
            </w:rPr>
            <m:t>G∙AGE+</m:t>
          </m:r>
          <m:sSub>
            <m:sSubPr>
              <m:ctrlPr>
                <w:rPr>
                  <w:rFonts w:ascii="Cambria Math" w:hAnsi="Cambria Math" w:cs="Times New Roman"/>
                  <w:i/>
                  <w:iCs/>
                  <w:highlight w:val="yellow"/>
                  <w:lang w:val="de-DE"/>
                </w:rPr>
              </m:ctrlPr>
            </m:sSubPr>
            <m:e>
              <m:r>
                <w:rPr>
                  <w:rFonts w:ascii="Cambria Math" w:hAnsi="Cambria Math" w:cs="Times New Roman"/>
                  <w:highlight w:val="yellow"/>
                  <w:lang w:val="de-DE"/>
                </w:rPr>
                <m:t>β</m:t>
              </m:r>
            </m:e>
            <m:sub>
              <m:r>
                <w:rPr>
                  <w:rFonts w:ascii="Cambria Math" w:hAnsi="Cambria Math" w:cs="Times New Roman"/>
                  <w:highlight w:val="yellow"/>
                  <w:lang w:val="de-DE"/>
                </w:rPr>
                <m:t>BY</m:t>
              </m:r>
            </m:sub>
          </m:sSub>
          <m:r>
            <w:rPr>
              <w:rFonts w:ascii="Cambria Math" w:hAnsi="Cambria Math" w:cs="Times New Roman"/>
              <w:highlight w:val="yellow"/>
              <w:lang w:val="de-DE"/>
            </w:rPr>
            <m:t>BY+</m:t>
          </m:r>
          <m:sSub>
            <m:sSubPr>
              <m:ctrlPr>
                <w:rPr>
                  <w:rFonts w:ascii="Cambria Math" w:hAnsi="Cambria Math" w:cs="Times New Roman"/>
                  <w:i/>
                  <w:iCs/>
                  <w:highlight w:val="yellow"/>
                  <w:lang w:val="de-DE"/>
                </w:rPr>
              </m:ctrlPr>
            </m:sSubPr>
            <m:e>
              <m:r>
                <w:rPr>
                  <w:rFonts w:ascii="Cambria Math" w:hAnsi="Cambria Math" w:cs="Times New Roman"/>
                  <w:highlight w:val="yellow"/>
                  <w:lang w:val="de-DE"/>
                </w:rPr>
                <m:t>β</m:t>
              </m:r>
            </m:e>
            <m:sub>
              <m:r>
                <w:rPr>
                  <w:rFonts w:ascii="Cambria Math" w:hAnsi="Cambria Math" w:cs="Times New Roman"/>
                  <w:highlight w:val="yellow"/>
                  <w:lang w:val="de-DE"/>
                </w:rPr>
                <m:t>C</m:t>
              </m:r>
            </m:sub>
          </m:sSub>
          <m:r>
            <w:rPr>
              <w:rFonts w:ascii="Cambria Math" w:hAnsi="Cambria Math" w:cs="Times New Roman"/>
              <w:highlight w:val="yellow"/>
              <w:lang w:val="de-DE"/>
            </w:rPr>
            <m:t>C+ε</m:t>
          </m:r>
        </m:oMath>
      </m:oMathPara>
    </w:p>
    <w:p w14:paraId="21D174DC" w14:textId="77777777" w:rsidR="00122E63" w:rsidRPr="00D44C0B" w:rsidRDefault="00122E63" w:rsidP="00122E63">
      <w:pPr>
        <w:spacing w:after="0"/>
        <w:ind w:firstLine="708"/>
        <w:contextualSpacing/>
        <w:jc w:val="both"/>
        <w:rPr>
          <w:rFonts w:ascii="Times New Roman" w:hAnsi="Times New Roman" w:cs="Times New Roman"/>
          <w:i/>
          <w:iCs/>
          <w:highlight w:val="yellow"/>
        </w:rPr>
      </w:pPr>
      <w:r w:rsidRPr="00D44C0B">
        <w:rPr>
          <w:rFonts w:ascii="Times New Roman" w:hAnsi="Times New Roman" w:cs="Times New Roman"/>
          <w:i/>
          <w:iCs/>
          <w:highlight w:val="yellow"/>
        </w:rPr>
        <w:t xml:space="preserve">When birthyear and AGE are highly correlated and birthyear affects G, the genetic variant G will be associated with AGE: this can be tested in practice by fitting a linear regression model with AGE as outcome, </w:t>
      </w:r>
    </w:p>
    <w:p w14:paraId="7B7CCF78" w14:textId="1C71B7F0" w:rsidR="00122E63" w:rsidRPr="00D44C0B" w:rsidRDefault="00D44C0B" w:rsidP="00122E63">
      <w:pPr>
        <w:spacing w:after="0"/>
        <w:contextualSpacing/>
        <w:jc w:val="both"/>
        <w:rPr>
          <w:rFonts w:ascii="Times New Roman" w:hAnsi="Times New Roman" w:cs="Times New Roman"/>
          <w:i/>
          <w:iCs/>
          <w:highlight w:val="yellow"/>
        </w:rPr>
      </w:pPr>
      <m:oMathPara>
        <m:oMath>
          <m:r>
            <w:rPr>
              <w:rFonts w:ascii="Cambria Math" w:hAnsi="Cambria Math" w:cs="Times New Roman"/>
              <w:highlight w:val="yellow"/>
              <w:lang w:val="de-DE"/>
            </w:rPr>
            <m:t>AGE</m:t>
          </m:r>
          <m:r>
            <w:rPr>
              <w:rFonts w:ascii="Cambria Math" w:hAnsi="Cambria Math" w:cs="Times New Roman"/>
              <w:highlight w:val="yellow"/>
            </w:rPr>
            <m:t>=</m:t>
          </m:r>
          <m:sSub>
            <m:sSubPr>
              <m:ctrlPr>
                <w:rPr>
                  <w:rFonts w:ascii="Cambria Math" w:hAnsi="Cambria Math" w:cs="Times New Roman"/>
                  <w:i/>
                  <w:iCs/>
                  <w:highlight w:val="yellow"/>
                  <w:lang w:val="de-DE"/>
                </w:rPr>
              </m:ctrlPr>
            </m:sSubPr>
            <m:e>
              <m:r>
                <w:rPr>
                  <w:rFonts w:ascii="Cambria Math" w:hAnsi="Cambria Math" w:cs="Times New Roman"/>
                  <w:highlight w:val="yellow"/>
                  <w:lang w:val="de-DE"/>
                </w:rPr>
                <m:t>δ</m:t>
              </m:r>
            </m:e>
            <m:sub>
              <m:r>
                <w:rPr>
                  <w:rFonts w:ascii="Cambria Math" w:hAnsi="Cambria Math" w:cs="Times New Roman"/>
                  <w:highlight w:val="yellow"/>
                </w:rPr>
                <m:t>0</m:t>
              </m:r>
            </m:sub>
          </m:sSub>
          <m:r>
            <w:rPr>
              <w:rFonts w:ascii="Cambria Math" w:hAnsi="Cambria Math" w:cs="Times New Roman"/>
              <w:highlight w:val="yellow"/>
            </w:rPr>
            <m:t>+</m:t>
          </m:r>
          <m:sSub>
            <m:sSubPr>
              <m:ctrlPr>
                <w:rPr>
                  <w:rFonts w:ascii="Cambria Math" w:hAnsi="Cambria Math" w:cs="Times New Roman"/>
                  <w:i/>
                  <w:iCs/>
                  <w:highlight w:val="yellow"/>
                  <w:lang w:val="de-DE"/>
                </w:rPr>
              </m:ctrlPr>
            </m:sSubPr>
            <m:e>
              <m:r>
                <w:rPr>
                  <w:rFonts w:ascii="Cambria Math" w:hAnsi="Cambria Math" w:cs="Times New Roman"/>
                  <w:highlight w:val="yellow"/>
                  <w:lang w:val="de-DE"/>
                </w:rPr>
                <m:t>δ</m:t>
              </m:r>
            </m:e>
            <m:sub>
              <m:r>
                <w:rPr>
                  <w:rFonts w:ascii="Cambria Math" w:hAnsi="Cambria Math" w:cs="Times New Roman"/>
                  <w:highlight w:val="yellow"/>
                  <w:lang w:val="de-DE"/>
                </w:rPr>
                <m:t>G</m:t>
              </m:r>
            </m:sub>
          </m:sSub>
          <m:r>
            <w:rPr>
              <w:rFonts w:ascii="Cambria Math" w:hAnsi="Cambria Math" w:cs="Times New Roman"/>
              <w:highlight w:val="yellow"/>
              <w:lang w:val="de-DE"/>
            </w:rPr>
            <m:t>G</m:t>
          </m:r>
          <m:r>
            <w:rPr>
              <w:rFonts w:ascii="Cambria Math" w:hAnsi="Cambria Math" w:cs="Times New Roman"/>
              <w:highlight w:val="yellow"/>
            </w:rPr>
            <m:t>+</m:t>
          </m:r>
          <m:sSub>
            <m:sSubPr>
              <m:ctrlPr>
                <w:rPr>
                  <w:rFonts w:ascii="Cambria Math" w:hAnsi="Cambria Math" w:cs="Times New Roman"/>
                  <w:i/>
                  <w:iCs/>
                  <w:highlight w:val="yellow"/>
                  <w:lang w:val="de-DE"/>
                </w:rPr>
              </m:ctrlPr>
            </m:sSubPr>
            <m:e>
              <m:r>
                <w:rPr>
                  <w:rFonts w:ascii="Cambria Math" w:hAnsi="Cambria Math" w:cs="Times New Roman"/>
                  <w:highlight w:val="yellow"/>
                  <w:lang w:val="de-DE"/>
                </w:rPr>
                <m:t>δ</m:t>
              </m:r>
            </m:e>
            <m:sub>
              <m:r>
                <w:rPr>
                  <w:rFonts w:ascii="Cambria Math" w:hAnsi="Cambria Math" w:cs="Times New Roman"/>
                  <w:highlight w:val="yellow"/>
                  <w:lang w:val="de-DE"/>
                </w:rPr>
                <m:t>C</m:t>
              </m:r>
            </m:sub>
          </m:sSub>
          <m:r>
            <w:rPr>
              <w:rFonts w:ascii="Cambria Math" w:hAnsi="Cambria Math" w:cs="Times New Roman"/>
              <w:highlight w:val="yellow"/>
              <w:lang w:val="de-DE"/>
            </w:rPr>
            <m:t>C</m:t>
          </m:r>
          <m:r>
            <w:rPr>
              <w:rFonts w:ascii="Cambria Math" w:hAnsi="Cambria Math" w:cs="Times New Roman"/>
              <w:highlight w:val="yellow"/>
            </w:rPr>
            <m:t>+</m:t>
          </m:r>
          <m:r>
            <w:rPr>
              <w:rFonts w:ascii="Cambria Math" w:hAnsi="Cambria Math" w:cs="Times New Roman"/>
              <w:highlight w:val="yellow"/>
              <w:lang w:val="de-DE"/>
            </w:rPr>
            <m:t>ϵ</m:t>
          </m:r>
        </m:oMath>
      </m:oMathPara>
    </w:p>
    <w:p w14:paraId="7E302D98" w14:textId="77777777" w:rsidR="00122E63" w:rsidRPr="00D44C0B" w:rsidRDefault="00122E63" w:rsidP="00122E63">
      <w:pPr>
        <w:spacing w:after="0"/>
        <w:contextualSpacing/>
        <w:jc w:val="both"/>
        <w:rPr>
          <w:rFonts w:ascii="Times New Roman" w:hAnsi="Times New Roman" w:cs="Times New Roman"/>
          <w:i/>
          <w:iCs/>
        </w:rPr>
      </w:pPr>
      <w:r w:rsidRPr="00D44C0B">
        <w:rPr>
          <w:rFonts w:ascii="Times New Roman" w:hAnsi="Times New Roman" w:cs="Times New Roman"/>
          <w:i/>
          <w:iCs/>
          <w:highlight w:val="yellow"/>
        </w:rPr>
        <w:lastRenderedPageBreak/>
        <w:t xml:space="preserve">An association of G with age is not only possible due to a birthyear effect, but can also result from survival or selection effects. We tested each variant identified with </w:t>
      </w:r>
      <w:proofErr w:type="spellStart"/>
      <w:r w:rsidRPr="00D44C0B">
        <w:rPr>
          <w:rFonts w:ascii="Times New Roman" w:hAnsi="Times New Roman" w:cs="Times New Roman"/>
          <w:i/>
          <w:iCs/>
          <w:highlight w:val="yellow"/>
        </w:rPr>
        <w:t>GxAGE</w:t>
      </w:r>
      <w:proofErr w:type="spellEnd"/>
      <w:r w:rsidRPr="00D44C0B">
        <w:rPr>
          <w:rFonts w:ascii="Times New Roman" w:hAnsi="Times New Roman" w:cs="Times New Roman"/>
          <w:i/>
          <w:iCs/>
          <w:highlight w:val="yellow"/>
        </w:rPr>
        <w:t xml:space="preserve"> for association with AGE with this model. </w:t>
      </w:r>
      <w:r w:rsidRPr="00D44C0B">
        <w:rPr>
          <w:rFonts w:ascii="Times New Roman" w:hAnsi="Times New Roman" w:cs="Times New Roman"/>
          <w:i/>
          <w:iCs/>
        </w:rPr>
        <w:t>“</w:t>
      </w:r>
    </w:p>
    <w:p w14:paraId="19521BEE" w14:textId="77777777" w:rsidR="00122E63" w:rsidRPr="00D44C0B" w:rsidRDefault="00122E63" w:rsidP="00122E63">
      <w:pPr>
        <w:spacing w:after="0"/>
        <w:contextualSpacing/>
        <w:jc w:val="both"/>
        <w:rPr>
          <w:rFonts w:ascii="Times New Roman" w:hAnsi="Times New Roman" w:cs="Times New Roman"/>
        </w:rPr>
      </w:pPr>
    </w:p>
    <w:bookmarkEnd w:id="15"/>
    <w:p w14:paraId="7E0628BD" w14:textId="77777777" w:rsidR="00122E63" w:rsidRPr="00D44C0B" w:rsidRDefault="00122E63" w:rsidP="00122E63">
      <w:pPr>
        <w:jc w:val="both"/>
        <w:rPr>
          <w:rFonts w:ascii="Times New Roman" w:hAnsi="Times New Roman" w:cs="Times New Roman"/>
          <w:i/>
          <w:iCs/>
        </w:rPr>
      </w:pPr>
      <w:r w:rsidRPr="00D44C0B">
        <w:rPr>
          <w:rFonts w:ascii="Times New Roman" w:hAnsi="Times New Roman" w:cs="Times New Roman"/>
          <w:i/>
          <w:iCs/>
        </w:rPr>
        <w:t xml:space="preserve">Finally, we have revised the </w:t>
      </w:r>
      <w:r w:rsidRPr="00D44C0B">
        <w:rPr>
          <w:rFonts w:ascii="Times New Roman" w:hAnsi="Times New Roman" w:cs="Times New Roman"/>
          <w:b/>
          <w:i/>
          <w:iCs/>
        </w:rPr>
        <w:t>Discussion</w:t>
      </w:r>
      <w:r w:rsidRPr="00D44C0B">
        <w:rPr>
          <w:rFonts w:ascii="Times New Roman" w:hAnsi="Times New Roman" w:cs="Times New Roman"/>
          <w:i/>
          <w:iCs/>
        </w:rPr>
        <w:t xml:space="preserve"> as follows (page 16): </w:t>
      </w:r>
    </w:p>
    <w:p w14:paraId="4D55CC1A" w14:textId="77777777" w:rsidR="00122E63" w:rsidRPr="00D44C0B" w:rsidRDefault="00122E63" w:rsidP="00122E63">
      <w:pPr>
        <w:spacing w:after="0"/>
        <w:contextualSpacing/>
        <w:jc w:val="both"/>
        <w:rPr>
          <w:rFonts w:ascii="Times New Roman" w:hAnsi="Times New Roman" w:cs="Times New Roman"/>
          <w:i/>
          <w:iCs/>
          <w:highlight w:val="yellow"/>
        </w:rPr>
      </w:pPr>
      <w:bookmarkStart w:id="16" w:name="_Hlk178100456"/>
      <w:r w:rsidRPr="00D44C0B">
        <w:rPr>
          <w:rFonts w:ascii="Times New Roman" w:hAnsi="Times New Roman" w:cs="Times New Roman"/>
          <w:i/>
          <w:iCs/>
        </w:rPr>
        <w:t>“</w:t>
      </w:r>
      <w:r w:rsidRPr="00D44C0B">
        <w:rPr>
          <w:rFonts w:ascii="Times New Roman" w:hAnsi="Times New Roman" w:cs="Times New Roman"/>
          <w:i/>
          <w:iCs/>
          <w:highlight w:val="yellow"/>
        </w:rPr>
        <w:t xml:space="preserve">The assumptions can be compromised by birth cohort effects as well as age-dependent selection or survival. While birthyear effects can be adjusted for, in theory, it is almost impossible to dissect birthyear effects from age effects in practice when birthyear and age are highly correlated. This is the case in UKB due to the short time span of recruiting.” …. “An indicator for birthyear, survival or selection effects on a genetic variant is the genetic variant’s effect on age. We found none of the identified 44 variants associated with age, except for the APOE variant which is </w:t>
      </w:r>
      <w:r w:rsidRPr="00D44C0B">
        <w:rPr>
          <w:rFonts w:ascii="Times New Roman" w:eastAsia="Times New Roman" w:hAnsi="Times New Roman" w:cs="Times New Roman"/>
          <w:i/>
          <w:iCs/>
          <w:color w:val="000000"/>
          <w:highlight w:val="yellow"/>
        </w:rPr>
        <w:t xml:space="preserve">known for association with </w:t>
      </w:r>
      <w:r w:rsidRPr="00D44C0B">
        <w:rPr>
          <w:rFonts w:ascii="Times New Roman" w:hAnsi="Times New Roman" w:cs="Times New Roman"/>
          <w:i/>
          <w:iCs/>
          <w:highlight w:val="yellow"/>
        </w:rPr>
        <w:t xml:space="preserve">Alzheimer’s and early mortality </w:t>
      </w:r>
      <w:r w:rsidRPr="00D44C0B">
        <w:rPr>
          <w:rFonts w:ascii="Times New Roman" w:hAnsi="Times New Roman" w:cs="Times New Roman"/>
          <w:i/>
          <w:iCs/>
          <w:highlight w:val="yellow"/>
        </w:rPr>
        <w:fldChar w:fldCharType="begin" w:fldLock="1"/>
      </w:r>
      <w:r w:rsidRPr="00D44C0B">
        <w:rPr>
          <w:rFonts w:ascii="Times New Roman" w:hAnsi="Times New Roman" w:cs="Times New Roman"/>
          <w:i/>
          <w:iCs/>
          <w:highlight w:val="yellow"/>
        </w:rPr>
        <w:instrText>ADDIN CSL_CITATION {"citationItems":[{"id":"ITEM-1","itemData":{"DOI":"10.3233/JAD-2011-101764","ISSN":"1875-8908","PMID":"21263195","abstract":"This paper addresses a tenet of the literature on APOE, i.e., the relationship between the effects of the 4, one of the established genetic risk factor for Alzheimer's disease (AD), and its expression levels as determined by APOE promoter polymorphisms. Five polymorphisms (-491 rs449647,-427 rs769446,-219 rs405509, and rs429358-rs7412) were studied in 1308 AD patients and 1082 control individuals from the Central-Northern Italy. Major findings of the present study are the following: 1) the variants-219T and 4 increase the risk for late onset AD (LOAD) when they are both present in cis on the same chromosome (in phase); 2) the correlation between the haplotype (-219T/4) and AD risk persists when the data are stratified by age; 3) this haplotype likely anticipates the age of onset of the disease. These data, while confirming the association between-219T and AD, highlight the importance of the phase of the alleles for the observed effects on AD risk, suggesting that this information has to be taken into account when assessing the AD genetic risk. Moreover, the data help to clarify the apparent discrepancy that emerges from the genetic analysis where an SNP characterizing the haplotype responsible for an increased risk for LOAD is coherently associated with a reduced expression of ApoE levels. Our data are compatible with the hypothesis of a complex role of ApoE in the AD pathogenesis, with positive and negative effects occurring concomitantly according to its expression levels and its protein-protein interactions largely unclarified. © 2011 - IOS Press and the authors. All rights reserved.","author":[{"dropping-particle":"","family":"Lescai","given":"Francesco","non-dropping-particle":"","parse-names":false,"suffix":""},{"dropping-particle":"","family":"Chiamenti","given":"Andrea Maria","non-dropping-particle":"","parse-names":false,"suffix":""},{"dropping-particle":"","family":"Codemo","given":"Alessandra","non-dropping-particle":"","parse-names":false,"suffix":""},{"dropping-particle":"","family":"Pirazzini","given":"Chiara","non-dropping-particle":"","parse-names":false,"suffix":""},{"dropping-particle":"","family":"D'Agostino","given":"Giuseppe","non-dropping-particle":"","parse-names":false,"suffix":""},{"dropping-particle":"","family":"Ruaro","given":"Cristina","non-dropping-particle":"","parse-names":false,"suffix":""},{"dropping-particle":"","family":"Ghidoni","given":"Roberta","non-dropping-particle":"","parse-names":false,"suffix":""},{"dropping-particle":"","family":"Benussi","given":"Luisa","non-dropping-particle":"","parse-names":false,"suffix":""},{"dropping-particle":"","family":"Galimberti","given":"Daniela","non-dropping-particle":"","parse-names":false,"suffix":""},{"dropping-particle":"","family":"Esposito","given":"Federica","non-dropping-particle":"","parse-names":false,"suffix":""},{"dropping-particle":"","family":"Marchegiani","given":"Francesca","non-dropping-particle":"","parse-names":false,"suffix":""},{"dropping-particle":"","family":"Cardelli","given":"Maurizio","non-dropping-particle":"","parse-names":false,"suffix":""},{"dropping-particle":"","family":"Olivieri","given":"Fabiola","non-dropping-particle":"","parse-names":false,"suffix":""},{"dropping-particle":"","family":"Nacmias","given":"Benedetta","non-dropping-particle":"","parse-names":false,"suffix":""},{"dropping-particle":"","family":"Sorbi","given":"Sandro","non-dropping-particle":"","parse-names":false,"suffix":""},{"dropping-particle":"","family":"Tagliavini","given":"Fabrizio","non-dropping-particle":"","parse-names":false,"suffix":""},{"dropping-particle":"","family":"Albani","given":"Diego","non-dropping-particle":"","parse-names":false,"suffix":""},{"dropping-particle":"","family":"Boneschi","given":"Filippo Martinelli","non-dropping-particle":"","parse-names":false,"suffix":""},{"dropping-particle":"","family":"Binetti","given":"Giuliano","non-dropping-particle":"","parse-names":false,"suffix":""},{"dropping-particle":"","family":"Santoro","given":"Aurelia","non-dropping-particle":"","parse-names":false,"suffix":""},{"dropping-particle":"","family":"Forloni","given":"Gianluigi","non-dropping-particle":"","parse-names":false,"suffix":""},{"dropping-particle":"","family":"Scarpini","given":"Elio","non-dropping-particle":"","parse-names":false,"suffix":""},{"dropping-particle":"","family":"Crepaldi","given":"Gaetano","non-dropping-particle":"","parse-names":false,"suffix":""},{"dropping-particle":"","family":"Gabelli","given":"Carlo","non-dropping-particle":"","parse-names":false,"suffix":""},{"dropping-particle":"","family":"Franceschi","given":"Claudio","non-dropping-particle":"","parse-names":false,"suffix":""}],"container-title":"Journal of Alzheimer's disease : JAD","id":"ITEM-1","issue":"2","issued":{"date-parts":[["2011"]]},"page":"235-245","publisher":"J Alzheimers Dis","title":"An APOE haplotype associated with decreased ε4 expression increases the risk of late onset Alzheimer's disease","type":"article-journal","volume":"24"},"uris":["http://www.mendeley.com/documents/?uuid=ab686c12-8488-3532-999c-009a5af3df0f"]},{"id":"ITEM-2","itemData":{"DOI":"10.1038/s41588-021-00921-z","ISSN":"15461718","PMID":"34493870","abstract":"Late-onset Alzheimer’s disease is a prevalent age-related polygenic disease that accounts for 50–70% of dementia cases. Currently, only a fraction of the genetic variants underlying Alzheimer’s disease have been identified. Here we show that increased sample sizes allowed identification of seven previously unidentified genetic loci contributing to Alzheimer’s disease. This study highlights microglia, immune cells and protein catabolism as relevant to late-onset Alzheimer’s disease, while identifying and prioritizing previously unidentified genes of potential interest. We anticipate that these results can be included in larger meta-analyses of Alzheimer’s disease to identify further genetic variants that contribute to Alzheimer’s pathology.","author":[{"dropping-particle":"","family":"Wightman","given":"Douglas P.","non-dropping-particle":"","parse-names":false,"suffix":""},{"dropping-particle":"","family":"Jansen","given":"Iris E.","non-dropping-particle":"","parse-names":false,"suffix":""},{"dropping-particle":"","family":"Savage","given":"Jeanne E.","non-dropping-particle":"","parse-names":false,"suffix":""},{"dropping-particle":"","family":"Shadrin","given":"Alexey A.","non-dropping-particle":"","parse-names":false,"suffix":""},{"dropping-particle":"","family":"Bahrami","given":"Shahram","non-dropping-particle":"","parse-names":false,"suffix":""},{"dropping-particle":"","family":"Holland","given":"Dominic","non-dropping-particle":"","parse-names":false,"suffix":""},{"dropping-particle":"","family":"Rongve","given":"Arvid","non-dropping-particle":"","parse-names":false,"suffix":""},{"dropping-particle":"","family":"Børte","given":"Sigrid","non-dropping-particle":"","parse-names":false,"suffix":""},{"dropping-particle":"","family":"Winsvold","given":"Bendik S.","non-dropping-particle":"","parse-names":false,"suffix":""},{"dropping-particle":"","family":"Drange","given":"Ole Kristian","non-dropping-particle":"","parse-names":false,"suffix":""},{"dropping-particle":"","family":"Martinsen","given":"Amy E.","non-dropping-particle":"","parse-names":false,"suffix":""},{"dropping-particle":"","family":"Skogholt","given":"Anne Heidi","non-dropping-particle":"","parse-names":false,"suffix":""},{"dropping-particle":"","family":"Willer","given":"Cristen","non-dropping-particle":"","parse-names":false,"suffix":""},{"dropping-particle":"","family":"Bråthen","given":"Geir","non-dropping-particle":"","parse-names":false,"suffix":""},{"dropping-particle":"","family":"Bosnes","given":"Ingunn","non-dropping-particle":"","parse-names":false,"suffix":""},{"dropping-particle":"","family":"Nielsen","given":"Jonas Bille","non-dropping-particle":"","parse-names":false,"suffix":""},{"dropping-particle":"","family":"Fritsche","given":"Lars G.","non-dropping-particle":"","parse-names":false,"suffix":""},{"dropping-particle":"","family":"Thomas","given":"Laurent F.","non-dropping-particle":"","parse-names":false,"suffix":""},{"dropping-particle":"","family":"Pedersen","given":"Linda M.","non-dropping-particle":"","parse-names":false,"suffix":""},{"dropping-particle":"","family":"Gabrielsen","given":"Maiken E.","non-dropping-particle":"","parse-names":false,"suffix":""},{"dropping-particle":"","family":"Johnsen","given":"Marianne Bakke","non-dropping-particle":"","parse-names":false,"suffix":""},{"dropping-particle":"","family":"Meisingset","given":"Tore Wergeland","non-dropping-particle":"","parse-names":false,"suffix":""},{"dropping-particle":"","family":"Zhou","given":"Wei","non-dropping-particle":"","parse-names":false,"suffix":""},{"dropping-particle":"","family":"Proitsi","given":"Petroula","non-dropping-particle":"","parse-names":false,"suffix":""},{"dropping-particle":"","family":"Hodges","given":"Angela","non-dropping-particle":"","parse-names":false,"suffix":""},{"dropping-particle":"","family":"Dobson","given":"Richard","non-dropping-particle":"","parse-names":false,"suffix":""},{"dropping-particle":"","family":"Velayudhan","given":"Latha","non-dropping-particle":"","parse-names":false,"suffix":""},{"dropping-particle":"","family":"Agee","given":"Michelle","non-dropping-particle":"","parse-names":false,"suffix":""},{"dropping-particle":"","family":"Aslibekyan","given":"Stella","non-dropping-particle":"","parse-names":false,"suffix":""},{"dropping-particle":"","family":"Babalola","given":"Elizabeth","non-dropping-particle":"","parse-names":false,"suffix":""},{"dropping-particle":"","family":"Bell","given":"Robert K.","non-dropping-particle":"","parse-names":false,"suffix":""},{"dropping-particle":"","family":"Bielenberg","given":"Jessica","non-dropping-particle":"","parse-names":false,"suffix":""},{"dropping-particle":"","family":"Bryc","given":"Katarzyna","non-dropping-particle":"","parse-names":false,"suffix":""},{"dropping-particle":"","family":"Bullis","given":"Emily","non-dropping-particle":"","parse-names":false,"suffix":""},{"dropping-particle":"","family":"Cameron","given":"Briana","non-dropping-particle":"","parse-names":false,"suffix":""},{"dropping-particle":"","family":"Coker","given":"Daniella","non-dropping-particle":"","parse-names":false,"suffix":""},{"dropping-particle":"","family":"Partida","given":"Gabriel Cuellar","non-dropping-particle":"","parse-names":false,"suffix":""},{"dropping-particle":"","family":"Dhamija","given":"Devika","non-dropping-particle":"","parse-names":false,"suffix":""},{"dropping-particle":"","family":"Das","given":"Sayantan","non-dropping-particle":"","parse-names":false,"suffix":""},{"dropping-particle":"","family":"Elson","given":"Sarah L.","non-dropping-particle":"","parse-names":false,"suffix":""},{"dropping-particle":"","family":"Filshtein","given":"Teresa","non-dropping-particle":"","parse-names":false,"suffix":""},{"dropping-particle":"","family":"Fletez-Brant","given":"Kipper","non-dropping-particle":"","parse-names":false,"suffix":""},{"dropping-particle":"","family":"Fontanillas","given":"Pierre","non-dropping-particle":"","parse-names":false,"suffix":""},{"dropping-particle":"","family":"Freyman","given":"Will","non-dropping-particle":"","parse-names":false,"suffix":""},{"dropping-particle":"","family":"Gandhi","given":"Pooja M.","non-dropping-particle":"","parse-names":false,"suffix":""},{"dropping-particle":"","family":"Hicks","given":"Barry","non-dropping-particle":"","parse-names":false,"suffix":""},{"dropping-particle":"","family":"Hinds","given":"David A.","non-dropping-particle":"","parse-names":false,"suffix":""},{"dropping-particle":"","family":"Huber","given":"Karen E.","non-dropping-particle":"","parse-names":false,"suffix":""},{"dropping-particle":"","family":"Jewett","given":"Ethan M.","non-dropping-particle":"","parse-names":false,"suffix":""},{"dropping-particle":"","family":"Jiang","given":"Yunxuan","non-dropping-particle":"","parse-names":false,"suffix":""},{"dropping-particle":"","family":"Kleinman","given":"Aaron","non-dropping-particle":"","parse-names":false,"suffix":""},{"dropping-particle":"","family":"Kukar","given":"Katelyn","non-dropping-particle":"","parse-names":false,"suffix":""},{"dropping-particle":"","family":"Lane","given":"Vanessa","non-dropping-particle":"","parse-names":false,"suffix":""},{"dropping-particle":"","family":"Lin","given":"Keng Han","non-dropping-particle":"","parse-names":false,"suffix":""},{"dropping-particle":"","family":"Lowe","given":"Maya","non-dropping-particle":"","parse-names":false,"suffix":""},{"dropping-particle":"","family":"Luff","given":"Marie K.","non-dropping-particle":"","parse-names":false,"suffix":""},{"dropping-particle":"","family":"McCreight","given":"Jennifer C.","non-dropping-particle":"","parse-names":false,"suffix":""},{"dropping-particle":"","family":"McIntyre","given":"Matthew H.","non-dropping-particle":"","parse-names":false,"suffix":""},{"dropping-particle":"","family":"McManus","given":"Kimberly F.","non-dropping-particle":"","parse-names":false,"suffix":""},{"dropping-particle":"","family":"Micheletti","given":"Steven J.","non-dropping-particle":"","parse-names":false,"suffix":""},{"dropping-particle":"","family":"Moreno","given":"Meghan E.","non-dropping-particle":"","parse-names":false,"suffix":""},{"dropping-particle":"","family":"Mountain","given":"Joanna L.","non-dropping-particle":"","parse-names":false,"suffix":""},{"dropping-particle":"V.","family":"Mozaffari","given":"Sahar","non-dropping-particle":"","parse-names":false,"suffix":""},{"dropping-particle":"","family":"Nandakumar","given":"Priyanka","non-dropping-particle":"","parse-names":false,"suffix":""},{"dropping-particle":"","family":"Noblin","given":"Elizabeth S.","non-dropping-particle":"","parse-names":false,"suffix":""},{"dropping-particle":"","family":"O’Connell","given":"Jared","non-dropping-particle":"","parse-names":false,"suffix":""},{"dropping-particle":"","family":"Petrakovitz","given":"Aaron A.","non-dropping-particle":"","parse-names":false,"suffix":""},{"dropping-particle":"","family":"Poznik","given":"G. David","non-dropping-particle":"","parse-names":false,"suffix":""},{"dropping-particle":"","family":"Schumacher","given":"Morgan","non-dropping-particle":"","parse-names":false,"suffix":""},{"dropping-particle":"","family":"Shastri","given":"Anjali J.","non-dropping-particle":"","parse-names":false,"suffix":""},{"dropping-particle":"","family":"Shelton","given":"Janie F.","non-dropping-particle":"","parse-names":false,"suffix":""},{"dropping-particle":"","family":"Shi","given":"Jingchunzi","non-dropping-particle":"","parse-names":false,"suffix":""},{"dropping-particle":"","family":"Shringarpure","given":"Suyash","non-dropping-particle":"","parse-names":false,"suffix":""},{"dropping-particle":"","family":"Tian","given":"Chao","non-dropping-particle":"","parse-names":false,"suffix":""},{"dropping-particle":"","family":"Tran","given":"Vinh","non-dropping-particle":"","parse-names":false,"suffix":""},{"dropping-particle":"","family":"Tung","given":"Joyce Y.","non-dropping-particle":"","parse-names":false,"suffix":""},{"dropping-particle":"","family":"Wang","given":"Xin","non-dropping-particle":"","parse-names":false,"suffix":""},{"dropping-particle":"","family":"Wang","given":"Wei","non-dropping-particle":"","parse-names":false,"suffix":""},{"dropping-particle":"","family":"Weldon","given":"Catherine H.","non-dropping-particle":"","parse-names":false,"suffix":""},{"dropping-particle":"","family":"Wilton","given":"Peter","non-dropping-particle":"","parse-names":false,"suffix":""},{"dropping-particle":"","family":"Sealock","given":"Julia M.","non-dropping-particle":"","parse-names":false,"suffix":""},{"dropping-particle":"","family":"Davis","given":"Lea K.","non-dropping-particle":"","parse-names":false,"suffix":""},{"dropping-particle":"","family":"Pedersen","given":"Nancy L.","non-dropping-particle":"","parse-names":false,"suffix":""},{"dropping-particle":"","family":"Reynolds","given":"Chandra A.","non-dropping-particle":"","parse-names":false,"suffix":""},{"dropping-particle":"","family":"Karlsson","given":"Ida K.","non-dropping-particle":"","parse-names":false,"suffix":""},{"dropping-particle":"","family":"Magnusson","given":"Sigurdur","non-dropping-particle":"","parse-names":false,"suffix":""},{"dropping-particle":"","family":"Stefansson","given":"Hreinn","non-dropping-particle":"","parse-names":false,"suffix":""},{"dropping-particle":"","family":"Thordardottir","given":"Steinunn","non-dropping-particle":"","parse-names":false,"suffix":""},{"dropping-particle":"V.","family":"Jonsson","given":"Palmi","non-dropping-particle":"","parse-names":false,"suffix":""},{"dropping-particle":"","family":"Snaedal","given":"Jon","non-dropping-particle":"","parse-names":false,"suffix":""},{"dropping-particle":"","family":"Zettergren","given":"Anna","non-dropping-particle":"","parse-names":false,"suffix":""},{"dropping-particle":"","family":"Skoog","given":"Ingmar","non-dropping-particle":"","parse-names":false,"suffix":""},{"dropping-particle":"","family":"Kern","given":"Silke","non-dropping-particle":"","parse-names":false,"suffix":""},{"dropping-particle":"","family":"Waern","given":"Margda","non-dropping-particle":"","parse-names":false,"suffix":""},{"dropping-particle":"","family":"Zetterberg","given":"Henrik","non-dropping-particle":"","parse-names":false,"suffix":""},{"dropping-particle":"","family":"Blennow","given":"Kaj","non-dropping-particle":"","parse-names":false,"suffix":""},{"dropping-particle":"","family":"Stordal","given":"Eystein","non-dropping-particle":"","parse-names":false,"suffix":""},{"dropping-particle":"","family":"Hveem","given":"Kristian","non-dropping-particle":"","parse-names":false,"suffix":""},{"dropping-particle":"","family":"Zwart","given":"John Anker","non-dropping-particle":"","parse-names":false,"suffix":""},{"dropping-particle":"","family":"Athanasiu","given":"Lavinia","non-dropping-particle":"","parse-names":false,"suffix":""},{"dropping-particle":"","family":"Selnes","given":"Per","non-dropping-particle":"","parse-names":false,"suffix":""},{"dropping-particle":"","family":"Saltvedt","given":"Ingvild","non-dropping-particle":"","parse-names":false,"suffix":""},{"dropping-particle":"","family":"Sando","given":"Sigrid B.","non-dropping-particle":"","parse-names":false,"suffix":""},{"dropping-particle":"","family":"Ulstein","given":"Ingun","non-dropping-particle":"","parse-names":false,"suffix":""},{"dropping-particle":"","family":"Djurovic","given":"Srdjan","non-dropping-particle":"","parse-names":false,"suffix":""},{"dropping-particle":"","family":"Fladby","given":"Tormod","non-dropping-particle":"","parse-names":false,"suffix":""},{"dropping-particle":"","family":"Aarsland","given":"Dag","non-dropping-particle":"","parse-names":false,"suffix":""},{"dropping-particle":"","family":"Selbæk","given":"Geir","non-dropping-particle":"","parse-names":false,"suffix":""},{"dropping-particle":"","family":"Ripke","given":"Stephan","non-dropping-particle":"","parse-names":false,"suffix":""},{"dropping-particle":"","family":"Stefansson","given":"Kari","non-dropping-particle":"","parse-names":false,"suffix":""},{"dropping-particle":"","family":"Andreassen","given":"Ole A.","non-dropping-particle":"","parse-names":false,"suffix":""},{"dropping-particle":"","family":"Posthuma","given":"Danielle","non-dropping-particle":"","parse-names":false,"suffix":""}],"container-title":"Nature Genetics","id":"ITEM-2","issue":"9","issued":{"date-parts":[["2021"]]},"page":"1276-1282","title":"A genome-wide association study with 1,126,563 individuals identifies new risk loci for Alzheimer’s disease","type":"article-journal","volume":"53"},"uris":["http://www.mendeley.com/documents/?uuid=d8f5a3a9-023a-480c-abd1-1273d12273e0"]},{"id":"ITEM-3","itemData":{"DOI":"10.1038/ng0194-29","ISSN":"15461718","PMID":"8136829","abstract":"In an effort to dissect the genetic components of longevity, we have undertaken case–control studies of populations of centenarians (n=338) and adults aged 20–70 years at several polymorphic candidate gene loci. Here we report results on two genes, chosen for their impact on cardiovascular risk, encoding apolipoprotein E (ApoE), angiotensin–converting enzyme (ACE). We find that the e4 allele of APOE, which promotes premature atherosclerosis, is significantly less frequent in centenarians than in controls (p&lt;0.001), while the frequency of the e2 allele, associated previously with type III and IV hyperlipidemia, is significantly increased (p&lt;0.01). A variant of ACE which predisposes to coronary heart disease is surprisingly more frequent in centenarians, with a significant increase of the homozygous genotype (p&lt;0.01). These associations provide examples of genetic influences on differential survival and may point to pleiotropic age–dependent effects on longevity. © 1994 Nature Publishing Group.","author":[{"dropping-particle":"","family":"Schächter","given":"Franҫois","non-dropping-particle":"","parse-names":false,"suffix":""},{"dropping-particle":"","family":"Faure-Delanef","given":"Laurence","non-dropping-particle":"","parse-names":false,"suffix":""},{"dropping-particle":"","family":"Guénot","given":"Frédérique","non-dropping-particle":"","parse-names":false,"suffix":""},{"dropping-particle":"","family":"Rouger","given":"Hervé","non-dropping-particle":"","parse-names":false,"suffix":""},{"dropping-particle":"","family":"Froguel","given":"Philippe","non-dropping-particle":"","parse-names":false,"suffix":""},{"dropping-particle":"","family":"Lesueur-Ginot","given":"Laurence","non-dropping-particle":"","parse-names":false,"suffix":""},{"dropping-particle":"","family":"Cohen","given":"Daniel","non-dropping-particle":"","parse-names":false,"suffix":""}],"container-title":"Nature Genetics","id":"ITEM-3","issue":"1","issued":{"date-parts":[["1994"]]},"page":"29-32","title":"Genetic associations with human longevity at the APOE and ACE loci","type":"article-journal","volume":"6"},"uris":["http://www.mendeley.com/documents/?uuid=a3876029-0bd5-4535-b7e7-e448475e5d78"]}],"mendeley":{"formattedCitation":"[13–15]","plainTextFormattedCitation":"[13–15]","previouslyFormattedCitation":"[12–14]"},"properties":{"noteIndex":0},"schema":"https://github.com/citation-style-language/schema/raw/master/csl-citation.json"}</w:instrText>
      </w:r>
      <w:r w:rsidRPr="00D44C0B">
        <w:rPr>
          <w:rFonts w:ascii="Times New Roman" w:hAnsi="Times New Roman" w:cs="Times New Roman"/>
          <w:i/>
          <w:iCs/>
          <w:highlight w:val="yellow"/>
        </w:rPr>
        <w:fldChar w:fldCharType="separate"/>
      </w:r>
      <w:r w:rsidRPr="00D44C0B">
        <w:rPr>
          <w:rFonts w:ascii="Times New Roman" w:hAnsi="Times New Roman" w:cs="Times New Roman"/>
          <w:i/>
          <w:iCs/>
          <w:noProof/>
          <w:highlight w:val="yellow"/>
        </w:rPr>
        <w:t>[13–15]</w:t>
      </w:r>
      <w:r w:rsidRPr="00D44C0B">
        <w:rPr>
          <w:rFonts w:ascii="Times New Roman" w:hAnsi="Times New Roman" w:cs="Times New Roman"/>
          <w:i/>
          <w:iCs/>
          <w:highlight w:val="yellow"/>
        </w:rPr>
        <w:fldChar w:fldCharType="end"/>
      </w:r>
      <w:r w:rsidRPr="00D44C0B">
        <w:rPr>
          <w:rFonts w:ascii="Times New Roman" w:hAnsi="Times New Roman" w:cs="Times New Roman"/>
          <w:i/>
          <w:iCs/>
          <w:highlight w:val="yellow"/>
        </w:rPr>
        <w:t>. The APOE variant’s association with age may thus be explained by age-dependent selection or survival rather than a birthyear effect.</w:t>
      </w:r>
      <w:r w:rsidRPr="00D44C0B">
        <w:rPr>
          <w:rFonts w:ascii="Times New Roman" w:hAnsi="Times New Roman" w:cs="Times New Roman"/>
          <w:i/>
          <w:iCs/>
        </w:rPr>
        <w:t xml:space="preserve">“ </w:t>
      </w:r>
    </w:p>
    <w:p w14:paraId="6F83DB95" w14:textId="77777777" w:rsidR="00122E63" w:rsidRPr="00D44C0B" w:rsidRDefault="00122E63" w:rsidP="00122E63">
      <w:pPr>
        <w:spacing w:after="0"/>
        <w:ind w:firstLine="708"/>
        <w:contextualSpacing/>
        <w:jc w:val="both"/>
        <w:rPr>
          <w:rFonts w:ascii="Times New Roman" w:hAnsi="Times New Roman" w:cs="Times New Roman"/>
        </w:rPr>
      </w:pPr>
    </w:p>
    <w:bookmarkEnd w:id="12"/>
    <w:bookmarkEnd w:id="16"/>
    <w:p w14:paraId="308BD0AD" w14:textId="77777777" w:rsidR="00122E63" w:rsidRPr="00D44C0B" w:rsidRDefault="00122E63" w:rsidP="00122E63">
      <w:pPr>
        <w:autoSpaceDE w:val="0"/>
        <w:autoSpaceDN w:val="0"/>
        <w:adjustRightInd w:val="0"/>
        <w:spacing w:after="0" w:line="240" w:lineRule="auto"/>
        <w:jc w:val="both"/>
        <w:rPr>
          <w:rFonts w:ascii="Times New Roman" w:hAnsi="Times New Roman" w:cs="Times New Roman"/>
          <w:color w:val="2F5496" w:themeColor="accent5" w:themeShade="BF"/>
        </w:rPr>
      </w:pPr>
    </w:p>
    <w:p w14:paraId="7ED145E6" w14:textId="77777777" w:rsidR="00122E63" w:rsidRPr="00D44C0B" w:rsidRDefault="00122E63" w:rsidP="00122E63">
      <w:pPr>
        <w:autoSpaceDE w:val="0"/>
        <w:autoSpaceDN w:val="0"/>
        <w:adjustRightInd w:val="0"/>
        <w:spacing w:after="0" w:line="240" w:lineRule="auto"/>
        <w:jc w:val="both"/>
        <w:rPr>
          <w:rFonts w:ascii="Times New Roman" w:hAnsi="Times New Roman" w:cs="Times New Roman"/>
          <w:color w:val="2F5496" w:themeColor="accent5" w:themeShade="BF"/>
        </w:rPr>
      </w:pPr>
      <w:r w:rsidRPr="00D44C0B">
        <w:rPr>
          <w:rFonts w:ascii="Times New Roman" w:hAnsi="Times New Roman" w:cs="Times New Roman"/>
          <w:color w:val="2F5496" w:themeColor="accent5" w:themeShade="BF"/>
        </w:rPr>
        <w:t>2. In Figure 3, the right panel looks strange. To better illustrate the study's primary method, which is the two-stage approach, could the authors consider varying 'f' while maintaining a consistent total sample size? Maybe it is unnecessary to show the other 1-stage approaches in the Figure.</w:t>
      </w:r>
    </w:p>
    <w:p w14:paraId="3D738C94" w14:textId="77777777" w:rsidR="00122E63" w:rsidRPr="00D44C0B" w:rsidRDefault="00122E63" w:rsidP="00122E63">
      <w:pPr>
        <w:autoSpaceDE w:val="0"/>
        <w:autoSpaceDN w:val="0"/>
        <w:adjustRightInd w:val="0"/>
        <w:spacing w:after="0" w:line="240" w:lineRule="auto"/>
        <w:jc w:val="both"/>
        <w:rPr>
          <w:rFonts w:ascii="Times New Roman" w:hAnsi="Times New Roman" w:cs="Times New Roman"/>
          <w:i/>
          <w:iCs/>
          <w:color w:val="2F5496" w:themeColor="accent5" w:themeShade="BF"/>
        </w:rPr>
      </w:pPr>
    </w:p>
    <w:p w14:paraId="14E4E5B5" w14:textId="77777777" w:rsidR="00122E63" w:rsidRPr="00D44C0B" w:rsidRDefault="00122E63" w:rsidP="00122E63">
      <w:pPr>
        <w:autoSpaceDE w:val="0"/>
        <w:autoSpaceDN w:val="0"/>
        <w:adjustRightInd w:val="0"/>
        <w:spacing w:after="0" w:line="240" w:lineRule="auto"/>
        <w:jc w:val="both"/>
        <w:rPr>
          <w:rFonts w:ascii="Times New Roman" w:hAnsi="Times New Roman" w:cs="Times New Roman"/>
          <w:i/>
          <w:iCs/>
          <w:color w:val="000000" w:themeColor="text1"/>
          <w:lang w:val="en-US"/>
        </w:rPr>
      </w:pPr>
      <w:r w:rsidRPr="00D44C0B">
        <w:rPr>
          <w:rFonts w:ascii="Times New Roman" w:hAnsi="Times New Roman" w:cs="Times New Roman"/>
          <w:b/>
          <w:i/>
          <w:iCs/>
          <w:color w:val="000000" w:themeColor="text1"/>
          <w:lang w:val="en-US"/>
        </w:rPr>
        <w:t xml:space="preserve">Response: </w:t>
      </w:r>
      <w:r w:rsidRPr="00D44C0B">
        <w:rPr>
          <w:rFonts w:ascii="Times New Roman" w:hAnsi="Times New Roman" w:cs="Times New Roman"/>
          <w:i/>
          <w:iCs/>
          <w:color w:val="000000" w:themeColor="text1"/>
          <w:lang w:val="en-US"/>
        </w:rPr>
        <w:t xml:space="preserve">We thank for the constructive comment and revised Figure 3 accordingly. We agree this figure is clearer keeping total sample size constant. Yet, we still want to include the 1-stage approaches to allow direct comparison with the 2-stage approach. </w:t>
      </w:r>
    </w:p>
    <w:p w14:paraId="2C4CFF5C" w14:textId="77777777" w:rsidR="00122E63" w:rsidRPr="00D44C0B" w:rsidRDefault="00122E63" w:rsidP="00122E63">
      <w:pPr>
        <w:autoSpaceDE w:val="0"/>
        <w:autoSpaceDN w:val="0"/>
        <w:adjustRightInd w:val="0"/>
        <w:spacing w:after="0" w:line="240" w:lineRule="auto"/>
        <w:jc w:val="both"/>
        <w:rPr>
          <w:rFonts w:ascii="Times New Roman" w:hAnsi="Times New Roman" w:cs="Times New Roman"/>
          <w:i/>
          <w:iCs/>
          <w:color w:val="000000" w:themeColor="text1"/>
          <w:lang w:val="en-US"/>
        </w:rPr>
      </w:pPr>
    </w:p>
    <w:p w14:paraId="20ED4584" w14:textId="77777777" w:rsidR="00122E63" w:rsidRPr="00D44C0B" w:rsidRDefault="00122E63" w:rsidP="00122E63">
      <w:pPr>
        <w:autoSpaceDE w:val="0"/>
        <w:autoSpaceDN w:val="0"/>
        <w:adjustRightInd w:val="0"/>
        <w:spacing w:after="0" w:line="240" w:lineRule="auto"/>
        <w:jc w:val="both"/>
        <w:rPr>
          <w:rFonts w:ascii="Times New Roman" w:hAnsi="Times New Roman" w:cs="Times New Roman"/>
          <w:i/>
          <w:iCs/>
          <w:color w:val="000000" w:themeColor="text1"/>
          <w:lang w:val="en-US"/>
        </w:rPr>
      </w:pPr>
      <w:r w:rsidRPr="00D44C0B">
        <w:rPr>
          <w:rFonts w:ascii="Times New Roman" w:hAnsi="Times New Roman" w:cs="Times New Roman"/>
          <w:i/>
          <w:iCs/>
          <w:color w:val="000000" w:themeColor="text1"/>
          <w:lang w:val="en-US"/>
        </w:rPr>
        <w:t xml:space="preserve">The updated figure looks as follows: </w:t>
      </w:r>
    </w:p>
    <w:p w14:paraId="49908B4E" w14:textId="77777777" w:rsidR="00122E63" w:rsidRPr="00D44C0B" w:rsidRDefault="00122E63" w:rsidP="00122E63">
      <w:pPr>
        <w:autoSpaceDE w:val="0"/>
        <w:autoSpaceDN w:val="0"/>
        <w:adjustRightInd w:val="0"/>
        <w:spacing w:after="0" w:line="240" w:lineRule="auto"/>
        <w:jc w:val="both"/>
        <w:rPr>
          <w:rFonts w:ascii="Times New Roman" w:hAnsi="Times New Roman" w:cs="Times New Roman"/>
          <w:color w:val="000000" w:themeColor="text1"/>
          <w:lang w:val="en-US"/>
        </w:rPr>
      </w:pPr>
    </w:p>
    <w:p w14:paraId="493D0B93" w14:textId="77777777" w:rsidR="00122E63" w:rsidRPr="00D44C0B" w:rsidRDefault="00122E63" w:rsidP="00122E63">
      <w:pPr>
        <w:autoSpaceDE w:val="0"/>
        <w:autoSpaceDN w:val="0"/>
        <w:adjustRightInd w:val="0"/>
        <w:spacing w:after="0" w:line="240" w:lineRule="auto"/>
        <w:jc w:val="both"/>
        <w:rPr>
          <w:rFonts w:ascii="Times New Roman" w:hAnsi="Times New Roman" w:cs="Times New Roman"/>
          <w:color w:val="000000" w:themeColor="text1"/>
          <w:lang w:val="en-US"/>
        </w:rPr>
      </w:pPr>
      <w:r w:rsidRPr="00D44C0B">
        <w:rPr>
          <w:rFonts w:ascii="Times New Roman" w:hAnsi="Times New Roman" w:cs="Times New Roman"/>
          <w:noProof/>
        </w:rPr>
        <w:lastRenderedPageBreak/>
        <w:drawing>
          <wp:inline distT="0" distB="0" distL="0" distR="0" wp14:anchorId="03E26E7E" wp14:editId="20B57A51">
            <wp:extent cx="5486400" cy="8434613"/>
            <wp:effectExtent l="0" t="0" r="0" b="5080"/>
            <wp:docPr id="9892602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26025" name=""/>
                    <pic:cNvPicPr/>
                  </pic:nvPicPr>
                  <pic:blipFill>
                    <a:blip r:embed="rId16"/>
                    <a:stretch>
                      <a:fillRect/>
                    </a:stretch>
                  </pic:blipFill>
                  <pic:spPr>
                    <a:xfrm>
                      <a:off x="0" y="0"/>
                      <a:ext cx="5509974" cy="8470854"/>
                    </a:xfrm>
                    <a:prstGeom prst="rect">
                      <a:avLst/>
                    </a:prstGeom>
                  </pic:spPr>
                </pic:pic>
              </a:graphicData>
            </a:graphic>
          </wp:inline>
        </w:drawing>
      </w:r>
    </w:p>
    <w:p w14:paraId="45F1D0E2" w14:textId="77777777" w:rsidR="00122E63" w:rsidRPr="00D44C0B" w:rsidRDefault="00122E63" w:rsidP="00122E63">
      <w:pPr>
        <w:autoSpaceDE w:val="0"/>
        <w:autoSpaceDN w:val="0"/>
        <w:adjustRightInd w:val="0"/>
        <w:spacing w:after="0" w:line="240" w:lineRule="auto"/>
        <w:jc w:val="both"/>
        <w:rPr>
          <w:rFonts w:ascii="Times New Roman" w:hAnsi="Times New Roman" w:cs="Times New Roman"/>
          <w:color w:val="000000" w:themeColor="text1"/>
          <w:lang w:val="en-US"/>
        </w:rPr>
      </w:pPr>
    </w:p>
    <w:p w14:paraId="68E736B4" w14:textId="77777777" w:rsidR="00122E63" w:rsidRPr="00D44C0B" w:rsidRDefault="00122E63" w:rsidP="00122E63">
      <w:pPr>
        <w:autoSpaceDE w:val="0"/>
        <w:autoSpaceDN w:val="0"/>
        <w:adjustRightInd w:val="0"/>
        <w:spacing w:after="0" w:line="240" w:lineRule="auto"/>
        <w:jc w:val="both"/>
        <w:rPr>
          <w:rFonts w:ascii="Times New Roman" w:hAnsi="Times New Roman" w:cs="Times New Roman"/>
          <w:color w:val="000000" w:themeColor="text1"/>
          <w:lang w:val="en-US"/>
        </w:rPr>
      </w:pPr>
    </w:p>
    <w:p w14:paraId="092A97F9" w14:textId="77777777" w:rsidR="00122E63" w:rsidRPr="00D44C0B" w:rsidRDefault="00122E63" w:rsidP="00122E63">
      <w:pPr>
        <w:autoSpaceDE w:val="0"/>
        <w:autoSpaceDN w:val="0"/>
        <w:adjustRightInd w:val="0"/>
        <w:spacing w:after="0" w:line="240" w:lineRule="auto"/>
        <w:jc w:val="both"/>
        <w:rPr>
          <w:rFonts w:ascii="Times New Roman" w:hAnsi="Times New Roman" w:cs="Times New Roman"/>
          <w:i/>
          <w:iCs/>
          <w:color w:val="000000" w:themeColor="text1"/>
          <w:lang w:val="en-US"/>
        </w:rPr>
      </w:pPr>
      <w:r w:rsidRPr="00D44C0B">
        <w:rPr>
          <w:rFonts w:ascii="Times New Roman" w:hAnsi="Times New Roman" w:cs="Times New Roman"/>
          <w:i/>
          <w:iCs/>
          <w:color w:val="000000" w:themeColor="text1"/>
          <w:lang w:val="en-US"/>
        </w:rPr>
        <w:t xml:space="preserve">Additionally, we describe </w:t>
      </w:r>
      <w:r w:rsidRPr="00D44C0B">
        <w:rPr>
          <w:rFonts w:ascii="Times New Roman" w:hAnsi="Times New Roman" w:cs="Times New Roman"/>
          <w:b/>
          <w:i/>
          <w:iCs/>
          <w:color w:val="000000" w:themeColor="text1"/>
          <w:lang w:val="en-US"/>
        </w:rPr>
        <w:t xml:space="preserve">the corresponding </w:t>
      </w:r>
      <w:r w:rsidRPr="00D44C0B">
        <w:rPr>
          <w:rFonts w:ascii="Times New Roman" w:hAnsi="Times New Roman" w:cs="Times New Roman"/>
          <w:i/>
          <w:iCs/>
          <w:color w:val="000000" w:themeColor="text1"/>
          <w:lang w:val="en-US"/>
        </w:rPr>
        <w:t xml:space="preserve">results as follows (page 7): </w:t>
      </w:r>
    </w:p>
    <w:p w14:paraId="4214D33F" w14:textId="77777777" w:rsidR="00122E63" w:rsidRPr="00D44C0B" w:rsidRDefault="00122E63" w:rsidP="00122E63">
      <w:pPr>
        <w:spacing w:after="0"/>
        <w:ind w:firstLine="708"/>
        <w:contextualSpacing/>
        <w:jc w:val="both"/>
        <w:rPr>
          <w:rFonts w:ascii="Times New Roman" w:hAnsi="Times New Roman" w:cs="Times New Roman"/>
          <w:i/>
          <w:iCs/>
          <w:highlight w:val="yellow"/>
        </w:rPr>
      </w:pPr>
      <w:r w:rsidRPr="00D44C0B">
        <w:rPr>
          <w:rFonts w:ascii="Times New Roman" w:hAnsi="Times New Roman" w:cs="Times New Roman"/>
          <w:i/>
          <w:iCs/>
          <w:highlight w:val="yellow"/>
        </w:rPr>
        <w:lastRenderedPageBreak/>
        <w:t>“</w:t>
      </w:r>
      <w:bookmarkStart w:id="17" w:name="_Hlk178684009"/>
      <w:bookmarkStart w:id="18" w:name="_Hlk177396959"/>
      <w:r w:rsidRPr="00D44C0B">
        <w:rPr>
          <w:rFonts w:ascii="Times New Roman" w:hAnsi="Times New Roman" w:cs="Times New Roman"/>
          <w:i/>
          <w:iCs/>
          <w:highlight w:val="yellow"/>
        </w:rPr>
        <w:t>This UKB scenario with the proportion of longitudinal data relative to total sample size (f) being only up to 15% is rather unique. To generalize to studies with higher f, we compared the power of the three approaches for varying f while keeping the total sample size constant (</w:t>
      </w:r>
      <w:proofErr w:type="spellStart"/>
      <w:r w:rsidRPr="00D44C0B">
        <w:rPr>
          <w:rFonts w:ascii="Times New Roman" w:hAnsi="Times New Roman" w:cs="Times New Roman"/>
          <w:i/>
          <w:iCs/>
          <w:highlight w:val="yellow"/>
        </w:rPr>
        <w:t>N</w:t>
      </w:r>
      <w:r w:rsidRPr="00D44C0B">
        <w:rPr>
          <w:rFonts w:ascii="Times New Roman" w:hAnsi="Times New Roman" w:cs="Times New Roman"/>
          <w:i/>
          <w:iCs/>
          <w:highlight w:val="yellow"/>
          <w:vertAlign w:val="subscript"/>
        </w:rPr>
        <w:t>total</w:t>
      </w:r>
      <w:proofErr w:type="spellEnd"/>
      <w:r w:rsidRPr="00D44C0B">
        <w:rPr>
          <w:rFonts w:ascii="Times New Roman" w:hAnsi="Times New Roman" w:cs="Times New Roman"/>
          <w:i/>
          <w:iCs/>
          <w:highlight w:val="yellow"/>
        </w:rPr>
        <w:t>=</w:t>
      </w:r>
      <w:proofErr w:type="spellStart"/>
      <w:r w:rsidRPr="00D44C0B">
        <w:rPr>
          <w:rFonts w:ascii="Times New Roman" w:hAnsi="Times New Roman" w:cs="Times New Roman"/>
          <w:i/>
          <w:iCs/>
          <w:highlight w:val="yellow"/>
        </w:rPr>
        <w:t>N</w:t>
      </w:r>
      <w:r w:rsidRPr="00D44C0B">
        <w:rPr>
          <w:rFonts w:ascii="Times New Roman" w:hAnsi="Times New Roman" w:cs="Times New Roman"/>
          <w:i/>
          <w:iCs/>
          <w:highlight w:val="yellow"/>
          <w:vertAlign w:val="subscript"/>
        </w:rPr>
        <w:t>cross</w:t>
      </w:r>
      <w:r w:rsidRPr="00D44C0B">
        <w:rPr>
          <w:rFonts w:ascii="Times New Roman" w:hAnsi="Times New Roman" w:cs="Times New Roman"/>
          <w:i/>
          <w:iCs/>
          <w:highlight w:val="yellow"/>
        </w:rPr>
        <w:t>+N</w:t>
      </w:r>
      <w:r w:rsidRPr="00D44C0B">
        <w:rPr>
          <w:rFonts w:ascii="Times New Roman" w:hAnsi="Times New Roman" w:cs="Times New Roman"/>
          <w:i/>
          <w:iCs/>
          <w:highlight w:val="yellow"/>
          <w:vertAlign w:val="subscript"/>
        </w:rPr>
        <w:t>long</w:t>
      </w:r>
      <w:proofErr w:type="spellEnd"/>
      <w:r w:rsidRPr="00D44C0B">
        <w:rPr>
          <w:rFonts w:ascii="Times New Roman" w:hAnsi="Times New Roman" w:cs="Times New Roman"/>
          <w:i/>
          <w:iCs/>
          <w:highlight w:val="yellow"/>
        </w:rPr>
        <w:t xml:space="preserve">, trait-specific) and keeping the annual change effects constant (at 10% of a medium marginal genetic effect). We expected a “kipping point” for f where the “1-stage </w:t>
      </w:r>
      <w:proofErr w:type="spellStart"/>
      <w:r w:rsidRPr="00D44C0B">
        <w:rPr>
          <w:rFonts w:ascii="Times New Roman" w:hAnsi="Times New Roman" w:cs="Times New Roman"/>
          <w:i/>
          <w:iCs/>
          <w:highlight w:val="yellow"/>
        </w:rPr>
        <w:t>GxAge</w:t>
      </w:r>
      <w:proofErr w:type="spellEnd"/>
      <w:r w:rsidRPr="00D44C0B">
        <w:rPr>
          <w:rFonts w:ascii="Times New Roman" w:hAnsi="Times New Roman" w:cs="Times New Roman"/>
          <w:i/>
          <w:iCs/>
          <w:highlight w:val="yellow"/>
        </w:rPr>
        <w:t>” approach lost superiority in power against the “1-stage Change” approach. We observed trait-dependent kipping points at f=25%, 75% and 65% for BMI, LDL-C, or pulse pressure (</w:t>
      </w:r>
      <w:r w:rsidRPr="00D44C0B">
        <w:rPr>
          <w:rFonts w:ascii="Times New Roman" w:hAnsi="Times New Roman" w:cs="Times New Roman"/>
          <w:b/>
          <w:i/>
          <w:iCs/>
          <w:highlight w:val="yellow"/>
        </w:rPr>
        <w:t>Figure 3</w:t>
      </w:r>
      <w:r w:rsidRPr="00D44C0B">
        <w:rPr>
          <w:rFonts w:ascii="Times New Roman" w:hAnsi="Times New Roman" w:cs="Times New Roman"/>
          <w:i/>
          <w:iCs/>
          <w:highlight w:val="yellow"/>
        </w:rPr>
        <w:t xml:space="preserve">, </w:t>
      </w:r>
      <w:r w:rsidRPr="00D44C0B">
        <w:rPr>
          <w:rFonts w:ascii="Times New Roman" w:hAnsi="Times New Roman" w:cs="Times New Roman"/>
          <w:b/>
          <w:i/>
          <w:iCs/>
          <w:highlight w:val="yellow"/>
        </w:rPr>
        <w:t>Figure S1</w:t>
      </w:r>
      <w:r w:rsidRPr="00D44C0B">
        <w:rPr>
          <w:rFonts w:ascii="Times New Roman" w:hAnsi="Times New Roman" w:cs="Times New Roman"/>
          <w:i/>
          <w:iCs/>
          <w:highlight w:val="yellow"/>
        </w:rPr>
        <w:t xml:space="preserve">). For UKB sample size, power of the “1-stage Change” approach was deprecated compared to genetic-by-age interaction approaches for all traits (red dotted lines in </w:t>
      </w:r>
      <w:r w:rsidRPr="00D44C0B">
        <w:rPr>
          <w:rFonts w:ascii="Times New Roman" w:hAnsi="Times New Roman" w:cs="Times New Roman"/>
          <w:b/>
          <w:i/>
          <w:iCs/>
          <w:highlight w:val="yellow"/>
        </w:rPr>
        <w:t>Figure 3</w:t>
      </w:r>
      <w:r w:rsidRPr="00D44C0B">
        <w:rPr>
          <w:rFonts w:ascii="Times New Roman" w:hAnsi="Times New Roman" w:cs="Times New Roman"/>
          <w:i/>
          <w:iCs/>
          <w:highlight w:val="yellow"/>
        </w:rPr>
        <w:t xml:space="preserve"> and </w:t>
      </w:r>
      <w:r w:rsidRPr="00D44C0B">
        <w:rPr>
          <w:rFonts w:ascii="Times New Roman" w:hAnsi="Times New Roman" w:cs="Times New Roman"/>
          <w:b/>
          <w:i/>
          <w:iCs/>
          <w:highlight w:val="yellow"/>
        </w:rPr>
        <w:t>Figure S1</w:t>
      </w:r>
      <w:r w:rsidRPr="00D44C0B">
        <w:rPr>
          <w:rFonts w:ascii="Times New Roman" w:hAnsi="Times New Roman" w:cs="Times New Roman"/>
          <w:i/>
          <w:iCs/>
          <w:highlight w:val="yellow"/>
        </w:rPr>
        <w:t>).</w:t>
      </w:r>
      <w:bookmarkEnd w:id="17"/>
      <w:bookmarkEnd w:id="18"/>
      <w:r w:rsidRPr="00D44C0B">
        <w:rPr>
          <w:rFonts w:ascii="Times New Roman" w:hAnsi="Times New Roman" w:cs="Times New Roman"/>
          <w:i/>
          <w:iCs/>
          <w:highlight w:val="yellow"/>
        </w:rPr>
        <w:t xml:space="preserve">” </w:t>
      </w:r>
    </w:p>
    <w:p w14:paraId="33F8DCAC" w14:textId="77777777" w:rsidR="00122E63" w:rsidRPr="00D44C0B" w:rsidRDefault="00122E63" w:rsidP="00122E63">
      <w:pPr>
        <w:autoSpaceDE w:val="0"/>
        <w:autoSpaceDN w:val="0"/>
        <w:adjustRightInd w:val="0"/>
        <w:spacing w:after="0" w:line="240" w:lineRule="auto"/>
        <w:jc w:val="both"/>
        <w:rPr>
          <w:rFonts w:ascii="Times New Roman" w:hAnsi="Times New Roman" w:cs="Times New Roman"/>
          <w:color w:val="000000" w:themeColor="text1"/>
          <w:lang w:val="en-US"/>
        </w:rPr>
      </w:pPr>
    </w:p>
    <w:p w14:paraId="6D368295" w14:textId="77777777" w:rsidR="00122E63" w:rsidRPr="00D44C0B" w:rsidRDefault="00122E63" w:rsidP="00122E63">
      <w:pPr>
        <w:autoSpaceDE w:val="0"/>
        <w:autoSpaceDN w:val="0"/>
        <w:adjustRightInd w:val="0"/>
        <w:spacing w:after="0" w:line="240" w:lineRule="auto"/>
        <w:jc w:val="both"/>
        <w:rPr>
          <w:rFonts w:ascii="Times New Roman" w:hAnsi="Times New Roman" w:cs="Times New Roman"/>
          <w:color w:val="000000" w:themeColor="text1"/>
          <w:lang w:val="en-US"/>
        </w:rPr>
      </w:pPr>
    </w:p>
    <w:p w14:paraId="5F3C6EA3" w14:textId="77777777" w:rsidR="00122E63" w:rsidRPr="00D44C0B" w:rsidRDefault="00122E63" w:rsidP="00122E63">
      <w:pPr>
        <w:autoSpaceDE w:val="0"/>
        <w:autoSpaceDN w:val="0"/>
        <w:adjustRightInd w:val="0"/>
        <w:spacing w:after="0" w:line="240" w:lineRule="auto"/>
        <w:jc w:val="both"/>
        <w:rPr>
          <w:rFonts w:ascii="Times New Roman" w:hAnsi="Times New Roman" w:cs="Times New Roman"/>
          <w:color w:val="2F5496" w:themeColor="accent5" w:themeShade="BF"/>
        </w:rPr>
      </w:pPr>
      <w:r w:rsidRPr="00D44C0B">
        <w:rPr>
          <w:rFonts w:ascii="Times New Roman" w:hAnsi="Times New Roman" w:cs="Times New Roman"/>
          <w:color w:val="2F5496" w:themeColor="accent5" w:themeShade="BF"/>
        </w:rPr>
        <w:t xml:space="preserve">3. If the </w:t>
      </w:r>
      <w:proofErr w:type="spellStart"/>
      <w:r w:rsidRPr="00D44C0B">
        <w:rPr>
          <w:rFonts w:ascii="Times New Roman" w:hAnsi="Times New Roman" w:cs="Times New Roman"/>
          <w:color w:val="2F5496" w:themeColor="accent5" w:themeShade="BF"/>
        </w:rPr>
        <w:t>GxAge</w:t>
      </w:r>
      <w:proofErr w:type="spellEnd"/>
      <w:r w:rsidRPr="00D44C0B">
        <w:rPr>
          <w:rFonts w:ascii="Times New Roman" w:hAnsi="Times New Roman" w:cs="Times New Roman"/>
          <w:color w:val="2F5496" w:themeColor="accent5" w:themeShade="BF"/>
        </w:rPr>
        <w:t xml:space="preserve"> interactions </w:t>
      </w:r>
      <w:proofErr w:type="spellStart"/>
      <w:r w:rsidRPr="00D44C0B">
        <w:rPr>
          <w:rFonts w:ascii="Times New Roman" w:hAnsi="Times New Roman" w:cs="Times New Roman"/>
          <w:color w:val="2F5496" w:themeColor="accent5" w:themeShade="BF"/>
        </w:rPr>
        <w:t>γ_G</w:t>
      </w:r>
      <w:proofErr w:type="spellEnd"/>
      <w:r w:rsidRPr="00D44C0B">
        <w:rPr>
          <w:rFonts w:ascii="Times New Roman" w:hAnsi="Times New Roman" w:cs="Times New Roman"/>
          <w:color w:val="2F5496" w:themeColor="accent5" w:themeShade="BF"/>
        </w:rPr>
        <w:t xml:space="preserve"> and β_</w:t>
      </w:r>
      <w:proofErr w:type="spellStart"/>
      <w:r w:rsidRPr="00D44C0B">
        <w:rPr>
          <w:rFonts w:ascii="Times New Roman" w:hAnsi="Times New Roman" w:cs="Times New Roman"/>
          <w:color w:val="2F5496" w:themeColor="accent5" w:themeShade="BF"/>
        </w:rPr>
        <w:t>GxAge</w:t>
      </w:r>
      <w:proofErr w:type="spellEnd"/>
      <w:r w:rsidRPr="00D44C0B">
        <w:rPr>
          <w:rFonts w:ascii="Times New Roman" w:hAnsi="Times New Roman" w:cs="Times New Roman"/>
          <w:color w:val="2F5496" w:themeColor="accent5" w:themeShade="BF"/>
        </w:rPr>
        <w:t xml:space="preserve">  are equivalent, as the authors stated, why are the powers of the two 1-stage approaches different?</w:t>
      </w:r>
    </w:p>
    <w:p w14:paraId="2C6D3B42" w14:textId="77777777" w:rsidR="00122E63" w:rsidRPr="00D44C0B" w:rsidRDefault="00122E63" w:rsidP="00122E63">
      <w:pPr>
        <w:autoSpaceDE w:val="0"/>
        <w:autoSpaceDN w:val="0"/>
        <w:adjustRightInd w:val="0"/>
        <w:spacing w:after="0" w:line="240" w:lineRule="auto"/>
        <w:jc w:val="both"/>
        <w:rPr>
          <w:rFonts w:ascii="Times New Roman" w:hAnsi="Times New Roman" w:cs="Times New Roman"/>
          <w:color w:val="000000" w:themeColor="text1"/>
        </w:rPr>
      </w:pPr>
    </w:p>
    <w:p w14:paraId="758716DC" w14:textId="77777777" w:rsidR="00122E63" w:rsidRPr="00D44C0B" w:rsidRDefault="00122E63" w:rsidP="00122E63">
      <w:pPr>
        <w:autoSpaceDE w:val="0"/>
        <w:autoSpaceDN w:val="0"/>
        <w:adjustRightInd w:val="0"/>
        <w:spacing w:after="0" w:line="240" w:lineRule="auto"/>
        <w:jc w:val="both"/>
        <w:rPr>
          <w:rFonts w:ascii="Times New Roman" w:hAnsi="Times New Roman" w:cs="Times New Roman"/>
          <w:i/>
          <w:iCs/>
          <w:color w:val="000000" w:themeColor="text1"/>
          <w:lang w:val="en-US"/>
        </w:rPr>
      </w:pPr>
      <w:r w:rsidRPr="00D44C0B">
        <w:rPr>
          <w:rFonts w:ascii="Times New Roman" w:hAnsi="Times New Roman" w:cs="Times New Roman"/>
          <w:b/>
          <w:i/>
          <w:iCs/>
          <w:color w:val="000000" w:themeColor="text1"/>
          <w:lang w:val="en-US"/>
        </w:rPr>
        <w:t xml:space="preserve">Response: </w:t>
      </w:r>
      <w:r w:rsidRPr="00D44C0B">
        <w:rPr>
          <w:rFonts w:ascii="Times New Roman" w:hAnsi="Times New Roman" w:cs="Times New Roman"/>
          <w:i/>
          <w:iCs/>
          <w:color w:val="000000" w:themeColor="text1"/>
          <w:lang w:val="en-US"/>
        </w:rPr>
        <w:t xml:space="preserve">We appreciate the reviewer’s question, based on which we have conducted additional analyses and investigations. It is indeed counterintuitive, at first glance, that power of the “1-stage </w:t>
      </w:r>
      <w:proofErr w:type="spellStart"/>
      <w:r w:rsidRPr="00D44C0B">
        <w:rPr>
          <w:rFonts w:ascii="Times New Roman" w:hAnsi="Times New Roman" w:cs="Times New Roman"/>
          <w:i/>
          <w:iCs/>
          <w:color w:val="000000" w:themeColor="text1"/>
          <w:lang w:val="en-US"/>
        </w:rPr>
        <w:t>GxAge</w:t>
      </w:r>
      <w:proofErr w:type="spellEnd"/>
      <w:r w:rsidRPr="00D44C0B">
        <w:rPr>
          <w:rFonts w:ascii="Times New Roman" w:hAnsi="Times New Roman" w:cs="Times New Roman"/>
          <w:i/>
          <w:iCs/>
          <w:color w:val="000000" w:themeColor="text1"/>
          <w:lang w:val="en-US"/>
        </w:rPr>
        <w:t xml:space="preserve">” (in cross-sectional data) is larger than the power of the “1-stage Change” (in longitudinal data) when the number of individuals are the same in the cross-sectional and in the longitudinal data (f=50% in the right panel of new </w:t>
      </w:r>
      <w:r w:rsidRPr="00D44C0B">
        <w:rPr>
          <w:rFonts w:ascii="Times New Roman" w:hAnsi="Times New Roman" w:cs="Times New Roman"/>
          <w:b/>
          <w:i/>
          <w:iCs/>
          <w:color w:val="000000" w:themeColor="text1"/>
          <w:lang w:val="en-US"/>
        </w:rPr>
        <w:t>Figure 3</w:t>
      </w:r>
      <w:r w:rsidRPr="00D44C0B">
        <w:rPr>
          <w:rFonts w:ascii="Times New Roman" w:hAnsi="Times New Roman" w:cs="Times New Roman"/>
          <w:i/>
          <w:iCs/>
          <w:color w:val="000000" w:themeColor="text1"/>
          <w:lang w:val="en-US"/>
        </w:rPr>
        <w:t xml:space="preserve">). The longitudinal data has twice as many trait measurements as the cross-sectional data and one would expect larger power. Based on the comment, we investigated this further. First, we looked at the scenario of f=0.5 in the new </w:t>
      </w:r>
      <w:r w:rsidRPr="00D44C0B">
        <w:rPr>
          <w:rFonts w:ascii="Times New Roman" w:hAnsi="Times New Roman" w:cs="Times New Roman"/>
          <w:b/>
          <w:i/>
          <w:iCs/>
          <w:color w:val="000000" w:themeColor="text1"/>
          <w:lang w:val="en-US"/>
        </w:rPr>
        <w:t>Figure 3</w:t>
      </w:r>
      <w:r w:rsidRPr="00D44C0B">
        <w:rPr>
          <w:rFonts w:ascii="Times New Roman" w:hAnsi="Times New Roman" w:cs="Times New Roman"/>
          <w:i/>
          <w:iCs/>
          <w:color w:val="000000" w:themeColor="text1"/>
          <w:lang w:val="en-US"/>
        </w:rPr>
        <w:t xml:space="preserve"> and described the observation in results as follows (page 7):</w:t>
      </w:r>
    </w:p>
    <w:p w14:paraId="5A84E57D" w14:textId="77777777" w:rsidR="00122E63" w:rsidRPr="00D44C0B" w:rsidRDefault="00122E63" w:rsidP="00122E63">
      <w:pPr>
        <w:autoSpaceDE w:val="0"/>
        <w:autoSpaceDN w:val="0"/>
        <w:adjustRightInd w:val="0"/>
        <w:spacing w:after="0" w:line="240" w:lineRule="auto"/>
        <w:jc w:val="both"/>
        <w:rPr>
          <w:rFonts w:ascii="Times New Roman" w:hAnsi="Times New Roman" w:cs="Times New Roman"/>
          <w:color w:val="000000" w:themeColor="text1"/>
          <w:lang w:val="en-US"/>
        </w:rPr>
      </w:pPr>
    </w:p>
    <w:p w14:paraId="3764D815" w14:textId="77777777" w:rsidR="00122E63" w:rsidRPr="00D44C0B" w:rsidRDefault="00122E63" w:rsidP="00122E63">
      <w:pPr>
        <w:spacing w:after="0"/>
        <w:contextualSpacing/>
        <w:jc w:val="both"/>
        <w:rPr>
          <w:rFonts w:ascii="Times New Roman" w:hAnsi="Times New Roman" w:cs="Times New Roman"/>
          <w:i/>
          <w:iCs/>
          <w:highlight w:val="yellow"/>
        </w:rPr>
      </w:pPr>
      <w:bookmarkStart w:id="19" w:name="_Hlk177390721"/>
      <w:r w:rsidRPr="00D44C0B">
        <w:rPr>
          <w:rFonts w:ascii="Times New Roman" w:hAnsi="Times New Roman" w:cs="Times New Roman"/>
          <w:i/>
          <w:iCs/>
          <w:highlight w:val="yellow"/>
        </w:rPr>
        <w:t>“</w:t>
      </w:r>
      <w:bookmarkStart w:id="20" w:name="_Hlk178678849"/>
      <w:bookmarkStart w:id="21" w:name="_Hlk177396986"/>
      <w:r w:rsidRPr="00D44C0B">
        <w:rPr>
          <w:rFonts w:ascii="Times New Roman" w:hAnsi="Times New Roman" w:cs="Times New Roman"/>
          <w:i/>
          <w:iCs/>
          <w:highlight w:val="yellow"/>
        </w:rPr>
        <w:t xml:space="preserve">Interestingly, and a bit counterintuitive at first glance, equal sample size for cross-sectional and longitudinal data (f=0.5, </w:t>
      </w:r>
      <w:proofErr w:type="spellStart"/>
      <w:r w:rsidRPr="00D44C0B">
        <w:rPr>
          <w:rFonts w:ascii="Times New Roman" w:hAnsi="Times New Roman" w:cs="Times New Roman"/>
          <w:i/>
          <w:iCs/>
          <w:highlight w:val="yellow"/>
        </w:rPr>
        <w:t>N</w:t>
      </w:r>
      <w:r w:rsidRPr="00D44C0B">
        <w:rPr>
          <w:rFonts w:ascii="Times New Roman" w:hAnsi="Times New Roman" w:cs="Times New Roman"/>
          <w:i/>
          <w:iCs/>
          <w:highlight w:val="yellow"/>
          <w:vertAlign w:val="subscript"/>
        </w:rPr>
        <w:t>cross</w:t>
      </w:r>
      <w:proofErr w:type="spellEnd"/>
      <w:r w:rsidRPr="00D44C0B">
        <w:rPr>
          <w:rFonts w:ascii="Times New Roman" w:hAnsi="Times New Roman" w:cs="Times New Roman"/>
          <w:i/>
          <w:iCs/>
          <w:highlight w:val="yellow"/>
        </w:rPr>
        <w:t>=</w:t>
      </w:r>
      <w:proofErr w:type="spellStart"/>
      <w:r w:rsidRPr="00D44C0B">
        <w:rPr>
          <w:rFonts w:ascii="Times New Roman" w:hAnsi="Times New Roman" w:cs="Times New Roman"/>
          <w:i/>
          <w:iCs/>
          <w:highlight w:val="yellow"/>
        </w:rPr>
        <w:t>N</w:t>
      </w:r>
      <w:r w:rsidRPr="00D44C0B">
        <w:rPr>
          <w:rFonts w:ascii="Times New Roman" w:hAnsi="Times New Roman" w:cs="Times New Roman"/>
          <w:i/>
          <w:iCs/>
          <w:highlight w:val="yellow"/>
          <w:vertAlign w:val="subscript"/>
        </w:rPr>
        <w:t>long</w:t>
      </w:r>
      <w:proofErr w:type="spellEnd"/>
      <w:r w:rsidRPr="00D44C0B">
        <w:rPr>
          <w:rFonts w:ascii="Times New Roman" w:hAnsi="Times New Roman" w:cs="Times New Roman"/>
          <w:i/>
          <w:iCs/>
          <w:highlight w:val="yellow"/>
        </w:rPr>
        <w:t xml:space="preserve">=N, number of measurements N and 2*N, respectively) yielded superior power for the cross-sectional “1-stage </w:t>
      </w:r>
      <w:proofErr w:type="spellStart"/>
      <w:r w:rsidRPr="00D44C0B">
        <w:rPr>
          <w:rFonts w:ascii="Times New Roman" w:hAnsi="Times New Roman" w:cs="Times New Roman"/>
          <w:i/>
          <w:iCs/>
          <w:highlight w:val="yellow"/>
        </w:rPr>
        <w:t>GxAge</w:t>
      </w:r>
      <w:proofErr w:type="spellEnd"/>
      <w:r w:rsidRPr="00D44C0B">
        <w:rPr>
          <w:rFonts w:ascii="Times New Roman" w:hAnsi="Times New Roman" w:cs="Times New Roman"/>
          <w:i/>
          <w:iCs/>
          <w:highlight w:val="yellow"/>
        </w:rPr>
        <w:t xml:space="preserve">” approach compared to longitudinal “1-stage Change” approach for blood pressure and lipid traits (e.g., for pulse pressure 85% versus 59%, for LDL-C 82% versus 12%), but reduced power for obesity traits (e.g., for BMI 92% versus 99%; </w:t>
      </w:r>
      <w:r w:rsidRPr="00D44C0B">
        <w:rPr>
          <w:rFonts w:ascii="Times New Roman" w:hAnsi="Times New Roman" w:cs="Times New Roman"/>
          <w:b/>
          <w:i/>
          <w:iCs/>
          <w:highlight w:val="yellow"/>
        </w:rPr>
        <w:t>Figure 3, Figure S1</w:t>
      </w:r>
      <w:r w:rsidRPr="00D44C0B">
        <w:rPr>
          <w:rFonts w:ascii="Times New Roman" w:hAnsi="Times New Roman" w:cs="Times New Roman"/>
          <w:i/>
          <w:iCs/>
          <w:highlight w:val="yellow"/>
        </w:rPr>
        <w:t>). This trait-dependent pattern was observed despite, across traits, the same significance level, similar sample size, and similar genetic-by-age interaction effect size relative to the phenotypic variance (i.e., similar outcome variance explained by the genetic-by-age interaction, R</w:t>
      </w:r>
      <w:r w:rsidRPr="00D44C0B">
        <w:rPr>
          <w:rFonts w:ascii="Times New Roman" w:hAnsi="Times New Roman" w:cs="Times New Roman"/>
          <w:i/>
          <w:iCs/>
          <w:highlight w:val="yellow"/>
          <w:vertAlign w:val="superscript"/>
        </w:rPr>
        <w:t>2</w:t>
      </w:r>
      <w:r w:rsidRPr="00D44C0B">
        <w:rPr>
          <w:rFonts w:ascii="Times New Roman" w:hAnsi="Times New Roman" w:cs="Times New Roman"/>
          <w:i/>
          <w:iCs/>
          <w:highlight w:val="yellow"/>
          <w:vertAlign w:val="subscript"/>
        </w:rPr>
        <w:t>GxAge</w:t>
      </w:r>
      <w:r w:rsidRPr="00D44C0B">
        <w:rPr>
          <w:rFonts w:ascii="Times New Roman" w:hAnsi="Times New Roman" w:cs="Times New Roman"/>
          <w:i/>
          <w:iCs/>
          <w:highlight w:val="yellow"/>
        </w:rPr>
        <w:t xml:space="preserve"> of ~0.01%, </w:t>
      </w:r>
      <w:r w:rsidRPr="00D44C0B">
        <w:rPr>
          <w:rFonts w:ascii="Times New Roman" w:hAnsi="Times New Roman" w:cs="Times New Roman"/>
          <w:b/>
          <w:i/>
          <w:iCs/>
          <w:highlight w:val="yellow"/>
        </w:rPr>
        <w:t>Table 2</w:t>
      </w:r>
      <w:r w:rsidRPr="00D44C0B">
        <w:rPr>
          <w:rFonts w:ascii="Times New Roman" w:hAnsi="Times New Roman" w:cs="Times New Roman"/>
          <w:i/>
          <w:iCs/>
          <w:highlight w:val="yellow"/>
        </w:rPr>
        <w:t>). However, a driving factor for power in longitudinal analyses is also the variance of annual outcome change explained by the genetic effect (R</w:t>
      </w:r>
      <w:r w:rsidRPr="00D44C0B">
        <w:rPr>
          <w:rFonts w:ascii="Times New Roman" w:hAnsi="Times New Roman" w:cs="Times New Roman"/>
          <w:i/>
          <w:iCs/>
          <w:highlight w:val="yellow"/>
          <w:vertAlign w:val="superscript"/>
        </w:rPr>
        <w:t>2</w:t>
      </w:r>
      <w:r w:rsidRPr="00D44C0B">
        <w:rPr>
          <w:rFonts w:ascii="Times New Roman" w:hAnsi="Times New Roman" w:cs="Times New Roman"/>
          <w:i/>
          <w:iCs/>
          <w:highlight w:val="yellow"/>
          <w:vertAlign w:val="subscript"/>
        </w:rPr>
        <w:t>Change</w:t>
      </w:r>
      <w:r w:rsidRPr="00D44C0B">
        <w:rPr>
          <w:rFonts w:ascii="Times New Roman" w:hAnsi="Times New Roman" w:cs="Times New Roman"/>
          <w:i/>
          <w:iCs/>
          <w:highlight w:val="yellow"/>
        </w:rPr>
        <w:t>). Indeed, we observed a smaller R</w:t>
      </w:r>
      <w:r w:rsidRPr="00D44C0B">
        <w:rPr>
          <w:rFonts w:ascii="Times New Roman" w:hAnsi="Times New Roman" w:cs="Times New Roman"/>
          <w:i/>
          <w:iCs/>
          <w:highlight w:val="yellow"/>
          <w:vertAlign w:val="superscript"/>
        </w:rPr>
        <w:t>2</w:t>
      </w:r>
      <w:r w:rsidRPr="00D44C0B">
        <w:rPr>
          <w:rFonts w:ascii="Times New Roman" w:hAnsi="Times New Roman" w:cs="Times New Roman"/>
          <w:i/>
          <w:iCs/>
          <w:highlight w:val="yellow"/>
          <w:vertAlign w:val="subscript"/>
        </w:rPr>
        <w:t>Change</w:t>
      </w:r>
      <w:r w:rsidRPr="00D44C0B">
        <w:rPr>
          <w:rFonts w:ascii="Times New Roman" w:hAnsi="Times New Roman" w:cs="Times New Roman"/>
          <w:i/>
          <w:iCs/>
          <w:highlight w:val="yellow"/>
        </w:rPr>
        <w:t xml:space="preserve"> for pulse pressure and LDL-C (0.009% and 0.004%, respectively) compared to BMI and weight (R</w:t>
      </w:r>
      <w:r w:rsidRPr="00D44C0B">
        <w:rPr>
          <w:rFonts w:ascii="Times New Roman" w:hAnsi="Times New Roman" w:cs="Times New Roman"/>
          <w:i/>
          <w:iCs/>
          <w:highlight w:val="yellow"/>
          <w:vertAlign w:val="superscript"/>
        </w:rPr>
        <w:t>2</w:t>
      </w:r>
      <w:r w:rsidRPr="00D44C0B">
        <w:rPr>
          <w:rFonts w:ascii="Times New Roman" w:hAnsi="Times New Roman" w:cs="Times New Roman"/>
          <w:i/>
          <w:iCs/>
          <w:highlight w:val="yellow"/>
          <w:vertAlign w:val="subscript"/>
        </w:rPr>
        <w:t xml:space="preserve">Change </w:t>
      </w:r>
      <w:r w:rsidRPr="00D44C0B">
        <w:rPr>
          <w:rFonts w:ascii="Times New Roman" w:hAnsi="Times New Roman" w:cs="Times New Roman"/>
          <w:i/>
          <w:iCs/>
          <w:highlight w:val="yellow"/>
        </w:rPr>
        <w:t xml:space="preserve">~0.04% for both traits; </w:t>
      </w:r>
      <w:r w:rsidRPr="00D44C0B">
        <w:rPr>
          <w:rFonts w:ascii="Times New Roman" w:hAnsi="Times New Roman" w:cs="Times New Roman"/>
          <w:b/>
          <w:i/>
          <w:iCs/>
          <w:highlight w:val="yellow"/>
        </w:rPr>
        <w:t>Table 2</w:t>
      </w:r>
      <w:r w:rsidRPr="00D44C0B">
        <w:rPr>
          <w:rFonts w:ascii="Times New Roman" w:hAnsi="Times New Roman" w:cs="Times New Roman"/>
          <w:i/>
          <w:iCs/>
          <w:highlight w:val="yellow"/>
        </w:rPr>
        <w:t>).</w:t>
      </w:r>
      <w:bookmarkEnd w:id="20"/>
      <w:r w:rsidRPr="00D44C0B">
        <w:rPr>
          <w:rFonts w:ascii="Times New Roman" w:hAnsi="Times New Roman" w:cs="Times New Roman"/>
          <w:i/>
          <w:iCs/>
          <w:highlight w:val="yellow"/>
        </w:rPr>
        <w:t xml:space="preserve">” </w:t>
      </w:r>
      <w:bookmarkEnd w:id="21"/>
    </w:p>
    <w:p w14:paraId="32C27825" w14:textId="77777777" w:rsidR="00122E63" w:rsidRPr="00D44C0B" w:rsidRDefault="00122E63" w:rsidP="00122E63">
      <w:pPr>
        <w:spacing w:after="0"/>
        <w:ind w:firstLine="708"/>
        <w:contextualSpacing/>
        <w:jc w:val="both"/>
        <w:rPr>
          <w:rFonts w:ascii="Times New Roman" w:hAnsi="Times New Roman" w:cs="Times New Roman"/>
          <w:i/>
          <w:iCs/>
          <w:highlight w:val="yellow"/>
        </w:rPr>
      </w:pPr>
    </w:p>
    <w:bookmarkEnd w:id="19"/>
    <w:p w14:paraId="6987E719" w14:textId="77777777" w:rsidR="00122E63" w:rsidRPr="00D44C0B" w:rsidRDefault="00122E63" w:rsidP="00122E63">
      <w:pPr>
        <w:autoSpaceDE w:val="0"/>
        <w:autoSpaceDN w:val="0"/>
        <w:adjustRightInd w:val="0"/>
        <w:spacing w:after="0" w:line="240" w:lineRule="auto"/>
        <w:jc w:val="both"/>
        <w:rPr>
          <w:rFonts w:ascii="Times New Roman" w:hAnsi="Times New Roman" w:cs="Times New Roman"/>
          <w:i/>
          <w:iCs/>
          <w:color w:val="000000" w:themeColor="text1"/>
          <w:lang w:val="en-US"/>
        </w:rPr>
      </w:pPr>
      <w:r w:rsidRPr="00D44C0B">
        <w:rPr>
          <w:rFonts w:ascii="Times New Roman" w:hAnsi="Times New Roman" w:cs="Times New Roman"/>
          <w:i/>
          <w:iCs/>
          <w:color w:val="000000" w:themeColor="text1"/>
          <w:lang w:val="en-US"/>
        </w:rPr>
        <w:t xml:space="preserve">Thus, the difference in power in longitudinal analyses across traits in Figure 3 at f=0.5 stems from </w:t>
      </w:r>
      <w:r w:rsidRPr="00D44C0B">
        <w:rPr>
          <w:rFonts w:ascii="Times New Roman" w:hAnsi="Times New Roman" w:cs="Times New Roman"/>
          <w:i/>
          <w:iCs/>
        </w:rPr>
        <w:t>trait-dependent R</w:t>
      </w:r>
      <w:r w:rsidRPr="00D44C0B">
        <w:rPr>
          <w:rFonts w:ascii="Times New Roman" w:hAnsi="Times New Roman" w:cs="Times New Roman"/>
          <w:i/>
          <w:iCs/>
          <w:vertAlign w:val="superscript"/>
        </w:rPr>
        <w:t>2</w:t>
      </w:r>
      <w:r w:rsidRPr="00D44C0B">
        <w:rPr>
          <w:rFonts w:ascii="Times New Roman" w:hAnsi="Times New Roman" w:cs="Times New Roman"/>
          <w:i/>
          <w:iCs/>
          <w:vertAlign w:val="subscript"/>
        </w:rPr>
        <w:t xml:space="preserve">Change . </w:t>
      </w:r>
      <w:r w:rsidRPr="00D44C0B">
        <w:rPr>
          <w:rFonts w:ascii="Times New Roman" w:hAnsi="Times New Roman" w:cs="Times New Roman"/>
          <w:i/>
          <w:iCs/>
          <w:color w:val="000000" w:themeColor="text1"/>
        </w:rPr>
        <w:t>We explored this further</w:t>
      </w:r>
      <w:r w:rsidRPr="00D44C0B">
        <w:rPr>
          <w:rFonts w:ascii="Times New Roman" w:hAnsi="Times New Roman" w:cs="Times New Roman"/>
          <w:i/>
          <w:iCs/>
          <w:color w:val="000000" w:themeColor="text1"/>
          <w:lang w:val="en-US"/>
        </w:rPr>
        <w:t xml:space="preserve"> using a more controlled setting: we explore when the power of the genetic-by-age interaction test is equivalent to the power of testing a genetic variant for association with trait change (novel supplementary </w:t>
      </w:r>
      <w:r w:rsidRPr="00D44C0B">
        <w:rPr>
          <w:rFonts w:ascii="Times New Roman" w:hAnsi="Times New Roman" w:cs="Times New Roman"/>
          <w:b/>
          <w:i/>
          <w:iCs/>
          <w:color w:val="000000" w:themeColor="text1"/>
          <w:lang w:val="en-US"/>
        </w:rPr>
        <w:t xml:space="preserve">Note S3 </w:t>
      </w:r>
      <w:r w:rsidRPr="00D44C0B">
        <w:rPr>
          <w:rFonts w:ascii="Times New Roman" w:hAnsi="Times New Roman" w:cs="Times New Roman"/>
          <w:i/>
          <w:iCs/>
          <w:color w:val="000000" w:themeColor="text1"/>
          <w:lang w:val="en-US"/>
        </w:rPr>
        <w:t>). We also compare aspects like trait variance and correlation, which drive power, in the dataset,</w:t>
      </w:r>
      <w:r w:rsidRPr="00D44C0B">
        <w:rPr>
          <w:rFonts w:ascii="Times New Roman" w:hAnsi="Times New Roman" w:cs="Times New Roman"/>
          <w:b/>
          <w:i/>
          <w:iCs/>
          <w:color w:val="000000" w:themeColor="text1"/>
          <w:lang w:val="en-US"/>
        </w:rPr>
        <w:t xml:space="preserve"> </w:t>
      </w:r>
      <w:r w:rsidRPr="00D44C0B">
        <w:rPr>
          <w:rFonts w:ascii="Times New Roman" w:hAnsi="Times New Roman" w:cs="Times New Roman"/>
          <w:i/>
          <w:iCs/>
          <w:color w:val="000000" w:themeColor="text1"/>
          <w:lang w:val="en-US"/>
        </w:rPr>
        <w:t>(novel</w:t>
      </w:r>
      <w:r w:rsidRPr="00D44C0B">
        <w:rPr>
          <w:rFonts w:ascii="Times New Roman" w:hAnsi="Times New Roman" w:cs="Times New Roman"/>
          <w:b/>
          <w:i/>
          <w:iCs/>
          <w:color w:val="000000" w:themeColor="text1"/>
          <w:lang w:val="en-US"/>
        </w:rPr>
        <w:t xml:space="preserve"> Table S2</w:t>
      </w:r>
      <w:r w:rsidRPr="00D44C0B">
        <w:rPr>
          <w:rFonts w:ascii="Times New Roman" w:hAnsi="Times New Roman" w:cs="Times New Roman"/>
          <w:i/>
          <w:iCs/>
          <w:color w:val="000000" w:themeColor="text1"/>
          <w:lang w:val="en-US"/>
        </w:rPr>
        <w:t xml:space="preserve">).  The power of the annual trait change analyses is limited in the UKB longitudinal data due to the short follow-up time and depends on the trait due to the correlation of trait measurements at timepoint 1 and trait measurements at timepoint 2. The genetic-by-age interaction analyses can make use of the large age range (and thus large age variance). </w:t>
      </w:r>
    </w:p>
    <w:p w14:paraId="1DB9AB1C" w14:textId="77777777" w:rsidR="00122E63" w:rsidRPr="00D44C0B" w:rsidRDefault="00122E63" w:rsidP="00122E63">
      <w:pPr>
        <w:autoSpaceDE w:val="0"/>
        <w:autoSpaceDN w:val="0"/>
        <w:adjustRightInd w:val="0"/>
        <w:spacing w:after="0" w:line="240" w:lineRule="auto"/>
        <w:jc w:val="both"/>
        <w:rPr>
          <w:rFonts w:ascii="Times New Roman" w:hAnsi="Times New Roman" w:cs="Times New Roman"/>
          <w:i/>
          <w:iCs/>
          <w:color w:val="000000" w:themeColor="text1"/>
          <w:lang w:val="en-US"/>
        </w:rPr>
      </w:pPr>
    </w:p>
    <w:p w14:paraId="76E622C4" w14:textId="77777777" w:rsidR="00122E63" w:rsidRPr="00D44C0B" w:rsidRDefault="00122E63" w:rsidP="00122E63">
      <w:pPr>
        <w:autoSpaceDE w:val="0"/>
        <w:autoSpaceDN w:val="0"/>
        <w:adjustRightInd w:val="0"/>
        <w:spacing w:after="0" w:line="240" w:lineRule="auto"/>
        <w:jc w:val="both"/>
        <w:rPr>
          <w:rFonts w:ascii="Times New Roman" w:hAnsi="Times New Roman" w:cs="Times New Roman"/>
          <w:i/>
          <w:iCs/>
          <w:color w:val="000000" w:themeColor="text1"/>
        </w:rPr>
      </w:pPr>
      <w:r w:rsidRPr="00D44C0B">
        <w:rPr>
          <w:rFonts w:ascii="Times New Roman" w:hAnsi="Times New Roman" w:cs="Times New Roman"/>
          <w:i/>
          <w:iCs/>
          <w:color w:val="000000" w:themeColor="text1"/>
          <w:lang w:val="en-US"/>
        </w:rPr>
        <w:t xml:space="preserve">We summarize the results of these theoretical considerations and observations of power computations under a controlled setting in </w:t>
      </w:r>
      <w:r w:rsidRPr="00D44C0B">
        <w:rPr>
          <w:rFonts w:ascii="Times New Roman" w:hAnsi="Times New Roman" w:cs="Times New Roman"/>
          <w:b/>
          <w:i/>
          <w:iCs/>
        </w:rPr>
        <w:t>Results</w:t>
      </w:r>
      <w:r w:rsidRPr="00D44C0B">
        <w:rPr>
          <w:rFonts w:ascii="Times New Roman" w:hAnsi="Times New Roman" w:cs="Times New Roman"/>
          <w:i/>
          <w:iCs/>
        </w:rPr>
        <w:t xml:space="preserve"> (page 8): </w:t>
      </w:r>
    </w:p>
    <w:p w14:paraId="75D0B1FC" w14:textId="77777777" w:rsidR="00122E63" w:rsidRPr="00D44C0B" w:rsidRDefault="00122E63" w:rsidP="00122E63">
      <w:pPr>
        <w:autoSpaceDE w:val="0"/>
        <w:autoSpaceDN w:val="0"/>
        <w:adjustRightInd w:val="0"/>
        <w:spacing w:after="0" w:line="240" w:lineRule="auto"/>
        <w:jc w:val="both"/>
        <w:rPr>
          <w:rFonts w:ascii="Times New Roman" w:hAnsi="Times New Roman" w:cs="Times New Roman"/>
          <w:color w:val="000000" w:themeColor="text1"/>
          <w:lang w:val="en-US"/>
        </w:rPr>
      </w:pPr>
    </w:p>
    <w:p w14:paraId="62490941" w14:textId="5FA5FCDE" w:rsidR="00122E63" w:rsidRPr="00D44C0B" w:rsidRDefault="00122E63" w:rsidP="00122E63">
      <w:pPr>
        <w:spacing w:after="0"/>
        <w:contextualSpacing/>
        <w:jc w:val="both"/>
        <w:rPr>
          <w:rFonts w:ascii="Times New Roman" w:hAnsi="Times New Roman" w:cs="Times New Roman"/>
          <w:i/>
          <w:iCs/>
        </w:rPr>
      </w:pPr>
      <w:bookmarkStart w:id="22" w:name="_Hlk177395286"/>
      <w:r w:rsidRPr="00D44C0B">
        <w:rPr>
          <w:rFonts w:ascii="Times New Roman" w:hAnsi="Times New Roman" w:cs="Times New Roman"/>
          <w:i/>
          <w:iCs/>
          <w:highlight w:val="yellow"/>
        </w:rPr>
        <w:t>“</w:t>
      </w:r>
      <w:bookmarkStart w:id="23" w:name="_Hlk177397310"/>
      <w:bookmarkEnd w:id="22"/>
      <w:r w:rsidRPr="00D44C0B">
        <w:rPr>
          <w:rFonts w:ascii="Times New Roman" w:hAnsi="Times New Roman" w:cs="Times New Roman"/>
          <w:i/>
          <w:iCs/>
          <w:highlight w:val="yellow"/>
        </w:rPr>
        <w:t xml:space="preserve">To explore the reasons for these trait-dependent power differences further, we compared power of a genetic-by-age interaction test and an annual change association test in a </w:t>
      </w:r>
      <w:bookmarkStart w:id="24" w:name="_Hlk176959966"/>
      <w:r w:rsidRPr="00D44C0B">
        <w:rPr>
          <w:rFonts w:ascii="Times New Roman" w:hAnsi="Times New Roman" w:cs="Times New Roman"/>
          <w:i/>
          <w:iCs/>
          <w:highlight w:val="yellow"/>
        </w:rPr>
        <w:t xml:space="preserve">more controlled scenario (fixed parameters of </w:t>
      </w:r>
      <w:proofErr w:type="spellStart"/>
      <w:r w:rsidRPr="00D44C0B">
        <w:rPr>
          <w:rFonts w:ascii="Times New Roman" w:hAnsi="Times New Roman" w:cs="Times New Roman"/>
          <w:i/>
          <w:iCs/>
          <w:highlight w:val="yellow"/>
        </w:rPr>
        <w:t>N</w:t>
      </w:r>
      <w:r w:rsidRPr="00D44C0B">
        <w:rPr>
          <w:rFonts w:ascii="Times New Roman" w:hAnsi="Times New Roman" w:cs="Times New Roman"/>
          <w:i/>
          <w:iCs/>
          <w:highlight w:val="yellow"/>
          <w:vertAlign w:val="subscript"/>
        </w:rPr>
        <w:t>cross</w:t>
      </w:r>
      <w:proofErr w:type="spellEnd"/>
      <w:r w:rsidRPr="00D44C0B">
        <w:rPr>
          <w:rFonts w:ascii="Times New Roman" w:hAnsi="Times New Roman" w:cs="Times New Roman"/>
          <w:i/>
          <w:iCs/>
          <w:highlight w:val="yellow"/>
        </w:rPr>
        <w:t>=</w:t>
      </w:r>
      <w:proofErr w:type="spellStart"/>
      <w:r w:rsidRPr="00D44C0B">
        <w:rPr>
          <w:rFonts w:ascii="Times New Roman" w:hAnsi="Times New Roman" w:cs="Times New Roman"/>
          <w:i/>
          <w:iCs/>
          <w:highlight w:val="yellow"/>
        </w:rPr>
        <w:t>N</w:t>
      </w:r>
      <w:r w:rsidRPr="00D44C0B">
        <w:rPr>
          <w:rFonts w:ascii="Times New Roman" w:hAnsi="Times New Roman" w:cs="Times New Roman"/>
          <w:i/>
          <w:iCs/>
          <w:highlight w:val="yellow"/>
          <w:vertAlign w:val="subscript"/>
        </w:rPr>
        <w:t>long</w:t>
      </w:r>
      <w:proofErr w:type="spellEnd"/>
      <w:r w:rsidRPr="00D44C0B">
        <w:rPr>
          <w:rFonts w:ascii="Times New Roman" w:hAnsi="Times New Roman" w:cs="Times New Roman"/>
          <w:i/>
          <w:iCs/>
          <w:highlight w:val="yellow"/>
        </w:rPr>
        <w:t>=200K, alpha=5x10</w:t>
      </w:r>
      <w:r w:rsidRPr="00D44C0B">
        <w:rPr>
          <w:rFonts w:ascii="Times New Roman" w:hAnsi="Times New Roman" w:cs="Times New Roman"/>
          <w:i/>
          <w:iCs/>
          <w:highlight w:val="yellow"/>
          <w:vertAlign w:val="superscript"/>
        </w:rPr>
        <w:t>-8</w:t>
      </w:r>
      <w:r w:rsidRPr="00D44C0B">
        <w:rPr>
          <w:rFonts w:ascii="Times New Roman" w:hAnsi="Times New Roman" w:cs="Times New Roman"/>
          <w:i/>
          <w:iCs/>
          <w:highlight w:val="yellow"/>
        </w:rPr>
        <w:t xml:space="preserve">, allele frequency AF=0.3, </w:t>
      </w:r>
      <w:proofErr w:type="spellStart"/>
      <w:r w:rsidRPr="00D44C0B">
        <w:rPr>
          <w:rFonts w:ascii="Times New Roman" w:hAnsi="Times New Roman" w:cs="Times New Roman"/>
          <w:i/>
          <w:iCs/>
          <w:highlight w:val="yellow"/>
        </w:rPr>
        <w:t>beta</w:t>
      </w:r>
      <w:r w:rsidRPr="00D44C0B">
        <w:rPr>
          <w:rFonts w:ascii="Times New Roman" w:hAnsi="Times New Roman" w:cs="Times New Roman"/>
          <w:i/>
          <w:iCs/>
          <w:highlight w:val="yellow"/>
          <w:vertAlign w:val="subscript"/>
        </w:rPr>
        <w:t>GxAge</w:t>
      </w:r>
      <w:proofErr w:type="spellEnd"/>
      <w:r w:rsidRPr="00D44C0B">
        <w:rPr>
          <w:rFonts w:ascii="Times New Roman" w:hAnsi="Times New Roman" w:cs="Times New Roman"/>
          <w:i/>
          <w:iCs/>
          <w:highlight w:val="yellow"/>
        </w:rPr>
        <w:t>=</w:t>
      </w:r>
      <w:proofErr w:type="spellStart"/>
      <w:r w:rsidRPr="00D44C0B">
        <w:rPr>
          <w:rFonts w:ascii="Times New Roman" w:hAnsi="Times New Roman" w:cs="Times New Roman"/>
          <w:i/>
          <w:iCs/>
          <w:highlight w:val="yellow"/>
        </w:rPr>
        <w:t>beta</w:t>
      </w:r>
      <w:r w:rsidRPr="00D44C0B">
        <w:rPr>
          <w:rFonts w:ascii="Times New Roman" w:hAnsi="Times New Roman" w:cs="Times New Roman"/>
          <w:i/>
          <w:iCs/>
          <w:highlight w:val="yellow"/>
          <w:vertAlign w:val="subscript"/>
        </w:rPr>
        <w:t>Change</w:t>
      </w:r>
      <w:bookmarkEnd w:id="24"/>
      <w:proofErr w:type="spellEnd"/>
      <w:r w:rsidRPr="00D44C0B">
        <w:rPr>
          <w:rFonts w:ascii="Times New Roman" w:hAnsi="Times New Roman" w:cs="Times New Roman"/>
          <w:i/>
          <w:iCs/>
          <w:highlight w:val="yellow"/>
        </w:rPr>
        <w:t xml:space="preserve">). We demonstrate that the power of the genetic-by-age interaction test is larger than </w:t>
      </w:r>
      <w:bookmarkStart w:id="25" w:name="_Hlk177395116"/>
      <w:r w:rsidRPr="00D44C0B">
        <w:rPr>
          <w:rFonts w:ascii="Times New Roman" w:hAnsi="Times New Roman" w:cs="Times New Roman"/>
          <w:i/>
          <w:iCs/>
          <w:highlight w:val="yellow"/>
        </w:rPr>
        <w:t xml:space="preserve">power of the annual </w:t>
      </w:r>
      <w:r w:rsidRPr="00D44C0B">
        <w:rPr>
          <w:rFonts w:ascii="Times New Roman" w:hAnsi="Times New Roman" w:cs="Times New Roman"/>
          <w:i/>
          <w:iCs/>
          <w:highlight w:val="yellow"/>
        </w:rPr>
        <w:lastRenderedPageBreak/>
        <w:t xml:space="preserve">change test, as long as </w:t>
      </w:r>
      <m:oMath>
        <m:d>
          <m:dPr>
            <m:begChr m:val="["/>
            <m:endChr m:val="]"/>
            <m:ctrlPr>
              <w:rPr>
                <w:rFonts w:ascii="Cambria Math" w:hAnsi="Cambria Math" w:cs="Times New Roman"/>
                <w:i/>
                <w:iCs/>
                <w:highlight w:val="yellow"/>
              </w:rPr>
            </m:ctrlPr>
          </m:dPr>
          <m:e>
            <m:r>
              <w:rPr>
                <w:rFonts w:ascii="Cambria Math" w:hAnsi="Cambria Math" w:cs="Times New Roman"/>
                <w:highlight w:val="yellow"/>
              </w:rPr>
              <m:t>2*Var</m:t>
            </m:r>
            <m:d>
              <m:dPr>
                <m:ctrlPr>
                  <w:rPr>
                    <w:rFonts w:ascii="Cambria Math" w:hAnsi="Cambria Math" w:cs="Times New Roman"/>
                    <w:i/>
                    <w:iCs/>
                    <w:highlight w:val="yellow"/>
                  </w:rPr>
                </m:ctrlPr>
              </m:dPr>
              <m:e>
                <m:r>
                  <w:rPr>
                    <w:rFonts w:ascii="Cambria Math" w:hAnsi="Cambria Math" w:cs="Times New Roman"/>
                    <w:highlight w:val="yellow"/>
                  </w:rPr>
                  <m:t>Age</m:t>
                </m:r>
              </m:e>
            </m:d>
          </m:e>
        </m:d>
        <m:r>
          <w:rPr>
            <w:rFonts w:ascii="Cambria Math" w:hAnsi="Cambria Math" w:cs="Times New Roman"/>
            <w:highlight w:val="yellow"/>
          </w:rPr>
          <m:t>&gt;</m:t>
        </m:r>
        <m:d>
          <m:dPr>
            <m:begChr m:val="["/>
            <m:endChr m:val="]"/>
            <m:ctrlPr>
              <w:rPr>
                <w:rFonts w:ascii="Cambria Math" w:hAnsi="Cambria Math" w:cs="Times New Roman"/>
                <w:i/>
                <w:iCs/>
                <w:highlight w:val="yellow"/>
              </w:rPr>
            </m:ctrlPr>
          </m:dPr>
          <m:e>
            <m:sSubSup>
              <m:sSubSupPr>
                <m:ctrlPr>
                  <w:rPr>
                    <w:rFonts w:ascii="Cambria Math" w:hAnsi="Cambria Math" w:cs="Times New Roman"/>
                    <w:i/>
                    <w:iCs/>
                    <w:highlight w:val="yellow"/>
                  </w:rPr>
                </m:ctrlPr>
              </m:sSubSupPr>
              <m:e>
                <m:r>
                  <w:rPr>
                    <w:rFonts w:ascii="Cambria Math" w:hAnsi="Cambria Math" w:cs="Times New Roman"/>
                    <w:highlight w:val="yellow"/>
                  </w:rPr>
                  <m:t>age</m:t>
                </m:r>
              </m:e>
              <m:sub>
                <m:r>
                  <w:rPr>
                    <w:rFonts w:ascii="Cambria Math" w:hAnsi="Cambria Math" w:cs="Times New Roman"/>
                    <w:highlight w:val="yellow"/>
                  </w:rPr>
                  <m:t>diff</m:t>
                </m:r>
              </m:sub>
              <m:sup>
                <m:r>
                  <w:rPr>
                    <w:rFonts w:ascii="Cambria Math" w:hAnsi="Cambria Math" w:cs="Times New Roman"/>
                    <w:highlight w:val="yellow"/>
                  </w:rPr>
                  <m:t>2</m:t>
                </m:r>
              </m:sup>
            </m:sSubSup>
            <m:r>
              <w:rPr>
                <w:rFonts w:ascii="Cambria Math" w:hAnsi="Cambria Math" w:cs="Times New Roman"/>
                <w:highlight w:val="yellow"/>
              </w:rPr>
              <m:t>/(1-</m:t>
            </m:r>
            <m:sSub>
              <m:sSubPr>
                <m:ctrlPr>
                  <w:rPr>
                    <w:rFonts w:ascii="Cambria Math" w:hAnsi="Cambria Math" w:cs="Times New Roman"/>
                    <w:i/>
                    <w:iCs/>
                    <w:highlight w:val="yellow"/>
                  </w:rPr>
                </m:ctrlPr>
              </m:sSubPr>
              <m:e>
                <m:r>
                  <w:rPr>
                    <w:rFonts w:ascii="Cambria Math" w:hAnsi="Cambria Math" w:cs="Times New Roman"/>
                    <w:highlight w:val="yellow"/>
                  </w:rPr>
                  <m:t>r</m:t>
                </m:r>
              </m:e>
              <m:sub>
                <m:r>
                  <w:rPr>
                    <w:rFonts w:ascii="Cambria Math" w:hAnsi="Cambria Math" w:cs="Times New Roman"/>
                    <w:highlight w:val="yellow"/>
                  </w:rPr>
                  <m:t>Y1,Y2</m:t>
                </m:r>
              </m:sub>
            </m:sSub>
            <m:r>
              <w:rPr>
                <w:rFonts w:ascii="Cambria Math" w:hAnsi="Cambria Math" w:cs="Times New Roman"/>
                <w:highlight w:val="yellow"/>
              </w:rPr>
              <m:t>)</m:t>
            </m:r>
          </m:e>
        </m:d>
      </m:oMath>
      <w:r w:rsidRPr="00D44C0B">
        <w:rPr>
          <w:rFonts w:ascii="Times New Roman" w:hAnsi="Times New Roman" w:cs="Times New Roman"/>
          <w:i/>
          <w:iCs/>
          <w:highlight w:val="yellow"/>
        </w:rPr>
        <w:t xml:space="preserve"> (</w:t>
      </w:r>
      <w:r w:rsidRPr="00D44C0B">
        <w:rPr>
          <w:rFonts w:ascii="Times New Roman" w:hAnsi="Times New Roman" w:cs="Times New Roman"/>
          <w:b/>
          <w:bCs/>
          <w:i/>
          <w:iCs/>
          <w:highlight w:val="yellow"/>
        </w:rPr>
        <w:t>Note S3</w:t>
      </w:r>
      <w:r w:rsidRPr="00D44C0B">
        <w:rPr>
          <w:rFonts w:ascii="Times New Roman" w:hAnsi="Times New Roman" w:cs="Times New Roman"/>
          <w:i/>
          <w:iCs/>
          <w:highlight w:val="yellow"/>
        </w:rPr>
        <w:t xml:space="preserve">). </w:t>
      </w:r>
      <w:bookmarkEnd w:id="25"/>
      <w:r w:rsidRPr="00D44C0B">
        <w:rPr>
          <w:rFonts w:ascii="Times New Roman" w:hAnsi="Times New Roman" w:cs="Times New Roman"/>
          <w:i/>
          <w:iCs/>
          <w:highlight w:val="yellow"/>
        </w:rPr>
        <w:t>This can be interpreted intuitively: (</w:t>
      </w:r>
      <w:proofErr w:type="spellStart"/>
      <w:r w:rsidRPr="00D44C0B">
        <w:rPr>
          <w:rFonts w:ascii="Times New Roman" w:hAnsi="Times New Roman" w:cs="Times New Roman"/>
          <w:i/>
          <w:iCs/>
          <w:highlight w:val="yellow"/>
        </w:rPr>
        <w:t>i</w:t>
      </w:r>
      <w:proofErr w:type="spellEnd"/>
      <w:r w:rsidRPr="00D44C0B">
        <w:rPr>
          <w:rFonts w:ascii="Times New Roman" w:hAnsi="Times New Roman" w:cs="Times New Roman"/>
          <w:i/>
          <w:iCs/>
          <w:highlight w:val="yellow"/>
        </w:rPr>
        <w:t>) the larger the age range and thus the age variance in the cross-sectional data, the larger the power of the genetic-by-age interaction test, (ii) the longer the follow-up time (</w:t>
      </w:r>
      <w:proofErr w:type="spellStart"/>
      <w:r w:rsidRPr="00D44C0B">
        <w:rPr>
          <w:rFonts w:ascii="Times New Roman" w:hAnsi="Times New Roman" w:cs="Times New Roman"/>
          <w:i/>
          <w:iCs/>
          <w:highlight w:val="yellow"/>
        </w:rPr>
        <w:t>age</w:t>
      </w:r>
      <w:r w:rsidRPr="00D44C0B">
        <w:rPr>
          <w:rFonts w:ascii="Times New Roman" w:hAnsi="Times New Roman" w:cs="Times New Roman"/>
          <w:i/>
          <w:iCs/>
          <w:highlight w:val="yellow"/>
          <w:vertAlign w:val="subscript"/>
        </w:rPr>
        <w:t>diff</w:t>
      </w:r>
      <w:proofErr w:type="spellEnd"/>
      <w:r w:rsidRPr="00D44C0B">
        <w:rPr>
          <w:rFonts w:ascii="Times New Roman" w:hAnsi="Times New Roman" w:cs="Times New Roman"/>
          <w:i/>
          <w:iCs/>
          <w:highlight w:val="yellow"/>
        </w:rPr>
        <w:t>) in the longitudinal data and the closer r</w:t>
      </w:r>
      <w:r w:rsidRPr="00D44C0B">
        <w:rPr>
          <w:rFonts w:ascii="Times New Roman" w:hAnsi="Times New Roman" w:cs="Times New Roman"/>
          <w:i/>
          <w:iCs/>
          <w:highlight w:val="yellow"/>
          <w:vertAlign w:val="subscript"/>
        </w:rPr>
        <w:t>Y1,Y2</w:t>
      </w:r>
      <w:r w:rsidRPr="00D44C0B">
        <w:rPr>
          <w:rFonts w:ascii="Times New Roman" w:hAnsi="Times New Roman" w:cs="Times New Roman"/>
          <w:i/>
          <w:iCs/>
          <w:highlight w:val="yellow"/>
        </w:rPr>
        <w:t xml:space="preserve"> to 1 (i.e., little technical measurement error or intra-individual variability), the larger the power of the annual change test. This explains the observed trait-specific pattern (</w:t>
      </w:r>
      <w:r w:rsidRPr="00D44C0B">
        <w:rPr>
          <w:rFonts w:ascii="Times New Roman" w:hAnsi="Times New Roman" w:cs="Times New Roman"/>
          <w:b/>
          <w:bCs/>
          <w:i/>
          <w:iCs/>
          <w:highlight w:val="yellow"/>
        </w:rPr>
        <w:t>Table S2</w:t>
      </w:r>
      <w:r w:rsidRPr="00D44C0B">
        <w:rPr>
          <w:rFonts w:ascii="Times New Roman" w:hAnsi="Times New Roman" w:cs="Times New Roman"/>
          <w:i/>
          <w:iCs/>
          <w:highlight w:val="yellow"/>
        </w:rPr>
        <w:t>): the power of the annual change test compared to the genetic-by-age interaction test (</w:t>
      </w:r>
      <w:proofErr w:type="spellStart"/>
      <w:r w:rsidRPr="00D44C0B">
        <w:rPr>
          <w:rFonts w:ascii="Times New Roman" w:hAnsi="Times New Roman" w:cs="Times New Roman"/>
          <w:i/>
          <w:iCs/>
          <w:highlight w:val="yellow"/>
        </w:rPr>
        <w:t>i</w:t>
      </w:r>
      <w:proofErr w:type="spellEnd"/>
      <w:r w:rsidRPr="00D44C0B">
        <w:rPr>
          <w:rFonts w:ascii="Times New Roman" w:hAnsi="Times New Roman" w:cs="Times New Roman"/>
          <w:i/>
          <w:iCs/>
          <w:highlight w:val="yellow"/>
        </w:rPr>
        <w:t>) is superior for BMI due to relatively large follow-up time and high correlation (age</w:t>
      </w:r>
      <w:r w:rsidRPr="00D44C0B">
        <w:rPr>
          <w:rFonts w:ascii="Times New Roman" w:hAnsi="Times New Roman" w:cs="Times New Roman"/>
          <w:i/>
          <w:iCs/>
          <w:highlight w:val="yellow"/>
          <w:vertAlign w:val="subscript"/>
        </w:rPr>
        <w:t>diff</w:t>
      </w:r>
      <w:r w:rsidRPr="00D44C0B">
        <w:rPr>
          <w:rFonts w:ascii="Times New Roman" w:hAnsi="Times New Roman" w:cs="Times New Roman"/>
          <w:i/>
          <w:iCs/>
          <w:highlight w:val="yellow"/>
        </w:rPr>
        <w:t>~7.5 years, r</w:t>
      </w:r>
      <w:r w:rsidRPr="00D44C0B">
        <w:rPr>
          <w:rFonts w:ascii="Times New Roman" w:hAnsi="Times New Roman" w:cs="Times New Roman"/>
          <w:i/>
          <w:iCs/>
          <w:highlight w:val="yellow"/>
          <w:vertAlign w:val="subscript"/>
        </w:rPr>
        <w:t>Y1,Y2</w:t>
      </w:r>
      <w:r w:rsidRPr="00D44C0B">
        <w:rPr>
          <w:rFonts w:ascii="Times New Roman" w:hAnsi="Times New Roman" w:cs="Times New Roman"/>
          <w:i/>
          <w:iCs/>
          <w:highlight w:val="yellow"/>
        </w:rPr>
        <w:t>~0.91), (ii) inferior for pulse pressure due to the lower correlation (age</w:t>
      </w:r>
      <w:r w:rsidRPr="00D44C0B">
        <w:rPr>
          <w:rFonts w:ascii="Times New Roman" w:hAnsi="Times New Roman" w:cs="Times New Roman"/>
          <w:i/>
          <w:iCs/>
          <w:highlight w:val="yellow"/>
          <w:vertAlign w:val="subscript"/>
        </w:rPr>
        <w:t>diff</w:t>
      </w:r>
      <w:r w:rsidRPr="00D44C0B">
        <w:rPr>
          <w:rFonts w:ascii="Times New Roman" w:hAnsi="Times New Roman" w:cs="Times New Roman"/>
          <w:i/>
          <w:iCs/>
          <w:highlight w:val="yellow"/>
        </w:rPr>
        <w:t>~7.5 years, r</w:t>
      </w:r>
      <w:r w:rsidRPr="00D44C0B">
        <w:rPr>
          <w:rFonts w:ascii="Times New Roman" w:hAnsi="Times New Roman" w:cs="Times New Roman"/>
          <w:i/>
          <w:iCs/>
          <w:highlight w:val="yellow"/>
          <w:vertAlign w:val="subscript"/>
        </w:rPr>
        <w:t>Y1,Y2</w:t>
      </w:r>
      <w:r w:rsidRPr="00D44C0B">
        <w:rPr>
          <w:rFonts w:ascii="Times New Roman" w:hAnsi="Times New Roman" w:cs="Times New Roman"/>
          <w:i/>
          <w:iCs/>
          <w:highlight w:val="yellow"/>
        </w:rPr>
        <w:t>~0.65) and (iii) near zero for LDL-C due to shorter follow-up time and lower correlation (age</w:t>
      </w:r>
      <w:r w:rsidRPr="00D44C0B">
        <w:rPr>
          <w:rFonts w:ascii="Times New Roman" w:hAnsi="Times New Roman" w:cs="Times New Roman"/>
          <w:i/>
          <w:iCs/>
          <w:highlight w:val="yellow"/>
          <w:vertAlign w:val="subscript"/>
        </w:rPr>
        <w:t>diff</w:t>
      </w:r>
      <w:r w:rsidRPr="00D44C0B">
        <w:rPr>
          <w:rFonts w:ascii="Times New Roman" w:hAnsi="Times New Roman" w:cs="Times New Roman"/>
          <w:i/>
          <w:iCs/>
          <w:highlight w:val="yellow"/>
        </w:rPr>
        <w:t>~4.3 years, r</w:t>
      </w:r>
      <w:r w:rsidRPr="00D44C0B">
        <w:rPr>
          <w:rFonts w:ascii="Times New Roman" w:hAnsi="Times New Roman" w:cs="Times New Roman"/>
          <w:i/>
          <w:iCs/>
          <w:highlight w:val="yellow"/>
          <w:vertAlign w:val="subscript"/>
        </w:rPr>
        <w:t>Y1,Y2</w:t>
      </w:r>
      <w:r w:rsidRPr="00D44C0B">
        <w:rPr>
          <w:rFonts w:ascii="Times New Roman" w:hAnsi="Times New Roman" w:cs="Times New Roman"/>
          <w:i/>
          <w:iCs/>
          <w:highlight w:val="yellow"/>
        </w:rPr>
        <w:t xml:space="preserve">~0.62). Thus, the genetic-by-age interaction test can be particularly helpful for traits where measurement error or intra-individual variability is high and when follow-up length is short.” </w:t>
      </w:r>
    </w:p>
    <w:bookmarkEnd w:id="23"/>
    <w:p w14:paraId="26F4F46E" w14:textId="77777777" w:rsidR="00122E63" w:rsidRPr="00D44C0B" w:rsidRDefault="00122E63" w:rsidP="00122E63">
      <w:pPr>
        <w:spacing w:after="0"/>
        <w:contextualSpacing/>
        <w:jc w:val="both"/>
        <w:rPr>
          <w:rFonts w:ascii="Times New Roman" w:hAnsi="Times New Roman" w:cs="Times New Roman"/>
          <w:i/>
          <w:iCs/>
        </w:rPr>
      </w:pPr>
    </w:p>
    <w:p w14:paraId="1E51F66E" w14:textId="77777777" w:rsidR="00122E63" w:rsidRPr="00D44C0B" w:rsidRDefault="00122E63" w:rsidP="00122E63">
      <w:pPr>
        <w:autoSpaceDE w:val="0"/>
        <w:autoSpaceDN w:val="0"/>
        <w:adjustRightInd w:val="0"/>
        <w:spacing w:after="0" w:line="240" w:lineRule="auto"/>
        <w:jc w:val="both"/>
        <w:rPr>
          <w:rFonts w:ascii="Times New Roman" w:hAnsi="Times New Roman" w:cs="Times New Roman"/>
          <w:i/>
          <w:iCs/>
          <w:color w:val="000000" w:themeColor="text1"/>
        </w:rPr>
      </w:pPr>
      <w:r w:rsidRPr="00D44C0B">
        <w:rPr>
          <w:rFonts w:ascii="Times New Roman" w:hAnsi="Times New Roman" w:cs="Times New Roman"/>
          <w:i/>
          <w:iCs/>
          <w:color w:val="000000" w:themeColor="text1"/>
        </w:rPr>
        <w:t xml:space="preserve">In the new Supp </w:t>
      </w:r>
      <w:r w:rsidRPr="00D44C0B">
        <w:rPr>
          <w:rFonts w:ascii="Times New Roman" w:hAnsi="Times New Roman" w:cs="Times New Roman"/>
          <w:b/>
          <w:i/>
          <w:iCs/>
          <w:color w:val="000000" w:themeColor="text1"/>
        </w:rPr>
        <w:t>Note S3</w:t>
      </w:r>
      <w:r w:rsidRPr="00D44C0B">
        <w:rPr>
          <w:rFonts w:ascii="Times New Roman" w:hAnsi="Times New Roman" w:cs="Times New Roman"/>
          <w:i/>
          <w:iCs/>
          <w:color w:val="000000" w:themeColor="text1"/>
        </w:rPr>
        <w:t xml:space="preserve">, the reader can find a detailed derivation of the condition when the power of the two tests are the same (given same N, alpha, and allele frequency). In </w:t>
      </w:r>
      <w:r w:rsidRPr="00D44C0B">
        <w:rPr>
          <w:rFonts w:ascii="Times New Roman" w:hAnsi="Times New Roman" w:cs="Times New Roman"/>
          <w:b/>
          <w:i/>
          <w:iCs/>
          <w:color w:val="000000" w:themeColor="text1"/>
        </w:rPr>
        <w:t>Table S2</w:t>
      </w:r>
      <w:r w:rsidRPr="00D44C0B">
        <w:rPr>
          <w:rFonts w:ascii="Times New Roman" w:hAnsi="Times New Roman" w:cs="Times New Roman"/>
          <w:i/>
          <w:iCs/>
          <w:color w:val="000000" w:themeColor="text1"/>
        </w:rPr>
        <w:t xml:space="preserve">, more details can be found regarding the observed parameters in the UKB datasets. </w:t>
      </w:r>
    </w:p>
    <w:p w14:paraId="4967A4F7" w14:textId="77777777" w:rsidR="00122E63" w:rsidRPr="00D44C0B" w:rsidRDefault="00122E63" w:rsidP="00122E63">
      <w:pPr>
        <w:autoSpaceDE w:val="0"/>
        <w:autoSpaceDN w:val="0"/>
        <w:adjustRightInd w:val="0"/>
        <w:spacing w:after="0" w:line="240" w:lineRule="auto"/>
        <w:jc w:val="both"/>
        <w:rPr>
          <w:rFonts w:ascii="Times New Roman" w:hAnsi="Times New Roman" w:cs="Times New Roman"/>
          <w:i/>
          <w:iCs/>
          <w:color w:val="000000" w:themeColor="text1"/>
        </w:rPr>
      </w:pPr>
    </w:p>
    <w:p w14:paraId="28306AC1" w14:textId="77777777" w:rsidR="00122E63" w:rsidRPr="00D44C0B" w:rsidRDefault="00122E63" w:rsidP="00122E63">
      <w:pPr>
        <w:autoSpaceDE w:val="0"/>
        <w:autoSpaceDN w:val="0"/>
        <w:adjustRightInd w:val="0"/>
        <w:spacing w:after="0" w:line="240" w:lineRule="auto"/>
        <w:jc w:val="both"/>
        <w:rPr>
          <w:rFonts w:ascii="Times New Roman" w:hAnsi="Times New Roman" w:cs="Times New Roman"/>
          <w:i/>
          <w:iCs/>
          <w:color w:val="000000" w:themeColor="text1"/>
        </w:rPr>
      </w:pPr>
      <w:r w:rsidRPr="00D44C0B">
        <w:rPr>
          <w:rFonts w:ascii="Times New Roman" w:hAnsi="Times New Roman" w:cs="Times New Roman"/>
          <w:i/>
          <w:iCs/>
          <w:color w:val="000000" w:themeColor="text1"/>
        </w:rPr>
        <w:t xml:space="preserve">By this, we have now a clear sense what drives the power in the </w:t>
      </w:r>
      <w:proofErr w:type="spellStart"/>
      <w:r w:rsidRPr="00D44C0B">
        <w:rPr>
          <w:rFonts w:ascii="Times New Roman" w:hAnsi="Times New Roman" w:cs="Times New Roman"/>
          <w:i/>
          <w:iCs/>
          <w:color w:val="000000" w:themeColor="text1"/>
        </w:rPr>
        <w:t>GxAge</w:t>
      </w:r>
      <w:proofErr w:type="spellEnd"/>
      <w:r w:rsidRPr="00D44C0B">
        <w:rPr>
          <w:rFonts w:ascii="Times New Roman" w:hAnsi="Times New Roman" w:cs="Times New Roman"/>
          <w:i/>
          <w:iCs/>
          <w:color w:val="000000" w:themeColor="text1"/>
        </w:rPr>
        <w:t xml:space="preserve"> and G-&gt; change analyses. We thank the </w:t>
      </w:r>
      <w:bookmarkStart w:id="26" w:name="_Hlk178772437"/>
      <w:r w:rsidRPr="00D44C0B">
        <w:rPr>
          <w:rFonts w:ascii="Times New Roman" w:hAnsi="Times New Roman" w:cs="Times New Roman"/>
          <w:i/>
          <w:iCs/>
          <w:color w:val="000000" w:themeColor="text1"/>
        </w:rPr>
        <w:t>reviewer very much for the astute comment, which triggered us to dig in here more deeply</w:t>
      </w:r>
      <w:bookmarkEnd w:id="26"/>
      <w:r w:rsidRPr="00D44C0B">
        <w:rPr>
          <w:rFonts w:ascii="Times New Roman" w:hAnsi="Times New Roman" w:cs="Times New Roman"/>
          <w:i/>
          <w:iCs/>
          <w:color w:val="000000" w:themeColor="text1"/>
        </w:rPr>
        <w:t xml:space="preserve">. </w:t>
      </w:r>
    </w:p>
    <w:p w14:paraId="647C2B7A" w14:textId="77777777" w:rsidR="00122E63" w:rsidRPr="00D44C0B" w:rsidRDefault="00122E63" w:rsidP="00122E63">
      <w:pPr>
        <w:autoSpaceDE w:val="0"/>
        <w:autoSpaceDN w:val="0"/>
        <w:adjustRightInd w:val="0"/>
        <w:spacing w:after="0" w:line="240" w:lineRule="auto"/>
        <w:jc w:val="both"/>
        <w:rPr>
          <w:rFonts w:ascii="Times New Roman" w:hAnsi="Times New Roman" w:cs="Times New Roman"/>
          <w:color w:val="000000" w:themeColor="text1"/>
        </w:rPr>
      </w:pPr>
    </w:p>
    <w:p w14:paraId="0A9CDE76" w14:textId="77777777" w:rsidR="00122E63" w:rsidRPr="00D44C0B" w:rsidRDefault="00122E63" w:rsidP="00122E63">
      <w:pPr>
        <w:autoSpaceDE w:val="0"/>
        <w:autoSpaceDN w:val="0"/>
        <w:adjustRightInd w:val="0"/>
        <w:spacing w:after="0" w:line="240" w:lineRule="auto"/>
        <w:jc w:val="both"/>
        <w:rPr>
          <w:rFonts w:ascii="Times New Roman" w:hAnsi="Times New Roman" w:cs="Times New Roman"/>
          <w:color w:val="2F5496" w:themeColor="accent5" w:themeShade="BF"/>
        </w:rPr>
      </w:pPr>
      <w:r w:rsidRPr="00D44C0B">
        <w:rPr>
          <w:rFonts w:ascii="Times New Roman" w:hAnsi="Times New Roman" w:cs="Times New Roman"/>
          <w:color w:val="2F5496" w:themeColor="accent5" w:themeShade="BF"/>
        </w:rPr>
        <w:t xml:space="preserve">4. The genetic-by-age interaction highlighted by this study is indeed intriguing and holds significance; however, I remain </w:t>
      </w:r>
      <w:proofErr w:type="spellStart"/>
      <w:r w:rsidRPr="00D44C0B">
        <w:rPr>
          <w:rFonts w:ascii="Times New Roman" w:hAnsi="Times New Roman" w:cs="Times New Roman"/>
          <w:color w:val="2F5496" w:themeColor="accent5" w:themeShade="BF"/>
        </w:rPr>
        <w:t>skeptical</w:t>
      </w:r>
      <w:proofErr w:type="spellEnd"/>
      <w:r w:rsidRPr="00D44C0B">
        <w:rPr>
          <w:rFonts w:ascii="Times New Roman" w:hAnsi="Times New Roman" w:cs="Times New Roman"/>
          <w:color w:val="2F5496" w:themeColor="accent5" w:themeShade="BF"/>
        </w:rPr>
        <w:t xml:space="preserve"> about the study's contribution to methodological innovation. The study does not seem to tackle the critical issues of avoiding cohort effects and accounting for the non-linear impact of age on trait assumptions through the development of novel methodologies. Moreover, the methodology presented is not as streamlined as it could be. If the focus is specifically on the genetic-by-age interaction, the initial selection of variants based on a marginal model might be deemed unnecessary.</w:t>
      </w:r>
    </w:p>
    <w:p w14:paraId="3F0F0100" w14:textId="77777777" w:rsidR="00122E63" w:rsidRPr="00D44C0B" w:rsidRDefault="00122E63" w:rsidP="00122E63">
      <w:pPr>
        <w:pStyle w:val="Heading1"/>
        <w:spacing w:before="0" w:line="276" w:lineRule="auto"/>
        <w:contextualSpacing/>
        <w:jc w:val="both"/>
        <w:rPr>
          <w:rFonts w:ascii="Times New Roman" w:eastAsiaTheme="minorHAnsi" w:hAnsi="Times New Roman" w:cs="Times New Roman"/>
          <w:color w:val="2F5496" w:themeColor="accent5" w:themeShade="BF"/>
          <w:sz w:val="22"/>
          <w:szCs w:val="22"/>
        </w:rPr>
      </w:pPr>
    </w:p>
    <w:p w14:paraId="3DA63651" w14:textId="77777777" w:rsidR="00122E63" w:rsidRPr="00D44C0B" w:rsidRDefault="00122E63" w:rsidP="00122E63">
      <w:pPr>
        <w:jc w:val="both"/>
        <w:rPr>
          <w:rFonts w:ascii="Times New Roman" w:hAnsi="Times New Roman" w:cs="Times New Roman"/>
          <w:i/>
          <w:iCs/>
        </w:rPr>
      </w:pPr>
      <w:r w:rsidRPr="00D44C0B">
        <w:rPr>
          <w:rFonts w:ascii="Times New Roman" w:hAnsi="Times New Roman" w:cs="Times New Roman"/>
          <w:b/>
          <w:i/>
          <w:iCs/>
        </w:rPr>
        <w:t>Response</w:t>
      </w:r>
      <w:r w:rsidRPr="00D44C0B">
        <w:rPr>
          <w:rFonts w:ascii="Times New Roman" w:hAnsi="Times New Roman" w:cs="Times New Roman"/>
          <w:i/>
          <w:iCs/>
        </w:rPr>
        <w:t xml:space="preserve">: We thank the reviewer or this critical assessment. We agree that the focus of the paper is not methodological innovation that solves the problem of cohort effects or non-linearity assumption. We have thus removed the following sentence from discussion (page 17): </w:t>
      </w:r>
    </w:p>
    <w:p w14:paraId="2C7E88AF" w14:textId="77777777" w:rsidR="00122E63" w:rsidRPr="00D44C0B" w:rsidRDefault="00122E63" w:rsidP="00122E63">
      <w:pPr>
        <w:jc w:val="both"/>
        <w:rPr>
          <w:rFonts w:ascii="Times New Roman" w:hAnsi="Times New Roman" w:cs="Times New Roman"/>
          <w:i/>
          <w:iCs/>
          <w:strike/>
        </w:rPr>
      </w:pPr>
      <w:r w:rsidRPr="00D44C0B">
        <w:rPr>
          <w:rFonts w:ascii="Times New Roman" w:hAnsi="Times New Roman" w:cs="Times New Roman"/>
          <w:i/>
          <w:iCs/>
          <w:strike/>
          <w:highlight w:val="yellow"/>
        </w:rPr>
        <w:t>Thus, our novel approach is a promising route to identify genetic loci for annual trait change in such data.</w:t>
      </w:r>
    </w:p>
    <w:p w14:paraId="0D4E7174" w14:textId="77777777" w:rsidR="00122E63" w:rsidRPr="00D44C0B" w:rsidRDefault="00122E63" w:rsidP="00122E63">
      <w:pPr>
        <w:spacing w:after="0"/>
        <w:contextualSpacing/>
        <w:jc w:val="both"/>
        <w:rPr>
          <w:rFonts w:ascii="Times New Roman" w:hAnsi="Times New Roman" w:cs="Times New Roman"/>
          <w:i/>
          <w:iCs/>
        </w:rPr>
      </w:pPr>
      <w:r w:rsidRPr="00D44C0B">
        <w:rPr>
          <w:rFonts w:ascii="Times New Roman" w:hAnsi="Times New Roman" w:cs="Times New Roman"/>
          <w:i/>
          <w:iCs/>
        </w:rPr>
        <w:t xml:space="preserve">We agree that the genetic-by-age interaction part highlighted here is the relevant part and have emphasized this better now in the </w:t>
      </w:r>
      <w:r w:rsidRPr="00D44C0B">
        <w:rPr>
          <w:rFonts w:ascii="Times New Roman" w:hAnsi="Times New Roman" w:cs="Times New Roman"/>
          <w:b/>
          <w:i/>
          <w:iCs/>
        </w:rPr>
        <w:t xml:space="preserve">Conclusions </w:t>
      </w:r>
      <w:r w:rsidRPr="00D44C0B">
        <w:rPr>
          <w:rFonts w:ascii="Times New Roman" w:hAnsi="Times New Roman" w:cs="Times New Roman"/>
          <w:i/>
          <w:iCs/>
        </w:rPr>
        <w:t xml:space="preserve">chapter by removing the following sentence from </w:t>
      </w:r>
      <w:r w:rsidRPr="00D44C0B">
        <w:rPr>
          <w:rFonts w:ascii="Times New Roman" w:hAnsi="Times New Roman" w:cs="Times New Roman"/>
          <w:b/>
          <w:i/>
          <w:iCs/>
        </w:rPr>
        <w:t>Conclusions</w:t>
      </w:r>
      <w:r w:rsidRPr="00D44C0B">
        <w:rPr>
          <w:rFonts w:ascii="Times New Roman" w:hAnsi="Times New Roman" w:cs="Times New Roman"/>
          <w:i/>
          <w:iCs/>
        </w:rPr>
        <w:t xml:space="preserve"> (page 18):</w:t>
      </w:r>
    </w:p>
    <w:p w14:paraId="15631462" w14:textId="77777777" w:rsidR="00122E63" w:rsidRPr="00D44C0B" w:rsidRDefault="00122E63" w:rsidP="00122E63">
      <w:pPr>
        <w:spacing w:after="0"/>
        <w:contextualSpacing/>
        <w:jc w:val="both"/>
        <w:rPr>
          <w:rFonts w:ascii="Times New Roman" w:hAnsi="Times New Roman" w:cs="Times New Roman"/>
        </w:rPr>
      </w:pPr>
    </w:p>
    <w:p w14:paraId="1511B1A5" w14:textId="77777777" w:rsidR="00122E63" w:rsidRPr="00D44C0B" w:rsidRDefault="00122E63" w:rsidP="00122E63">
      <w:pPr>
        <w:spacing w:after="0"/>
        <w:contextualSpacing/>
        <w:jc w:val="both"/>
        <w:rPr>
          <w:rFonts w:ascii="Times New Roman" w:hAnsi="Times New Roman" w:cs="Times New Roman"/>
          <w:i/>
          <w:iCs/>
          <w:strike/>
        </w:rPr>
      </w:pPr>
      <w:r w:rsidRPr="00D44C0B">
        <w:rPr>
          <w:rFonts w:ascii="Times New Roman" w:hAnsi="Times New Roman" w:cs="Times New Roman"/>
          <w:i/>
          <w:iCs/>
          <w:strike/>
          <w:highlight w:val="yellow"/>
        </w:rPr>
        <w:t>we propose a powerful and practical approach to utilize genetic-by-age interaction in cross-sectional data to help identify genetic association with trait change in longitudinal data. The approach is directly applicable to other traits in UKB, for which large cross-sectional but limited longitudinal data is available. It is generalizable to other GWAS scenarios, such as GWAS meta-analysis consortia that may include an abundance of cross-sectional studies but sparse data on longitudinal studies.</w:t>
      </w:r>
    </w:p>
    <w:p w14:paraId="62D8C9B3" w14:textId="77777777" w:rsidR="00122E63" w:rsidRPr="00D44C0B" w:rsidRDefault="00122E63" w:rsidP="00122E63">
      <w:pPr>
        <w:spacing w:after="0"/>
        <w:contextualSpacing/>
        <w:jc w:val="both"/>
        <w:rPr>
          <w:rFonts w:ascii="Times New Roman" w:hAnsi="Times New Roman" w:cs="Times New Roman"/>
          <w:i/>
          <w:iCs/>
        </w:rPr>
      </w:pPr>
    </w:p>
    <w:p w14:paraId="31BED229" w14:textId="77777777" w:rsidR="00122E63" w:rsidRPr="00D44C0B" w:rsidRDefault="00122E63" w:rsidP="00122E63">
      <w:pPr>
        <w:jc w:val="both"/>
        <w:rPr>
          <w:rFonts w:ascii="Times New Roman" w:hAnsi="Times New Roman" w:cs="Times New Roman"/>
        </w:rPr>
      </w:pPr>
      <w:r w:rsidRPr="00D44C0B">
        <w:rPr>
          <w:rFonts w:ascii="Times New Roman" w:hAnsi="Times New Roman" w:cs="Times New Roman"/>
          <w:i/>
          <w:iCs/>
        </w:rPr>
        <w:t>We would also like to clarify that the selection of variants based on a marginal model allows to reduce the multiple testing burden and thus to increase power for the interaction test. This 2-step approach</w:t>
      </w:r>
      <w:r w:rsidRPr="00D44C0B">
        <w:rPr>
          <w:rFonts w:ascii="Times New Roman" w:hAnsi="Times New Roman" w:cs="Times New Roman"/>
        </w:rPr>
        <w:t xml:space="preserve"> </w:t>
      </w:r>
      <w:r w:rsidRPr="00D44C0B">
        <w:rPr>
          <w:rFonts w:ascii="Times New Roman" w:hAnsi="Times New Roman" w:cs="Times New Roman"/>
          <w:i/>
          <w:iCs/>
        </w:rPr>
        <w:t xml:space="preserve">renders interaction power complementary to an interaction test at genome-wide significance level: The 2-step is beneficial for variants showing marginal and interaction effects, while the genome-wide test is beneficial for variants showing interaction but zero marginal effects. We have demonstrated this relationship in own work (PMID: 28749953). More generally, various 2-step approaches to support </w:t>
      </w:r>
      <w:proofErr w:type="spellStart"/>
      <w:r w:rsidRPr="00D44C0B">
        <w:rPr>
          <w:rFonts w:ascii="Times New Roman" w:hAnsi="Times New Roman" w:cs="Times New Roman"/>
          <w:i/>
          <w:iCs/>
        </w:rPr>
        <w:t>GxE</w:t>
      </w:r>
      <w:proofErr w:type="spellEnd"/>
      <w:r w:rsidRPr="00D44C0B">
        <w:rPr>
          <w:rFonts w:ascii="Times New Roman" w:hAnsi="Times New Roman" w:cs="Times New Roman"/>
          <w:i/>
          <w:iCs/>
        </w:rPr>
        <w:t xml:space="preserve"> identification have been described (e.g., PMIDs 23843674, 22714933, 36571162, 37425767).</w:t>
      </w:r>
      <w:r w:rsidRPr="00D44C0B">
        <w:rPr>
          <w:rFonts w:ascii="Times New Roman" w:hAnsi="Times New Roman" w:cs="Times New Roman"/>
        </w:rPr>
        <w:t xml:space="preserve"> </w:t>
      </w:r>
    </w:p>
    <w:p w14:paraId="00914B96" w14:textId="77777777" w:rsidR="00122E63" w:rsidRPr="00D44C0B" w:rsidRDefault="00122E63" w:rsidP="00122E63">
      <w:pPr>
        <w:jc w:val="both"/>
        <w:rPr>
          <w:rFonts w:ascii="Times New Roman" w:hAnsi="Times New Roman" w:cs="Times New Roman"/>
          <w:i/>
          <w:iCs/>
        </w:rPr>
      </w:pPr>
      <w:r w:rsidRPr="00D44C0B">
        <w:rPr>
          <w:rFonts w:ascii="Times New Roman" w:hAnsi="Times New Roman" w:cs="Times New Roman"/>
          <w:i/>
          <w:iCs/>
        </w:rPr>
        <w:lastRenderedPageBreak/>
        <w:t xml:space="preserve">Regarding the critical issue of the cohort effect: we have thoroughly discussed this in the team with our </w:t>
      </w:r>
      <w:proofErr w:type="spellStart"/>
      <w:r w:rsidRPr="00D44C0B">
        <w:rPr>
          <w:rFonts w:ascii="Times New Roman" w:hAnsi="Times New Roman" w:cs="Times New Roman"/>
          <w:i/>
          <w:iCs/>
        </w:rPr>
        <w:t>coauthors</w:t>
      </w:r>
      <w:proofErr w:type="spellEnd"/>
      <w:r w:rsidRPr="00D44C0B">
        <w:rPr>
          <w:rFonts w:ascii="Times New Roman" w:hAnsi="Times New Roman" w:cs="Times New Roman"/>
          <w:i/>
          <w:iCs/>
        </w:rPr>
        <w:t xml:space="preserve"> from the statistics department. The cohort effect is a problem in the cross-sectional data; in the longitudinal data, it is a calendar time effect that needs to be considered to be negligible. We have re-worked and clarified the assumptions necessary at each step of the argument in Supp </w:t>
      </w:r>
      <w:r w:rsidRPr="00D44C0B">
        <w:rPr>
          <w:rFonts w:ascii="Times New Roman" w:hAnsi="Times New Roman" w:cs="Times New Roman"/>
          <w:b/>
          <w:i/>
          <w:iCs/>
        </w:rPr>
        <w:t>Note S1</w:t>
      </w:r>
      <w:r w:rsidRPr="00D44C0B">
        <w:rPr>
          <w:rFonts w:ascii="Times New Roman" w:hAnsi="Times New Roman" w:cs="Times New Roman"/>
          <w:i/>
          <w:iCs/>
        </w:rPr>
        <w:t xml:space="preserve">. Thus, the pre-screen on </w:t>
      </w:r>
      <w:proofErr w:type="spellStart"/>
      <w:r w:rsidRPr="00D44C0B">
        <w:rPr>
          <w:rFonts w:ascii="Times New Roman" w:hAnsi="Times New Roman" w:cs="Times New Roman"/>
          <w:i/>
          <w:iCs/>
        </w:rPr>
        <w:t>GxAGE</w:t>
      </w:r>
      <w:proofErr w:type="spellEnd"/>
      <w:r w:rsidRPr="00D44C0B">
        <w:rPr>
          <w:rFonts w:ascii="Times New Roman" w:hAnsi="Times New Roman" w:cs="Times New Roman"/>
          <w:i/>
          <w:iCs/>
        </w:rPr>
        <w:t xml:space="preserve"> can be affected by birth cohort effect, but the validation step in the longitudinal data is not. But of course, we need to consider the calendar time effect negligible. </w:t>
      </w:r>
    </w:p>
    <w:p w14:paraId="610D610D" w14:textId="77777777" w:rsidR="00122E63" w:rsidRPr="00D44C0B" w:rsidRDefault="00122E63" w:rsidP="00122E63">
      <w:pPr>
        <w:jc w:val="both"/>
        <w:rPr>
          <w:rFonts w:ascii="Times New Roman" w:hAnsi="Times New Roman" w:cs="Times New Roman"/>
          <w:i/>
          <w:iCs/>
        </w:rPr>
      </w:pPr>
      <w:r w:rsidRPr="00D44C0B">
        <w:rPr>
          <w:rFonts w:ascii="Times New Roman" w:hAnsi="Times New Roman" w:cs="Times New Roman"/>
          <w:i/>
          <w:iCs/>
        </w:rPr>
        <w:t xml:space="preserve">We fully agree with the reviewer that the birth cohort effect is, so far, under-acknowledged in the GWAS literature. Regarding the linearity, we have acknowledged this more clearly that we did not evaluate this further. </w:t>
      </w:r>
    </w:p>
    <w:p w14:paraId="59512C54" w14:textId="77777777" w:rsidR="00122E63" w:rsidRPr="00D44C0B" w:rsidRDefault="00122E63" w:rsidP="00122E63">
      <w:pPr>
        <w:jc w:val="both"/>
        <w:rPr>
          <w:rFonts w:ascii="Times New Roman" w:hAnsi="Times New Roman" w:cs="Times New Roman"/>
          <w:i/>
          <w:iCs/>
        </w:rPr>
      </w:pPr>
      <w:r w:rsidRPr="00D44C0B">
        <w:rPr>
          <w:rFonts w:ascii="Times New Roman" w:hAnsi="Times New Roman" w:cs="Times New Roman"/>
          <w:i/>
          <w:iCs/>
        </w:rPr>
        <w:t xml:space="preserve">We also agree that the methodology was not presented as streamlined as it should be. We have been, indeed, not fully rigid in notation and in the presentation of the arguments. We have corrected this and have now re-written particularly the Supp </w:t>
      </w:r>
      <w:r w:rsidRPr="00D44C0B">
        <w:rPr>
          <w:rFonts w:ascii="Times New Roman" w:hAnsi="Times New Roman" w:cs="Times New Roman"/>
          <w:b/>
          <w:i/>
          <w:iCs/>
        </w:rPr>
        <w:t>Note S1</w:t>
      </w:r>
      <w:r w:rsidRPr="00D44C0B">
        <w:rPr>
          <w:rFonts w:ascii="Times New Roman" w:hAnsi="Times New Roman" w:cs="Times New Roman"/>
          <w:i/>
          <w:iCs/>
        </w:rPr>
        <w:t xml:space="preserve"> and methods part. We have now presented much more clearly what the specific assumptions were at each step of the argument. </w:t>
      </w:r>
    </w:p>
    <w:p w14:paraId="1A1E7A72" w14:textId="77777777" w:rsidR="00122E63" w:rsidRPr="00D44C0B" w:rsidRDefault="00122E63" w:rsidP="00122E63">
      <w:pPr>
        <w:jc w:val="both"/>
        <w:rPr>
          <w:rFonts w:ascii="Times New Roman" w:hAnsi="Times New Roman" w:cs="Times New Roman"/>
          <w:i/>
          <w:iCs/>
        </w:rPr>
      </w:pPr>
      <w:r w:rsidRPr="00D44C0B">
        <w:rPr>
          <w:rFonts w:ascii="Times New Roman" w:hAnsi="Times New Roman" w:cs="Times New Roman"/>
          <w:i/>
          <w:iCs/>
        </w:rPr>
        <w:t xml:space="preserve">In the </w:t>
      </w:r>
      <w:r w:rsidRPr="00D44C0B">
        <w:rPr>
          <w:rFonts w:ascii="Times New Roman" w:hAnsi="Times New Roman" w:cs="Times New Roman"/>
          <w:b/>
          <w:i/>
          <w:iCs/>
        </w:rPr>
        <w:t>Abstract</w:t>
      </w:r>
      <w:r w:rsidRPr="00D44C0B">
        <w:rPr>
          <w:rFonts w:ascii="Times New Roman" w:hAnsi="Times New Roman" w:cs="Times New Roman"/>
          <w:i/>
          <w:iCs/>
        </w:rPr>
        <w:t>, we have replaced “under the assumption of no cohort effect” by “</w:t>
      </w:r>
      <w:r w:rsidRPr="00D44C0B">
        <w:rPr>
          <w:rFonts w:ascii="Times New Roman" w:hAnsi="Times New Roman" w:cs="Times New Roman"/>
          <w:i/>
          <w:iCs/>
          <w:highlight w:val="yellow"/>
        </w:rPr>
        <w:t>under certain assumptions</w:t>
      </w:r>
      <w:r w:rsidRPr="00D44C0B">
        <w:rPr>
          <w:rFonts w:ascii="Times New Roman" w:hAnsi="Times New Roman" w:cs="Times New Roman"/>
          <w:i/>
          <w:iCs/>
        </w:rPr>
        <w:t xml:space="preserve">” since no cohort effect is actually just one assumption. </w:t>
      </w:r>
    </w:p>
    <w:p w14:paraId="1E4C186B" w14:textId="77777777" w:rsidR="00122E63" w:rsidRPr="00D44C0B" w:rsidRDefault="00122E63" w:rsidP="00122E63">
      <w:pPr>
        <w:jc w:val="both"/>
        <w:rPr>
          <w:rFonts w:ascii="Times New Roman" w:hAnsi="Times New Roman" w:cs="Times New Roman"/>
          <w:i/>
          <w:iCs/>
        </w:rPr>
      </w:pPr>
      <w:r w:rsidRPr="00D44C0B">
        <w:rPr>
          <w:rFonts w:ascii="Times New Roman" w:hAnsi="Times New Roman" w:cs="Times New Roman"/>
          <w:i/>
          <w:iCs/>
        </w:rPr>
        <w:t xml:space="preserve">Similarly, in the </w:t>
      </w:r>
      <w:r w:rsidRPr="00D44C0B">
        <w:rPr>
          <w:rFonts w:ascii="Times New Roman" w:hAnsi="Times New Roman" w:cs="Times New Roman"/>
          <w:b/>
          <w:i/>
          <w:iCs/>
        </w:rPr>
        <w:t>Background</w:t>
      </w:r>
      <w:r w:rsidRPr="00D44C0B">
        <w:rPr>
          <w:rFonts w:ascii="Times New Roman" w:hAnsi="Times New Roman" w:cs="Times New Roman"/>
          <w:i/>
          <w:iCs/>
        </w:rPr>
        <w:t xml:space="preserve"> (page 3), we have replaced “under the assumption that there is no cohort effect” by “</w:t>
      </w:r>
      <w:r w:rsidRPr="00D44C0B">
        <w:rPr>
          <w:rFonts w:ascii="Times New Roman" w:hAnsi="Times New Roman" w:cs="Times New Roman"/>
          <w:i/>
          <w:iCs/>
          <w:highlight w:val="yellow"/>
        </w:rPr>
        <w:t>under certain assumptions</w:t>
      </w:r>
      <w:r w:rsidRPr="00D44C0B">
        <w:rPr>
          <w:rFonts w:ascii="Times New Roman" w:hAnsi="Times New Roman" w:cs="Times New Roman"/>
          <w:i/>
          <w:iCs/>
        </w:rPr>
        <w:t xml:space="preserve">”. </w:t>
      </w:r>
    </w:p>
    <w:p w14:paraId="685192C4" w14:textId="77777777" w:rsidR="00122E63" w:rsidRPr="00D44C0B" w:rsidRDefault="00122E63" w:rsidP="00122E63">
      <w:pPr>
        <w:jc w:val="both"/>
        <w:rPr>
          <w:rFonts w:ascii="Times New Roman" w:hAnsi="Times New Roman" w:cs="Times New Roman"/>
          <w:i/>
          <w:iCs/>
        </w:rPr>
      </w:pPr>
      <w:r w:rsidRPr="00D44C0B">
        <w:rPr>
          <w:rFonts w:ascii="Times New Roman" w:hAnsi="Times New Roman" w:cs="Times New Roman"/>
          <w:i/>
          <w:iCs/>
        </w:rPr>
        <w:t xml:space="preserve">In the </w:t>
      </w:r>
      <w:r w:rsidRPr="00D44C0B">
        <w:rPr>
          <w:rFonts w:ascii="Times New Roman" w:hAnsi="Times New Roman" w:cs="Times New Roman"/>
          <w:b/>
          <w:i/>
          <w:iCs/>
        </w:rPr>
        <w:t>Results</w:t>
      </w:r>
      <w:r w:rsidRPr="00D44C0B">
        <w:rPr>
          <w:rFonts w:ascii="Times New Roman" w:hAnsi="Times New Roman" w:cs="Times New Roman"/>
          <w:i/>
          <w:iCs/>
        </w:rPr>
        <w:t xml:space="preserve"> chapter on the equivalence, we clearly state these assumptions as follows (page 5): </w:t>
      </w:r>
    </w:p>
    <w:p w14:paraId="1C785780" w14:textId="648930B4" w:rsidR="00122E63" w:rsidRPr="00D44C0B" w:rsidRDefault="00122E63" w:rsidP="00122E63">
      <w:pPr>
        <w:jc w:val="both"/>
        <w:rPr>
          <w:rFonts w:ascii="Times New Roman" w:hAnsi="Times New Roman" w:cs="Times New Roman"/>
          <w:i/>
          <w:iCs/>
        </w:rPr>
      </w:pPr>
      <w:r w:rsidRPr="00D44C0B">
        <w:rPr>
          <w:rFonts w:ascii="Times New Roman" w:hAnsi="Times New Roman" w:cs="Times New Roman"/>
          <w:i/>
          <w:iCs/>
          <w:highlight w:val="yellow"/>
        </w:rPr>
        <w:t>“Under the assumption that t</w:t>
      </w:r>
      <w:r w:rsidRPr="00D44C0B">
        <w:rPr>
          <w:rFonts w:ascii="Times New Roman" w:hAnsi="Times New Roman" w:cs="Times New Roman"/>
          <w:i/>
          <w:iCs/>
          <w:highlight w:val="yellow"/>
          <w:vertAlign w:val="subscript"/>
        </w:rPr>
        <w:t>1</w:t>
      </w:r>
      <w:r w:rsidRPr="00D44C0B">
        <w:rPr>
          <w:rFonts w:ascii="Times New Roman" w:hAnsi="Times New Roman" w:cs="Times New Roman"/>
          <w:i/>
          <w:iCs/>
          <w:highlight w:val="yellow"/>
        </w:rPr>
        <w:t xml:space="preserve"> is a random time point and does not mark an intervention (observational data), that there is no calendar time effect on Y, no birth cohort effect on G and Y, that the trait changes linearly over age, and that the covariate effects are independent of age, we demonstrate the equivalence </w:t>
      </w:r>
      <m:oMath>
        <m:sSub>
          <m:sSubPr>
            <m:ctrlPr>
              <w:rPr>
                <w:rFonts w:ascii="Cambria Math" w:hAnsi="Cambria Math" w:cs="Times New Roman"/>
                <w:i/>
                <w:iCs/>
                <w:highlight w:val="yellow"/>
              </w:rPr>
            </m:ctrlPr>
          </m:sSubPr>
          <m:e>
            <m:acc>
              <m:accPr>
                <m:ctrlPr>
                  <w:rPr>
                    <w:rFonts w:ascii="Cambria Math" w:hAnsi="Cambria Math" w:cs="Times New Roman"/>
                    <w:i/>
                    <w:iCs/>
                    <w:highlight w:val="yellow"/>
                  </w:rPr>
                </m:ctrlPr>
              </m:accPr>
              <m:e>
                <m:r>
                  <w:rPr>
                    <w:rFonts w:ascii="Cambria Math" w:hAnsi="Cambria Math" w:cs="Times New Roman"/>
                    <w:highlight w:val="yellow"/>
                  </w:rPr>
                  <m:t>γ</m:t>
                </m:r>
              </m:e>
            </m:acc>
          </m:e>
          <m:sub>
            <m:r>
              <w:rPr>
                <w:rFonts w:ascii="Cambria Math" w:hAnsi="Cambria Math" w:cs="Times New Roman"/>
                <w:highlight w:val="yellow"/>
              </w:rPr>
              <m:t>G</m:t>
            </m:r>
          </m:sub>
        </m:sSub>
      </m:oMath>
      <w:r w:rsidRPr="00D44C0B">
        <w:rPr>
          <w:rFonts w:ascii="Times New Roman" w:hAnsi="Times New Roman" w:cs="Times New Roman"/>
          <w:i/>
          <w:iCs/>
          <w:highlight w:val="yellow"/>
        </w:rPr>
        <w:t xml:space="preserve"> ~ </w:t>
      </w:r>
      <m:oMath>
        <m:sSub>
          <m:sSubPr>
            <m:ctrlPr>
              <w:rPr>
                <w:rFonts w:ascii="Cambria Math" w:hAnsi="Cambria Math" w:cs="Times New Roman"/>
                <w:i/>
                <w:iCs/>
                <w:highlight w:val="yellow"/>
              </w:rPr>
            </m:ctrlPr>
          </m:sSubPr>
          <m:e>
            <m:acc>
              <m:accPr>
                <m:ctrlPr>
                  <w:rPr>
                    <w:rFonts w:ascii="Cambria Math" w:hAnsi="Cambria Math" w:cs="Times New Roman"/>
                    <w:i/>
                    <w:iCs/>
                    <w:highlight w:val="yellow"/>
                  </w:rPr>
                </m:ctrlPr>
              </m:accPr>
              <m:e>
                <m:r>
                  <w:rPr>
                    <w:rFonts w:ascii="Cambria Math" w:hAnsi="Cambria Math" w:cs="Times New Roman"/>
                    <w:highlight w:val="yellow"/>
                  </w:rPr>
                  <m:t>β</m:t>
                </m:r>
              </m:e>
            </m:acc>
          </m:e>
          <m:sub>
            <m:r>
              <w:rPr>
                <w:rFonts w:ascii="Cambria Math" w:hAnsi="Cambria Math" w:cs="Times New Roman"/>
                <w:highlight w:val="yellow"/>
              </w:rPr>
              <m:t>GxAge</m:t>
            </m:r>
          </m:sub>
        </m:sSub>
      </m:oMath>
      <w:r w:rsidRPr="00D44C0B">
        <w:rPr>
          <w:rFonts w:ascii="Times New Roman" w:hAnsi="Times New Roman" w:cs="Times New Roman"/>
          <w:i/>
          <w:iCs/>
          <w:highlight w:val="yellow"/>
        </w:rPr>
        <w:t xml:space="preserve"> (</w:t>
      </w:r>
      <w:r w:rsidRPr="00D44C0B">
        <w:rPr>
          <w:rFonts w:ascii="Times New Roman" w:hAnsi="Times New Roman" w:cs="Times New Roman"/>
          <w:b/>
          <w:i/>
          <w:iCs/>
          <w:highlight w:val="yellow"/>
        </w:rPr>
        <w:t>Figure 1</w:t>
      </w:r>
      <w:r w:rsidRPr="00D44C0B">
        <w:rPr>
          <w:rFonts w:ascii="Times New Roman" w:hAnsi="Times New Roman" w:cs="Times New Roman"/>
          <w:i/>
          <w:iCs/>
          <w:highlight w:val="yellow"/>
        </w:rPr>
        <w:t xml:space="preserve">, </w:t>
      </w:r>
      <w:r w:rsidRPr="00D44C0B">
        <w:rPr>
          <w:rFonts w:ascii="Times New Roman" w:hAnsi="Times New Roman" w:cs="Times New Roman"/>
          <w:b/>
          <w:i/>
          <w:iCs/>
          <w:highlight w:val="yellow"/>
        </w:rPr>
        <w:t>Note S1</w:t>
      </w:r>
      <w:r w:rsidRPr="00D44C0B">
        <w:rPr>
          <w:rFonts w:ascii="Times New Roman" w:hAnsi="Times New Roman" w:cs="Times New Roman"/>
          <w:i/>
          <w:iCs/>
          <w:highlight w:val="yellow"/>
        </w:rPr>
        <w:t>).</w:t>
      </w:r>
      <w:r w:rsidRPr="00D44C0B">
        <w:rPr>
          <w:rFonts w:ascii="Times New Roman" w:hAnsi="Times New Roman" w:cs="Times New Roman"/>
          <w:i/>
          <w:iCs/>
        </w:rPr>
        <w:t>”</w:t>
      </w:r>
    </w:p>
    <w:p w14:paraId="4FC18B5D" w14:textId="77777777" w:rsidR="00122E63" w:rsidRPr="00D44C0B" w:rsidRDefault="00122E63" w:rsidP="00122E63">
      <w:pPr>
        <w:jc w:val="both"/>
        <w:rPr>
          <w:rFonts w:ascii="Times New Roman" w:hAnsi="Times New Roman" w:cs="Times New Roman"/>
          <w:i/>
          <w:iCs/>
        </w:rPr>
      </w:pPr>
      <w:r w:rsidRPr="00D44C0B">
        <w:rPr>
          <w:rFonts w:ascii="Times New Roman" w:hAnsi="Times New Roman" w:cs="Times New Roman"/>
          <w:i/>
          <w:iCs/>
        </w:rPr>
        <w:t xml:space="preserve">In </w:t>
      </w:r>
      <w:r w:rsidRPr="00D44C0B">
        <w:rPr>
          <w:rFonts w:ascii="Times New Roman" w:hAnsi="Times New Roman" w:cs="Times New Roman"/>
          <w:b/>
          <w:i/>
          <w:iCs/>
        </w:rPr>
        <w:t>Figure 1</w:t>
      </w:r>
      <w:r w:rsidRPr="00D44C0B">
        <w:rPr>
          <w:rFonts w:ascii="Times New Roman" w:hAnsi="Times New Roman" w:cs="Times New Roman"/>
          <w:i/>
          <w:iCs/>
        </w:rPr>
        <w:t xml:space="preserve">, we have added a list of the five assumptions: </w:t>
      </w:r>
    </w:p>
    <w:p w14:paraId="4F0C3BA9" w14:textId="77777777" w:rsidR="00122E63" w:rsidRPr="00D44C0B" w:rsidRDefault="00122E63" w:rsidP="00122E63">
      <w:pPr>
        <w:jc w:val="both"/>
        <w:rPr>
          <w:rFonts w:ascii="Times New Roman" w:hAnsi="Times New Roman" w:cs="Times New Roman"/>
        </w:rPr>
      </w:pPr>
      <w:r w:rsidRPr="00D44C0B">
        <w:rPr>
          <w:rFonts w:ascii="Times New Roman" w:hAnsi="Times New Roman" w:cs="Times New Roman"/>
          <w:noProof/>
        </w:rPr>
        <w:drawing>
          <wp:inline distT="0" distB="0" distL="0" distR="0" wp14:anchorId="6D224526" wp14:editId="56C3A6D5">
            <wp:extent cx="5760720" cy="3414395"/>
            <wp:effectExtent l="0" t="0" r="0" b="0"/>
            <wp:docPr id="32131943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319434" name=""/>
                    <pic:cNvPicPr/>
                  </pic:nvPicPr>
                  <pic:blipFill>
                    <a:blip r:embed="rId17"/>
                    <a:stretch>
                      <a:fillRect/>
                    </a:stretch>
                  </pic:blipFill>
                  <pic:spPr>
                    <a:xfrm>
                      <a:off x="0" y="0"/>
                      <a:ext cx="5760720" cy="3414395"/>
                    </a:xfrm>
                    <a:prstGeom prst="rect">
                      <a:avLst/>
                    </a:prstGeom>
                  </pic:spPr>
                </pic:pic>
              </a:graphicData>
            </a:graphic>
          </wp:inline>
        </w:drawing>
      </w:r>
    </w:p>
    <w:p w14:paraId="04098CB0" w14:textId="73C99B6E" w:rsidR="00403A2B" w:rsidRPr="00D44C0B" w:rsidRDefault="00122E63" w:rsidP="00122E63">
      <w:pPr>
        <w:jc w:val="both"/>
        <w:rPr>
          <w:rFonts w:ascii="Times New Roman" w:hAnsi="Times New Roman" w:cs="Times New Roman"/>
          <w:i/>
          <w:iCs/>
        </w:rPr>
      </w:pPr>
      <w:r w:rsidRPr="00D44C0B">
        <w:rPr>
          <w:rFonts w:ascii="Times New Roman" w:hAnsi="Times New Roman" w:cs="Times New Roman"/>
          <w:i/>
          <w:iCs/>
        </w:rPr>
        <w:t xml:space="preserve">We want to again thank the reviewer for the critical feedback, based on which we were now able to improve the methodological argument.  </w:t>
      </w:r>
    </w:p>
    <w:p w14:paraId="162D0FD8" w14:textId="2F2AD432" w:rsidR="00122E63" w:rsidRPr="00122E63" w:rsidRDefault="00122E63" w:rsidP="00122E63">
      <w:pPr>
        <w:spacing w:after="200" w:line="240" w:lineRule="auto"/>
        <w:rPr>
          <w:rFonts w:ascii="Times New Roman" w:eastAsia="Times New Roman" w:hAnsi="Times New Roman" w:cs="Times New Roman"/>
          <w:lang w:val="en-US" w:eastAsia="zh-CN"/>
        </w:rPr>
      </w:pPr>
      <w:r w:rsidRPr="00D44C0B">
        <w:rPr>
          <w:rFonts w:ascii="Times New Roman" w:eastAsia="Times New Roman" w:hAnsi="Times New Roman" w:cs="Times New Roman"/>
          <w:b/>
          <w:bCs/>
          <w:color w:val="000000"/>
          <w:lang w:val="en-US" w:eastAsia="zh-CN"/>
        </w:rPr>
        <w:t>Third</w:t>
      </w:r>
      <w:r w:rsidRPr="00122E63">
        <w:rPr>
          <w:rFonts w:ascii="Times New Roman" w:eastAsia="Times New Roman" w:hAnsi="Times New Roman" w:cs="Times New Roman"/>
          <w:b/>
          <w:bCs/>
          <w:color w:val="000000"/>
          <w:lang w:val="en-US" w:eastAsia="zh-CN"/>
        </w:rPr>
        <w:t xml:space="preserve"> round of review</w:t>
      </w:r>
    </w:p>
    <w:p w14:paraId="59C58518" w14:textId="77777777" w:rsidR="00122E63" w:rsidRPr="00122E63" w:rsidRDefault="00122E63" w:rsidP="00122E63">
      <w:pPr>
        <w:spacing w:after="200" w:line="240" w:lineRule="auto"/>
        <w:rPr>
          <w:rFonts w:ascii="Times New Roman" w:eastAsia="Times New Roman" w:hAnsi="Times New Roman" w:cs="Times New Roman"/>
          <w:lang w:val="en-US" w:eastAsia="zh-CN"/>
        </w:rPr>
      </w:pPr>
      <w:r w:rsidRPr="00122E63">
        <w:rPr>
          <w:rFonts w:ascii="Times New Roman" w:eastAsia="Times New Roman" w:hAnsi="Times New Roman" w:cs="Times New Roman"/>
          <w:b/>
          <w:bCs/>
          <w:color w:val="000000"/>
          <w:lang w:val="en-US" w:eastAsia="zh-CN"/>
        </w:rPr>
        <w:lastRenderedPageBreak/>
        <w:t>Reviewer 1</w:t>
      </w:r>
    </w:p>
    <w:p w14:paraId="58F484BB" w14:textId="2B53DDF1" w:rsidR="00122E63" w:rsidRPr="00122E63" w:rsidRDefault="00D44C0B" w:rsidP="00122E63">
      <w:pPr>
        <w:spacing w:after="0" w:line="240" w:lineRule="auto"/>
        <w:rPr>
          <w:rFonts w:ascii="Times New Roman" w:eastAsia="Times New Roman" w:hAnsi="Times New Roman" w:cs="Times New Roman"/>
          <w:lang w:val="en-US" w:eastAsia="zh-CN"/>
        </w:rPr>
      </w:pPr>
      <w:r w:rsidRPr="00D44C0B">
        <w:rPr>
          <w:rFonts w:ascii="Times New Roman" w:hAnsi="Times New Roman" w:cs="Times New Roman"/>
          <w:color w:val="000033"/>
          <w:shd w:val="clear" w:color="auto" w:fill="FFFFFF"/>
        </w:rPr>
        <w:t>I have no further comments on this manuscript. Thank you for your efforts in addressing my previous feedback</w:t>
      </w:r>
      <w:r w:rsidRPr="00D44C0B">
        <w:rPr>
          <w:rFonts w:ascii="Times New Roman" w:hAnsi="Times New Roman" w:cs="Times New Roman"/>
          <w:color w:val="000033"/>
          <w:shd w:val="clear" w:color="auto" w:fill="FFFFFF"/>
        </w:rPr>
        <w:t>.</w:t>
      </w:r>
    </w:p>
    <w:p w14:paraId="02BC6CBD" w14:textId="74D21FFF" w:rsidR="007073F8" w:rsidRPr="00D44C0B" w:rsidRDefault="00D44C0B" w:rsidP="00122E63">
      <w:pPr>
        <w:spacing w:line="276" w:lineRule="auto"/>
        <w:contextualSpacing/>
        <w:jc w:val="both"/>
        <w:rPr>
          <w:rFonts w:ascii="Times New Roman" w:hAnsi="Times New Roman" w:cs="Times New Roman"/>
          <w:color w:val="2F5496" w:themeColor="accent5" w:themeShade="BF"/>
        </w:rPr>
      </w:pPr>
      <w:r w:rsidRPr="00D44C0B">
        <w:rPr>
          <w:rFonts w:ascii="Times New Roman" w:hAnsi="Times New Roman" w:cs="Times New Roman"/>
          <w:color w:val="000033"/>
          <w:shd w:val="clear" w:color="auto" w:fill="FFFFFF"/>
        </w:rPr>
        <w:t>All of my comments have been addressed. This reviewer has no further comments.</w:t>
      </w:r>
    </w:p>
    <w:sectPr w:rsidR="007073F8" w:rsidRPr="00D44C0B">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88C6AD" w14:textId="77777777" w:rsidR="00B05707" w:rsidRDefault="00B05707" w:rsidP="007E7EDC">
      <w:pPr>
        <w:spacing w:after="0" w:line="240" w:lineRule="auto"/>
      </w:pPr>
      <w:r>
        <w:separator/>
      </w:r>
    </w:p>
  </w:endnote>
  <w:endnote w:type="continuationSeparator" w:id="0">
    <w:p w14:paraId="78134E0D" w14:textId="77777777" w:rsidR="00B05707" w:rsidRDefault="00B05707" w:rsidP="007E7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2493007"/>
      <w:docPartObj>
        <w:docPartGallery w:val="Page Numbers (Bottom of Page)"/>
        <w:docPartUnique/>
      </w:docPartObj>
    </w:sdtPr>
    <w:sdtEndPr/>
    <w:sdtContent>
      <w:p w14:paraId="61DC65BA" w14:textId="0E14C65C" w:rsidR="007E7EDC" w:rsidRDefault="007E7EDC">
        <w:pPr>
          <w:pStyle w:val="Footer"/>
          <w:jc w:val="center"/>
        </w:pPr>
        <w:r>
          <w:fldChar w:fldCharType="begin"/>
        </w:r>
        <w:r>
          <w:instrText>PAGE   \* MERGEFORMAT</w:instrText>
        </w:r>
        <w:r>
          <w:fldChar w:fldCharType="separate"/>
        </w:r>
        <w:r>
          <w:rPr>
            <w:lang w:val="de-DE"/>
          </w:rPr>
          <w:t>2</w:t>
        </w:r>
        <w:r>
          <w:fldChar w:fldCharType="end"/>
        </w:r>
      </w:p>
    </w:sdtContent>
  </w:sdt>
  <w:p w14:paraId="361587F4" w14:textId="77777777" w:rsidR="007E7EDC" w:rsidRDefault="007E7E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9B5BDE" w14:textId="77777777" w:rsidR="00B05707" w:rsidRDefault="00B05707" w:rsidP="007E7EDC">
      <w:pPr>
        <w:spacing w:after="0" w:line="240" w:lineRule="auto"/>
      </w:pPr>
      <w:r>
        <w:separator/>
      </w:r>
    </w:p>
  </w:footnote>
  <w:footnote w:type="continuationSeparator" w:id="0">
    <w:p w14:paraId="7EE79341" w14:textId="77777777" w:rsidR="00B05707" w:rsidRDefault="00B05707" w:rsidP="007E7E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1D49C4"/>
    <w:multiLevelType w:val="hybridMultilevel"/>
    <w:tmpl w:val="4E685956"/>
    <w:lvl w:ilvl="0" w:tplc="4662A40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7FD0264"/>
    <w:multiLevelType w:val="hybridMultilevel"/>
    <w:tmpl w:val="BEDCB704"/>
    <w:lvl w:ilvl="0" w:tplc="39F246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B55222"/>
    <w:multiLevelType w:val="hybridMultilevel"/>
    <w:tmpl w:val="40FA01FE"/>
    <w:lvl w:ilvl="0" w:tplc="160C18E4">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E2E7EA4"/>
    <w:multiLevelType w:val="hybridMultilevel"/>
    <w:tmpl w:val="427A9E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2CD3FEE"/>
    <w:multiLevelType w:val="hybridMultilevel"/>
    <w:tmpl w:val="58565F76"/>
    <w:lvl w:ilvl="0" w:tplc="8E5C0CE0">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3EF3ADE"/>
    <w:multiLevelType w:val="hybridMultilevel"/>
    <w:tmpl w:val="154C4AF0"/>
    <w:lvl w:ilvl="0" w:tplc="4FE6B91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673A5A"/>
    <w:multiLevelType w:val="hybridMultilevel"/>
    <w:tmpl w:val="5D003EA8"/>
    <w:lvl w:ilvl="0" w:tplc="ADAC2658">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0F37B1"/>
    <w:multiLevelType w:val="hybridMultilevel"/>
    <w:tmpl w:val="B9D4725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B812D10"/>
    <w:multiLevelType w:val="hybridMultilevel"/>
    <w:tmpl w:val="1E9CB5C8"/>
    <w:lvl w:ilvl="0" w:tplc="0CC2F1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B11E02"/>
    <w:multiLevelType w:val="hybridMultilevel"/>
    <w:tmpl w:val="BAFCC45E"/>
    <w:lvl w:ilvl="0" w:tplc="1602A942">
      <w:start w:val="2"/>
      <w:numFmt w:val="bullet"/>
      <w:lvlText w:val=""/>
      <w:lvlJc w:val="left"/>
      <w:pPr>
        <w:ind w:left="720" w:hanging="360"/>
      </w:pPr>
      <w:rPr>
        <w:rFonts w:ascii="Wingdings" w:eastAsiaTheme="minorEastAsia"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0737328"/>
    <w:multiLevelType w:val="hybridMultilevel"/>
    <w:tmpl w:val="08642AB2"/>
    <w:lvl w:ilvl="0" w:tplc="E1D444C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056904"/>
    <w:multiLevelType w:val="hybridMultilevel"/>
    <w:tmpl w:val="1652B2D6"/>
    <w:lvl w:ilvl="0" w:tplc="04E6374E">
      <w:numFmt w:val="bullet"/>
      <w:lvlText w:val=""/>
      <w:lvlJc w:val="left"/>
      <w:pPr>
        <w:ind w:left="720" w:hanging="360"/>
      </w:pPr>
      <w:rPr>
        <w:rFonts w:ascii="Wingdings" w:eastAsiaTheme="minorEastAsia" w:hAnsi="Wingding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6CB4762"/>
    <w:multiLevelType w:val="hybridMultilevel"/>
    <w:tmpl w:val="D55CD9F8"/>
    <w:lvl w:ilvl="0" w:tplc="4DAE7B2C">
      <w:start w:val="9"/>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99C5615"/>
    <w:multiLevelType w:val="hybridMultilevel"/>
    <w:tmpl w:val="6F465D4C"/>
    <w:lvl w:ilvl="0" w:tplc="3F90FEB0">
      <w:start w:val="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2DC2C46"/>
    <w:multiLevelType w:val="hybridMultilevel"/>
    <w:tmpl w:val="79D43A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5815FF"/>
    <w:multiLevelType w:val="hybridMultilevel"/>
    <w:tmpl w:val="7E3AF3BE"/>
    <w:lvl w:ilvl="0" w:tplc="AF6C51F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ECF33E9"/>
    <w:multiLevelType w:val="hybridMultilevel"/>
    <w:tmpl w:val="44F86D6A"/>
    <w:lvl w:ilvl="0" w:tplc="646294A0">
      <w:start w:val="3"/>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0796BE8"/>
    <w:multiLevelType w:val="hybridMultilevel"/>
    <w:tmpl w:val="5B203524"/>
    <w:lvl w:ilvl="0" w:tplc="3F90FEB0">
      <w:start w:val="3"/>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34F5759"/>
    <w:multiLevelType w:val="hybridMultilevel"/>
    <w:tmpl w:val="6EFE71C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6EE23003"/>
    <w:multiLevelType w:val="hybridMultilevel"/>
    <w:tmpl w:val="8A44D248"/>
    <w:lvl w:ilvl="0" w:tplc="A3C2E6D2">
      <w:start w:val="3"/>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4A64991"/>
    <w:multiLevelType w:val="hybridMultilevel"/>
    <w:tmpl w:val="C888C072"/>
    <w:lvl w:ilvl="0" w:tplc="9C422A0E">
      <w:start w:val="9"/>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8"/>
  </w:num>
  <w:num w:numId="4">
    <w:abstractNumId w:val="5"/>
  </w:num>
  <w:num w:numId="5">
    <w:abstractNumId w:val="14"/>
  </w:num>
  <w:num w:numId="6">
    <w:abstractNumId w:val="10"/>
  </w:num>
  <w:num w:numId="7">
    <w:abstractNumId w:val="9"/>
  </w:num>
  <w:num w:numId="8">
    <w:abstractNumId w:val="3"/>
  </w:num>
  <w:num w:numId="9">
    <w:abstractNumId w:val="11"/>
  </w:num>
  <w:num w:numId="10">
    <w:abstractNumId w:val="6"/>
  </w:num>
  <w:num w:numId="11">
    <w:abstractNumId w:val="1"/>
  </w:num>
  <w:num w:numId="12">
    <w:abstractNumId w:val="19"/>
  </w:num>
  <w:num w:numId="13">
    <w:abstractNumId w:val="16"/>
  </w:num>
  <w:num w:numId="14">
    <w:abstractNumId w:val="17"/>
  </w:num>
  <w:num w:numId="15">
    <w:abstractNumId w:val="13"/>
  </w:num>
  <w:num w:numId="16">
    <w:abstractNumId w:val="15"/>
  </w:num>
  <w:num w:numId="17">
    <w:abstractNumId w:val="2"/>
  </w:num>
  <w:num w:numId="18">
    <w:abstractNumId w:val="7"/>
  </w:num>
  <w:num w:numId="19">
    <w:abstractNumId w:val="18"/>
  </w:num>
  <w:num w:numId="20">
    <w:abstractNumId w:val="12"/>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503"/>
    <w:rsid w:val="0000683E"/>
    <w:rsid w:val="000070C8"/>
    <w:rsid w:val="00007CF4"/>
    <w:rsid w:val="0001106D"/>
    <w:rsid w:val="00014347"/>
    <w:rsid w:val="000144CE"/>
    <w:rsid w:val="000148A9"/>
    <w:rsid w:val="00021439"/>
    <w:rsid w:val="00021708"/>
    <w:rsid w:val="00026680"/>
    <w:rsid w:val="000300ED"/>
    <w:rsid w:val="000308E5"/>
    <w:rsid w:val="00032FC1"/>
    <w:rsid w:val="0003425F"/>
    <w:rsid w:val="000351A9"/>
    <w:rsid w:val="00043517"/>
    <w:rsid w:val="00043521"/>
    <w:rsid w:val="0004355A"/>
    <w:rsid w:val="000469B6"/>
    <w:rsid w:val="00046EBF"/>
    <w:rsid w:val="00052118"/>
    <w:rsid w:val="000539D3"/>
    <w:rsid w:val="00053F76"/>
    <w:rsid w:val="0005443A"/>
    <w:rsid w:val="00057BC8"/>
    <w:rsid w:val="00061A77"/>
    <w:rsid w:val="00066E0F"/>
    <w:rsid w:val="00071AC7"/>
    <w:rsid w:val="00072C45"/>
    <w:rsid w:val="00074DF8"/>
    <w:rsid w:val="00080C87"/>
    <w:rsid w:val="000860E6"/>
    <w:rsid w:val="00086A7D"/>
    <w:rsid w:val="0009300D"/>
    <w:rsid w:val="00096484"/>
    <w:rsid w:val="000A2656"/>
    <w:rsid w:val="000A3001"/>
    <w:rsid w:val="000A38E6"/>
    <w:rsid w:val="000A43B3"/>
    <w:rsid w:val="000B0892"/>
    <w:rsid w:val="000B0C16"/>
    <w:rsid w:val="000B46D9"/>
    <w:rsid w:val="000B5B51"/>
    <w:rsid w:val="000B5F7A"/>
    <w:rsid w:val="000B62E8"/>
    <w:rsid w:val="000B63C1"/>
    <w:rsid w:val="000C4B53"/>
    <w:rsid w:val="000D0AF8"/>
    <w:rsid w:val="000D190F"/>
    <w:rsid w:val="000D3AB4"/>
    <w:rsid w:val="000D5DFA"/>
    <w:rsid w:val="000E01C9"/>
    <w:rsid w:val="000E1149"/>
    <w:rsid w:val="000E4518"/>
    <w:rsid w:val="000E5816"/>
    <w:rsid w:val="000E7994"/>
    <w:rsid w:val="000F5CBF"/>
    <w:rsid w:val="001107AD"/>
    <w:rsid w:val="00122E63"/>
    <w:rsid w:val="001268C7"/>
    <w:rsid w:val="0013091A"/>
    <w:rsid w:val="00130ACF"/>
    <w:rsid w:val="001344FB"/>
    <w:rsid w:val="00144507"/>
    <w:rsid w:val="00144E57"/>
    <w:rsid w:val="00150EC3"/>
    <w:rsid w:val="001519D4"/>
    <w:rsid w:val="0015206A"/>
    <w:rsid w:val="00163C54"/>
    <w:rsid w:val="00164759"/>
    <w:rsid w:val="001755B5"/>
    <w:rsid w:val="0017630E"/>
    <w:rsid w:val="00177551"/>
    <w:rsid w:val="00180148"/>
    <w:rsid w:val="0018414D"/>
    <w:rsid w:val="001842C3"/>
    <w:rsid w:val="00185221"/>
    <w:rsid w:val="00185940"/>
    <w:rsid w:val="00185FB1"/>
    <w:rsid w:val="0019015D"/>
    <w:rsid w:val="00192770"/>
    <w:rsid w:val="001934CE"/>
    <w:rsid w:val="001962F6"/>
    <w:rsid w:val="00197423"/>
    <w:rsid w:val="001A60B7"/>
    <w:rsid w:val="001A61BF"/>
    <w:rsid w:val="001A69C1"/>
    <w:rsid w:val="001B0F4D"/>
    <w:rsid w:val="001B7C02"/>
    <w:rsid w:val="001C2730"/>
    <w:rsid w:val="001C30E4"/>
    <w:rsid w:val="001C590A"/>
    <w:rsid w:val="001D4CF9"/>
    <w:rsid w:val="001D7344"/>
    <w:rsid w:val="001D7B2E"/>
    <w:rsid w:val="001E417C"/>
    <w:rsid w:val="001E4B73"/>
    <w:rsid w:val="001E5589"/>
    <w:rsid w:val="001E7A60"/>
    <w:rsid w:val="001F198D"/>
    <w:rsid w:val="001F64FF"/>
    <w:rsid w:val="002006E5"/>
    <w:rsid w:val="00200F5C"/>
    <w:rsid w:val="0020496B"/>
    <w:rsid w:val="00207B28"/>
    <w:rsid w:val="00207CFC"/>
    <w:rsid w:val="00214AB0"/>
    <w:rsid w:val="00225414"/>
    <w:rsid w:val="002277C2"/>
    <w:rsid w:val="00235ED7"/>
    <w:rsid w:val="0023759B"/>
    <w:rsid w:val="00240AA0"/>
    <w:rsid w:val="0024668E"/>
    <w:rsid w:val="002539F5"/>
    <w:rsid w:val="00253CEE"/>
    <w:rsid w:val="0026069E"/>
    <w:rsid w:val="00262BCE"/>
    <w:rsid w:val="002655C0"/>
    <w:rsid w:val="00265655"/>
    <w:rsid w:val="00266424"/>
    <w:rsid w:val="00270644"/>
    <w:rsid w:val="00272E24"/>
    <w:rsid w:val="00276275"/>
    <w:rsid w:val="00277B17"/>
    <w:rsid w:val="0028783C"/>
    <w:rsid w:val="002975F3"/>
    <w:rsid w:val="002A283B"/>
    <w:rsid w:val="002A30C5"/>
    <w:rsid w:val="002A4FC8"/>
    <w:rsid w:val="002A6BF7"/>
    <w:rsid w:val="002B3991"/>
    <w:rsid w:val="002C2EFA"/>
    <w:rsid w:val="002C538D"/>
    <w:rsid w:val="002D0E34"/>
    <w:rsid w:val="002E5530"/>
    <w:rsid w:val="002F08E5"/>
    <w:rsid w:val="002F28BE"/>
    <w:rsid w:val="002F7AE6"/>
    <w:rsid w:val="00301154"/>
    <w:rsid w:val="0031063C"/>
    <w:rsid w:val="0031263A"/>
    <w:rsid w:val="00312826"/>
    <w:rsid w:val="00315DF3"/>
    <w:rsid w:val="003164F3"/>
    <w:rsid w:val="00320562"/>
    <w:rsid w:val="00335872"/>
    <w:rsid w:val="00337AB6"/>
    <w:rsid w:val="00341255"/>
    <w:rsid w:val="0034388D"/>
    <w:rsid w:val="003446F1"/>
    <w:rsid w:val="003451E8"/>
    <w:rsid w:val="003536FE"/>
    <w:rsid w:val="00361697"/>
    <w:rsid w:val="00364FF6"/>
    <w:rsid w:val="00366A2C"/>
    <w:rsid w:val="00377162"/>
    <w:rsid w:val="00380D00"/>
    <w:rsid w:val="003833F9"/>
    <w:rsid w:val="00383439"/>
    <w:rsid w:val="00384AC5"/>
    <w:rsid w:val="0038754F"/>
    <w:rsid w:val="0039304A"/>
    <w:rsid w:val="00395EEC"/>
    <w:rsid w:val="003A7C44"/>
    <w:rsid w:val="003B775D"/>
    <w:rsid w:val="003C2E19"/>
    <w:rsid w:val="003C404E"/>
    <w:rsid w:val="003D0BE3"/>
    <w:rsid w:val="003D717B"/>
    <w:rsid w:val="003E0FD1"/>
    <w:rsid w:val="003E18FE"/>
    <w:rsid w:val="003E45D5"/>
    <w:rsid w:val="003E45F9"/>
    <w:rsid w:val="003E7D2D"/>
    <w:rsid w:val="003F1CCF"/>
    <w:rsid w:val="003F2433"/>
    <w:rsid w:val="003F33B6"/>
    <w:rsid w:val="003F3695"/>
    <w:rsid w:val="00400D08"/>
    <w:rsid w:val="004038EF"/>
    <w:rsid w:val="00403A2B"/>
    <w:rsid w:val="00404C99"/>
    <w:rsid w:val="0040613D"/>
    <w:rsid w:val="00413D26"/>
    <w:rsid w:val="00414180"/>
    <w:rsid w:val="004147FC"/>
    <w:rsid w:val="00414996"/>
    <w:rsid w:val="004172AE"/>
    <w:rsid w:val="0041730E"/>
    <w:rsid w:val="00422870"/>
    <w:rsid w:val="00423AC0"/>
    <w:rsid w:val="00426520"/>
    <w:rsid w:val="004304E0"/>
    <w:rsid w:val="00440514"/>
    <w:rsid w:val="004429E0"/>
    <w:rsid w:val="004448AF"/>
    <w:rsid w:val="00444DF7"/>
    <w:rsid w:val="00446274"/>
    <w:rsid w:val="0044686B"/>
    <w:rsid w:val="00447B3E"/>
    <w:rsid w:val="004519A4"/>
    <w:rsid w:val="00456DA9"/>
    <w:rsid w:val="00460413"/>
    <w:rsid w:val="00463F3B"/>
    <w:rsid w:val="00464E18"/>
    <w:rsid w:val="00467C4A"/>
    <w:rsid w:val="0047436E"/>
    <w:rsid w:val="00476364"/>
    <w:rsid w:val="004804D0"/>
    <w:rsid w:val="004807C0"/>
    <w:rsid w:val="00484598"/>
    <w:rsid w:val="004856CC"/>
    <w:rsid w:val="0048704D"/>
    <w:rsid w:val="00491344"/>
    <w:rsid w:val="004933A9"/>
    <w:rsid w:val="00493E0C"/>
    <w:rsid w:val="00495822"/>
    <w:rsid w:val="004A2067"/>
    <w:rsid w:val="004A7F3E"/>
    <w:rsid w:val="004C39DA"/>
    <w:rsid w:val="004C3AFC"/>
    <w:rsid w:val="004C71A7"/>
    <w:rsid w:val="004E416D"/>
    <w:rsid w:val="00502947"/>
    <w:rsid w:val="00502C0D"/>
    <w:rsid w:val="00506C54"/>
    <w:rsid w:val="00511C1E"/>
    <w:rsid w:val="005131B4"/>
    <w:rsid w:val="005140AA"/>
    <w:rsid w:val="00517B12"/>
    <w:rsid w:val="005250E5"/>
    <w:rsid w:val="00525EEF"/>
    <w:rsid w:val="005269E6"/>
    <w:rsid w:val="00530A2E"/>
    <w:rsid w:val="00533643"/>
    <w:rsid w:val="00533E9E"/>
    <w:rsid w:val="0053534F"/>
    <w:rsid w:val="00535A1E"/>
    <w:rsid w:val="0054392C"/>
    <w:rsid w:val="00543E5D"/>
    <w:rsid w:val="005442C6"/>
    <w:rsid w:val="00552D51"/>
    <w:rsid w:val="00552FFC"/>
    <w:rsid w:val="0055354A"/>
    <w:rsid w:val="00553C1D"/>
    <w:rsid w:val="00554E3B"/>
    <w:rsid w:val="005564A7"/>
    <w:rsid w:val="00557716"/>
    <w:rsid w:val="00562A34"/>
    <w:rsid w:val="005669D0"/>
    <w:rsid w:val="00574398"/>
    <w:rsid w:val="0057617F"/>
    <w:rsid w:val="005770AF"/>
    <w:rsid w:val="0058004B"/>
    <w:rsid w:val="005801A3"/>
    <w:rsid w:val="005847A6"/>
    <w:rsid w:val="00584934"/>
    <w:rsid w:val="00585869"/>
    <w:rsid w:val="005903A2"/>
    <w:rsid w:val="0059350C"/>
    <w:rsid w:val="00596744"/>
    <w:rsid w:val="005A43DD"/>
    <w:rsid w:val="005B1405"/>
    <w:rsid w:val="005B33BA"/>
    <w:rsid w:val="005B42AE"/>
    <w:rsid w:val="005B4FC8"/>
    <w:rsid w:val="005C0ED4"/>
    <w:rsid w:val="005C1DDD"/>
    <w:rsid w:val="005C2758"/>
    <w:rsid w:val="005C4CAD"/>
    <w:rsid w:val="005C5189"/>
    <w:rsid w:val="005C5BF2"/>
    <w:rsid w:val="005C7F5E"/>
    <w:rsid w:val="005D001D"/>
    <w:rsid w:val="005D063E"/>
    <w:rsid w:val="005D120B"/>
    <w:rsid w:val="005D1FBA"/>
    <w:rsid w:val="005D4618"/>
    <w:rsid w:val="005D4831"/>
    <w:rsid w:val="005E218E"/>
    <w:rsid w:val="005E6241"/>
    <w:rsid w:val="005F3E0F"/>
    <w:rsid w:val="00600DB1"/>
    <w:rsid w:val="00613534"/>
    <w:rsid w:val="00613BE2"/>
    <w:rsid w:val="00616775"/>
    <w:rsid w:val="00617104"/>
    <w:rsid w:val="00620468"/>
    <w:rsid w:val="006215E3"/>
    <w:rsid w:val="006269B7"/>
    <w:rsid w:val="00627C5C"/>
    <w:rsid w:val="0063519B"/>
    <w:rsid w:val="00643C96"/>
    <w:rsid w:val="00651AF0"/>
    <w:rsid w:val="00651E4B"/>
    <w:rsid w:val="00654247"/>
    <w:rsid w:val="0066448D"/>
    <w:rsid w:val="0066640C"/>
    <w:rsid w:val="006700C0"/>
    <w:rsid w:val="00677298"/>
    <w:rsid w:val="0068048E"/>
    <w:rsid w:val="00683803"/>
    <w:rsid w:val="00687FC4"/>
    <w:rsid w:val="00694221"/>
    <w:rsid w:val="00695747"/>
    <w:rsid w:val="006A6656"/>
    <w:rsid w:val="006A76D8"/>
    <w:rsid w:val="006B04E1"/>
    <w:rsid w:val="006B1541"/>
    <w:rsid w:val="006B4A37"/>
    <w:rsid w:val="006B5287"/>
    <w:rsid w:val="006C2195"/>
    <w:rsid w:val="006D4FCF"/>
    <w:rsid w:val="006D7E0A"/>
    <w:rsid w:val="006E130E"/>
    <w:rsid w:val="006E1310"/>
    <w:rsid w:val="006E689F"/>
    <w:rsid w:val="006F2682"/>
    <w:rsid w:val="006F3E24"/>
    <w:rsid w:val="00701B86"/>
    <w:rsid w:val="00706197"/>
    <w:rsid w:val="0070641B"/>
    <w:rsid w:val="00706FB0"/>
    <w:rsid w:val="007073F8"/>
    <w:rsid w:val="00710627"/>
    <w:rsid w:val="00711503"/>
    <w:rsid w:val="00717CE6"/>
    <w:rsid w:val="00723D2B"/>
    <w:rsid w:val="00724A43"/>
    <w:rsid w:val="007261BE"/>
    <w:rsid w:val="00731914"/>
    <w:rsid w:val="00732109"/>
    <w:rsid w:val="007337B5"/>
    <w:rsid w:val="00734C6E"/>
    <w:rsid w:val="00734FD5"/>
    <w:rsid w:val="00735A58"/>
    <w:rsid w:val="00736889"/>
    <w:rsid w:val="007533CE"/>
    <w:rsid w:val="0075403F"/>
    <w:rsid w:val="00754139"/>
    <w:rsid w:val="00754DEF"/>
    <w:rsid w:val="00762AB0"/>
    <w:rsid w:val="00766EB7"/>
    <w:rsid w:val="00773D7F"/>
    <w:rsid w:val="007763E8"/>
    <w:rsid w:val="00776BE2"/>
    <w:rsid w:val="00791876"/>
    <w:rsid w:val="007963EC"/>
    <w:rsid w:val="0079740C"/>
    <w:rsid w:val="007A2406"/>
    <w:rsid w:val="007A297A"/>
    <w:rsid w:val="007A35AA"/>
    <w:rsid w:val="007A437C"/>
    <w:rsid w:val="007A49CE"/>
    <w:rsid w:val="007A5F25"/>
    <w:rsid w:val="007B1169"/>
    <w:rsid w:val="007B7810"/>
    <w:rsid w:val="007C0D37"/>
    <w:rsid w:val="007C230C"/>
    <w:rsid w:val="007C56E5"/>
    <w:rsid w:val="007C77A7"/>
    <w:rsid w:val="007D0B11"/>
    <w:rsid w:val="007D0D9B"/>
    <w:rsid w:val="007D168B"/>
    <w:rsid w:val="007D3935"/>
    <w:rsid w:val="007D5589"/>
    <w:rsid w:val="007E538B"/>
    <w:rsid w:val="007E7CDD"/>
    <w:rsid w:val="007E7EDC"/>
    <w:rsid w:val="007F487B"/>
    <w:rsid w:val="007F724D"/>
    <w:rsid w:val="007F799E"/>
    <w:rsid w:val="007F7BFA"/>
    <w:rsid w:val="00802E73"/>
    <w:rsid w:val="00804567"/>
    <w:rsid w:val="0081290B"/>
    <w:rsid w:val="00813BE8"/>
    <w:rsid w:val="0081507D"/>
    <w:rsid w:val="00816B9B"/>
    <w:rsid w:val="00822E7D"/>
    <w:rsid w:val="00825076"/>
    <w:rsid w:val="008326C9"/>
    <w:rsid w:val="0083281B"/>
    <w:rsid w:val="008332DE"/>
    <w:rsid w:val="00834367"/>
    <w:rsid w:val="0084233E"/>
    <w:rsid w:val="00843396"/>
    <w:rsid w:val="00844111"/>
    <w:rsid w:val="00847315"/>
    <w:rsid w:val="00852253"/>
    <w:rsid w:val="008546E4"/>
    <w:rsid w:val="00864140"/>
    <w:rsid w:val="0086572D"/>
    <w:rsid w:val="00866EF3"/>
    <w:rsid w:val="008712BC"/>
    <w:rsid w:val="008717D3"/>
    <w:rsid w:val="008721B3"/>
    <w:rsid w:val="00873C08"/>
    <w:rsid w:val="008748AD"/>
    <w:rsid w:val="008771FC"/>
    <w:rsid w:val="00880B58"/>
    <w:rsid w:val="00881AE6"/>
    <w:rsid w:val="00883788"/>
    <w:rsid w:val="00886B7C"/>
    <w:rsid w:val="0088782F"/>
    <w:rsid w:val="00890042"/>
    <w:rsid w:val="008909D1"/>
    <w:rsid w:val="008939C5"/>
    <w:rsid w:val="00894379"/>
    <w:rsid w:val="008947BE"/>
    <w:rsid w:val="008949C2"/>
    <w:rsid w:val="0089645D"/>
    <w:rsid w:val="008A4680"/>
    <w:rsid w:val="008A5CC9"/>
    <w:rsid w:val="008B17B0"/>
    <w:rsid w:val="008B180E"/>
    <w:rsid w:val="008B1BC0"/>
    <w:rsid w:val="008B395D"/>
    <w:rsid w:val="008C0E08"/>
    <w:rsid w:val="008C0F9A"/>
    <w:rsid w:val="008C19FB"/>
    <w:rsid w:val="008C1D6E"/>
    <w:rsid w:val="008C39A8"/>
    <w:rsid w:val="008C6324"/>
    <w:rsid w:val="008C6BAF"/>
    <w:rsid w:val="008D0B02"/>
    <w:rsid w:val="008E0CBF"/>
    <w:rsid w:val="008E4ACB"/>
    <w:rsid w:val="008E6439"/>
    <w:rsid w:val="008F0F46"/>
    <w:rsid w:val="008F2C7B"/>
    <w:rsid w:val="008F4FF0"/>
    <w:rsid w:val="00900D43"/>
    <w:rsid w:val="0090100F"/>
    <w:rsid w:val="00903BD5"/>
    <w:rsid w:val="00906A55"/>
    <w:rsid w:val="00911B23"/>
    <w:rsid w:val="0091214E"/>
    <w:rsid w:val="009144BB"/>
    <w:rsid w:val="0091507C"/>
    <w:rsid w:val="00920EB7"/>
    <w:rsid w:val="00925D9E"/>
    <w:rsid w:val="00934880"/>
    <w:rsid w:val="00935E3A"/>
    <w:rsid w:val="009367F1"/>
    <w:rsid w:val="009374BD"/>
    <w:rsid w:val="00940686"/>
    <w:rsid w:val="009447C7"/>
    <w:rsid w:val="00945F52"/>
    <w:rsid w:val="00954369"/>
    <w:rsid w:val="009558E6"/>
    <w:rsid w:val="00962B19"/>
    <w:rsid w:val="00962E21"/>
    <w:rsid w:val="009653B4"/>
    <w:rsid w:val="009670B5"/>
    <w:rsid w:val="009711BE"/>
    <w:rsid w:val="009827E5"/>
    <w:rsid w:val="009835BA"/>
    <w:rsid w:val="00986B0A"/>
    <w:rsid w:val="00986D4D"/>
    <w:rsid w:val="00995538"/>
    <w:rsid w:val="009964C1"/>
    <w:rsid w:val="009A031A"/>
    <w:rsid w:val="009A3222"/>
    <w:rsid w:val="009A4384"/>
    <w:rsid w:val="009A51ED"/>
    <w:rsid w:val="009B2B08"/>
    <w:rsid w:val="009B43A6"/>
    <w:rsid w:val="009B5D42"/>
    <w:rsid w:val="009B76DC"/>
    <w:rsid w:val="009B7874"/>
    <w:rsid w:val="009C1747"/>
    <w:rsid w:val="009C3759"/>
    <w:rsid w:val="009C6267"/>
    <w:rsid w:val="009C7B5F"/>
    <w:rsid w:val="009D0561"/>
    <w:rsid w:val="009D1FFA"/>
    <w:rsid w:val="009D4FBD"/>
    <w:rsid w:val="009E0646"/>
    <w:rsid w:val="009E3220"/>
    <w:rsid w:val="009E4359"/>
    <w:rsid w:val="009F0F73"/>
    <w:rsid w:val="009F113B"/>
    <w:rsid w:val="009F1BF4"/>
    <w:rsid w:val="009F3638"/>
    <w:rsid w:val="009F66A5"/>
    <w:rsid w:val="00A017D7"/>
    <w:rsid w:val="00A07A95"/>
    <w:rsid w:val="00A128BC"/>
    <w:rsid w:val="00A14BF8"/>
    <w:rsid w:val="00A30611"/>
    <w:rsid w:val="00A36555"/>
    <w:rsid w:val="00A47253"/>
    <w:rsid w:val="00A47879"/>
    <w:rsid w:val="00A50FB4"/>
    <w:rsid w:val="00A553CE"/>
    <w:rsid w:val="00A55E48"/>
    <w:rsid w:val="00A63FAD"/>
    <w:rsid w:val="00A64596"/>
    <w:rsid w:val="00A64F7C"/>
    <w:rsid w:val="00A67E23"/>
    <w:rsid w:val="00A71141"/>
    <w:rsid w:val="00A722A6"/>
    <w:rsid w:val="00A73FC5"/>
    <w:rsid w:val="00A80216"/>
    <w:rsid w:val="00A81C09"/>
    <w:rsid w:val="00A84332"/>
    <w:rsid w:val="00A93135"/>
    <w:rsid w:val="00A943FC"/>
    <w:rsid w:val="00AA0395"/>
    <w:rsid w:val="00AA0458"/>
    <w:rsid w:val="00AA16F3"/>
    <w:rsid w:val="00AA22F7"/>
    <w:rsid w:val="00AA69CA"/>
    <w:rsid w:val="00AA6E75"/>
    <w:rsid w:val="00AB130F"/>
    <w:rsid w:val="00AB26A2"/>
    <w:rsid w:val="00AB2A53"/>
    <w:rsid w:val="00AB4096"/>
    <w:rsid w:val="00AB48CA"/>
    <w:rsid w:val="00AB67C2"/>
    <w:rsid w:val="00AB743A"/>
    <w:rsid w:val="00AC3DD2"/>
    <w:rsid w:val="00AD7290"/>
    <w:rsid w:val="00AE19C8"/>
    <w:rsid w:val="00AE312A"/>
    <w:rsid w:val="00AE3F7E"/>
    <w:rsid w:val="00AE7E69"/>
    <w:rsid w:val="00AF0F7C"/>
    <w:rsid w:val="00AF3211"/>
    <w:rsid w:val="00AF3523"/>
    <w:rsid w:val="00AF3BC2"/>
    <w:rsid w:val="00AF71D0"/>
    <w:rsid w:val="00B01456"/>
    <w:rsid w:val="00B02CA5"/>
    <w:rsid w:val="00B03371"/>
    <w:rsid w:val="00B03D16"/>
    <w:rsid w:val="00B05707"/>
    <w:rsid w:val="00B07952"/>
    <w:rsid w:val="00B13277"/>
    <w:rsid w:val="00B14CE8"/>
    <w:rsid w:val="00B3101A"/>
    <w:rsid w:val="00B47195"/>
    <w:rsid w:val="00B47FB9"/>
    <w:rsid w:val="00B54728"/>
    <w:rsid w:val="00B620F7"/>
    <w:rsid w:val="00B6374E"/>
    <w:rsid w:val="00B65802"/>
    <w:rsid w:val="00B7289F"/>
    <w:rsid w:val="00B80D56"/>
    <w:rsid w:val="00B830A3"/>
    <w:rsid w:val="00B874AA"/>
    <w:rsid w:val="00B91558"/>
    <w:rsid w:val="00B959C1"/>
    <w:rsid w:val="00BA0817"/>
    <w:rsid w:val="00BA1ECB"/>
    <w:rsid w:val="00BA5236"/>
    <w:rsid w:val="00BD3729"/>
    <w:rsid w:val="00BD52BE"/>
    <w:rsid w:val="00BD685E"/>
    <w:rsid w:val="00BD6E98"/>
    <w:rsid w:val="00BE406F"/>
    <w:rsid w:val="00BE4B60"/>
    <w:rsid w:val="00BF3CB1"/>
    <w:rsid w:val="00BF62F0"/>
    <w:rsid w:val="00C052B2"/>
    <w:rsid w:val="00C056E3"/>
    <w:rsid w:val="00C0670F"/>
    <w:rsid w:val="00C06933"/>
    <w:rsid w:val="00C07C4C"/>
    <w:rsid w:val="00C12A21"/>
    <w:rsid w:val="00C13646"/>
    <w:rsid w:val="00C13C8A"/>
    <w:rsid w:val="00C17A4E"/>
    <w:rsid w:val="00C217DC"/>
    <w:rsid w:val="00C21A35"/>
    <w:rsid w:val="00C21D5A"/>
    <w:rsid w:val="00C22070"/>
    <w:rsid w:val="00C221F2"/>
    <w:rsid w:val="00C22CD2"/>
    <w:rsid w:val="00C24BBF"/>
    <w:rsid w:val="00C27443"/>
    <w:rsid w:val="00C27630"/>
    <w:rsid w:val="00C400AA"/>
    <w:rsid w:val="00C41FF3"/>
    <w:rsid w:val="00C4345E"/>
    <w:rsid w:val="00C4762A"/>
    <w:rsid w:val="00C47AF9"/>
    <w:rsid w:val="00C500B1"/>
    <w:rsid w:val="00C511AE"/>
    <w:rsid w:val="00C53551"/>
    <w:rsid w:val="00C57882"/>
    <w:rsid w:val="00C6147D"/>
    <w:rsid w:val="00C61928"/>
    <w:rsid w:val="00C635E9"/>
    <w:rsid w:val="00C71C99"/>
    <w:rsid w:val="00C73F60"/>
    <w:rsid w:val="00C75144"/>
    <w:rsid w:val="00C75444"/>
    <w:rsid w:val="00C80ED6"/>
    <w:rsid w:val="00C90A83"/>
    <w:rsid w:val="00C927C4"/>
    <w:rsid w:val="00C92F2A"/>
    <w:rsid w:val="00C9375A"/>
    <w:rsid w:val="00C93762"/>
    <w:rsid w:val="00C937FF"/>
    <w:rsid w:val="00C94CDC"/>
    <w:rsid w:val="00C96608"/>
    <w:rsid w:val="00C967DE"/>
    <w:rsid w:val="00C979C6"/>
    <w:rsid w:val="00CA5306"/>
    <w:rsid w:val="00CA5F7E"/>
    <w:rsid w:val="00CA7AA4"/>
    <w:rsid w:val="00CB2804"/>
    <w:rsid w:val="00CB44E4"/>
    <w:rsid w:val="00CB518E"/>
    <w:rsid w:val="00CC0865"/>
    <w:rsid w:val="00CC0ECA"/>
    <w:rsid w:val="00CC1744"/>
    <w:rsid w:val="00CE32FD"/>
    <w:rsid w:val="00CE626E"/>
    <w:rsid w:val="00CF6BFA"/>
    <w:rsid w:val="00CF7E0F"/>
    <w:rsid w:val="00D00088"/>
    <w:rsid w:val="00D02D8D"/>
    <w:rsid w:val="00D03B3B"/>
    <w:rsid w:val="00D11B55"/>
    <w:rsid w:val="00D14709"/>
    <w:rsid w:val="00D25124"/>
    <w:rsid w:val="00D30909"/>
    <w:rsid w:val="00D31437"/>
    <w:rsid w:val="00D33AC3"/>
    <w:rsid w:val="00D33BEA"/>
    <w:rsid w:val="00D34E54"/>
    <w:rsid w:val="00D44C0B"/>
    <w:rsid w:val="00D45987"/>
    <w:rsid w:val="00D460D5"/>
    <w:rsid w:val="00D47057"/>
    <w:rsid w:val="00D51F08"/>
    <w:rsid w:val="00D61E38"/>
    <w:rsid w:val="00D6254C"/>
    <w:rsid w:val="00D726AC"/>
    <w:rsid w:val="00D72969"/>
    <w:rsid w:val="00D747A0"/>
    <w:rsid w:val="00D76669"/>
    <w:rsid w:val="00D77612"/>
    <w:rsid w:val="00D80421"/>
    <w:rsid w:val="00D80452"/>
    <w:rsid w:val="00D80B98"/>
    <w:rsid w:val="00D865ED"/>
    <w:rsid w:val="00D902F5"/>
    <w:rsid w:val="00D904D7"/>
    <w:rsid w:val="00D949A1"/>
    <w:rsid w:val="00D958CE"/>
    <w:rsid w:val="00D97443"/>
    <w:rsid w:val="00DB0D38"/>
    <w:rsid w:val="00DB1C8E"/>
    <w:rsid w:val="00DB4B68"/>
    <w:rsid w:val="00DB7F20"/>
    <w:rsid w:val="00DC5169"/>
    <w:rsid w:val="00DC7032"/>
    <w:rsid w:val="00DD4B5C"/>
    <w:rsid w:val="00DD7CDA"/>
    <w:rsid w:val="00DE600F"/>
    <w:rsid w:val="00DF45AF"/>
    <w:rsid w:val="00DF5350"/>
    <w:rsid w:val="00DF7996"/>
    <w:rsid w:val="00E010D9"/>
    <w:rsid w:val="00E177EA"/>
    <w:rsid w:val="00E20B42"/>
    <w:rsid w:val="00E21C60"/>
    <w:rsid w:val="00E22B28"/>
    <w:rsid w:val="00E24627"/>
    <w:rsid w:val="00E24944"/>
    <w:rsid w:val="00E3015F"/>
    <w:rsid w:val="00E4334A"/>
    <w:rsid w:val="00E44B11"/>
    <w:rsid w:val="00E534B3"/>
    <w:rsid w:val="00E55C2F"/>
    <w:rsid w:val="00E55F13"/>
    <w:rsid w:val="00E63003"/>
    <w:rsid w:val="00E63DDF"/>
    <w:rsid w:val="00E64987"/>
    <w:rsid w:val="00E710D3"/>
    <w:rsid w:val="00E71690"/>
    <w:rsid w:val="00E71A8C"/>
    <w:rsid w:val="00E82B3A"/>
    <w:rsid w:val="00E86FAE"/>
    <w:rsid w:val="00E962D7"/>
    <w:rsid w:val="00EB0EF5"/>
    <w:rsid w:val="00ED6F35"/>
    <w:rsid w:val="00EE35E8"/>
    <w:rsid w:val="00EE5860"/>
    <w:rsid w:val="00EE6347"/>
    <w:rsid w:val="00EF3B8B"/>
    <w:rsid w:val="00F02D65"/>
    <w:rsid w:val="00F0576A"/>
    <w:rsid w:val="00F0592F"/>
    <w:rsid w:val="00F10439"/>
    <w:rsid w:val="00F133A1"/>
    <w:rsid w:val="00F20B99"/>
    <w:rsid w:val="00F21690"/>
    <w:rsid w:val="00F302EC"/>
    <w:rsid w:val="00F30767"/>
    <w:rsid w:val="00F54DCB"/>
    <w:rsid w:val="00F55A6B"/>
    <w:rsid w:val="00F6301A"/>
    <w:rsid w:val="00F70E60"/>
    <w:rsid w:val="00F81899"/>
    <w:rsid w:val="00F90FBF"/>
    <w:rsid w:val="00F92B45"/>
    <w:rsid w:val="00F938F7"/>
    <w:rsid w:val="00F93B09"/>
    <w:rsid w:val="00FA14B5"/>
    <w:rsid w:val="00FA2CFE"/>
    <w:rsid w:val="00FA41EC"/>
    <w:rsid w:val="00FA447B"/>
    <w:rsid w:val="00FB14B8"/>
    <w:rsid w:val="00FB365A"/>
    <w:rsid w:val="00FC0348"/>
    <w:rsid w:val="00FD694C"/>
    <w:rsid w:val="00FD7E1F"/>
    <w:rsid w:val="00FE1D89"/>
    <w:rsid w:val="00FE54F9"/>
    <w:rsid w:val="00FE66E0"/>
    <w:rsid w:val="00FF1BC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4583E"/>
  <w15:chartTrackingRefBased/>
  <w15:docId w15:val="{3342048A-8EDF-492C-A3CC-4544F2199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DC516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Spacing"/>
    <w:next w:val="Normal"/>
    <w:link w:val="Heading2Char"/>
    <w:autoRedefine/>
    <w:uiPriority w:val="9"/>
    <w:unhideWhenUsed/>
    <w:qFormat/>
    <w:rsid w:val="00D44C0B"/>
    <w:pPr>
      <w:spacing w:before="120" w:after="120" w:line="276" w:lineRule="auto"/>
      <w:contextualSpacing/>
      <w:jc w:val="both"/>
      <w:outlineLvl w:val="1"/>
    </w:pPr>
    <w:rPr>
      <w:rFonts w:eastAsiaTheme="minorEastAsia" w:cstheme="minorHAnsi"/>
      <w:b/>
      <w:i/>
      <w:iCs/>
      <w:lang w:val="en-US" w:eastAsia="de-DE"/>
    </w:rPr>
  </w:style>
  <w:style w:type="paragraph" w:styleId="Heading3">
    <w:name w:val="heading 3"/>
    <w:basedOn w:val="Normal"/>
    <w:next w:val="Normal"/>
    <w:link w:val="Heading3Char"/>
    <w:uiPriority w:val="9"/>
    <w:semiHidden/>
    <w:unhideWhenUsed/>
    <w:qFormat/>
    <w:rsid w:val="0049582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2109"/>
    <w:pPr>
      <w:ind w:left="720"/>
      <w:contextualSpacing/>
    </w:pPr>
  </w:style>
  <w:style w:type="table" w:styleId="TableGridLight">
    <w:name w:val="Grid Table Light"/>
    <w:basedOn w:val="TableNormal"/>
    <w:uiPriority w:val="40"/>
    <w:rsid w:val="00D6254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unhideWhenUsed/>
    <w:rsid w:val="00C4762A"/>
    <w:rPr>
      <w:sz w:val="16"/>
      <w:szCs w:val="16"/>
    </w:rPr>
  </w:style>
  <w:style w:type="paragraph" w:styleId="CommentText">
    <w:name w:val="annotation text"/>
    <w:basedOn w:val="Normal"/>
    <w:link w:val="CommentTextChar"/>
    <w:uiPriority w:val="99"/>
    <w:unhideWhenUsed/>
    <w:rsid w:val="00C4762A"/>
    <w:pPr>
      <w:spacing w:line="240" w:lineRule="auto"/>
    </w:pPr>
    <w:rPr>
      <w:sz w:val="20"/>
      <w:szCs w:val="20"/>
    </w:rPr>
  </w:style>
  <w:style w:type="character" w:customStyle="1" w:styleId="CommentTextChar">
    <w:name w:val="Comment Text Char"/>
    <w:basedOn w:val="DefaultParagraphFont"/>
    <w:link w:val="CommentText"/>
    <w:uiPriority w:val="99"/>
    <w:rsid w:val="00C4762A"/>
    <w:rPr>
      <w:sz w:val="20"/>
      <w:szCs w:val="20"/>
    </w:rPr>
  </w:style>
  <w:style w:type="paragraph" w:styleId="CommentSubject">
    <w:name w:val="annotation subject"/>
    <w:basedOn w:val="CommentText"/>
    <w:next w:val="CommentText"/>
    <w:link w:val="CommentSubjectChar"/>
    <w:uiPriority w:val="99"/>
    <w:semiHidden/>
    <w:unhideWhenUsed/>
    <w:rsid w:val="00C4762A"/>
    <w:rPr>
      <w:b/>
      <w:bCs/>
    </w:rPr>
  </w:style>
  <w:style w:type="character" w:customStyle="1" w:styleId="CommentSubjectChar">
    <w:name w:val="Comment Subject Char"/>
    <w:basedOn w:val="CommentTextChar"/>
    <w:link w:val="CommentSubject"/>
    <w:uiPriority w:val="99"/>
    <w:semiHidden/>
    <w:rsid w:val="00C4762A"/>
    <w:rPr>
      <w:b/>
      <w:bCs/>
      <w:sz w:val="20"/>
      <w:szCs w:val="20"/>
    </w:rPr>
  </w:style>
  <w:style w:type="paragraph" w:styleId="BalloonText">
    <w:name w:val="Balloon Text"/>
    <w:basedOn w:val="Normal"/>
    <w:link w:val="BalloonTextChar"/>
    <w:uiPriority w:val="99"/>
    <w:semiHidden/>
    <w:unhideWhenUsed/>
    <w:rsid w:val="00C476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62A"/>
    <w:rPr>
      <w:rFonts w:ascii="Segoe UI" w:hAnsi="Segoe UI" w:cs="Segoe UI"/>
      <w:sz w:val="18"/>
      <w:szCs w:val="18"/>
    </w:rPr>
  </w:style>
  <w:style w:type="table" w:styleId="TableGrid">
    <w:name w:val="Table Grid"/>
    <w:basedOn w:val="TableNormal"/>
    <w:uiPriority w:val="39"/>
    <w:rsid w:val="001B0F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C6BAF"/>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table" w:styleId="GridTable5Dark-Accent5">
    <w:name w:val="Grid Table 5 Dark Accent 5"/>
    <w:basedOn w:val="TableNormal"/>
    <w:uiPriority w:val="50"/>
    <w:rsid w:val="00D02D8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character" w:customStyle="1" w:styleId="Heading2Char">
    <w:name w:val="Heading 2 Char"/>
    <w:basedOn w:val="DefaultParagraphFont"/>
    <w:link w:val="Heading2"/>
    <w:uiPriority w:val="9"/>
    <w:rsid w:val="00D44C0B"/>
    <w:rPr>
      <w:rFonts w:eastAsiaTheme="minorEastAsia" w:cstheme="minorHAnsi"/>
      <w:b/>
      <w:i/>
      <w:iCs/>
      <w:lang w:val="en-US" w:eastAsia="de-DE"/>
    </w:rPr>
  </w:style>
  <w:style w:type="paragraph" w:styleId="NoSpacing">
    <w:name w:val="No Spacing"/>
    <w:uiPriority w:val="1"/>
    <w:qFormat/>
    <w:rsid w:val="00464E18"/>
    <w:pPr>
      <w:spacing w:after="0" w:line="240" w:lineRule="auto"/>
    </w:pPr>
    <w:rPr>
      <w:lang w:val="en-GB"/>
    </w:rPr>
  </w:style>
  <w:style w:type="character" w:customStyle="1" w:styleId="A19">
    <w:name w:val="A19"/>
    <w:uiPriority w:val="99"/>
    <w:rsid w:val="00320562"/>
    <w:rPr>
      <w:rFonts w:cs="Minion Pro"/>
      <w:color w:val="000000"/>
      <w:sz w:val="12"/>
      <w:szCs w:val="12"/>
    </w:rPr>
  </w:style>
  <w:style w:type="character" w:customStyle="1" w:styleId="Heading1Char">
    <w:name w:val="Heading 1 Char"/>
    <w:basedOn w:val="DefaultParagraphFont"/>
    <w:link w:val="Heading1"/>
    <w:uiPriority w:val="9"/>
    <w:rsid w:val="00DC5169"/>
    <w:rPr>
      <w:rFonts w:asciiTheme="majorHAnsi" w:eastAsiaTheme="majorEastAsia" w:hAnsiTheme="majorHAnsi" w:cstheme="majorBidi"/>
      <w:color w:val="2E74B5" w:themeColor="accent1" w:themeShade="BF"/>
      <w:sz w:val="32"/>
      <w:szCs w:val="32"/>
      <w:lang w:val="en-GB"/>
    </w:rPr>
  </w:style>
  <w:style w:type="paragraph" w:customStyle="1" w:styleId="Reviewer-berschrift">
    <w:name w:val="Reviewer-Überschrift"/>
    <w:basedOn w:val="Heading2"/>
    <w:link w:val="Reviewer-berschriftZchn"/>
    <w:qFormat/>
    <w:rsid w:val="00DC5169"/>
    <w:rPr>
      <w:b w:val="0"/>
      <w:color w:val="4472C4" w:themeColor="accent5"/>
    </w:rPr>
  </w:style>
  <w:style w:type="character" w:customStyle="1" w:styleId="Reviewer-berschriftZchn">
    <w:name w:val="Reviewer-Überschrift Zchn"/>
    <w:basedOn w:val="Heading2Char"/>
    <w:link w:val="Reviewer-berschrift"/>
    <w:rsid w:val="00DC5169"/>
    <w:rPr>
      <w:rFonts w:eastAsiaTheme="minorEastAsia" w:cstheme="minorHAnsi"/>
      <w:b w:val="0"/>
      <w:i/>
      <w:iCs/>
      <w:color w:val="4472C4" w:themeColor="accent5"/>
      <w:lang w:val="en-US" w:eastAsia="de-DE"/>
    </w:rPr>
  </w:style>
  <w:style w:type="character" w:styleId="Hyperlink">
    <w:name w:val="Hyperlink"/>
    <w:basedOn w:val="DefaultParagraphFont"/>
    <w:uiPriority w:val="99"/>
    <w:unhideWhenUsed/>
    <w:rsid w:val="00995538"/>
    <w:rPr>
      <w:color w:val="0563C1" w:themeColor="hyperlink"/>
      <w:u w:val="single"/>
    </w:rPr>
  </w:style>
  <w:style w:type="paragraph" w:styleId="Revision">
    <w:name w:val="Revision"/>
    <w:hidden/>
    <w:uiPriority w:val="99"/>
    <w:semiHidden/>
    <w:rsid w:val="00654247"/>
    <w:pPr>
      <w:spacing w:after="0" w:line="240" w:lineRule="auto"/>
    </w:pPr>
    <w:rPr>
      <w:lang w:val="en-GB"/>
    </w:rPr>
  </w:style>
  <w:style w:type="character" w:styleId="FollowedHyperlink">
    <w:name w:val="FollowedHyperlink"/>
    <w:basedOn w:val="DefaultParagraphFont"/>
    <w:uiPriority w:val="99"/>
    <w:semiHidden/>
    <w:unhideWhenUsed/>
    <w:rsid w:val="001E4B73"/>
    <w:rPr>
      <w:color w:val="954F72" w:themeColor="followedHyperlink"/>
      <w:u w:val="single"/>
    </w:rPr>
  </w:style>
  <w:style w:type="character" w:customStyle="1" w:styleId="Heading3Char">
    <w:name w:val="Heading 3 Char"/>
    <w:basedOn w:val="DefaultParagraphFont"/>
    <w:link w:val="Heading3"/>
    <w:uiPriority w:val="9"/>
    <w:semiHidden/>
    <w:rsid w:val="00495822"/>
    <w:rPr>
      <w:rFonts w:asciiTheme="majorHAnsi" w:eastAsiaTheme="majorEastAsia" w:hAnsiTheme="majorHAnsi" w:cstheme="majorBidi"/>
      <w:color w:val="1F4D78" w:themeColor="accent1" w:themeShade="7F"/>
      <w:sz w:val="24"/>
      <w:szCs w:val="24"/>
      <w:lang w:val="en-GB"/>
    </w:rPr>
  </w:style>
  <w:style w:type="paragraph" w:styleId="Header">
    <w:name w:val="header"/>
    <w:basedOn w:val="Normal"/>
    <w:link w:val="HeaderChar"/>
    <w:uiPriority w:val="99"/>
    <w:unhideWhenUsed/>
    <w:rsid w:val="007E7EDC"/>
    <w:pPr>
      <w:tabs>
        <w:tab w:val="center" w:pos="4703"/>
        <w:tab w:val="right" w:pos="9406"/>
      </w:tabs>
      <w:spacing w:after="0" w:line="240" w:lineRule="auto"/>
    </w:pPr>
  </w:style>
  <w:style w:type="character" w:customStyle="1" w:styleId="HeaderChar">
    <w:name w:val="Header Char"/>
    <w:basedOn w:val="DefaultParagraphFont"/>
    <w:link w:val="Header"/>
    <w:uiPriority w:val="99"/>
    <w:rsid w:val="007E7EDC"/>
    <w:rPr>
      <w:lang w:val="en-GB"/>
    </w:rPr>
  </w:style>
  <w:style w:type="paragraph" w:styleId="Footer">
    <w:name w:val="footer"/>
    <w:basedOn w:val="Normal"/>
    <w:link w:val="FooterChar"/>
    <w:uiPriority w:val="99"/>
    <w:unhideWhenUsed/>
    <w:rsid w:val="007E7EDC"/>
    <w:pPr>
      <w:tabs>
        <w:tab w:val="center" w:pos="4703"/>
        <w:tab w:val="right" w:pos="9406"/>
      </w:tabs>
      <w:spacing w:after="0" w:line="240" w:lineRule="auto"/>
    </w:pPr>
  </w:style>
  <w:style w:type="character" w:customStyle="1" w:styleId="FooterChar">
    <w:name w:val="Footer Char"/>
    <w:basedOn w:val="DefaultParagraphFont"/>
    <w:link w:val="Footer"/>
    <w:uiPriority w:val="99"/>
    <w:rsid w:val="007E7EDC"/>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132995">
      <w:bodyDiv w:val="1"/>
      <w:marLeft w:val="0"/>
      <w:marRight w:val="0"/>
      <w:marTop w:val="0"/>
      <w:marBottom w:val="0"/>
      <w:divBdr>
        <w:top w:val="none" w:sz="0" w:space="0" w:color="auto"/>
        <w:left w:val="none" w:sz="0" w:space="0" w:color="auto"/>
        <w:bottom w:val="none" w:sz="0" w:space="0" w:color="auto"/>
        <w:right w:val="none" w:sz="0" w:space="0" w:color="auto"/>
      </w:divBdr>
    </w:div>
    <w:div w:id="209612186">
      <w:bodyDiv w:val="1"/>
      <w:marLeft w:val="0"/>
      <w:marRight w:val="0"/>
      <w:marTop w:val="0"/>
      <w:marBottom w:val="0"/>
      <w:divBdr>
        <w:top w:val="none" w:sz="0" w:space="0" w:color="auto"/>
        <w:left w:val="none" w:sz="0" w:space="0" w:color="auto"/>
        <w:bottom w:val="none" w:sz="0" w:space="0" w:color="auto"/>
        <w:right w:val="none" w:sz="0" w:space="0" w:color="auto"/>
      </w:divBdr>
    </w:div>
    <w:div w:id="446585719">
      <w:bodyDiv w:val="1"/>
      <w:marLeft w:val="240"/>
      <w:marRight w:val="240"/>
      <w:marTop w:val="240"/>
      <w:marBottom w:val="60"/>
      <w:divBdr>
        <w:top w:val="none" w:sz="0" w:space="0" w:color="auto"/>
        <w:left w:val="none" w:sz="0" w:space="0" w:color="auto"/>
        <w:bottom w:val="none" w:sz="0" w:space="0" w:color="auto"/>
        <w:right w:val="none" w:sz="0" w:space="0" w:color="auto"/>
      </w:divBdr>
      <w:divsChild>
        <w:div w:id="945041639">
          <w:marLeft w:val="0"/>
          <w:marRight w:val="0"/>
          <w:marTop w:val="0"/>
          <w:marBottom w:val="0"/>
          <w:divBdr>
            <w:top w:val="none" w:sz="0" w:space="0" w:color="auto"/>
            <w:left w:val="none" w:sz="0" w:space="0" w:color="auto"/>
            <w:bottom w:val="single" w:sz="6" w:space="9" w:color="C8C8C8"/>
            <w:right w:val="none" w:sz="0" w:space="0" w:color="auto"/>
          </w:divBdr>
          <w:divsChild>
            <w:div w:id="377709952">
              <w:marLeft w:val="0"/>
              <w:marRight w:val="0"/>
              <w:marTop w:val="0"/>
              <w:marBottom w:val="0"/>
              <w:divBdr>
                <w:top w:val="none" w:sz="0" w:space="0" w:color="auto"/>
                <w:left w:val="none" w:sz="0" w:space="0" w:color="auto"/>
                <w:bottom w:val="none" w:sz="0" w:space="0" w:color="auto"/>
                <w:right w:val="none" w:sz="0" w:space="0" w:color="auto"/>
              </w:divBdr>
            </w:div>
            <w:div w:id="712194013">
              <w:marLeft w:val="0"/>
              <w:marRight w:val="0"/>
              <w:marTop w:val="0"/>
              <w:marBottom w:val="0"/>
              <w:divBdr>
                <w:top w:val="none" w:sz="0" w:space="0" w:color="auto"/>
                <w:left w:val="none" w:sz="0" w:space="0" w:color="auto"/>
                <w:bottom w:val="none" w:sz="0" w:space="0" w:color="auto"/>
                <w:right w:val="none" w:sz="0" w:space="0" w:color="auto"/>
              </w:divBdr>
              <w:divsChild>
                <w:div w:id="2072799824">
                  <w:marLeft w:val="0"/>
                  <w:marRight w:val="0"/>
                  <w:marTop w:val="0"/>
                  <w:marBottom w:val="0"/>
                  <w:divBdr>
                    <w:top w:val="none" w:sz="0" w:space="0" w:color="auto"/>
                    <w:left w:val="none" w:sz="0" w:space="0" w:color="auto"/>
                    <w:bottom w:val="none" w:sz="0" w:space="0" w:color="auto"/>
                    <w:right w:val="none" w:sz="0" w:space="0" w:color="auto"/>
                  </w:divBdr>
                  <w:divsChild>
                    <w:div w:id="2047411519">
                      <w:marLeft w:val="0"/>
                      <w:marRight w:val="0"/>
                      <w:marTop w:val="0"/>
                      <w:marBottom w:val="0"/>
                      <w:divBdr>
                        <w:top w:val="none" w:sz="0" w:space="0" w:color="auto"/>
                        <w:left w:val="none" w:sz="0" w:space="0" w:color="auto"/>
                        <w:bottom w:val="none" w:sz="0" w:space="0" w:color="auto"/>
                        <w:right w:val="none" w:sz="0" w:space="0" w:color="auto"/>
                      </w:divBdr>
                    </w:div>
                    <w:div w:id="1149399481">
                      <w:marLeft w:val="0"/>
                      <w:marRight w:val="0"/>
                      <w:marTop w:val="0"/>
                      <w:marBottom w:val="0"/>
                      <w:divBdr>
                        <w:top w:val="none" w:sz="0" w:space="0" w:color="auto"/>
                        <w:left w:val="none" w:sz="0" w:space="0" w:color="auto"/>
                        <w:bottom w:val="none" w:sz="0" w:space="0" w:color="auto"/>
                        <w:right w:val="none" w:sz="0" w:space="0" w:color="auto"/>
                      </w:divBdr>
                    </w:div>
                    <w:div w:id="2090420891">
                      <w:marLeft w:val="0"/>
                      <w:marRight w:val="0"/>
                      <w:marTop w:val="0"/>
                      <w:marBottom w:val="0"/>
                      <w:divBdr>
                        <w:top w:val="none" w:sz="0" w:space="0" w:color="auto"/>
                        <w:left w:val="none" w:sz="0" w:space="0" w:color="auto"/>
                        <w:bottom w:val="none" w:sz="0" w:space="0" w:color="auto"/>
                        <w:right w:val="none" w:sz="0" w:space="0" w:color="auto"/>
                      </w:divBdr>
                    </w:div>
                    <w:div w:id="1053385876">
                      <w:marLeft w:val="0"/>
                      <w:marRight w:val="0"/>
                      <w:marTop w:val="0"/>
                      <w:marBottom w:val="0"/>
                      <w:divBdr>
                        <w:top w:val="none" w:sz="0" w:space="0" w:color="auto"/>
                        <w:left w:val="none" w:sz="0" w:space="0" w:color="auto"/>
                        <w:bottom w:val="none" w:sz="0" w:space="0" w:color="auto"/>
                        <w:right w:val="none" w:sz="0" w:space="0" w:color="auto"/>
                      </w:divBdr>
                    </w:div>
                    <w:div w:id="549852003">
                      <w:marLeft w:val="0"/>
                      <w:marRight w:val="0"/>
                      <w:marTop w:val="0"/>
                      <w:marBottom w:val="0"/>
                      <w:divBdr>
                        <w:top w:val="none" w:sz="0" w:space="0" w:color="auto"/>
                        <w:left w:val="none" w:sz="0" w:space="0" w:color="auto"/>
                        <w:bottom w:val="none" w:sz="0" w:space="0" w:color="auto"/>
                        <w:right w:val="none" w:sz="0" w:space="0" w:color="auto"/>
                      </w:divBdr>
                    </w:div>
                    <w:div w:id="541865019">
                      <w:marLeft w:val="0"/>
                      <w:marRight w:val="0"/>
                      <w:marTop w:val="0"/>
                      <w:marBottom w:val="0"/>
                      <w:divBdr>
                        <w:top w:val="none" w:sz="0" w:space="0" w:color="auto"/>
                        <w:left w:val="none" w:sz="0" w:space="0" w:color="auto"/>
                        <w:bottom w:val="none" w:sz="0" w:space="0" w:color="auto"/>
                        <w:right w:val="none" w:sz="0" w:space="0" w:color="auto"/>
                      </w:divBdr>
                      <w:divsChild>
                        <w:div w:id="950085650">
                          <w:marLeft w:val="0"/>
                          <w:marRight w:val="0"/>
                          <w:marTop w:val="0"/>
                          <w:marBottom w:val="0"/>
                          <w:divBdr>
                            <w:top w:val="none" w:sz="0" w:space="0" w:color="auto"/>
                            <w:left w:val="none" w:sz="0" w:space="0" w:color="auto"/>
                            <w:bottom w:val="none" w:sz="0" w:space="0" w:color="auto"/>
                            <w:right w:val="none" w:sz="0" w:space="0" w:color="auto"/>
                          </w:divBdr>
                        </w:div>
                        <w:div w:id="1314606324">
                          <w:marLeft w:val="0"/>
                          <w:marRight w:val="0"/>
                          <w:marTop w:val="0"/>
                          <w:marBottom w:val="0"/>
                          <w:divBdr>
                            <w:top w:val="none" w:sz="0" w:space="0" w:color="auto"/>
                            <w:left w:val="none" w:sz="0" w:space="0" w:color="auto"/>
                            <w:bottom w:val="none" w:sz="0" w:space="0" w:color="auto"/>
                            <w:right w:val="none" w:sz="0" w:space="0" w:color="auto"/>
                          </w:divBdr>
                        </w:div>
                        <w:div w:id="1266304069">
                          <w:marLeft w:val="0"/>
                          <w:marRight w:val="0"/>
                          <w:marTop w:val="0"/>
                          <w:marBottom w:val="0"/>
                          <w:divBdr>
                            <w:top w:val="none" w:sz="0" w:space="0" w:color="auto"/>
                            <w:left w:val="none" w:sz="0" w:space="0" w:color="auto"/>
                            <w:bottom w:val="none" w:sz="0" w:space="0" w:color="auto"/>
                            <w:right w:val="none" w:sz="0" w:space="0" w:color="auto"/>
                          </w:divBdr>
                        </w:div>
                      </w:divsChild>
                    </w:div>
                    <w:div w:id="1692493274">
                      <w:marLeft w:val="0"/>
                      <w:marRight w:val="0"/>
                      <w:marTop w:val="0"/>
                      <w:marBottom w:val="0"/>
                      <w:divBdr>
                        <w:top w:val="none" w:sz="0" w:space="0" w:color="auto"/>
                        <w:left w:val="none" w:sz="0" w:space="0" w:color="auto"/>
                        <w:bottom w:val="none" w:sz="0" w:space="0" w:color="auto"/>
                        <w:right w:val="none" w:sz="0" w:space="0" w:color="auto"/>
                      </w:divBdr>
                    </w:div>
                    <w:div w:id="301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342126">
      <w:bodyDiv w:val="1"/>
      <w:marLeft w:val="0"/>
      <w:marRight w:val="0"/>
      <w:marTop w:val="0"/>
      <w:marBottom w:val="0"/>
      <w:divBdr>
        <w:top w:val="none" w:sz="0" w:space="0" w:color="auto"/>
        <w:left w:val="none" w:sz="0" w:space="0" w:color="auto"/>
        <w:bottom w:val="none" w:sz="0" w:space="0" w:color="auto"/>
        <w:right w:val="none" w:sz="0" w:space="0" w:color="auto"/>
      </w:divBdr>
    </w:div>
    <w:div w:id="520125621">
      <w:bodyDiv w:val="1"/>
      <w:marLeft w:val="0"/>
      <w:marRight w:val="0"/>
      <w:marTop w:val="0"/>
      <w:marBottom w:val="0"/>
      <w:divBdr>
        <w:top w:val="none" w:sz="0" w:space="0" w:color="auto"/>
        <w:left w:val="none" w:sz="0" w:space="0" w:color="auto"/>
        <w:bottom w:val="none" w:sz="0" w:space="0" w:color="auto"/>
        <w:right w:val="none" w:sz="0" w:space="0" w:color="auto"/>
      </w:divBdr>
    </w:div>
    <w:div w:id="543714000">
      <w:bodyDiv w:val="1"/>
      <w:marLeft w:val="0"/>
      <w:marRight w:val="0"/>
      <w:marTop w:val="0"/>
      <w:marBottom w:val="0"/>
      <w:divBdr>
        <w:top w:val="none" w:sz="0" w:space="0" w:color="auto"/>
        <w:left w:val="none" w:sz="0" w:space="0" w:color="auto"/>
        <w:bottom w:val="none" w:sz="0" w:space="0" w:color="auto"/>
        <w:right w:val="none" w:sz="0" w:space="0" w:color="auto"/>
      </w:divBdr>
    </w:div>
    <w:div w:id="596061198">
      <w:bodyDiv w:val="1"/>
      <w:marLeft w:val="0"/>
      <w:marRight w:val="0"/>
      <w:marTop w:val="0"/>
      <w:marBottom w:val="0"/>
      <w:divBdr>
        <w:top w:val="none" w:sz="0" w:space="0" w:color="auto"/>
        <w:left w:val="none" w:sz="0" w:space="0" w:color="auto"/>
        <w:bottom w:val="none" w:sz="0" w:space="0" w:color="auto"/>
        <w:right w:val="none" w:sz="0" w:space="0" w:color="auto"/>
      </w:divBdr>
    </w:div>
    <w:div w:id="648243891">
      <w:bodyDiv w:val="1"/>
      <w:marLeft w:val="0"/>
      <w:marRight w:val="0"/>
      <w:marTop w:val="0"/>
      <w:marBottom w:val="0"/>
      <w:divBdr>
        <w:top w:val="none" w:sz="0" w:space="0" w:color="auto"/>
        <w:left w:val="none" w:sz="0" w:space="0" w:color="auto"/>
        <w:bottom w:val="none" w:sz="0" w:space="0" w:color="auto"/>
        <w:right w:val="none" w:sz="0" w:space="0" w:color="auto"/>
      </w:divBdr>
    </w:div>
    <w:div w:id="660624646">
      <w:bodyDiv w:val="1"/>
      <w:marLeft w:val="0"/>
      <w:marRight w:val="0"/>
      <w:marTop w:val="0"/>
      <w:marBottom w:val="0"/>
      <w:divBdr>
        <w:top w:val="none" w:sz="0" w:space="0" w:color="auto"/>
        <w:left w:val="none" w:sz="0" w:space="0" w:color="auto"/>
        <w:bottom w:val="none" w:sz="0" w:space="0" w:color="auto"/>
        <w:right w:val="none" w:sz="0" w:space="0" w:color="auto"/>
      </w:divBdr>
    </w:div>
    <w:div w:id="821046115">
      <w:bodyDiv w:val="1"/>
      <w:marLeft w:val="0"/>
      <w:marRight w:val="0"/>
      <w:marTop w:val="0"/>
      <w:marBottom w:val="0"/>
      <w:divBdr>
        <w:top w:val="none" w:sz="0" w:space="0" w:color="auto"/>
        <w:left w:val="none" w:sz="0" w:space="0" w:color="auto"/>
        <w:bottom w:val="none" w:sz="0" w:space="0" w:color="auto"/>
        <w:right w:val="none" w:sz="0" w:space="0" w:color="auto"/>
      </w:divBdr>
    </w:div>
    <w:div w:id="985864711">
      <w:bodyDiv w:val="1"/>
      <w:marLeft w:val="0"/>
      <w:marRight w:val="0"/>
      <w:marTop w:val="0"/>
      <w:marBottom w:val="0"/>
      <w:divBdr>
        <w:top w:val="none" w:sz="0" w:space="0" w:color="auto"/>
        <w:left w:val="none" w:sz="0" w:space="0" w:color="auto"/>
        <w:bottom w:val="none" w:sz="0" w:space="0" w:color="auto"/>
        <w:right w:val="none" w:sz="0" w:space="0" w:color="auto"/>
      </w:divBdr>
    </w:div>
    <w:div w:id="1028334711">
      <w:bodyDiv w:val="1"/>
      <w:marLeft w:val="0"/>
      <w:marRight w:val="0"/>
      <w:marTop w:val="0"/>
      <w:marBottom w:val="0"/>
      <w:divBdr>
        <w:top w:val="none" w:sz="0" w:space="0" w:color="auto"/>
        <w:left w:val="none" w:sz="0" w:space="0" w:color="auto"/>
        <w:bottom w:val="none" w:sz="0" w:space="0" w:color="auto"/>
        <w:right w:val="none" w:sz="0" w:space="0" w:color="auto"/>
      </w:divBdr>
    </w:div>
    <w:div w:id="1128160290">
      <w:bodyDiv w:val="1"/>
      <w:marLeft w:val="0"/>
      <w:marRight w:val="0"/>
      <w:marTop w:val="0"/>
      <w:marBottom w:val="0"/>
      <w:divBdr>
        <w:top w:val="none" w:sz="0" w:space="0" w:color="auto"/>
        <w:left w:val="none" w:sz="0" w:space="0" w:color="auto"/>
        <w:bottom w:val="none" w:sz="0" w:space="0" w:color="auto"/>
        <w:right w:val="none" w:sz="0" w:space="0" w:color="auto"/>
      </w:divBdr>
    </w:div>
    <w:div w:id="1158615511">
      <w:bodyDiv w:val="1"/>
      <w:marLeft w:val="0"/>
      <w:marRight w:val="0"/>
      <w:marTop w:val="0"/>
      <w:marBottom w:val="0"/>
      <w:divBdr>
        <w:top w:val="none" w:sz="0" w:space="0" w:color="auto"/>
        <w:left w:val="none" w:sz="0" w:space="0" w:color="auto"/>
        <w:bottom w:val="none" w:sz="0" w:space="0" w:color="auto"/>
        <w:right w:val="none" w:sz="0" w:space="0" w:color="auto"/>
      </w:divBdr>
    </w:div>
    <w:div w:id="1320501698">
      <w:bodyDiv w:val="1"/>
      <w:marLeft w:val="0"/>
      <w:marRight w:val="0"/>
      <w:marTop w:val="0"/>
      <w:marBottom w:val="0"/>
      <w:divBdr>
        <w:top w:val="none" w:sz="0" w:space="0" w:color="auto"/>
        <w:left w:val="none" w:sz="0" w:space="0" w:color="auto"/>
        <w:bottom w:val="none" w:sz="0" w:space="0" w:color="auto"/>
        <w:right w:val="none" w:sz="0" w:space="0" w:color="auto"/>
      </w:divBdr>
    </w:div>
    <w:div w:id="1361008840">
      <w:bodyDiv w:val="1"/>
      <w:marLeft w:val="240"/>
      <w:marRight w:val="240"/>
      <w:marTop w:val="240"/>
      <w:marBottom w:val="60"/>
      <w:divBdr>
        <w:top w:val="none" w:sz="0" w:space="0" w:color="auto"/>
        <w:left w:val="none" w:sz="0" w:space="0" w:color="auto"/>
        <w:bottom w:val="none" w:sz="0" w:space="0" w:color="auto"/>
        <w:right w:val="none" w:sz="0" w:space="0" w:color="auto"/>
      </w:divBdr>
      <w:divsChild>
        <w:div w:id="800461340">
          <w:marLeft w:val="0"/>
          <w:marRight w:val="0"/>
          <w:marTop w:val="0"/>
          <w:marBottom w:val="0"/>
          <w:divBdr>
            <w:top w:val="none" w:sz="0" w:space="0" w:color="auto"/>
            <w:left w:val="none" w:sz="0" w:space="0" w:color="auto"/>
            <w:bottom w:val="none" w:sz="0" w:space="0" w:color="auto"/>
            <w:right w:val="none" w:sz="0" w:space="0" w:color="auto"/>
          </w:divBdr>
        </w:div>
      </w:divsChild>
    </w:div>
    <w:div w:id="1382634891">
      <w:bodyDiv w:val="1"/>
      <w:marLeft w:val="0"/>
      <w:marRight w:val="0"/>
      <w:marTop w:val="0"/>
      <w:marBottom w:val="0"/>
      <w:divBdr>
        <w:top w:val="none" w:sz="0" w:space="0" w:color="auto"/>
        <w:left w:val="none" w:sz="0" w:space="0" w:color="auto"/>
        <w:bottom w:val="none" w:sz="0" w:space="0" w:color="auto"/>
        <w:right w:val="none" w:sz="0" w:space="0" w:color="auto"/>
      </w:divBdr>
    </w:div>
    <w:div w:id="1488519196">
      <w:bodyDiv w:val="1"/>
      <w:marLeft w:val="0"/>
      <w:marRight w:val="0"/>
      <w:marTop w:val="0"/>
      <w:marBottom w:val="0"/>
      <w:divBdr>
        <w:top w:val="none" w:sz="0" w:space="0" w:color="auto"/>
        <w:left w:val="none" w:sz="0" w:space="0" w:color="auto"/>
        <w:bottom w:val="none" w:sz="0" w:space="0" w:color="auto"/>
        <w:right w:val="none" w:sz="0" w:space="0" w:color="auto"/>
      </w:divBdr>
    </w:div>
    <w:div w:id="1560435181">
      <w:bodyDiv w:val="1"/>
      <w:marLeft w:val="0"/>
      <w:marRight w:val="0"/>
      <w:marTop w:val="0"/>
      <w:marBottom w:val="0"/>
      <w:divBdr>
        <w:top w:val="none" w:sz="0" w:space="0" w:color="auto"/>
        <w:left w:val="none" w:sz="0" w:space="0" w:color="auto"/>
        <w:bottom w:val="none" w:sz="0" w:space="0" w:color="auto"/>
        <w:right w:val="none" w:sz="0" w:space="0" w:color="auto"/>
      </w:divBdr>
    </w:div>
    <w:div w:id="1725332916">
      <w:bodyDiv w:val="1"/>
      <w:marLeft w:val="0"/>
      <w:marRight w:val="0"/>
      <w:marTop w:val="0"/>
      <w:marBottom w:val="0"/>
      <w:divBdr>
        <w:top w:val="none" w:sz="0" w:space="0" w:color="auto"/>
        <w:left w:val="none" w:sz="0" w:space="0" w:color="auto"/>
        <w:bottom w:val="none" w:sz="0" w:space="0" w:color="auto"/>
        <w:right w:val="none" w:sz="0" w:space="0" w:color="auto"/>
      </w:divBdr>
    </w:div>
    <w:div w:id="1831483635">
      <w:bodyDiv w:val="1"/>
      <w:marLeft w:val="0"/>
      <w:marRight w:val="0"/>
      <w:marTop w:val="0"/>
      <w:marBottom w:val="0"/>
      <w:divBdr>
        <w:top w:val="none" w:sz="0" w:space="0" w:color="auto"/>
        <w:left w:val="none" w:sz="0" w:space="0" w:color="auto"/>
        <w:bottom w:val="none" w:sz="0" w:space="0" w:color="auto"/>
        <w:right w:val="none" w:sz="0" w:space="0" w:color="auto"/>
      </w:divBdr>
    </w:div>
    <w:div w:id="1971469439">
      <w:bodyDiv w:val="1"/>
      <w:marLeft w:val="0"/>
      <w:marRight w:val="0"/>
      <w:marTop w:val="0"/>
      <w:marBottom w:val="0"/>
      <w:divBdr>
        <w:top w:val="none" w:sz="0" w:space="0" w:color="auto"/>
        <w:left w:val="none" w:sz="0" w:space="0" w:color="auto"/>
        <w:bottom w:val="none" w:sz="0" w:space="0" w:color="auto"/>
        <w:right w:val="none" w:sz="0" w:space="0" w:color="auto"/>
      </w:divBdr>
    </w:div>
    <w:div w:id="1990548818">
      <w:bodyDiv w:val="1"/>
      <w:marLeft w:val="0"/>
      <w:marRight w:val="0"/>
      <w:marTop w:val="0"/>
      <w:marBottom w:val="0"/>
      <w:divBdr>
        <w:top w:val="none" w:sz="0" w:space="0" w:color="auto"/>
        <w:left w:val="none" w:sz="0" w:space="0" w:color="auto"/>
        <w:bottom w:val="none" w:sz="0" w:space="0" w:color="auto"/>
        <w:right w:val="none" w:sz="0" w:space="0" w:color="auto"/>
      </w:divBdr>
    </w:div>
    <w:div w:id="2058506352">
      <w:bodyDiv w:val="1"/>
      <w:marLeft w:val="0"/>
      <w:marRight w:val="0"/>
      <w:marTop w:val="0"/>
      <w:marBottom w:val="0"/>
      <w:divBdr>
        <w:top w:val="none" w:sz="0" w:space="0" w:color="auto"/>
        <w:left w:val="none" w:sz="0" w:space="0" w:color="auto"/>
        <w:bottom w:val="none" w:sz="0" w:space="0" w:color="auto"/>
        <w:right w:val="none" w:sz="0" w:space="0" w:color="auto"/>
      </w:divBdr>
    </w:div>
    <w:div w:id="213339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DB69D-B64C-4E29-A618-B0E330AE3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24</Pages>
  <Words>38140</Words>
  <Characters>217404</Characters>
  <Application>Microsoft Office Word</Application>
  <DocSecurity>0</DocSecurity>
  <Lines>1811</Lines>
  <Paragraphs>510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255034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Kira</dc:creator>
  <cp:keywords/>
  <dc:description/>
  <cp:lastModifiedBy>Wenjing She</cp:lastModifiedBy>
  <cp:revision>8</cp:revision>
  <dcterms:created xsi:type="dcterms:W3CDTF">2024-11-18T10:47:00Z</dcterms:created>
  <dcterms:modified xsi:type="dcterms:W3CDTF">2024-11-18T10:59:00Z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http://www.zotero.org/styles/harvard-cite-them-right</vt:lpwstr>
  </property>
  <property fmtid="{D5CDD505-2E9C-101B-9397-08002B2CF9AE}" pid="5" name="Mendeley Recent Style Name 1_1">
    <vt:lpwstr>Cite Them Right 10th edition - Harvard</vt:lpwstr>
  </property>
  <property fmtid="{D5CDD505-2E9C-101B-9397-08002B2CF9AE}" pid="6" name="Mendeley Recent Style Id 2_1">
    <vt:lpwstr>http://csl.mendeley.com/styles/7317553/springer-vancouver-brackets</vt:lpwstr>
  </property>
  <property fmtid="{D5CDD505-2E9C-101B-9397-08002B2CF9AE}" pid="7" name="Mendeley Recent Style Name 2_1">
    <vt:lpwstr>Genome Medicine - Felix Schmid</vt:lpwstr>
  </property>
  <property fmtid="{D5CDD505-2E9C-101B-9397-08002B2CF9AE}" pid="8" name="Mendeley Recent Style Id 3_1">
    <vt:lpwstr>http://www.zotero.org/styles/human-molecular-genetics</vt:lpwstr>
  </property>
  <property fmtid="{D5CDD505-2E9C-101B-9397-08002B2CF9AE}" pid="9" name="Mendeley Recent Style Name 3_1">
    <vt:lpwstr>Human Molecular Genetics</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8th edition</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http://www.zotero.org/styles/nature-communications</vt:lpwstr>
  </property>
  <property fmtid="{D5CDD505-2E9C-101B-9397-08002B2CF9AE}" pid="17" name="Mendeley Recent Style Name 7_1">
    <vt:lpwstr>Nature Communications</vt:lpwstr>
  </property>
  <property fmtid="{D5CDD505-2E9C-101B-9397-08002B2CF9AE}" pid="18" name="Mendeley Recent Style Id 8_1">
    <vt:lpwstr>http://www.zotero.org/styles/nature-genetics</vt:lpwstr>
  </property>
  <property fmtid="{D5CDD505-2E9C-101B-9397-08002B2CF9AE}" pid="19" name="Mendeley Recent Style Name 8_1">
    <vt:lpwstr>Nature Genetics</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d21869b8-f9a2-3119-b0a5-470c4ee397ad</vt:lpwstr>
  </property>
  <property fmtid="{D5CDD505-2E9C-101B-9397-08002B2CF9AE}" pid="24" name="Mendeley Citation Style_1">
    <vt:lpwstr>http://www.zotero.org/styles/nature-communications</vt:lpwstr>
  </property>
</Properties>
</file>