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54B" w:rsidRDefault="00000000">
      <w:pPr>
        <w:spacing w:after="2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Relating Ecological Diversity to Genetic Discontinuity across Bacterial Species</w:t>
      </w:r>
    </w:p>
    <w:p w:rsidR="0036554B" w:rsidRDefault="00000000">
      <w:pPr>
        <w:spacing w:after="20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Hemanoel Passarelli-Araujo</w:t>
      </w:r>
      <w:r>
        <w:rPr>
          <w:sz w:val="18"/>
          <w:szCs w:val="18"/>
          <w:vertAlign w:val="superscript"/>
        </w:rPr>
        <w:t>1,2,*</w:t>
      </w:r>
      <w:r>
        <w:rPr>
          <w:sz w:val="18"/>
          <w:szCs w:val="18"/>
        </w:rPr>
        <w:t>, Thiago M. Venancio</w:t>
      </w:r>
      <w:r>
        <w:rPr>
          <w:sz w:val="18"/>
          <w:szCs w:val="18"/>
          <w:vertAlign w:val="superscript"/>
        </w:rPr>
        <w:t>3,*</w:t>
      </w:r>
      <w:r>
        <w:rPr>
          <w:sz w:val="18"/>
          <w:szCs w:val="18"/>
        </w:rPr>
        <w:t>, William P. Hanage</w:t>
      </w:r>
      <w:r>
        <w:rPr>
          <w:sz w:val="18"/>
          <w:szCs w:val="18"/>
          <w:vertAlign w:val="superscript"/>
        </w:rPr>
        <w:t>1</w:t>
      </w:r>
    </w:p>
    <w:p w:rsidR="0036554B" w:rsidRDefault="0036554B">
      <w:pPr>
        <w:spacing w:after="200" w:line="240" w:lineRule="auto"/>
        <w:rPr>
          <w:sz w:val="20"/>
          <w:szCs w:val="20"/>
          <w:vertAlign w:val="superscript"/>
        </w:rPr>
      </w:pPr>
    </w:p>
    <w:p w:rsidR="0036554B" w:rsidRDefault="00000000">
      <w:pPr>
        <w:spacing w:after="20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Center for Communicable Disease Dynamics, Department of Epidemiology, Harvard TH Chan School of Public Health, Boston, Massachusetts, USA</w:t>
      </w:r>
    </w:p>
    <w:p w:rsidR="0036554B" w:rsidRPr="00791FA7" w:rsidRDefault="00000000">
      <w:pPr>
        <w:spacing w:after="200" w:line="240" w:lineRule="auto"/>
        <w:rPr>
          <w:sz w:val="20"/>
          <w:szCs w:val="20"/>
          <w:lang w:val="pt-BR"/>
        </w:rPr>
      </w:pPr>
      <w:r w:rsidRPr="00791FA7">
        <w:rPr>
          <w:sz w:val="20"/>
          <w:szCs w:val="20"/>
          <w:vertAlign w:val="superscript"/>
          <w:lang w:val="pt-BR"/>
        </w:rPr>
        <w:t>2</w:t>
      </w:r>
      <w:r w:rsidRPr="00791FA7">
        <w:rPr>
          <w:sz w:val="20"/>
          <w:szCs w:val="20"/>
          <w:lang w:val="pt-BR"/>
        </w:rPr>
        <w:t>Departamento de Bioquímica e Imunologia, Instituto de Ciências Biológicas, Universidade Federal de Minas Gerais, Belo Horizonte, MG, Brazil</w:t>
      </w:r>
    </w:p>
    <w:p w:rsidR="0036554B" w:rsidRPr="00791FA7" w:rsidRDefault="00000000">
      <w:pPr>
        <w:spacing w:after="200" w:line="240" w:lineRule="auto"/>
        <w:rPr>
          <w:sz w:val="20"/>
          <w:szCs w:val="20"/>
          <w:lang w:val="pt-BR"/>
        </w:rPr>
      </w:pPr>
      <w:r w:rsidRPr="00791FA7">
        <w:rPr>
          <w:sz w:val="20"/>
          <w:szCs w:val="20"/>
          <w:vertAlign w:val="superscript"/>
          <w:lang w:val="pt-BR"/>
        </w:rPr>
        <w:t>3</w:t>
      </w:r>
      <w:r w:rsidRPr="00791FA7">
        <w:rPr>
          <w:sz w:val="20"/>
          <w:szCs w:val="20"/>
          <w:lang w:val="pt-BR"/>
        </w:rPr>
        <w:t>Laboratório de Química e Função de Proteínas e Peptídeos, Centro de Biociências e Biotecnologia, Universidade Estadual do Norte Fluminense Darcy Ribeiro, Campos dos Goytacazes, RJ, Brazil</w:t>
      </w:r>
    </w:p>
    <w:p w:rsidR="0036554B" w:rsidRPr="00791FA7" w:rsidRDefault="00000000">
      <w:pPr>
        <w:spacing w:after="200" w:line="240" w:lineRule="auto"/>
        <w:rPr>
          <w:sz w:val="20"/>
          <w:szCs w:val="20"/>
          <w:lang w:val="pt-BR"/>
        </w:rPr>
      </w:pPr>
      <w:r w:rsidRPr="00791FA7">
        <w:rPr>
          <w:sz w:val="20"/>
          <w:szCs w:val="20"/>
          <w:lang w:val="pt-BR"/>
        </w:rPr>
        <w:t>*</w:t>
      </w:r>
      <w:proofErr w:type="spellStart"/>
      <w:r w:rsidRPr="00791FA7">
        <w:rPr>
          <w:sz w:val="20"/>
          <w:szCs w:val="20"/>
          <w:lang w:val="pt-BR"/>
        </w:rPr>
        <w:t>Corresponding</w:t>
      </w:r>
      <w:proofErr w:type="spellEnd"/>
      <w:r w:rsidRPr="00791FA7">
        <w:rPr>
          <w:sz w:val="20"/>
          <w:szCs w:val="20"/>
          <w:lang w:val="pt-BR"/>
        </w:rPr>
        <w:t xml:space="preserve"> </w:t>
      </w:r>
      <w:proofErr w:type="spellStart"/>
      <w:r w:rsidRPr="00791FA7">
        <w:rPr>
          <w:sz w:val="20"/>
          <w:szCs w:val="20"/>
          <w:lang w:val="pt-BR"/>
        </w:rPr>
        <w:t>authors</w:t>
      </w:r>
      <w:proofErr w:type="spellEnd"/>
    </w:p>
    <w:p w:rsidR="0036554B" w:rsidRPr="00791FA7" w:rsidRDefault="00000000">
      <w:pPr>
        <w:spacing w:line="240" w:lineRule="auto"/>
        <w:rPr>
          <w:sz w:val="20"/>
          <w:szCs w:val="20"/>
          <w:lang w:val="pt-BR"/>
        </w:rPr>
      </w:pPr>
      <w:r w:rsidRPr="00791FA7">
        <w:rPr>
          <w:sz w:val="20"/>
          <w:szCs w:val="20"/>
          <w:lang w:val="pt-BR"/>
        </w:rPr>
        <w:t>Av. Alberto Lamego 2000, P5 sala 217; Parque Califórnia</w:t>
      </w:r>
    </w:p>
    <w:p w:rsidR="0036554B" w:rsidRPr="00791FA7" w:rsidRDefault="00000000">
      <w:pPr>
        <w:spacing w:line="240" w:lineRule="auto"/>
        <w:rPr>
          <w:sz w:val="20"/>
          <w:szCs w:val="20"/>
          <w:lang w:val="pt-BR"/>
        </w:rPr>
      </w:pPr>
      <w:r w:rsidRPr="00791FA7">
        <w:rPr>
          <w:sz w:val="20"/>
          <w:szCs w:val="20"/>
          <w:lang w:val="pt-BR"/>
        </w:rPr>
        <w:t>Campos dos Goytacazes, RJ, Brazil</w:t>
      </w:r>
    </w:p>
    <w:p w:rsidR="0036554B" w:rsidRPr="00791FA7" w:rsidRDefault="00000000">
      <w:pPr>
        <w:spacing w:line="240" w:lineRule="auto"/>
        <w:rPr>
          <w:sz w:val="20"/>
          <w:szCs w:val="20"/>
          <w:lang w:val="pt-BR"/>
        </w:rPr>
      </w:pPr>
      <w:r w:rsidRPr="00791FA7">
        <w:rPr>
          <w:sz w:val="20"/>
          <w:szCs w:val="20"/>
          <w:lang w:val="pt-BR"/>
        </w:rPr>
        <w:t>CEP: 28013-602</w:t>
      </w:r>
    </w:p>
    <w:p w:rsidR="0036554B" w:rsidRPr="00791FA7" w:rsidRDefault="0036554B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  <w:lang w:val="pt-BR"/>
        </w:rPr>
      </w:pPr>
    </w:p>
    <w:p w:rsidR="0036554B" w:rsidRPr="00791FA7" w:rsidRDefault="00000000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791FA7">
        <w:rPr>
          <w:lang w:val="pt-BR"/>
        </w:rPr>
        <w:br w:type="page"/>
      </w:r>
    </w:p>
    <w:p w:rsidR="0036554B" w:rsidRDefault="00000000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Supplementary Figures</w:t>
      </w:r>
    </w:p>
    <w:p w:rsidR="0036554B" w:rsidRDefault="0036554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36554B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>
            <wp:extent cx="5396230" cy="444373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443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554B" w:rsidRDefault="00000000">
      <w:pPr>
        <w:spacing w:after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Fig</w:t>
      </w:r>
      <w:r w:rsidR="00F64F78">
        <w:rPr>
          <w:rFonts w:ascii="Calibri" w:eastAsia="Calibri" w:hAnsi="Calibri" w:cs="Calibri"/>
          <w:b/>
          <w:sz w:val="20"/>
          <w:szCs w:val="20"/>
        </w:rPr>
        <w:t>.</w:t>
      </w:r>
      <w:r>
        <w:rPr>
          <w:rFonts w:ascii="Calibri" w:eastAsia="Calibri" w:hAnsi="Calibri" w:cs="Calibri"/>
          <w:b/>
          <w:sz w:val="20"/>
          <w:szCs w:val="20"/>
        </w:rPr>
        <w:t xml:space="preserve"> S1. Model evaluation through k-fold cross validation using different metrics. a)</w:t>
      </w:r>
      <w:r>
        <w:rPr>
          <w:rFonts w:ascii="Calibri" w:eastAsia="Calibri" w:hAnsi="Calibri" w:cs="Calibri"/>
          <w:sz w:val="20"/>
          <w:szCs w:val="20"/>
        </w:rPr>
        <w:t xml:space="preserve"> Root Mean Squared Error (RMSE). </w:t>
      </w:r>
      <w:r>
        <w:rPr>
          <w:rFonts w:ascii="Calibri" w:eastAsia="Calibri" w:hAnsi="Calibri" w:cs="Calibri"/>
          <w:b/>
          <w:sz w:val="20"/>
          <w:szCs w:val="20"/>
        </w:rPr>
        <w:t>b)</w:t>
      </w:r>
      <w:r>
        <w:rPr>
          <w:rFonts w:ascii="Calibri" w:eastAsia="Calibri" w:hAnsi="Calibri" w:cs="Calibri"/>
          <w:sz w:val="20"/>
          <w:szCs w:val="20"/>
        </w:rPr>
        <w:t xml:space="preserve"> Mean Absolute Error (MAE). </w:t>
      </w:r>
      <w:r>
        <w:rPr>
          <w:rFonts w:ascii="Calibri" w:eastAsia="Calibri" w:hAnsi="Calibri" w:cs="Calibri"/>
          <w:b/>
          <w:sz w:val="20"/>
          <w:szCs w:val="20"/>
        </w:rPr>
        <w:t xml:space="preserve">c-f) </w:t>
      </w:r>
      <w:r>
        <w:rPr>
          <w:rFonts w:ascii="Calibri" w:eastAsia="Calibri" w:hAnsi="Calibri" w:cs="Calibri"/>
          <w:sz w:val="20"/>
          <w:szCs w:val="20"/>
        </w:rPr>
        <w:t>Quantile Loss across four quantiles (</w:t>
      </w:r>
      <m:oMath>
        <m:r>
          <w:rPr>
            <w:rFonts w:ascii="Cambria Math" w:eastAsia="Cambria Math" w:hAnsi="Cambria Math" w:cs="Cambria Math"/>
            <w:sz w:val="20"/>
            <w:szCs w:val="20"/>
          </w:rPr>
          <m:t>τ=[0.25, 0.50, 0.75, 0.95]</m:t>
        </m:r>
      </m:oMath>
      <w:r>
        <w:rPr>
          <w:rFonts w:ascii="Calibri" w:eastAsia="Calibri" w:hAnsi="Calibri" w:cs="Calibri"/>
          <w:sz w:val="20"/>
          <w:szCs w:val="20"/>
        </w:rPr>
        <w:t>).</w:t>
      </w:r>
    </w:p>
    <w:p w:rsidR="00791FA7" w:rsidRDefault="00791FA7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page"/>
      </w:r>
    </w:p>
    <w:p w:rsidR="00791FA7" w:rsidRDefault="00791FA7">
      <w:pPr>
        <w:spacing w:after="20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791FA7" w:rsidRDefault="00791FA7" w:rsidP="00791FA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 wp14:anchorId="11FCCE1E" wp14:editId="2A7C0C92">
            <wp:extent cx="4000500" cy="2659733"/>
            <wp:effectExtent l="0" t="0" r="0" b="0"/>
            <wp:docPr id="14890899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597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FA7" w:rsidRDefault="00791FA7" w:rsidP="00791F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 w:rsidRPr="00791FA7">
        <w:rPr>
          <w:b/>
          <w:bCs/>
          <w:sz w:val="20"/>
          <w:szCs w:val="20"/>
        </w:rPr>
        <w:t>Fig</w:t>
      </w:r>
      <w:r w:rsidR="00F64F78">
        <w:rPr>
          <w:b/>
          <w:bCs/>
          <w:sz w:val="20"/>
          <w:szCs w:val="20"/>
        </w:rPr>
        <w:t>.</w:t>
      </w:r>
      <w:r w:rsidRPr="00791FA7">
        <w:rPr>
          <w:b/>
          <w:bCs/>
          <w:sz w:val="20"/>
          <w:szCs w:val="20"/>
        </w:rPr>
        <w:t xml:space="preserve"> S2. Jackknife resampling of genetic discontinuity across representative bacterial species.</w:t>
      </w:r>
      <w:r>
        <w:rPr>
          <w:sz w:val="20"/>
          <w:szCs w:val="20"/>
        </w:rPr>
        <w:t xml:space="preserve"> The red line shows observed discontinuity values, while the blue line represents estimates from jackknife resampling, where 20% of genomes are excluded per iteration (n=100). Gray shadows represent 95% confidence intervals. The x-axis lists species sorted by discontinuity, and the y-axis measures discontinuity magnitude.</w:t>
      </w:r>
    </w:p>
    <w:p w:rsidR="00791FA7" w:rsidRDefault="00791FA7">
      <w:pPr>
        <w:spacing w:after="200" w:line="240" w:lineRule="auto"/>
        <w:jc w:val="both"/>
      </w:pPr>
    </w:p>
    <w:sectPr w:rsidR="00791FA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54B"/>
    <w:rsid w:val="0036554B"/>
    <w:rsid w:val="00791FA7"/>
    <w:rsid w:val="00F6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C16F62"/>
  <w15:docId w15:val="{14E39B8A-3889-014C-A858-F4BAA183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Hemanoel Passarelli</cp:lastModifiedBy>
  <cp:revision>2</cp:revision>
  <dcterms:created xsi:type="dcterms:W3CDTF">2024-11-13T20:34:00Z</dcterms:created>
  <dcterms:modified xsi:type="dcterms:W3CDTF">2024-11-13T20:34:00Z</dcterms:modified>
</cp:coreProperties>
</file>