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33CF7" w14:textId="77777777" w:rsidR="00766EED" w:rsidRDefault="00E85A86">
      <w:pPr>
        <w:ind w:left="1080"/>
        <w:jc w:val="both"/>
        <w:rPr>
          <w:rFonts w:ascii="Times New Roman" w:eastAsia="Times New Roman" w:hAnsi="Times New Roman" w:cs="Times New Roman"/>
          <w:b/>
          <w:color w:val="000000"/>
        </w:rPr>
      </w:pPr>
      <w:r>
        <w:rPr>
          <w:rFonts w:ascii="Times New Roman" w:eastAsia="Times New Roman" w:hAnsi="Times New Roman" w:cs="Times New Roman"/>
          <w:b/>
          <w:color w:val="000000"/>
        </w:rPr>
        <w:t>Supplementary Figures</w:t>
      </w:r>
    </w:p>
    <w:p w14:paraId="16C6835C" w14:textId="77777777" w:rsidR="00766EED" w:rsidRDefault="00E85A86">
      <w:pPr>
        <w:ind w:left="1080"/>
        <w:jc w:val="center"/>
        <w:rPr>
          <w:rFonts w:ascii="Times New Roman" w:eastAsia="Times New Roman" w:hAnsi="Times New Roman" w:cs="Times New Roman"/>
          <w:b/>
          <w:color w:val="000000"/>
        </w:rPr>
      </w:pPr>
      <w:r>
        <w:rPr>
          <w:rFonts w:ascii="Times New Roman" w:eastAsia="Times New Roman" w:hAnsi="Times New Roman" w:cs="Times New Roman"/>
          <w:b/>
          <w:noProof/>
          <w:color w:val="000000"/>
        </w:rPr>
        <w:drawing>
          <wp:inline distT="0" distB="0" distL="0" distR="0" wp14:anchorId="5ED6348B" wp14:editId="5AAAB387">
            <wp:extent cx="5409830" cy="8468082"/>
            <wp:effectExtent l="0" t="0" r="0" b="0"/>
            <wp:docPr id="1894060772" name="image7.png" descr="A close-up of a scientific present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A close-up of a scientific presentation&#10;&#10;Description automatically generated"/>
                    <pic:cNvPicPr preferRelativeResize="0"/>
                  </pic:nvPicPr>
                  <pic:blipFill>
                    <a:blip r:embed="rId5"/>
                    <a:srcRect/>
                    <a:stretch>
                      <a:fillRect/>
                    </a:stretch>
                  </pic:blipFill>
                  <pic:spPr>
                    <a:xfrm>
                      <a:off x="0" y="0"/>
                      <a:ext cx="5409830" cy="8468082"/>
                    </a:xfrm>
                    <a:prstGeom prst="rect">
                      <a:avLst/>
                    </a:prstGeom>
                    <a:ln/>
                  </pic:spPr>
                </pic:pic>
              </a:graphicData>
            </a:graphic>
          </wp:inline>
        </w:drawing>
      </w:r>
    </w:p>
    <w:p w14:paraId="58AA252A" w14:textId="77777777" w:rsidR="00766EED" w:rsidRDefault="00766EED">
      <w:pPr>
        <w:spacing w:line="240" w:lineRule="auto"/>
        <w:ind w:left="1080"/>
        <w:jc w:val="both"/>
        <w:rPr>
          <w:rFonts w:ascii="Times New Roman" w:eastAsia="Times New Roman" w:hAnsi="Times New Roman" w:cs="Times New Roman"/>
          <w:b/>
          <w:color w:val="000000"/>
        </w:rPr>
      </w:pPr>
    </w:p>
    <w:p w14:paraId="1260946F" w14:textId="77777777" w:rsidR="00766EED" w:rsidRDefault="00E85A86">
      <w:pPr>
        <w:spacing w:line="240" w:lineRule="auto"/>
        <w:ind w:left="1080"/>
        <w:jc w:val="both"/>
        <w:rPr>
          <w:rFonts w:ascii="Times New Roman" w:eastAsia="Times New Roman" w:hAnsi="Times New Roman" w:cs="Times New Roman"/>
        </w:rPr>
      </w:pPr>
      <w:r>
        <w:rPr>
          <w:rFonts w:ascii="Times New Roman" w:eastAsia="Times New Roman" w:hAnsi="Times New Roman" w:cs="Times New Roman"/>
          <w:b/>
          <w:color w:val="000000"/>
        </w:rPr>
        <w:lastRenderedPageBreak/>
        <w:t>Figure S1</w:t>
      </w:r>
      <w:r>
        <w:rPr>
          <w:rFonts w:ascii="Times New Roman" w:eastAsia="Times New Roman" w:hAnsi="Times New Roman" w:cs="Times New Roman"/>
          <w:color w:val="000000"/>
        </w:rPr>
        <w:t xml:space="preserve">: (A) Number of cells per donor for each cluster. Donors are marked with distinct colors. (B) Uniform manifold approximation and projection (UMAP) of all COVID-19 patient liver cells colored per donor. (C) Liver biopsy tissue (5 </w:t>
      </w:r>
      <w:proofErr w:type="spellStart"/>
      <w:r>
        <w:rPr>
          <w:rFonts w:ascii="Times New Roman" w:eastAsia="Times New Roman" w:hAnsi="Times New Roman" w:cs="Times New Roman"/>
          <w:color w:val="000000"/>
        </w:rPr>
        <w:t>μm</w:t>
      </w:r>
      <w:proofErr w:type="spellEnd"/>
      <w:r>
        <w:rPr>
          <w:rFonts w:ascii="Times New Roman" w:eastAsia="Times New Roman" w:hAnsi="Times New Roman" w:cs="Times New Roman"/>
          <w:color w:val="000000"/>
        </w:rPr>
        <w:t xml:space="preserve"> section) from Donors L1, 2 and a control sample processed with the </w:t>
      </w:r>
      <w:proofErr w:type="spellStart"/>
      <w:r>
        <w:rPr>
          <w:rFonts w:ascii="Times New Roman" w:eastAsia="Times New Roman" w:hAnsi="Times New Roman" w:cs="Times New Roman"/>
          <w:color w:val="000000"/>
        </w:rPr>
        <w:t>RNAScope</w:t>
      </w:r>
      <w:proofErr w:type="spellEnd"/>
      <w:r>
        <w:rPr>
          <w:rFonts w:ascii="Times New Roman" w:eastAsia="Times New Roman" w:hAnsi="Times New Roman" w:cs="Times New Roman"/>
          <w:color w:val="000000"/>
        </w:rPr>
        <w:t xml:space="preserve"> Fluorescent Multiplex Assay (</w:t>
      </w:r>
      <w:proofErr w:type="spellStart"/>
      <w:r>
        <w:rPr>
          <w:rFonts w:ascii="Times New Roman" w:eastAsia="Times New Roman" w:hAnsi="Times New Roman" w:cs="Times New Roman"/>
          <w:color w:val="000000"/>
        </w:rPr>
        <w:t>Biotechne</w:t>
      </w:r>
      <w:proofErr w:type="spellEnd"/>
      <w:r>
        <w:rPr>
          <w:rFonts w:ascii="Times New Roman" w:eastAsia="Times New Roman" w:hAnsi="Times New Roman" w:cs="Times New Roman"/>
          <w:color w:val="000000"/>
        </w:rPr>
        <w:t>). Green: TMPRSS2 (Hs-TMPRSS2); Yellow: ACE2 (Hs-ACE2-C2); Red: SARS-CoV-2 (V-nCoV2019-S-C3); Blue: DAPI. Magnified panels (right) show the single channel staining of</w:t>
      </w:r>
      <w:r>
        <w:rPr>
          <w:rFonts w:ascii="Times New Roman" w:eastAsia="Times New Roman" w:hAnsi="Times New Roman" w:cs="Times New Roman"/>
          <w:color w:val="000000"/>
        </w:rPr>
        <w:t xml:space="preserve"> each probe in Donor L1. Scale bar represents 20 </w:t>
      </w:r>
      <w:proofErr w:type="spellStart"/>
      <w:r>
        <w:rPr>
          <w:rFonts w:ascii="Times New Roman" w:eastAsia="Times New Roman" w:hAnsi="Times New Roman" w:cs="Times New Roman"/>
          <w:color w:val="000000"/>
        </w:rPr>
        <w:t>μm</w:t>
      </w:r>
      <w:proofErr w:type="spellEnd"/>
      <w:r>
        <w:rPr>
          <w:rFonts w:ascii="Times New Roman" w:eastAsia="Times New Roman" w:hAnsi="Times New Roman" w:cs="Times New Roman"/>
          <w:color w:val="000000"/>
        </w:rPr>
        <w:t xml:space="preserve">. (D) Heatmap of pathways exhibiting a </w:t>
      </w:r>
      <w:proofErr w:type="spellStart"/>
      <w:r>
        <w:rPr>
          <w:rFonts w:ascii="Times New Roman" w:eastAsia="Times New Roman" w:hAnsi="Times New Roman" w:cs="Times New Roman"/>
          <w:color w:val="000000"/>
        </w:rPr>
        <w:t>zonated</w:t>
      </w:r>
      <w:proofErr w:type="spellEnd"/>
      <w:r>
        <w:rPr>
          <w:rFonts w:ascii="Times New Roman" w:eastAsia="Times New Roman" w:hAnsi="Times New Roman" w:cs="Times New Roman"/>
          <w:color w:val="000000"/>
        </w:rPr>
        <w:t xml:space="preserve"> activity gradient in the DSP WTA data. The </w:t>
      </w:r>
      <w:proofErr w:type="spellStart"/>
      <w:r>
        <w:rPr>
          <w:rFonts w:ascii="Times New Roman" w:eastAsia="Times New Roman" w:hAnsi="Times New Roman" w:cs="Times New Roman"/>
          <w:color w:val="000000"/>
        </w:rPr>
        <w:t>zonated</w:t>
      </w:r>
      <w:proofErr w:type="spellEnd"/>
      <w:r>
        <w:rPr>
          <w:rFonts w:ascii="Times New Roman" w:eastAsia="Times New Roman" w:hAnsi="Times New Roman" w:cs="Times New Roman"/>
          <w:color w:val="000000"/>
        </w:rPr>
        <w:t xml:space="preserve"> pathways were determined by regressing the normalized distance to the zone 1 ROI with the pathway activity score. Color denotes the average pathway activity score of all regions of interest (ROIs) collected for each lobular zone following normalization for batch. Displayed pathways are derived from GO, </w:t>
      </w:r>
      <w:proofErr w:type="spellStart"/>
      <w:r>
        <w:rPr>
          <w:rFonts w:ascii="Times New Roman" w:eastAsia="Times New Roman" w:hAnsi="Times New Roman" w:cs="Times New Roman"/>
          <w:color w:val="000000"/>
        </w:rPr>
        <w:t>Biocarta</w:t>
      </w:r>
      <w:proofErr w:type="spellEnd"/>
      <w:r>
        <w:rPr>
          <w:rFonts w:ascii="Times New Roman" w:eastAsia="Times New Roman" w:hAnsi="Times New Roman" w:cs="Times New Roman"/>
          <w:color w:val="000000"/>
        </w:rPr>
        <w:t xml:space="preserve"> (B), and </w:t>
      </w:r>
      <w:proofErr w:type="spellStart"/>
      <w:r>
        <w:rPr>
          <w:rFonts w:ascii="Times New Roman" w:eastAsia="Times New Roman" w:hAnsi="Times New Roman" w:cs="Times New Roman"/>
          <w:color w:val="000000"/>
        </w:rPr>
        <w:t>Reactome</w:t>
      </w:r>
      <w:proofErr w:type="spellEnd"/>
      <w:r>
        <w:rPr>
          <w:rFonts w:ascii="Times New Roman" w:eastAsia="Times New Roman" w:hAnsi="Times New Roman" w:cs="Times New Roman"/>
          <w:color w:val="000000"/>
        </w:rPr>
        <w:t xml:space="preserve"> (R). (E) Zonation distance diagr</w:t>
      </w:r>
      <w:r>
        <w:rPr>
          <w:rFonts w:ascii="Times New Roman" w:eastAsia="Times New Roman" w:hAnsi="Times New Roman" w:cs="Times New Roman"/>
          <w:color w:val="000000"/>
        </w:rPr>
        <w:t>am depicting the rotation/scale invariant modeling applied for the calculation of the pathway activity score gradient. The ROIs were grouped by lobule and the distance to the corresponding zone 1 ROI was normalized to the (0,1) range. The normalized distance accounts for differences in scale and orientation.</w:t>
      </w:r>
    </w:p>
    <w:p w14:paraId="1E2B19A7" w14:textId="77777777" w:rsidR="00766EED" w:rsidRDefault="00766EED">
      <w:pPr>
        <w:spacing w:line="240" w:lineRule="auto"/>
        <w:ind w:left="1080"/>
        <w:jc w:val="both"/>
        <w:rPr>
          <w:rFonts w:ascii="Times New Roman" w:eastAsia="Times New Roman" w:hAnsi="Times New Roman" w:cs="Times New Roman"/>
        </w:rPr>
      </w:pPr>
    </w:p>
    <w:p w14:paraId="7683DF66" w14:textId="77777777" w:rsidR="00766EED" w:rsidRDefault="00766EED">
      <w:pPr>
        <w:ind w:left="1080"/>
        <w:jc w:val="both"/>
        <w:rPr>
          <w:rFonts w:ascii="Times New Roman" w:eastAsia="Times New Roman" w:hAnsi="Times New Roman" w:cs="Times New Roman"/>
          <w:b/>
          <w:color w:val="000000"/>
        </w:rPr>
      </w:pPr>
    </w:p>
    <w:p w14:paraId="3C1E540D" w14:textId="77777777" w:rsidR="00766EED" w:rsidRDefault="00766EED">
      <w:pPr>
        <w:widowControl w:val="0"/>
        <w:pBdr>
          <w:top w:val="nil"/>
          <w:left w:val="nil"/>
          <w:bottom w:val="nil"/>
          <w:right w:val="nil"/>
          <w:between w:val="nil"/>
        </w:pBdr>
        <w:spacing w:line="240" w:lineRule="auto"/>
        <w:ind w:left="1080"/>
        <w:jc w:val="both"/>
        <w:rPr>
          <w:rFonts w:ascii="Times New Roman" w:eastAsia="Times New Roman" w:hAnsi="Times New Roman" w:cs="Times New Roman"/>
          <w:b/>
          <w:color w:val="000000"/>
        </w:rPr>
      </w:pPr>
    </w:p>
    <w:p w14:paraId="728B4445" w14:textId="77777777" w:rsidR="00766EED" w:rsidRDefault="00E85A86">
      <w:pPr>
        <w:widowControl w:val="0"/>
        <w:pBdr>
          <w:top w:val="nil"/>
          <w:left w:val="nil"/>
          <w:bottom w:val="nil"/>
          <w:right w:val="nil"/>
          <w:between w:val="nil"/>
        </w:pBdr>
        <w:spacing w:line="240" w:lineRule="auto"/>
        <w:ind w:left="1080"/>
        <w:jc w:val="center"/>
        <w:rPr>
          <w:rFonts w:ascii="Times New Roman" w:eastAsia="Times New Roman" w:hAnsi="Times New Roman" w:cs="Times New Roman"/>
          <w:b/>
          <w:color w:val="000000"/>
        </w:rPr>
      </w:pPr>
      <w:r>
        <w:rPr>
          <w:rFonts w:ascii="Times New Roman" w:eastAsia="Times New Roman" w:hAnsi="Times New Roman" w:cs="Times New Roman"/>
          <w:b/>
          <w:noProof/>
          <w:color w:val="000000"/>
        </w:rPr>
        <w:lastRenderedPageBreak/>
        <w:drawing>
          <wp:inline distT="0" distB="0" distL="0" distR="0" wp14:anchorId="61B6259F" wp14:editId="23CE2DF7">
            <wp:extent cx="5156164" cy="7576011"/>
            <wp:effectExtent l="0" t="0" r="0" b="0"/>
            <wp:docPr id="1894060774" name="image8.png" descr="A screenshot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A screenshot of a graph&#10;&#10;Description automatically generated"/>
                    <pic:cNvPicPr preferRelativeResize="0"/>
                  </pic:nvPicPr>
                  <pic:blipFill>
                    <a:blip r:embed="rId6"/>
                    <a:srcRect b="6133"/>
                    <a:stretch>
                      <a:fillRect/>
                    </a:stretch>
                  </pic:blipFill>
                  <pic:spPr>
                    <a:xfrm>
                      <a:off x="0" y="0"/>
                      <a:ext cx="5156164" cy="7576011"/>
                    </a:xfrm>
                    <a:prstGeom prst="rect">
                      <a:avLst/>
                    </a:prstGeom>
                    <a:ln/>
                  </pic:spPr>
                </pic:pic>
              </a:graphicData>
            </a:graphic>
          </wp:inline>
        </w:drawing>
      </w:r>
    </w:p>
    <w:p w14:paraId="63C70B31" w14:textId="77777777" w:rsidR="00766EED" w:rsidRDefault="00E85A86">
      <w:pPr>
        <w:widowControl w:val="0"/>
        <w:pBdr>
          <w:top w:val="nil"/>
          <w:left w:val="nil"/>
          <w:bottom w:val="nil"/>
          <w:right w:val="nil"/>
          <w:between w:val="nil"/>
        </w:pBdr>
        <w:spacing w:line="240" w:lineRule="auto"/>
        <w:ind w:left="1080"/>
        <w:jc w:val="both"/>
        <w:rPr>
          <w:rFonts w:ascii="Times New Roman" w:eastAsia="Times New Roman" w:hAnsi="Times New Roman" w:cs="Times New Roman"/>
          <w:b/>
          <w:color w:val="000000"/>
        </w:rPr>
      </w:pPr>
      <w:r>
        <w:rPr>
          <w:rFonts w:ascii="Times New Roman" w:eastAsia="Times New Roman" w:hAnsi="Times New Roman" w:cs="Times New Roman"/>
          <w:b/>
          <w:color w:val="000000"/>
        </w:rPr>
        <w:t>Figure S2</w:t>
      </w:r>
      <w:r>
        <w:rPr>
          <w:rFonts w:ascii="Times New Roman" w:eastAsia="Times New Roman" w:hAnsi="Times New Roman" w:cs="Times New Roman"/>
          <w:color w:val="000000"/>
        </w:rPr>
        <w:t>: (A) Uniform manifold approximation and projection (UMAP) depicting gene marker expression in the Hepatocytes compartment. (B) UMAP of markers with higher expression in the left or right portions of the Hepatocyte compartment, denoting a potential division of labor.</w:t>
      </w:r>
    </w:p>
    <w:p w14:paraId="66054804" w14:textId="77777777" w:rsidR="00766EED" w:rsidRDefault="00E85A86">
      <w:pPr>
        <w:widowControl w:val="0"/>
        <w:pBdr>
          <w:top w:val="nil"/>
          <w:left w:val="nil"/>
          <w:bottom w:val="nil"/>
          <w:right w:val="nil"/>
          <w:between w:val="nil"/>
        </w:pBdr>
        <w:spacing w:line="240" w:lineRule="auto"/>
        <w:ind w:left="1080"/>
        <w:jc w:val="center"/>
        <w:rPr>
          <w:rFonts w:ascii="Times New Roman" w:eastAsia="Times New Roman" w:hAnsi="Times New Roman" w:cs="Times New Roman"/>
          <w:b/>
          <w:color w:val="000000"/>
        </w:rPr>
      </w:pPr>
      <w:r>
        <w:rPr>
          <w:rFonts w:ascii="Times New Roman" w:eastAsia="Times New Roman" w:hAnsi="Times New Roman" w:cs="Times New Roman"/>
          <w:b/>
          <w:noProof/>
          <w:color w:val="000000"/>
        </w:rPr>
        <w:lastRenderedPageBreak/>
        <w:drawing>
          <wp:inline distT="0" distB="0" distL="0" distR="0" wp14:anchorId="37C6111B" wp14:editId="448B1160">
            <wp:extent cx="5301135" cy="8297943"/>
            <wp:effectExtent l="0" t="0" r="0" b="0"/>
            <wp:docPr id="1894060773" name="image5.png" descr="A collage of different colored graph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A collage of different colored graphs&#10;&#10;Description automatically generated"/>
                    <pic:cNvPicPr preferRelativeResize="0"/>
                  </pic:nvPicPr>
                  <pic:blipFill>
                    <a:blip r:embed="rId7"/>
                    <a:srcRect/>
                    <a:stretch>
                      <a:fillRect/>
                    </a:stretch>
                  </pic:blipFill>
                  <pic:spPr>
                    <a:xfrm>
                      <a:off x="0" y="0"/>
                      <a:ext cx="5301135" cy="8297943"/>
                    </a:xfrm>
                    <a:prstGeom prst="rect">
                      <a:avLst/>
                    </a:prstGeom>
                    <a:ln/>
                  </pic:spPr>
                </pic:pic>
              </a:graphicData>
            </a:graphic>
          </wp:inline>
        </w:drawing>
      </w:r>
    </w:p>
    <w:p w14:paraId="73A8ACE6" w14:textId="77777777" w:rsidR="00766EED" w:rsidRDefault="00E85A86">
      <w:pPr>
        <w:spacing w:line="240" w:lineRule="auto"/>
        <w:ind w:left="1080"/>
        <w:jc w:val="both"/>
        <w:rPr>
          <w:rFonts w:ascii="Times New Roman" w:eastAsia="Times New Roman" w:hAnsi="Times New Roman" w:cs="Times New Roman"/>
        </w:rPr>
      </w:pPr>
      <w:r>
        <w:rPr>
          <w:rFonts w:ascii="Times New Roman" w:eastAsia="Times New Roman" w:hAnsi="Times New Roman" w:cs="Times New Roman"/>
          <w:b/>
          <w:color w:val="000000"/>
        </w:rPr>
        <w:t>Figure S3</w:t>
      </w:r>
      <w:r>
        <w:rPr>
          <w:rFonts w:ascii="Times New Roman" w:eastAsia="Times New Roman" w:hAnsi="Times New Roman" w:cs="Times New Roman"/>
          <w:color w:val="000000"/>
        </w:rPr>
        <w:t xml:space="preserve">: (A-C) Heatmaps capturing highly active pathways based on pathway activity scores in (A) Hepatocytes, (B) Right versus Left Hepatocyte compartment cellular populations and (C) HEP2 versus HEP7 cellular populations. (D) </w:t>
      </w:r>
      <w:proofErr w:type="spellStart"/>
      <w:r>
        <w:rPr>
          <w:rFonts w:ascii="Times New Roman" w:eastAsia="Times New Roman" w:hAnsi="Times New Roman" w:cs="Times New Roman"/>
          <w:color w:val="000000"/>
          <w:highlight w:val="white"/>
        </w:rPr>
        <w:t>Pseudotime</w:t>
      </w:r>
      <w:proofErr w:type="spellEnd"/>
      <w:r>
        <w:rPr>
          <w:rFonts w:ascii="Times New Roman" w:eastAsia="Times New Roman" w:hAnsi="Times New Roman" w:cs="Times New Roman"/>
          <w:color w:val="000000"/>
          <w:highlight w:val="white"/>
        </w:rPr>
        <w:t xml:space="preserve"> analysis using Slingshot. Cells are colored based on </w:t>
      </w:r>
      <w:proofErr w:type="spellStart"/>
      <w:r>
        <w:rPr>
          <w:rFonts w:ascii="Times New Roman" w:eastAsia="Times New Roman" w:hAnsi="Times New Roman" w:cs="Times New Roman"/>
          <w:color w:val="000000"/>
          <w:highlight w:val="white"/>
        </w:rPr>
        <w:t>pseudotime</w:t>
      </w:r>
      <w:proofErr w:type="spellEnd"/>
      <w:r>
        <w:rPr>
          <w:rFonts w:ascii="Times New Roman" w:eastAsia="Times New Roman" w:hAnsi="Times New Roman" w:cs="Times New Roman"/>
          <w:color w:val="000000"/>
          <w:highlight w:val="white"/>
        </w:rPr>
        <w:t xml:space="preserve"> values and are projected on the first 2 primary harmony embeddings across 5 lineages of Hepatocyte and Biliary epithelial cells for (Left) COVID-19 </w:t>
      </w:r>
      <w:r>
        <w:rPr>
          <w:rFonts w:ascii="Times New Roman" w:eastAsia="Times New Roman" w:hAnsi="Times New Roman" w:cs="Times New Roman"/>
          <w:color w:val="000000"/>
          <w:highlight w:val="white"/>
        </w:rPr>
        <w:lastRenderedPageBreak/>
        <w:t>and (Right) healthy liver samples. The initiating and terminal lineag</w:t>
      </w:r>
      <w:r>
        <w:rPr>
          <w:rFonts w:ascii="Times New Roman" w:eastAsia="Times New Roman" w:hAnsi="Times New Roman" w:cs="Times New Roman"/>
          <w:color w:val="000000"/>
          <w:highlight w:val="white"/>
        </w:rPr>
        <w:t xml:space="preserve">e nodes are represented with green and red, respectively. (E) Projection of the </w:t>
      </w:r>
      <w:proofErr w:type="spellStart"/>
      <w:r>
        <w:rPr>
          <w:rFonts w:ascii="Times New Roman" w:eastAsia="Times New Roman" w:hAnsi="Times New Roman" w:cs="Times New Roman"/>
          <w:color w:val="000000"/>
          <w:highlight w:val="white"/>
        </w:rPr>
        <w:t>CosMx</w:t>
      </w:r>
      <w:proofErr w:type="spellEnd"/>
      <w:r>
        <w:rPr>
          <w:rFonts w:ascii="Times New Roman" w:eastAsia="Times New Roman" w:hAnsi="Times New Roman" w:cs="Times New Roman"/>
          <w:color w:val="000000"/>
          <w:highlight w:val="white"/>
        </w:rPr>
        <w:t xml:space="preserve"> Control Liver hepatocytes onto the COVID-19 hepatocyte UMAP. The HEP7 area of the UMAP is marked with grey, showing a lack of mapped cells in this region. (F) Scaled and centered expression of the </w:t>
      </w:r>
      <w:r>
        <w:rPr>
          <w:rFonts w:ascii="Times New Roman" w:eastAsia="Times New Roman" w:hAnsi="Times New Roman" w:cs="Times New Roman"/>
          <w:i/>
          <w:color w:val="000000"/>
          <w:highlight w:val="white"/>
        </w:rPr>
        <w:t>HSP90AA1</w:t>
      </w:r>
      <w:r>
        <w:rPr>
          <w:rFonts w:ascii="Times New Roman" w:eastAsia="Times New Roman" w:hAnsi="Times New Roman" w:cs="Times New Roman"/>
          <w:color w:val="000000"/>
          <w:highlight w:val="white"/>
        </w:rPr>
        <w:t xml:space="preserve">, </w:t>
      </w:r>
      <w:r>
        <w:rPr>
          <w:rFonts w:ascii="Times New Roman" w:eastAsia="Times New Roman" w:hAnsi="Times New Roman" w:cs="Times New Roman"/>
          <w:i/>
          <w:color w:val="000000"/>
          <w:highlight w:val="white"/>
        </w:rPr>
        <w:t>HS90AB1</w:t>
      </w:r>
      <w:r>
        <w:rPr>
          <w:rFonts w:ascii="Times New Roman" w:eastAsia="Times New Roman" w:hAnsi="Times New Roman" w:cs="Times New Roman"/>
          <w:color w:val="000000"/>
          <w:highlight w:val="white"/>
        </w:rPr>
        <w:t xml:space="preserve">, </w:t>
      </w:r>
      <w:r>
        <w:rPr>
          <w:rFonts w:ascii="Times New Roman" w:eastAsia="Times New Roman" w:hAnsi="Times New Roman" w:cs="Times New Roman"/>
          <w:i/>
          <w:color w:val="000000"/>
          <w:highlight w:val="white"/>
        </w:rPr>
        <w:t>HSPA1A</w:t>
      </w:r>
      <w:r>
        <w:rPr>
          <w:rFonts w:ascii="Times New Roman" w:eastAsia="Times New Roman" w:hAnsi="Times New Roman" w:cs="Times New Roman"/>
          <w:color w:val="000000"/>
          <w:highlight w:val="white"/>
        </w:rPr>
        <w:t xml:space="preserve">, and </w:t>
      </w:r>
      <w:r>
        <w:rPr>
          <w:rFonts w:ascii="Times New Roman" w:eastAsia="Times New Roman" w:hAnsi="Times New Roman" w:cs="Times New Roman"/>
          <w:i/>
          <w:color w:val="000000"/>
          <w:highlight w:val="white"/>
        </w:rPr>
        <w:t>HSPB1</w:t>
      </w:r>
      <w:r>
        <w:rPr>
          <w:rFonts w:ascii="Times New Roman" w:eastAsia="Times New Roman" w:hAnsi="Times New Roman" w:cs="Times New Roman"/>
          <w:color w:val="000000"/>
          <w:highlight w:val="white"/>
        </w:rPr>
        <w:t xml:space="preserve"> genes encoding for Hsp90, Hsp90-beta, Hsp72, and Hsp27 heat shock proteins across the three hepatic lobule zones from the COVID-19 patient DSP WTA spatial transcriptomic dataset. </w:t>
      </w:r>
      <w:r>
        <w:rPr>
          <w:rFonts w:ascii="Times New Roman" w:eastAsia="Times New Roman" w:hAnsi="Times New Roman" w:cs="Times New Roman"/>
          <w:color w:val="000000"/>
        </w:rPr>
        <w:t>(G) Heatmap c</w:t>
      </w:r>
      <w:r>
        <w:rPr>
          <w:rFonts w:ascii="Times New Roman" w:eastAsia="Times New Roman" w:hAnsi="Times New Roman" w:cs="Times New Roman"/>
          <w:color w:val="000000"/>
        </w:rPr>
        <w:t>apturing pathways based on pathway activity scores in SARS-CoV-2+ hepatocytes compared to SARS-CoV-2- hepatocytes with significant differences (FDR &lt; 0.05).   </w:t>
      </w:r>
    </w:p>
    <w:p w14:paraId="28FDDF87" w14:textId="77777777" w:rsidR="00766EED" w:rsidRDefault="00766EED">
      <w:pPr>
        <w:widowControl w:val="0"/>
        <w:pBdr>
          <w:top w:val="nil"/>
          <w:left w:val="nil"/>
          <w:bottom w:val="nil"/>
          <w:right w:val="nil"/>
          <w:between w:val="nil"/>
        </w:pBdr>
        <w:spacing w:line="240" w:lineRule="auto"/>
        <w:jc w:val="both"/>
        <w:rPr>
          <w:rFonts w:ascii="Times New Roman" w:eastAsia="Times New Roman" w:hAnsi="Times New Roman" w:cs="Times New Roman"/>
          <w:b/>
          <w:color w:val="000000"/>
        </w:rPr>
      </w:pPr>
    </w:p>
    <w:p w14:paraId="2E750E25" w14:textId="77777777" w:rsidR="00766EED" w:rsidRDefault="00E85A86">
      <w:pPr>
        <w:rPr>
          <w:rFonts w:ascii="Times New Roman" w:eastAsia="Times New Roman" w:hAnsi="Times New Roman" w:cs="Times New Roman"/>
          <w:b/>
          <w:color w:val="000000"/>
        </w:rPr>
      </w:pPr>
      <w:r>
        <w:br w:type="page"/>
      </w:r>
    </w:p>
    <w:p w14:paraId="5BAC5B96" w14:textId="77777777" w:rsidR="00766EED" w:rsidRDefault="00766EED">
      <w:pPr>
        <w:widowControl w:val="0"/>
        <w:pBdr>
          <w:top w:val="nil"/>
          <w:left w:val="nil"/>
          <w:bottom w:val="nil"/>
          <w:right w:val="nil"/>
          <w:between w:val="nil"/>
        </w:pBdr>
        <w:spacing w:line="240" w:lineRule="auto"/>
        <w:ind w:left="1080"/>
        <w:jc w:val="both"/>
        <w:rPr>
          <w:rFonts w:ascii="Times New Roman" w:eastAsia="Times New Roman" w:hAnsi="Times New Roman" w:cs="Times New Roman"/>
          <w:b/>
          <w:color w:val="000000"/>
        </w:rPr>
      </w:pPr>
    </w:p>
    <w:p w14:paraId="7E426188" w14:textId="77777777" w:rsidR="00766EED" w:rsidRDefault="00E85A86">
      <w:pPr>
        <w:widowControl w:val="0"/>
        <w:pBdr>
          <w:top w:val="nil"/>
          <w:left w:val="nil"/>
          <w:bottom w:val="nil"/>
          <w:right w:val="nil"/>
          <w:between w:val="nil"/>
        </w:pBdr>
        <w:spacing w:line="240" w:lineRule="auto"/>
        <w:ind w:left="1080"/>
        <w:jc w:val="center"/>
        <w:rPr>
          <w:rFonts w:ascii="Times New Roman" w:eastAsia="Times New Roman" w:hAnsi="Times New Roman" w:cs="Times New Roman"/>
          <w:b/>
          <w:color w:val="000000"/>
        </w:rPr>
      </w:pPr>
      <w:r>
        <w:rPr>
          <w:rFonts w:ascii="Times New Roman" w:eastAsia="Times New Roman" w:hAnsi="Times New Roman" w:cs="Times New Roman"/>
          <w:b/>
          <w:noProof/>
          <w:color w:val="000000"/>
        </w:rPr>
        <w:drawing>
          <wp:inline distT="0" distB="0" distL="0" distR="0" wp14:anchorId="26265E2D" wp14:editId="28F7B712">
            <wp:extent cx="5146092" cy="6662427"/>
            <wp:effectExtent l="0" t="0" r="0" b="0"/>
            <wp:docPr id="1894060776" name="image2.png" descr="A screenshot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screenshot of a graph&#10;&#10;Description automatically generated"/>
                    <pic:cNvPicPr preferRelativeResize="0"/>
                  </pic:nvPicPr>
                  <pic:blipFill>
                    <a:blip r:embed="rId8"/>
                    <a:srcRect b="17291"/>
                    <a:stretch>
                      <a:fillRect/>
                    </a:stretch>
                  </pic:blipFill>
                  <pic:spPr>
                    <a:xfrm>
                      <a:off x="0" y="0"/>
                      <a:ext cx="5146092" cy="6662427"/>
                    </a:xfrm>
                    <a:prstGeom prst="rect">
                      <a:avLst/>
                    </a:prstGeom>
                    <a:ln/>
                  </pic:spPr>
                </pic:pic>
              </a:graphicData>
            </a:graphic>
          </wp:inline>
        </w:drawing>
      </w:r>
    </w:p>
    <w:p w14:paraId="53A488A7" w14:textId="77777777" w:rsidR="00766EED" w:rsidRDefault="00E85A86">
      <w:pPr>
        <w:widowControl w:val="0"/>
        <w:pBdr>
          <w:top w:val="nil"/>
          <w:left w:val="nil"/>
          <w:bottom w:val="nil"/>
          <w:right w:val="nil"/>
          <w:between w:val="nil"/>
        </w:pBdr>
        <w:spacing w:line="240" w:lineRule="auto"/>
        <w:ind w:left="1080"/>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Figure S4: </w:t>
      </w:r>
      <w:r>
        <w:rPr>
          <w:rFonts w:ascii="Times New Roman" w:eastAsia="Times New Roman" w:hAnsi="Times New Roman" w:cs="Times New Roman"/>
          <w:color w:val="000000"/>
          <w:highlight w:val="white"/>
        </w:rPr>
        <w:t>Viral UMI counts as a function of the number of genes (</w:t>
      </w:r>
      <w:proofErr w:type="spellStart"/>
      <w:r>
        <w:rPr>
          <w:rFonts w:ascii="Times New Roman" w:eastAsia="Times New Roman" w:hAnsi="Times New Roman" w:cs="Times New Roman"/>
          <w:color w:val="000000"/>
          <w:highlight w:val="white"/>
        </w:rPr>
        <w:t>nGenes</w:t>
      </w:r>
      <w:proofErr w:type="spellEnd"/>
      <w:r>
        <w:rPr>
          <w:rFonts w:ascii="Times New Roman" w:eastAsia="Times New Roman" w:hAnsi="Times New Roman" w:cs="Times New Roman"/>
          <w:color w:val="000000"/>
          <w:highlight w:val="white"/>
        </w:rPr>
        <w:t>) or total UMIs (</w:t>
      </w:r>
      <w:proofErr w:type="spellStart"/>
      <w:r>
        <w:rPr>
          <w:rFonts w:ascii="Times New Roman" w:eastAsia="Times New Roman" w:hAnsi="Times New Roman" w:cs="Times New Roman"/>
          <w:color w:val="000000"/>
          <w:highlight w:val="white"/>
        </w:rPr>
        <w:t>nUMI</w:t>
      </w:r>
      <w:proofErr w:type="spellEnd"/>
      <w:r>
        <w:rPr>
          <w:rFonts w:ascii="Times New Roman" w:eastAsia="Times New Roman" w:hAnsi="Times New Roman" w:cs="Times New Roman"/>
          <w:color w:val="000000"/>
          <w:highlight w:val="white"/>
        </w:rPr>
        <w:t>) detected in the snRNA-seq data across all donors. Left: Boxplots per viral UMI count depicting the number of detected genes (top) or total UMIs (bottom) on a log10 scale. Right: Scatterplots of % viral UMI counts per cell vs the number of detected genes (top) or total UMIs (bottom) on a log10 scale.</w:t>
      </w:r>
    </w:p>
    <w:p w14:paraId="6A1B5E62" w14:textId="77777777" w:rsidR="00766EED" w:rsidRDefault="00E85A86">
      <w:pPr>
        <w:widowControl w:val="0"/>
        <w:pBdr>
          <w:top w:val="nil"/>
          <w:left w:val="nil"/>
          <w:bottom w:val="nil"/>
          <w:right w:val="nil"/>
          <w:between w:val="nil"/>
        </w:pBdr>
        <w:spacing w:line="240" w:lineRule="auto"/>
        <w:ind w:left="1080"/>
        <w:jc w:val="center"/>
        <w:rPr>
          <w:rFonts w:ascii="Times New Roman" w:eastAsia="Times New Roman" w:hAnsi="Times New Roman" w:cs="Times New Roman"/>
          <w:b/>
          <w:color w:val="000000"/>
        </w:rPr>
      </w:pPr>
      <w:r>
        <w:rPr>
          <w:rFonts w:ascii="Times New Roman" w:eastAsia="Times New Roman" w:hAnsi="Times New Roman" w:cs="Times New Roman"/>
          <w:b/>
          <w:noProof/>
          <w:color w:val="000000"/>
        </w:rPr>
        <w:lastRenderedPageBreak/>
        <w:drawing>
          <wp:inline distT="0" distB="0" distL="0" distR="0" wp14:anchorId="4236F565" wp14:editId="517104F3">
            <wp:extent cx="5572125" cy="8723327"/>
            <wp:effectExtent l="0" t="0" r="0" b="0"/>
            <wp:docPr id="1894060775" name="image1.jpg" descr="A close-up of a 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close-up of a diagram&#10;&#10;Description automatically generated"/>
                    <pic:cNvPicPr preferRelativeResize="0"/>
                  </pic:nvPicPr>
                  <pic:blipFill>
                    <a:blip r:embed="rId9"/>
                    <a:srcRect/>
                    <a:stretch>
                      <a:fillRect/>
                    </a:stretch>
                  </pic:blipFill>
                  <pic:spPr>
                    <a:xfrm>
                      <a:off x="0" y="0"/>
                      <a:ext cx="5572125" cy="8723327"/>
                    </a:xfrm>
                    <a:prstGeom prst="rect">
                      <a:avLst/>
                    </a:prstGeom>
                    <a:ln/>
                  </pic:spPr>
                </pic:pic>
              </a:graphicData>
            </a:graphic>
          </wp:inline>
        </w:drawing>
      </w:r>
    </w:p>
    <w:p w14:paraId="3700CF23" w14:textId="77777777" w:rsidR="00766EED" w:rsidRDefault="00E85A86">
      <w:pPr>
        <w:spacing w:line="240" w:lineRule="auto"/>
        <w:ind w:left="1080"/>
        <w:jc w:val="both"/>
        <w:rPr>
          <w:rFonts w:ascii="Times New Roman" w:eastAsia="Times New Roman" w:hAnsi="Times New Roman" w:cs="Times New Roman"/>
        </w:rPr>
      </w:pPr>
      <w:r>
        <w:rPr>
          <w:rFonts w:ascii="Times New Roman" w:eastAsia="Times New Roman" w:hAnsi="Times New Roman" w:cs="Times New Roman"/>
          <w:b/>
          <w:color w:val="000000"/>
          <w:highlight w:val="white"/>
        </w:rPr>
        <w:t xml:space="preserve">Figure S5: </w:t>
      </w:r>
      <w:r>
        <w:rPr>
          <w:rFonts w:ascii="Times New Roman" w:eastAsia="Times New Roman" w:hAnsi="Times New Roman" w:cs="Times New Roman"/>
          <w:color w:val="000000"/>
          <w:highlight w:val="white"/>
        </w:rPr>
        <w:t xml:space="preserve">(A) Heatmap portraying cell-cell communication between the detected cell clusters. The color gradient indicates the number of interactions identified between any two cell groups. Recipient/Donor cell-type color is </w:t>
      </w:r>
      <w:r>
        <w:rPr>
          <w:rFonts w:ascii="Times New Roman" w:eastAsia="Times New Roman" w:hAnsi="Times New Roman" w:cs="Times New Roman"/>
          <w:color w:val="000000"/>
          <w:highlight w:val="white"/>
        </w:rPr>
        <w:lastRenderedPageBreak/>
        <w:t xml:space="preserve">portrayed in a blue (healthy) to red (COVID-19) gradient, concordantly with the cell composition fold-change differences between healthy and COVID-19 liver samples. (B) Circle plots portraying the aggregated cell-cell communication network in NRG, EGF, </w:t>
      </w:r>
      <w:proofErr w:type="spellStart"/>
      <w:r>
        <w:rPr>
          <w:rFonts w:ascii="Times New Roman" w:eastAsia="Times New Roman" w:hAnsi="Times New Roman" w:cs="Times New Roman"/>
          <w:color w:val="000000"/>
          <w:highlight w:val="white"/>
        </w:rPr>
        <w:t>TGFb</w:t>
      </w:r>
      <w:proofErr w:type="spellEnd"/>
      <w:r>
        <w:rPr>
          <w:rFonts w:ascii="Times New Roman" w:eastAsia="Times New Roman" w:hAnsi="Times New Roman" w:cs="Times New Roman"/>
          <w:color w:val="000000"/>
          <w:highlight w:val="white"/>
        </w:rPr>
        <w:t>, VEGF, BMP, CXCL, FGF, and PDGF pathways</w:t>
      </w:r>
      <w:r>
        <w:rPr>
          <w:rFonts w:ascii="Times New Roman" w:eastAsia="Times New Roman" w:hAnsi="Times New Roman" w:cs="Times New Roman"/>
          <w:color w:val="000000"/>
          <w:highlight w:val="white"/>
        </w:rPr>
        <w:t xml:space="preserve">. A thicker edge line indicates a stronger signal, while circle sizes are proportional to the number of cells in each cellular compartment. Donor edge-line and circle color are portrayed in a blue (healthy) to red (COVID-19) gradient, concordantly with the cell composition fold-change differences between healthy and COVID-19 liver samples. (C) Dot plots depicting the </w:t>
      </w:r>
      <w:r>
        <w:rPr>
          <w:rFonts w:ascii="Times New Roman" w:eastAsia="Times New Roman" w:hAnsi="Times New Roman" w:cs="Times New Roman"/>
          <w:color w:val="000000"/>
        </w:rPr>
        <w:t>relative communication probability of each ligand-receptor (x-axis) in any two significantly interacting cellular compartments (y-axis) (</w:t>
      </w:r>
      <w:r>
        <w:rPr>
          <w:rFonts w:ascii="Times New Roman" w:eastAsia="Times New Roman" w:hAnsi="Times New Roman" w:cs="Times New Roman"/>
          <w:i/>
          <w:color w:val="000000"/>
        </w:rPr>
        <w:t>P-val</w:t>
      </w:r>
      <w:r>
        <w:rPr>
          <w:rFonts w:ascii="Times New Roman" w:eastAsia="Times New Roman" w:hAnsi="Times New Roman" w:cs="Times New Roman"/>
          <w:i/>
          <w:color w:val="000000"/>
        </w:rPr>
        <w:t>ue</w:t>
      </w:r>
      <w:r>
        <w:rPr>
          <w:rFonts w:ascii="Times New Roman" w:eastAsia="Times New Roman" w:hAnsi="Times New Roman" w:cs="Times New Roman"/>
          <w:color w:val="000000"/>
        </w:rPr>
        <w:t xml:space="preserve"> &lt; 0.01) for </w:t>
      </w:r>
      <w:r>
        <w:rPr>
          <w:rFonts w:ascii="Times New Roman" w:eastAsia="Times New Roman" w:hAnsi="Times New Roman" w:cs="Times New Roman"/>
          <w:color w:val="000000"/>
          <w:highlight w:val="white"/>
        </w:rPr>
        <w:t xml:space="preserve">NRG, EGF, </w:t>
      </w:r>
      <w:proofErr w:type="spellStart"/>
      <w:r>
        <w:rPr>
          <w:rFonts w:ascii="Times New Roman" w:eastAsia="Times New Roman" w:hAnsi="Times New Roman" w:cs="Times New Roman"/>
          <w:color w:val="000000"/>
          <w:highlight w:val="white"/>
        </w:rPr>
        <w:t>TGFb</w:t>
      </w:r>
      <w:proofErr w:type="spellEnd"/>
      <w:r>
        <w:rPr>
          <w:rFonts w:ascii="Times New Roman" w:eastAsia="Times New Roman" w:hAnsi="Times New Roman" w:cs="Times New Roman"/>
          <w:color w:val="000000"/>
          <w:highlight w:val="white"/>
        </w:rPr>
        <w:t xml:space="preserve">, CXCL, BMP, VEGF, FGF, and PDGF pathways.  Lowest to highest </w:t>
      </w:r>
      <w:r>
        <w:rPr>
          <w:rFonts w:ascii="Times New Roman" w:eastAsia="Times New Roman" w:hAnsi="Times New Roman" w:cs="Times New Roman"/>
          <w:color w:val="000000"/>
        </w:rPr>
        <w:t>relative communication probability is portrayed with a blue to red color gradient.</w:t>
      </w:r>
    </w:p>
    <w:p w14:paraId="35173D05" w14:textId="77777777" w:rsidR="00766EED" w:rsidRDefault="00766EED">
      <w:pPr>
        <w:spacing w:line="240" w:lineRule="auto"/>
        <w:ind w:left="1080"/>
        <w:jc w:val="both"/>
        <w:rPr>
          <w:rFonts w:ascii="Times New Roman" w:eastAsia="Times New Roman" w:hAnsi="Times New Roman" w:cs="Times New Roman"/>
        </w:rPr>
      </w:pPr>
    </w:p>
    <w:p w14:paraId="578CB159" w14:textId="77777777" w:rsidR="00766EED" w:rsidRDefault="00766EED">
      <w:pPr>
        <w:widowControl w:val="0"/>
        <w:pBdr>
          <w:top w:val="nil"/>
          <w:left w:val="nil"/>
          <w:bottom w:val="nil"/>
          <w:right w:val="nil"/>
          <w:between w:val="nil"/>
        </w:pBdr>
        <w:spacing w:line="240" w:lineRule="auto"/>
        <w:ind w:left="1080"/>
        <w:jc w:val="both"/>
        <w:rPr>
          <w:rFonts w:ascii="Times New Roman" w:eastAsia="Times New Roman" w:hAnsi="Times New Roman" w:cs="Times New Roman"/>
          <w:b/>
          <w:color w:val="000000"/>
        </w:rPr>
      </w:pPr>
    </w:p>
    <w:p w14:paraId="4B7C7694" w14:textId="77777777" w:rsidR="00766EED" w:rsidRDefault="00E85A86">
      <w:pPr>
        <w:rPr>
          <w:rFonts w:ascii="Times New Roman" w:eastAsia="Times New Roman" w:hAnsi="Times New Roman" w:cs="Times New Roman"/>
          <w:b/>
          <w:color w:val="000000"/>
        </w:rPr>
      </w:pPr>
      <w:r>
        <w:br w:type="page"/>
      </w:r>
    </w:p>
    <w:p w14:paraId="00DDDE0B" w14:textId="77777777" w:rsidR="00766EED" w:rsidRDefault="00766EED">
      <w:pPr>
        <w:widowControl w:val="0"/>
        <w:pBdr>
          <w:top w:val="nil"/>
          <w:left w:val="nil"/>
          <w:bottom w:val="nil"/>
          <w:right w:val="nil"/>
          <w:between w:val="nil"/>
        </w:pBdr>
        <w:spacing w:line="240" w:lineRule="auto"/>
        <w:ind w:left="1080"/>
        <w:jc w:val="both"/>
        <w:rPr>
          <w:rFonts w:ascii="Times New Roman" w:eastAsia="Times New Roman" w:hAnsi="Times New Roman" w:cs="Times New Roman"/>
          <w:b/>
          <w:color w:val="000000"/>
        </w:rPr>
      </w:pPr>
    </w:p>
    <w:p w14:paraId="5A9BEA0B" w14:textId="77777777" w:rsidR="00766EED" w:rsidRDefault="00E85A86">
      <w:pPr>
        <w:widowControl w:val="0"/>
        <w:pBdr>
          <w:top w:val="nil"/>
          <w:left w:val="nil"/>
          <w:bottom w:val="nil"/>
          <w:right w:val="nil"/>
          <w:between w:val="nil"/>
        </w:pBdr>
        <w:spacing w:line="240" w:lineRule="auto"/>
        <w:ind w:left="1080"/>
        <w:jc w:val="center"/>
        <w:rPr>
          <w:rFonts w:ascii="Times New Roman" w:eastAsia="Times New Roman" w:hAnsi="Times New Roman" w:cs="Times New Roman"/>
          <w:b/>
          <w:color w:val="000000"/>
        </w:rPr>
      </w:pPr>
      <w:r>
        <w:rPr>
          <w:rFonts w:ascii="Times New Roman" w:eastAsia="Times New Roman" w:hAnsi="Times New Roman" w:cs="Times New Roman"/>
          <w:b/>
          <w:noProof/>
          <w:color w:val="000000"/>
        </w:rPr>
        <w:drawing>
          <wp:inline distT="0" distB="0" distL="0" distR="0" wp14:anchorId="77D7AF46" wp14:editId="286BF7D5">
            <wp:extent cx="5106203" cy="7992812"/>
            <wp:effectExtent l="0" t="0" r="0" b="0"/>
            <wp:docPr id="1894060770" name="image3.png" descr="A close-up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close-up of a graph&#10;&#10;Description automatically generated"/>
                    <pic:cNvPicPr preferRelativeResize="0"/>
                  </pic:nvPicPr>
                  <pic:blipFill>
                    <a:blip r:embed="rId10"/>
                    <a:srcRect/>
                    <a:stretch>
                      <a:fillRect/>
                    </a:stretch>
                  </pic:blipFill>
                  <pic:spPr>
                    <a:xfrm>
                      <a:off x="0" y="0"/>
                      <a:ext cx="5106203" cy="7992812"/>
                    </a:xfrm>
                    <a:prstGeom prst="rect">
                      <a:avLst/>
                    </a:prstGeom>
                    <a:ln/>
                  </pic:spPr>
                </pic:pic>
              </a:graphicData>
            </a:graphic>
          </wp:inline>
        </w:drawing>
      </w:r>
    </w:p>
    <w:p w14:paraId="2A6E7B9E" w14:textId="77777777" w:rsidR="00766EED" w:rsidRDefault="00E85A86">
      <w:pPr>
        <w:widowControl w:val="0"/>
        <w:pBdr>
          <w:top w:val="nil"/>
          <w:left w:val="nil"/>
          <w:bottom w:val="nil"/>
          <w:right w:val="nil"/>
          <w:between w:val="nil"/>
        </w:pBdr>
        <w:spacing w:line="240" w:lineRule="auto"/>
        <w:ind w:left="1080"/>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Figure S6: </w:t>
      </w:r>
      <w:r>
        <w:rPr>
          <w:rFonts w:ascii="Times New Roman" w:eastAsia="Times New Roman" w:hAnsi="Times New Roman" w:cs="Times New Roman"/>
          <w:color w:val="000000"/>
        </w:rPr>
        <w:t xml:space="preserve">(A) Probability of each snRNA-seq cluster being localized in the hepatic lobular region based on the DSP WTA data. (B) Representative images of serial sections from four consecutive liver core biopsies samples (BIDMC cohort, donors L1 to L4 as indicated on each column) stained for the ductular/cholangiocyte cell marker CK19, HSC activation maker α-SMA, and connective tissue (picrosirius red), as indicated. All images were acquired at the same magnification (scale bar is 50um). (C) Dot plot for </w:t>
      </w:r>
      <w:r>
        <w:rPr>
          <w:rFonts w:ascii="Times New Roman" w:eastAsia="Times New Roman" w:hAnsi="Times New Roman" w:cs="Times New Roman"/>
          <w:i/>
          <w:color w:val="000000"/>
        </w:rPr>
        <w:t>MKI67</w:t>
      </w:r>
      <w:r>
        <w:rPr>
          <w:rFonts w:ascii="Times New Roman" w:eastAsia="Times New Roman" w:hAnsi="Times New Roman" w:cs="Times New Roman"/>
          <w:color w:val="000000"/>
        </w:rPr>
        <w:t xml:space="preserve"> (marker</w:t>
      </w:r>
      <w:r>
        <w:rPr>
          <w:rFonts w:ascii="Times New Roman" w:eastAsia="Times New Roman" w:hAnsi="Times New Roman" w:cs="Times New Roman"/>
          <w:color w:val="000000"/>
        </w:rPr>
        <w:t xml:space="preserve"> of proliferation </w:t>
      </w:r>
      <w:r>
        <w:rPr>
          <w:rFonts w:ascii="Times New Roman" w:eastAsia="Times New Roman" w:hAnsi="Times New Roman" w:cs="Times New Roman"/>
          <w:i/>
          <w:color w:val="000000"/>
        </w:rPr>
        <w:t>Ki-67</w:t>
      </w:r>
      <w:r>
        <w:rPr>
          <w:rFonts w:ascii="Times New Roman" w:eastAsia="Times New Roman" w:hAnsi="Times New Roman" w:cs="Times New Roman"/>
          <w:color w:val="000000"/>
        </w:rPr>
        <w:t xml:space="preserve">), a canonical </w:t>
      </w:r>
      <w:r>
        <w:rPr>
          <w:rFonts w:ascii="Times New Roman" w:eastAsia="Times New Roman" w:hAnsi="Times New Roman" w:cs="Times New Roman"/>
          <w:color w:val="000000"/>
        </w:rPr>
        <w:lastRenderedPageBreak/>
        <w:t xml:space="preserve">marker for proliferation across the macrophage clusters. We characterized MAC4 as Replicating </w:t>
      </w:r>
      <w:proofErr w:type="spellStart"/>
      <w:r>
        <w:rPr>
          <w:rFonts w:ascii="Times New Roman" w:eastAsia="Times New Roman" w:hAnsi="Times New Roman" w:cs="Times New Roman"/>
          <w:color w:val="000000"/>
        </w:rPr>
        <w:t>Kupffner</w:t>
      </w:r>
      <w:proofErr w:type="spellEnd"/>
      <w:r>
        <w:rPr>
          <w:rFonts w:ascii="Times New Roman" w:eastAsia="Times New Roman" w:hAnsi="Times New Roman" w:cs="Times New Roman"/>
          <w:color w:val="000000"/>
        </w:rPr>
        <w:t xml:space="preserve"> Cells. (D) Pathway activity score for the Kupffer cell proliferation signature for the macrophage clusters of the immune compartment. MAC4 was characterized as Replicating Kupffer Cells. (E) Pathway activity score for the endothelial cell proliferation signature for the Endothelial cell clusters. EC12 was annotated as Replicating Endothelial Cells.</w:t>
      </w:r>
    </w:p>
    <w:p w14:paraId="6B89369C" w14:textId="77777777" w:rsidR="00766EED" w:rsidRDefault="00E85A86">
      <w:pPr>
        <w:rPr>
          <w:rFonts w:ascii="Times New Roman" w:eastAsia="Times New Roman" w:hAnsi="Times New Roman" w:cs="Times New Roman"/>
          <w:b/>
          <w:color w:val="000000"/>
        </w:rPr>
      </w:pPr>
      <w:r>
        <w:br w:type="page"/>
      </w:r>
    </w:p>
    <w:p w14:paraId="0A00F330" w14:textId="77777777" w:rsidR="00766EED" w:rsidRDefault="00766EED">
      <w:pPr>
        <w:widowControl w:val="0"/>
        <w:pBdr>
          <w:top w:val="nil"/>
          <w:left w:val="nil"/>
          <w:bottom w:val="nil"/>
          <w:right w:val="nil"/>
          <w:between w:val="nil"/>
        </w:pBdr>
        <w:spacing w:line="240" w:lineRule="auto"/>
        <w:ind w:left="1080"/>
        <w:jc w:val="both"/>
        <w:rPr>
          <w:rFonts w:ascii="Times New Roman" w:eastAsia="Times New Roman" w:hAnsi="Times New Roman" w:cs="Times New Roman"/>
          <w:b/>
          <w:color w:val="000000"/>
        </w:rPr>
      </w:pPr>
    </w:p>
    <w:p w14:paraId="617E3D4B" w14:textId="77777777" w:rsidR="00766EED" w:rsidRDefault="00E85A86">
      <w:pPr>
        <w:widowControl w:val="0"/>
        <w:pBdr>
          <w:top w:val="nil"/>
          <w:left w:val="nil"/>
          <w:bottom w:val="nil"/>
          <w:right w:val="nil"/>
          <w:between w:val="nil"/>
        </w:pBdr>
        <w:spacing w:line="240" w:lineRule="auto"/>
        <w:ind w:left="1080"/>
        <w:jc w:val="both"/>
        <w:rPr>
          <w:rFonts w:ascii="Times New Roman" w:eastAsia="Times New Roman" w:hAnsi="Times New Roman" w:cs="Times New Roman"/>
          <w:b/>
          <w:color w:val="000000"/>
        </w:rPr>
      </w:pPr>
      <w:r>
        <w:rPr>
          <w:rFonts w:ascii="Times New Roman" w:eastAsia="Times New Roman" w:hAnsi="Times New Roman" w:cs="Times New Roman"/>
          <w:b/>
          <w:noProof/>
          <w:color w:val="000000"/>
        </w:rPr>
        <w:drawing>
          <wp:inline distT="0" distB="0" distL="0" distR="0" wp14:anchorId="510F7354" wp14:editId="58C84C42">
            <wp:extent cx="5993765" cy="7947765"/>
            <wp:effectExtent l="0" t="0" r="0" b="0"/>
            <wp:docPr id="1894060769" name="image6.png" descr="A close-up of a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close-up of a chart&#10;&#10;Description automatically generated"/>
                    <pic:cNvPicPr preferRelativeResize="0"/>
                  </pic:nvPicPr>
                  <pic:blipFill>
                    <a:blip r:embed="rId11"/>
                    <a:srcRect b="15288"/>
                    <a:stretch>
                      <a:fillRect/>
                    </a:stretch>
                  </pic:blipFill>
                  <pic:spPr>
                    <a:xfrm>
                      <a:off x="0" y="0"/>
                      <a:ext cx="5993765" cy="7947765"/>
                    </a:xfrm>
                    <a:prstGeom prst="rect">
                      <a:avLst/>
                    </a:prstGeom>
                    <a:ln/>
                  </pic:spPr>
                </pic:pic>
              </a:graphicData>
            </a:graphic>
          </wp:inline>
        </w:drawing>
      </w:r>
    </w:p>
    <w:p w14:paraId="430263AD" w14:textId="77777777" w:rsidR="00766EED" w:rsidRDefault="00E85A86">
      <w:pPr>
        <w:spacing w:line="240" w:lineRule="auto"/>
        <w:ind w:left="1080"/>
        <w:jc w:val="both"/>
        <w:rPr>
          <w:rFonts w:ascii="Times New Roman" w:eastAsia="Times New Roman" w:hAnsi="Times New Roman" w:cs="Times New Roman"/>
        </w:rPr>
      </w:pPr>
      <w:r>
        <w:rPr>
          <w:rFonts w:ascii="Times New Roman" w:eastAsia="Times New Roman" w:hAnsi="Times New Roman" w:cs="Times New Roman"/>
          <w:b/>
          <w:color w:val="000000"/>
        </w:rPr>
        <w:t xml:space="preserve">Figure S7: </w:t>
      </w:r>
      <w:r>
        <w:rPr>
          <w:rFonts w:ascii="Times New Roman" w:eastAsia="Times New Roman" w:hAnsi="Times New Roman" w:cs="Times New Roman"/>
          <w:color w:val="000000"/>
          <w:highlight w:val="white"/>
        </w:rPr>
        <w:t xml:space="preserve">(A) Heatmap portraying cell-cell communication between the COVID-19 liver cell populations and the enriched hepatocytes in SARS-CoV-2 reads (HEP Inf). The color gradient indicates the strength of interaction between any two cell groups. Recipient/Donor cell-type color is portrayed in blue (significantly increased in healthy), red (significantly increased in COVID-19) and black (no significant difference in cell proportions), concordantly with the cell composition fold-change differences between healthy and </w:t>
      </w:r>
      <w:r>
        <w:rPr>
          <w:rFonts w:ascii="Times New Roman" w:eastAsia="Times New Roman" w:hAnsi="Times New Roman" w:cs="Times New Roman"/>
          <w:color w:val="000000"/>
          <w:highlight w:val="white"/>
        </w:rPr>
        <w:t xml:space="preserve">COVID-19 liver samples. (B) Dot plot depicting the </w:t>
      </w:r>
      <w:r>
        <w:rPr>
          <w:rFonts w:ascii="Times New Roman" w:eastAsia="Times New Roman" w:hAnsi="Times New Roman" w:cs="Times New Roman"/>
          <w:color w:val="000000"/>
        </w:rPr>
        <w:t xml:space="preserve">relative communication probability of each ligand-receptor (x-axis) in any two significantly </w:t>
      </w:r>
      <w:r>
        <w:rPr>
          <w:rFonts w:ascii="Times New Roman" w:eastAsia="Times New Roman" w:hAnsi="Times New Roman" w:cs="Times New Roman"/>
          <w:color w:val="000000"/>
        </w:rPr>
        <w:lastRenderedPageBreak/>
        <w:t>interacting cellular compartments (y-axis) (</w:t>
      </w:r>
      <w:r>
        <w:rPr>
          <w:rFonts w:ascii="Times New Roman" w:eastAsia="Times New Roman" w:hAnsi="Times New Roman" w:cs="Times New Roman"/>
          <w:i/>
          <w:color w:val="000000"/>
        </w:rPr>
        <w:t>P-value</w:t>
      </w:r>
      <w:r>
        <w:rPr>
          <w:rFonts w:ascii="Times New Roman" w:eastAsia="Times New Roman" w:hAnsi="Times New Roman" w:cs="Times New Roman"/>
          <w:color w:val="000000"/>
        </w:rPr>
        <w:t xml:space="preserve"> &lt; 0.01) for the </w:t>
      </w:r>
      <w:proofErr w:type="spellStart"/>
      <w:r>
        <w:rPr>
          <w:rFonts w:ascii="Times New Roman" w:eastAsia="Times New Roman" w:hAnsi="Times New Roman" w:cs="Times New Roman"/>
          <w:color w:val="000000"/>
          <w:highlight w:val="white"/>
        </w:rPr>
        <w:t>TGFb</w:t>
      </w:r>
      <w:proofErr w:type="spellEnd"/>
      <w:r>
        <w:rPr>
          <w:rFonts w:ascii="Times New Roman" w:eastAsia="Times New Roman" w:hAnsi="Times New Roman" w:cs="Times New Roman"/>
          <w:color w:val="000000"/>
          <w:highlight w:val="white"/>
        </w:rPr>
        <w:t xml:space="preserve"> pathway between HEP Inf and other cell types. Lowest to highest </w:t>
      </w:r>
      <w:r>
        <w:rPr>
          <w:rFonts w:ascii="Times New Roman" w:eastAsia="Times New Roman" w:hAnsi="Times New Roman" w:cs="Times New Roman"/>
          <w:color w:val="000000"/>
        </w:rPr>
        <w:t xml:space="preserve">relative communication probability is portrayed with a blue to yellow color gradient. (C) </w:t>
      </w:r>
      <w:r>
        <w:rPr>
          <w:rFonts w:ascii="Times New Roman" w:eastAsia="Times New Roman" w:hAnsi="Times New Roman" w:cs="Times New Roman"/>
          <w:color w:val="000000"/>
          <w:highlight w:val="white"/>
        </w:rPr>
        <w:t>Circle plots portraying the aggregated cell-cell communication network in Complement 5 and SEMA4 pathways between HEP Inf and other cell type</w:t>
      </w:r>
      <w:r>
        <w:rPr>
          <w:rFonts w:ascii="Times New Roman" w:eastAsia="Times New Roman" w:hAnsi="Times New Roman" w:cs="Times New Roman"/>
          <w:color w:val="000000"/>
          <w:highlight w:val="white"/>
        </w:rPr>
        <w:t xml:space="preserve">s. A thicker edge line indicates a stronger signal, while circle sizes are proportional to the number of cells in each cellular compartment. Donor edge-line and circle color are portrayed in blue (significantly increased in healthy), red (significantly increased in COVID-19) and black (no significant difference in cell proportions), concordantly with the cell composition fold-change differences between healthy and COVID-19 liver samples. (D) Dot plot depicting the </w:t>
      </w:r>
      <w:r>
        <w:rPr>
          <w:rFonts w:ascii="Times New Roman" w:eastAsia="Times New Roman" w:hAnsi="Times New Roman" w:cs="Times New Roman"/>
          <w:color w:val="000000"/>
        </w:rPr>
        <w:t xml:space="preserve">relative communication probability of each </w:t>
      </w:r>
      <w:r>
        <w:rPr>
          <w:rFonts w:ascii="Times New Roman" w:eastAsia="Times New Roman" w:hAnsi="Times New Roman" w:cs="Times New Roman"/>
          <w:color w:val="000000"/>
        </w:rPr>
        <w:t>ligand-receptor (x-axis) in any two significantly interacting cellular compartments (y-axis) (</w:t>
      </w:r>
      <w:r>
        <w:rPr>
          <w:rFonts w:ascii="Times New Roman" w:eastAsia="Times New Roman" w:hAnsi="Times New Roman" w:cs="Times New Roman"/>
          <w:i/>
          <w:color w:val="000000"/>
        </w:rPr>
        <w:t>P-value</w:t>
      </w:r>
      <w:r>
        <w:rPr>
          <w:rFonts w:ascii="Times New Roman" w:eastAsia="Times New Roman" w:hAnsi="Times New Roman" w:cs="Times New Roman"/>
          <w:color w:val="000000"/>
        </w:rPr>
        <w:t xml:space="preserve"> &lt; 0.01) for </w:t>
      </w:r>
      <w:r>
        <w:rPr>
          <w:rFonts w:ascii="Times New Roman" w:eastAsia="Times New Roman" w:hAnsi="Times New Roman" w:cs="Times New Roman"/>
          <w:color w:val="000000"/>
          <w:highlight w:val="white"/>
        </w:rPr>
        <w:t xml:space="preserve">Complement 5 and SEMA4 pathways among HEP Inf and other cell types. Lowest to highest </w:t>
      </w:r>
      <w:r>
        <w:rPr>
          <w:rFonts w:ascii="Times New Roman" w:eastAsia="Times New Roman" w:hAnsi="Times New Roman" w:cs="Times New Roman"/>
          <w:color w:val="000000"/>
        </w:rPr>
        <w:t>relative communication probability is portrayed with a blue to yellow color gradient.</w:t>
      </w:r>
    </w:p>
    <w:p w14:paraId="4DB6C03C" w14:textId="77777777" w:rsidR="00766EED" w:rsidRDefault="00766EED">
      <w:pPr>
        <w:spacing w:line="240" w:lineRule="auto"/>
        <w:ind w:left="1080"/>
        <w:jc w:val="both"/>
        <w:rPr>
          <w:rFonts w:ascii="Times New Roman" w:eastAsia="Times New Roman" w:hAnsi="Times New Roman" w:cs="Times New Roman"/>
        </w:rPr>
      </w:pPr>
    </w:p>
    <w:p w14:paraId="76F99636" w14:textId="77777777" w:rsidR="00766EED" w:rsidRDefault="00E85A86">
      <w:pPr>
        <w:widowControl w:val="0"/>
        <w:pBdr>
          <w:top w:val="nil"/>
          <w:left w:val="nil"/>
          <w:bottom w:val="nil"/>
          <w:right w:val="nil"/>
          <w:between w:val="nil"/>
        </w:pBdr>
        <w:spacing w:line="240" w:lineRule="auto"/>
        <w:ind w:left="1080"/>
        <w:jc w:val="both"/>
        <w:rPr>
          <w:rFonts w:ascii="Times New Roman" w:eastAsia="Times New Roman" w:hAnsi="Times New Roman" w:cs="Times New Roman"/>
          <w:b/>
        </w:rPr>
      </w:pPr>
      <w:r>
        <w:br w:type="page"/>
      </w:r>
    </w:p>
    <w:p w14:paraId="60047C58" w14:textId="77777777" w:rsidR="00766EED" w:rsidRDefault="00766EED">
      <w:pPr>
        <w:widowControl w:val="0"/>
        <w:pBdr>
          <w:top w:val="nil"/>
          <w:left w:val="nil"/>
          <w:bottom w:val="nil"/>
          <w:right w:val="nil"/>
          <w:between w:val="nil"/>
        </w:pBdr>
        <w:spacing w:line="240" w:lineRule="auto"/>
        <w:ind w:left="1080"/>
        <w:jc w:val="both"/>
        <w:rPr>
          <w:rFonts w:ascii="Times New Roman" w:eastAsia="Times New Roman" w:hAnsi="Times New Roman" w:cs="Times New Roman"/>
          <w:b/>
        </w:rPr>
      </w:pPr>
    </w:p>
    <w:p w14:paraId="27231702" w14:textId="77777777" w:rsidR="00766EED" w:rsidRDefault="00E85A86">
      <w:pPr>
        <w:widowControl w:val="0"/>
        <w:pBdr>
          <w:top w:val="nil"/>
          <w:left w:val="nil"/>
          <w:bottom w:val="nil"/>
          <w:right w:val="nil"/>
          <w:between w:val="nil"/>
        </w:pBdr>
        <w:spacing w:line="240" w:lineRule="auto"/>
        <w:ind w:left="1080"/>
        <w:jc w:val="center"/>
        <w:rPr>
          <w:rFonts w:ascii="Times New Roman" w:eastAsia="Times New Roman" w:hAnsi="Times New Roman" w:cs="Times New Roman"/>
          <w:b/>
          <w:color w:val="000000"/>
        </w:rPr>
      </w:pPr>
      <w:r>
        <w:rPr>
          <w:rFonts w:ascii="Times New Roman" w:eastAsia="Times New Roman" w:hAnsi="Times New Roman" w:cs="Times New Roman"/>
          <w:b/>
          <w:noProof/>
          <w:color w:val="000000"/>
        </w:rPr>
        <w:drawing>
          <wp:inline distT="0" distB="0" distL="0" distR="0" wp14:anchorId="17226BA7" wp14:editId="1E8899D2">
            <wp:extent cx="5993765" cy="6657584"/>
            <wp:effectExtent l="0" t="0" r="0" b="0"/>
            <wp:docPr id="1894060771" name="image4.png" descr="A close-up of a pap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close-up of a paper&#10;&#10;Description automatically generated"/>
                    <pic:cNvPicPr preferRelativeResize="0"/>
                  </pic:nvPicPr>
                  <pic:blipFill>
                    <a:blip r:embed="rId12"/>
                    <a:srcRect b="29039"/>
                    <a:stretch>
                      <a:fillRect/>
                    </a:stretch>
                  </pic:blipFill>
                  <pic:spPr>
                    <a:xfrm>
                      <a:off x="0" y="0"/>
                      <a:ext cx="5993765" cy="6657584"/>
                    </a:xfrm>
                    <a:prstGeom prst="rect">
                      <a:avLst/>
                    </a:prstGeom>
                    <a:ln/>
                  </pic:spPr>
                </pic:pic>
              </a:graphicData>
            </a:graphic>
          </wp:inline>
        </w:drawing>
      </w:r>
    </w:p>
    <w:p w14:paraId="083675CE" w14:textId="77777777" w:rsidR="00766EED" w:rsidRDefault="00E85A86">
      <w:pPr>
        <w:pBdr>
          <w:top w:val="nil"/>
          <w:left w:val="nil"/>
          <w:bottom w:val="nil"/>
          <w:right w:val="nil"/>
          <w:between w:val="nil"/>
        </w:pBdr>
        <w:spacing w:line="240" w:lineRule="auto"/>
        <w:ind w:left="1080"/>
        <w:jc w:val="both"/>
        <w:rPr>
          <w:rFonts w:ascii="Times New Roman" w:eastAsia="Times New Roman" w:hAnsi="Times New Roman" w:cs="Times New Roman"/>
          <w:color w:val="000000"/>
        </w:rPr>
      </w:pPr>
      <w:r>
        <w:rPr>
          <w:rFonts w:ascii="Times New Roman" w:eastAsia="Times New Roman" w:hAnsi="Times New Roman" w:cs="Times New Roman"/>
          <w:b/>
          <w:color w:val="000000"/>
        </w:rPr>
        <w:t>Figure S8:</w:t>
      </w:r>
      <w:r>
        <w:rPr>
          <w:rFonts w:ascii="Times New Roman" w:eastAsia="Times New Roman" w:hAnsi="Times New Roman" w:cs="Times New Roman"/>
          <w:color w:val="000000"/>
        </w:rPr>
        <w:t xml:space="preserve"> Pronounced ductular reaction, activation of hepatic stellate cells and fibrosis in livers of deceased patients with severe COVID-19. Representative images of serial sections from four consecutive liver core biopsies samples (BIDMC cohort, donors L1 to L4 as indicated on each column). Cytokeratin 19 immunostaining for (A) ductular reaction marker CK19. Entire core biopsy and representative blow-up images of two portal tract areas shown. Morphometric analysis for CK19+ cell counts and number of ductular stru</w:t>
      </w:r>
      <w:r>
        <w:rPr>
          <w:rFonts w:ascii="Times New Roman" w:eastAsia="Times New Roman" w:hAnsi="Times New Roman" w:cs="Times New Roman"/>
          <w:color w:val="000000"/>
        </w:rPr>
        <w:t>ctures (B) was performed by counting at least 10 randomly chosen 10 portal tracts per case (high power field, HPF) at 200x magnification. Bar indicates average counts per sample. Representative images of (C) HSC activation marker α-SMA immunohistochemistry, and (C) connective tissue (picrosirius red, fibrillar collagen stained red). Original magnification, 20x (blow-up panel, x200). Scale bar as indicated.</w:t>
      </w:r>
    </w:p>
    <w:p w14:paraId="2C521DA7" w14:textId="77777777" w:rsidR="00766EED" w:rsidRDefault="00766EED">
      <w:pPr>
        <w:spacing w:line="240" w:lineRule="auto"/>
        <w:ind w:left="1080"/>
        <w:jc w:val="both"/>
        <w:rPr>
          <w:rFonts w:ascii="Times New Roman" w:eastAsia="Times New Roman" w:hAnsi="Times New Roman" w:cs="Times New Roman"/>
        </w:rPr>
      </w:pPr>
    </w:p>
    <w:p w14:paraId="654863E3" w14:textId="77777777" w:rsidR="00766EED" w:rsidRDefault="00766EED">
      <w:pPr>
        <w:ind w:left="1080"/>
        <w:jc w:val="both"/>
        <w:rPr>
          <w:rFonts w:ascii="Times New Roman" w:eastAsia="Times New Roman" w:hAnsi="Times New Roman" w:cs="Times New Roman"/>
          <w:b/>
          <w:color w:val="000000"/>
        </w:rPr>
      </w:pPr>
    </w:p>
    <w:p w14:paraId="19A4B591" w14:textId="00B816CD" w:rsidR="00766EED" w:rsidRPr="00062001" w:rsidRDefault="00766EED" w:rsidP="00062001">
      <w:pPr>
        <w:rPr>
          <w:rFonts w:ascii="Times New Roman" w:eastAsia="Times New Roman" w:hAnsi="Times New Roman" w:cs="Times New Roman"/>
          <w:b/>
          <w:color w:val="000000"/>
        </w:rPr>
      </w:pPr>
    </w:p>
    <w:sectPr w:rsidR="00766EED" w:rsidRPr="00062001">
      <w:pgSz w:w="12240" w:h="15840"/>
      <w:pgMar w:top="1065" w:right="1020" w:bottom="465" w:left="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6EED"/>
    <w:rsid w:val="0003710D"/>
    <w:rsid w:val="00062001"/>
    <w:rsid w:val="00766EED"/>
    <w:rsid w:val="00B34770"/>
    <w:rsid w:val="00E85A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F34C"/>
  <w15:docId w15:val="{C357ECA7-E528-485D-9740-CDA8926A8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9304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34A51"/>
    <w:rPr>
      <w:color w:val="0000FF"/>
      <w:u w:val="single"/>
    </w:rPr>
  </w:style>
  <w:style w:type="character" w:styleId="FollowedHyperlink">
    <w:name w:val="FollowedHyperlink"/>
    <w:basedOn w:val="DefaultParagraphFont"/>
    <w:uiPriority w:val="99"/>
    <w:semiHidden/>
    <w:unhideWhenUsed/>
    <w:rsid w:val="00C34A51"/>
    <w:rPr>
      <w:color w:val="800080" w:themeColor="followedHyperlink"/>
      <w:u w:val="single"/>
    </w:rPr>
  </w:style>
  <w:style w:type="paragraph" w:styleId="Revision">
    <w:name w:val="Revision"/>
    <w:hidden/>
    <w:uiPriority w:val="99"/>
    <w:semiHidden/>
    <w:rsid w:val="00C34A5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customXml" Target="../customXml/item2.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RCuhR1DbE0QbpMcXre+/F1SmyQ==">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</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166594EFBB8D2244B554AD35C20D3D1A" ma:contentTypeVersion="4" ma:contentTypeDescription="Create a new document." ma:contentTypeScope="" ma:versionID="adacf839d8ab79153e66a80281a7928c">
  <xsd:schema xmlns:xsd="http://www.w3.org/2001/XMLSchema" xmlns:xs="http://www.w3.org/2001/XMLSchema" xmlns:p="http://schemas.microsoft.com/office/2006/metadata/properties" xmlns:ns2="4217fc3e-e639-4999-baa6-e37f258a06e0" targetNamespace="http://schemas.microsoft.com/office/2006/metadata/properties" ma:root="true" ma:fieldsID="b5794324cb8cd0accf02dd492021ce55" ns2:_="">
    <xsd:import namespace="4217fc3e-e639-4999-baa6-e37f258a06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17fc3e-e639-4999-baa6-e37f258a06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324C1C3B-337C-4B87-A232-DD15331A2E20}"/>
</file>

<file path=customXml/itemProps3.xml><?xml version="1.0" encoding="utf-8"?>
<ds:datastoreItem xmlns:ds="http://schemas.openxmlformats.org/officeDocument/2006/customXml" ds:itemID="{81F5DCA6-B0AA-459C-93A6-30B022FF6354}"/>
</file>

<file path=customXml/itemProps4.xml><?xml version="1.0" encoding="utf-8"?>
<ds:datastoreItem xmlns:ds="http://schemas.openxmlformats.org/officeDocument/2006/customXml" ds:itemID="{ADD004DA-516E-45C7-9964-B3296DFFD354}"/>
</file>

<file path=docProps/app.xml><?xml version="1.0" encoding="utf-8"?>
<Properties xmlns="http://schemas.openxmlformats.org/officeDocument/2006/extended-properties" xmlns:vt="http://schemas.openxmlformats.org/officeDocument/2006/docPropsVTypes">
  <Template>Normal.dotm</Template>
  <TotalTime>1</TotalTime>
  <Pages>13</Pages>
  <Words>1232</Words>
  <Characters>7027</Characters>
  <Application>Microsoft Office Word</Application>
  <DocSecurity>0</DocSecurity>
  <Lines>58</Lines>
  <Paragraphs>16</Paragraphs>
  <ScaleCrop>false</ScaleCrop>
  <Company>Springer Nature</Company>
  <LinksUpToDate>false</LinksUpToDate>
  <CharactersWithSpaces>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Veronique van den Berghe</dc:creator>
  <cp:lastModifiedBy>Veronique van den Berghe</cp:lastModifiedBy>
  <cp:revision>2</cp:revision>
  <dcterms:created xsi:type="dcterms:W3CDTF">2025-02-07T20:57:00Z</dcterms:created>
  <dcterms:modified xsi:type="dcterms:W3CDTF">2025-02-07T20:57:00Z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0x010100166594EFBB8D2244B554AD35C20D3D1A</vt:lpwstr>
  </property>
</Properties>
</file>