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C378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 wp14:anchorId="2752728F" wp14:editId="21018F19">
            <wp:extent cx="5731200" cy="2832100"/>
            <wp:effectExtent l="0" t="0" r="0" b="0"/>
            <wp:docPr id="188669489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3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F6A278" w14:textId="25E61C74" w:rsidR="00123DDB" w:rsidRDefault="00BD520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Figure </w:t>
      </w:r>
      <w:r w:rsidR="00266048" w:rsidRPr="00F7092A">
        <w:rPr>
          <w:rFonts w:ascii="Arial" w:eastAsia="Arial" w:hAnsi="Arial" w:cs="Arial"/>
          <w:b/>
          <w:sz w:val="22"/>
          <w:szCs w:val="22"/>
          <w:lang w:val="en-US"/>
        </w:rPr>
        <w:t>S</w:t>
      </w:r>
      <w:r>
        <w:rPr>
          <w:rFonts w:ascii="Arial" w:eastAsia="Arial" w:hAnsi="Arial" w:cs="Arial"/>
          <w:b/>
          <w:sz w:val="22"/>
          <w:szCs w:val="22"/>
        </w:rPr>
        <w:t>1. Sequencing quality improvement by the incorporation of spacer sequences before the P5.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Schematic representation of TE display sequencing library preparation without spacer nucleotides between P5 adapter and TE sequence. Nucleotide diversity per position is shown. </w:t>
      </w:r>
      <w:r>
        <w:rPr>
          <w:rFonts w:ascii="Arial" w:eastAsia="Arial" w:hAnsi="Arial" w:cs="Arial"/>
          <w:b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. Schematic representation of TEd-seq library preparation with spacer nucleotides between P5 adapter and TE sequence. Note the homogeneous nucleotide diversity per position. 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 and 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 Per base sequence quality of sequenced TE display sequence libraries lacking (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) or containing  (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) different numbers of spacer nucleotides before the P5 adapter. These modifications drastically improve library diversity and overall sequencing quality.</w:t>
      </w:r>
    </w:p>
    <w:p w14:paraId="24C3A133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000BDF92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br w:type="page"/>
      </w:r>
    </w:p>
    <w:p w14:paraId="628CA6CC" w14:textId="77777777" w:rsidR="00123DDB" w:rsidRDefault="00BD520B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114300" distB="114300" distL="114300" distR="114300" wp14:anchorId="53DB7FEF" wp14:editId="26C7C31A">
            <wp:extent cx="3643313" cy="3655417"/>
            <wp:effectExtent l="0" t="0" r="0" b="0"/>
            <wp:docPr id="188669488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3313" cy="3655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E7DA3E" w14:textId="62791772" w:rsidR="00123DDB" w:rsidRDefault="00BD520B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Figure </w:t>
      </w:r>
      <w:r w:rsidR="00266048" w:rsidRPr="00F7092A">
        <w:rPr>
          <w:rFonts w:ascii="Arial" w:eastAsia="Arial" w:hAnsi="Arial" w:cs="Arial"/>
          <w:b/>
          <w:sz w:val="22"/>
          <w:szCs w:val="22"/>
          <w:lang w:val="en-US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2. Determination of the sensitivity of TE insertion detection sensitivity by consecutive subsampling of TEd-seq sequencing data. </w:t>
      </w:r>
      <w:r>
        <w:rPr>
          <w:rFonts w:ascii="Arial" w:eastAsia="Arial" w:hAnsi="Arial" w:cs="Arial"/>
          <w:sz w:val="22"/>
          <w:szCs w:val="22"/>
        </w:rPr>
        <w:t>Error bars correspond to the sensitivity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standard deviation across TEA lines.  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01AC66DA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4DF26301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br w:type="page"/>
      </w:r>
    </w:p>
    <w:p w14:paraId="66CD04D7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623F9707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589476AA" wp14:editId="529936C4">
            <wp:extent cx="5662613" cy="2250525"/>
            <wp:effectExtent l="0" t="0" r="0" b="0"/>
            <wp:docPr id="188669488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r="8471"/>
                    <a:stretch>
                      <a:fillRect/>
                    </a:stretch>
                  </pic:blipFill>
                  <pic:spPr>
                    <a:xfrm>
                      <a:off x="0" y="0"/>
                      <a:ext cx="5662613" cy="225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91C91A" w14:textId="4A4A0593" w:rsidR="00123DDB" w:rsidRDefault="00BD520B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Figure </w:t>
      </w:r>
      <w:r w:rsidR="00266048" w:rsidRPr="00F7092A">
        <w:rPr>
          <w:rFonts w:ascii="Arial" w:eastAsia="Arial" w:hAnsi="Arial" w:cs="Arial"/>
          <w:b/>
          <w:sz w:val="22"/>
          <w:szCs w:val="22"/>
          <w:lang w:val="en-US"/>
        </w:rPr>
        <w:t>S</w:t>
      </w:r>
      <w:r>
        <w:rPr>
          <w:rFonts w:ascii="Arial" w:eastAsia="Arial" w:hAnsi="Arial" w:cs="Arial"/>
          <w:b/>
          <w:sz w:val="22"/>
          <w:szCs w:val="22"/>
        </w:rPr>
        <w:t>3. Environmental variables reproduced in the E&amp;R experiment.</w:t>
      </w:r>
    </w:p>
    <w:p w14:paraId="3FDCB0F4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107D5790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br w:type="page"/>
      </w:r>
    </w:p>
    <w:p w14:paraId="3394D766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701844B6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6E10E018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5AD6E354" wp14:editId="00DBFD76">
            <wp:extent cx="4953000" cy="3073400"/>
            <wp:effectExtent l="0" t="0" r="0" b="0"/>
            <wp:docPr id="188669488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07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71DACD" w14:textId="571F5B67" w:rsidR="00123DDB" w:rsidRDefault="00BD520B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Figure </w:t>
      </w:r>
      <w:r w:rsidR="00266048" w:rsidRPr="00F7092A">
        <w:rPr>
          <w:rFonts w:ascii="Arial" w:eastAsia="Arial" w:hAnsi="Arial" w:cs="Arial"/>
          <w:b/>
          <w:sz w:val="22"/>
          <w:szCs w:val="22"/>
          <w:lang w:val="en-US"/>
        </w:rPr>
        <w:t>S</w:t>
      </w:r>
      <w:r>
        <w:rPr>
          <w:rFonts w:ascii="Arial" w:eastAsia="Arial" w:hAnsi="Arial" w:cs="Arial"/>
          <w:b/>
          <w:sz w:val="22"/>
          <w:szCs w:val="22"/>
        </w:rPr>
        <w:t>4. Number of TEd-seq reads supporting shared and private insertions in sample I and II of G1 Pop. 1.</w:t>
      </w:r>
    </w:p>
    <w:p w14:paraId="62E3BB78" w14:textId="77777777" w:rsidR="00123DDB" w:rsidRDefault="00123DDB">
      <w:pPr>
        <w:rPr>
          <w:rFonts w:ascii="Arial" w:eastAsia="Arial" w:hAnsi="Arial" w:cs="Arial"/>
          <w:b/>
          <w:sz w:val="22"/>
          <w:szCs w:val="22"/>
        </w:rPr>
      </w:pPr>
    </w:p>
    <w:p w14:paraId="559BD1FE" w14:textId="77777777" w:rsidR="00123DDB" w:rsidRDefault="00BD520B">
      <w:pPr>
        <w:rPr>
          <w:rFonts w:ascii="Arial" w:eastAsia="Arial" w:hAnsi="Arial" w:cs="Arial"/>
          <w:b/>
          <w:sz w:val="22"/>
          <w:szCs w:val="22"/>
        </w:rPr>
      </w:pPr>
      <w:r>
        <w:br w:type="page"/>
      </w:r>
    </w:p>
    <w:p w14:paraId="55D3F096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114300" distB="114300" distL="114300" distR="114300" wp14:anchorId="12975995" wp14:editId="53546812">
            <wp:extent cx="5731200" cy="1549400"/>
            <wp:effectExtent l="0" t="0" r="0" b="0"/>
            <wp:docPr id="188669488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4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C1993D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24207E79" w14:textId="1D7BC58F" w:rsidR="00123DDB" w:rsidRDefault="00BD520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Figure </w:t>
      </w:r>
      <w:r w:rsidR="00266048" w:rsidRPr="00F7092A">
        <w:rPr>
          <w:rFonts w:ascii="Arial" w:eastAsia="Arial" w:hAnsi="Arial" w:cs="Arial"/>
          <w:b/>
          <w:sz w:val="22"/>
          <w:szCs w:val="22"/>
          <w:lang w:val="en-US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5. Example of a TE insertion showing significant changes in allele frequency across generations and its described phenotypic effects. a. </w:t>
      </w:r>
      <w:r>
        <w:rPr>
          <w:rFonts w:ascii="Arial" w:eastAsia="Arial" w:hAnsi="Arial" w:cs="Arial"/>
          <w:sz w:val="22"/>
          <w:szCs w:val="22"/>
        </w:rPr>
        <w:t xml:space="preserve">localization of </w:t>
      </w:r>
      <w:r>
        <w:rPr>
          <w:rFonts w:ascii="Arial" w:eastAsia="Arial" w:hAnsi="Arial" w:cs="Arial"/>
          <w:i/>
          <w:sz w:val="22"/>
          <w:szCs w:val="22"/>
        </w:rPr>
        <w:t>ATENSPM3</w:t>
      </w:r>
      <w:r>
        <w:rPr>
          <w:rFonts w:ascii="Arial" w:eastAsia="Arial" w:hAnsi="Arial" w:cs="Arial"/>
          <w:sz w:val="22"/>
          <w:szCs w:val="22"/>
        </w:rPr>
        <w:t xml:space="preserve"> insertion with </w:t>
      </w:r>
      <w:r>
        <w:rPr>
          <w:rFonts w:ascii="Arial" w:eastAsia="Arial" w:hAnsi="Arial" w:cs="Arial"/>
          <w:i/>
          <w:sz w:val="22"/>
          <w:szCs w:val="22"/>
        </w:rPr>
        <w:t>KNU</w:t>
      </w:r>
      <w:r>
        <w:rPr>
          <w:rFonts w:ascii="Arial" w:eastAsia="Arial" w:hAnsi="Arial" w:cs="Arial"/>
          <w:sz w:val="22"/>
          <w:szCs w:val="22"/>
        </w:rPr>
        <w:t xml:space="preserve"> gene. </w:t>
      </w:r>
      <w:r>
        <w:rPr>
          <w:rFonts w:ascii="Arial" w:eastAsia="Arial" w:hAnsi="Arial" w:cs="Arial"/>
          <w:b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. schematic representation of phenotypic effect of loss-of-function mutation in </w:t>
      </w:r>
      <w:r>
        <w:rPr>
          <w:rFonts w:ascii="Arial" w:eastAsia="Arial" w:hAnsi="Arial" w:cs="Arial"/>
          <w:i/>
          <w:sz w:val="22"/>
          <w:szCs w:val="22"/>
        </w:rPr>
        <w:t>KNU</w:t>
      </w:r>
      <w:r>
        <w:rPr>
          <w:rFonts w:ascii="Arial" w:eastAsia="Arial" w:hAnsi="Arial" w:cs="Arial"/>
          <w:sz w:val="22"/>
          <w:szCs w:val="22"/>
        </w:rPr>
        <w:t xml:space="preserve"> gene described in Sun et al., 2009. 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 xml:space="preserve">. Alleles frequency changes across generation in Pop. 1 and Pop.1 of the TE insertion within </w:t>
      </w:r>
      <w:r>
        <w:rPr>
          <w:rFonts w:ascii="Arial" w:eastAsia="Arial" w:hAnsi="Arial" w:cs="Arial"/>
          <w:i/>
          <w:sz w:val="22"/>
          <w:szCs w:val="22"/>
        </w:rPr>
        <w:t>KNU</w:t>
      </w:r>
      <w:r>
        <w:rPr>
          <w:rFonts w:ascii="Arial" w:eastAsia="Arial" w:hAnsi="Arial" w:cs="Arial"/>
          <w:sz w:val="22"/>
          <w:szCs w:val="22"/>
        </w:rPr>
        <w:t xml:space="preserve">. Expected allele frequencies changes under genetic drift model are indicated in gray. </w:t>
      </w:r>
    </w:p>
    <w:p w14:paraId="0DA09C1C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6591A1D5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1EFA430B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01EACE99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28046FA4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4D3BB8ED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br w:type="page"/>
      </w:r>
    </w:p>
    <w:p w14:paraId="07323E7B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2D93BB1E" w14:textId="0CFBA3C0" w:rsidR="00123DDB" w:rsidRDefault="00BD520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Table </w:t>
      </w:r>
      <w:r w:rsidR="00266048" w:rsidRPr="00F7092A">
        <w:rPr>
          <w:rFonts w:ascii="Arial" w:eastAsia="Arial" w:hAnsi="Arial" w:cs="Arial"/>
          <w:b/>
          <w:sz w:val="22"/>
          <w:szCs w:val="22"/>
          <w:lang w:val="en-US"/>
        </w:rPr>
        <w:t>S</w:t>
      </w:r>
      <w:r>
        <w:rPr>
          <w:rFonts w:ascii="Arial" w:eastAsia="Arial" w:hAnsi="Arial" w:cs="Arial"/>
          <w:b/>
          <w:sz w:val="22"/>
          <w:szCs w:val="22"/>
        </w:rPr>
        <w:t>1.</w:t>
      </w:r>
      <w:r>
        <w:rPr>
          <w:rFonts w:ascii="Arial" w:eastAsia="Arial" w:hAnsi="Arial" w:cs="Arial"/>
          <w:sz w:val="22"/>
          <w:szCs w:val="22"/>
        </w:rPr>
        <w:t xml:space="preserve"> List of TEA lines, dilution factor, and number of non-reference TE-insertions per line. Dilutions of TEA DNA were performed on Col-0 DNA.</w:t>
      </w:r>
    </w:p>
    <w:p w14:paraId="177E3DDA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0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8"/>
        <w:gridCol w:w="1822"/>
        <w:gridCol w:w="1830"/>
        <w:gridCol w:w="1980"/>
        <w:gridCol w:w="1755"/>
      </w:tblGrid>
      <w:tr w:rsidR="00123DDB" w14:paraId="7BEF8550" w14:textId="77777777">
        <w:trPr>
          <w:trHeight w:val="475"/>
        </w:trPr>
        <w:tc>
          <w:tcPr>
            <w:tcW w:w="162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1178067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TEA line</w:t>
            </w:r>
          </w:p>
        </w:tc>
        <w:tc>
          <w:tcPr>
            <w:tcW w:w="182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DA5CFB3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Dilution (TEd-seq method)</w:t>
            </w:r>
          </w:p>
        </w:tc>
        <w:tc>
          <w:tcPr>
            <w:tcW w:w="183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D1DEF87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Non-reference 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ATCOPIA93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insertions</w:t>
            </w: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07ADE4B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Non-reference 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ATENSPM3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insertions</w:t>
            </w:r>
          </w:p>
        </w:tc>
        <w:tc>
          <w:tcPr>
            <w:tcW w:w="175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4AEAB54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Non-reference 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VANDAL21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insertions</w:t>
            </w:r>
          </w:p>
        </w:tc>
      </w:tr>
      <w:tr w:rsidR="00123DDB" w14:paraId="7C1C636F" w14:textId="77777777">
        <w:trPr>
          <w:trHeight w:val="46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DA3910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238+112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CBDCFA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1/3200 (short-reads)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E92536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45398B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BD7ACA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3B8CF921" w14:textId="77777777">
        <w:trPr>
          <w:trHeight w:val="46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1F812C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AB6BE6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1/200 (short-reads)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571426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ACB51F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AD2C66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5DD6AEA2" w14:textId="77777777">
        <w:trPr>
          <w:trHeight w:val="46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3E4A0C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394+46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AB66C8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1/400 (short-reads)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92D7E0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70A8AE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04023D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1A40901D" w14:textId="77777777">
        <w:trPr>
          <w:trHeight w:val="46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F659D7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E1508A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1/100 (short-reads)</w:t>
            </w:r>
          </w:p>
          <w:p w14:paraId="76DBAA40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1/10 (long-reads)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1F5DA5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5881A6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7276B3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</w:tr>
      <w:tr w:rsidR="00123DDB" w14:paraId="61F782BC" w14:textId="77777777">
        <w:trPr>
          <w:trHeight w:val="46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E56F45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EA6F87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1/1600 (short-reads)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C55022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9FE3C4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F1D7FB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77865B86" w14:textId="77777777">
        <w:trPr>
          <w:trHeight w:val="46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5F5C3B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623FE4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1/2 (short-reads) 1/200 (long-reads)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39DC6E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CA3031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A7A589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</w:tr>
      <w:tr w:rsidR="00123DDB" w14:paraId="76AE536E" w14:textId="77777777">
        <w:trPr>
          <w:trHeight w:val="475"/>
        </w:trPr>
        <w:tc>
          <w:tcPr>
            <w:tcW w:w="162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720CF3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67CE6C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1/6400 (short-reads)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66E0BA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C7EABC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84D364" w14:textId="77777777" w:rsidR="00123DDB" w:rsidRDefault="00BD520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</w:tbl>
    <w:p w14:paraId="18C39455" w14:textId="77777777" w:rsidR="00123DDB" w:rsidRDefault="00BD520B">
      <w:pPr>
        <w:rPr>
          <w:rFonts w:ascii="Arial" w:eastAsia="Arial" w:hAnsi="Arial" w:cs="Arial"/>
          <w:sz w:val="22"/>
          <w:szCs w:val="22"/>
        </w:rPr>
      </w:pPr>
      <w:r>
        <w:br w:type="page"/>
      </w:r>
    </w:p>
    <w:p w14:paraId="221E2D9D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p w14:paraId="7AC8A45E" w14:textId="3809271B" w:rsidR="00123DDB" w:rsidRDefault="00BD520B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Table </w:t>
      </w:r>
      <w:r w:rsidR="00266048" w:rsidRPr="00F7092A">
        <w:rPr>
          <w:rFonts w:ascii="Arial" w:eastAsia="Arial" w:hAnsi="Arial" w:cs="Arial"/>
          <w:b/>
          <w:sz w:val="22"/>
          <w:szCs w:val="22"/>
          <w:lang w:val="en-US"/>
        </w:rPr>
        <w:t>S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. List of primers used in this study</w:t>
      </w:r>
    </w:p>
    <w:tbl>
      <w:tblPr>
        <w:tblStyle w:val="a0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2"/>
        <w:gridCol w:w="5663"/>
        <w:gridCol w:w="2126"/>
      </w:tblGrid>
      <w:tr w:rsidR="00123DDB" w14:paraId="4CF5056F" w14:textId="77777777">
        <w:trPr>
          <w:trHeight w:val="320"/>
        </w:trPr>
        <w:tc>
          <w:tcPr>
            <w:tcW w:w="1562" w:type="dxa"/>
          </w:tcPr>
          <w:p w14:paraId="7E569D29" w14:textId="77777777" w:rsidR="00123DDB" w:rsidRDefault="00BD520B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5663" w:type="dxa"/>
          </w:tcPr>
          <w:p w14:paraId="5BD82734" w14:textId="77777777" w:rsidR="00123DDB" w:rsidRDefault="00BD520B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Sequence</w:t>
            </w:r>
          </w:p>
        </w:tc>
        <w:tc>
          <w:tcPr>
            <w:tcW w:w="2126" w:type="dxa"/>
          </w:tcPr>
          <w:p w14:paraId="0E64D2BB" w14:textId="77777777" w:rsidR="00123DDB" w:rsidRDefault="00BD520B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Modifications</w:t>
            </w:r>
          </w:p>
        </w:tc>
      </w:tr>
      <w:tr w:rsidR="00123DDB" w14:paraId="35520D62" w14:textId="77777777">
        <w:trPr>
          <w:trHeight w:val="320"/>
        </w:trPr>
        <w:tc>
          <w:tcPr>
            <w:tcW w:w="1562" w:type="dxa"/>
          </w:tcPr>
          <w:p w14:paraId="6EDE4152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P7_adapter_up</w:t>
            </w:r>
          </w:p>
        </w:tc>
        <w:tc>
          <w:tcPr>
            <w:tcW w:w="5663" w:type="dxa"/>
          </w:tcPr>
          <w:p w14:paraId="5F7CEA5D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GTGACTGGAGTTCAGACGTGTGCTCTTCCGATC*t </w:t>
            </w:r>
          </w:p>
        </w:tc>
        <w:tc>
          <w:tcPr>
            <w:tcW w:w="2126" w:type="dxa"/>
          </w:tcPr>
          <w:p w14:paraId="5637CA20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*t phosphorothioate bond</w:t>
            </w:r>
          </w:p>
        </w:tc>
      </w:tr>
      <w:tr w:rsidR="00123DDB" w14:paraId="074FBE01" w14:textId="77777777">
        <w:trPr>
          <w:trHeight w:val="640"/>
        </w:trPr>
        <w:tc>
          <w:tcPr>
            <w:tcW w:w="1562" w:type="dxa"/>
          </w:tcPr>
          <w:p w14:paraId="27D847B0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P7_adapter_bottom</w:t>
            </w:r>
          </w:p>
        </w:tc>
        <w:tc>
          <w:tcPr>
            <w:tcW w:w="5663" w:type="dxa"/>
          </w:tcPr>
          <w:p w14:paraId="2F42F1AC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pGATCGGAAGAGCATC**</w:t>
            </w:r>
          </w:p>
        </w:tc>
        <w:tc>
          <w:tcPr>
            <w:tcW w:w="2126" w:type="dxa"/>
          </w:tcPr>
          <w:p w14:paraId="363E18F2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  5’phosphate , ** dideoxy-C</w:t>
            </w:r>
          </w:p>
        </w:tc>
      </w:tr>
      <w:tr w:rsidR="00123DDB" w14:paraId="32F7C84B" w14:textId="77777777">
        <w:trPr>
          <w:trHeight w:val="320"/>
        </w:trPr>
        <w:tc>
          <w:tcPr>
            <w:tcW w:w="1562" w:type="dxa"/>
          </w:tcPr>
          <w:p w14:paraId="1938E7C9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TEDseq_outer_for</w:t>
            </w:r>
          </w:p>
        </w:tc>
        <w:tc>
          <w:tcPr>
            <w:tcW w:w="5663" w:type="dxa"/>
          </w:tcPr>
          <w:p w14:paraId="3720BF12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GTGACTGGAGTTCAGACGTG</w:t>
            </w:r>
          </w:p>
        </w:tc>
        <w:tc>
          <w:tcPr>
            <w:tcW w:w="2126" w:type="dxa"/>
          </w:tcPr>
          <w:p w14:paraId="7E4EE017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6E441D4B" w14:textId="77777777">
        <w:trPr>
          <w:trHeight w:val="888"/>
        </w:trPr>
        <w:tc>
          <w:tcPr>
            <w:tcW w:w="1562" w:type="dxa"/>
          </w:tcPr>
          <w:p w14:paraId="66CBBB7D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P7_primer_index</w:t>
            </w:r>
          </w:p>
        </w:tc>
        <w:tc>
          <w:tcPr>
            <w:tcW w:w="5663" w:type="dxa"/>
          </w:tcPr>
          <w:p w14:paraId="30E486DF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CAAGCAGAAGACGGCATACGAGATXXXXXXGTGACTGGAGTTCAGACGTG</w:t>
            </w:r>
          </w:p>
        </w:tc>
        <w:tc>
          <w:tcPr>
            <w:tcW w:w="2126" w:type="dxa"/>
          </w:tcPr>
          <w:p w14:paraId="4A16F865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XXXXXX correspond to multiplexing barcode</w:t>
            </w:r>
          </w:p>
        </w:tc>
      </w:tr>
      <w:tr w:rsidR="00123DDB" w14:paraId="14F4A1CC" w14:textId="77777777">
        <w:trPr>
          <w:trHeight w:val="320"/>
        </w:trPr>
        <w:tc>
          <w:tcPr>
            <w:tcW w:w="1562" w:type="dxa"/>
          </w:tcPr>
          <w:p w14:paraId="4624C7F2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TE_outer_rev_ATCOPIA93</w:t>
            </w:r>
          </w:p>
        </w:tc>
        <w:tc>
          <w:tcPr>
            <w:tcW w:w="5663" w:type="dxa"/>
          </w:tcPr>
          <w:p w14:paraId="0C1778F1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GTGAGTCCTCTTCAACGGCT</w:t>
            </w:r>
          </w:p>
        </w:tc>
        <w:tc>
          <w:tcPr>
            <w:tcW w:w="2126" w:type="dxa"/>
          </w:tcPr>
          <w:p w14:paraId="7B8769D9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744C84A8" w14:textId="77777777">
        <w:trPr>
          <w:trHeight w:val="320"/>
        </w:trPr>
        <w:tc>
          <w:tcPr>
            <w:tcW w:w="1562" w:type="dxa"/>
          </w:tcPr>
          <w:p w14:paraId="07EFBB3F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TE_outer_rev_VANDAL21</w:t>
            </w:r>
          </w:p>
        </w:tc>
        <w:tc>
          <w:tcPr>
            <w:tcW w:w="5663" w:type="dxa"/>
          </w:tcPr>
          <w:p w14:paraId="12EF12D7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GGTTCGGATGGTTTGGTTCGG</w:t>
            </w:r>
          </w:p>
        </w:tc>
        <w:tc>
          <w:tcPr>
            <w:tcW w:w="2126" w:type="dxa"/>
          </w:tcPr>
          <w:p w14:paraId="78B2895C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0786458C" w14:textId="77777777">
        <w:trPr>
          <w:trHeight w:val="320"/>
        </w:trPr>
        <w:tc>
          <w:tcPr>
            <w:tcW w:w="1562" w:type="dxa"/>
          </w:tcPr>
          <w:p w14:paraId="368A1326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TE_outer_rev_ATENSPM3</w:t>
            </w:r>
          </w:p>
        </w:tc>
        <w:tc>
          <w:tcPr>
            <w:tcW w:w="5663" w:type="dxa"/>
          </w:tcPr>
          <w:p w14:paraId="6A0D64DB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CGAAGCTGTAGAGGGAAGTG</w:t>
            </w:r>
          </w:p>
        </w:tc>
        <w:tc>
          <w:tcPr>
            <w:tcW w:w="2126" w:type="dxa"/>
          </w:tcPr>
          <w:p w14:paraId="1EE30D69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09182E18" w14:textId="77777777">
        <w:trPr>
          <w:trHeight w:val="640"/>
        </w:trPr>
        <w:tc>
          <w:tcPr>
            <w:tcW w:w="1562" w:type="dxa"/>
          </w:tcPr>
          <w:p w14:paraId="4526BB84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P5_ATCOPIA93_1</w:t>
            </w:r>
          </w:p>
        </w:tc>
        <w:tc>
          <w:tcPr>
            <w:tcW w:w="5663" w:type="dxa"/>
          </w:tcPr>
          <w:p w14:paraId="79F47E82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AATGATACGGCGACCACCGAGATCTACACTCTTTCCCTACACGACGCTCTTCCGATCTGCCCACTCTCTTGTAGTACATATC</w:t>
            </w:r>
          </w:p>
        </w:tc>
        <w:tc>
          <w:tcPr>
            <w:tcW w:w="2126" w:type="dxa"/>
          </w:tcPr>
          <w:p w14:paraId="33A62CF9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054E84FF" w14:textId="77777777">
        <w:trPr>
          <w:trHeight w:val="640"/>
        </w:trPr>
        <w:tc>
          <w:tcPr>
            <w:tcW w:w="1562" w:type="dxa"/>
          </w:tcPr>
          <w:p w14:paraId="7FACF5D4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P5_ATCOPIA93_2</w:t>
            </w:r>
          </w:p>
        </w:tc>
        <w:tc>
          <w:tcPr>
            <w:tcW w:w="5663" w:type="dxa"/>
          </w:tcPr>
          <w:p w14:paraId="295FBF2D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AATGATACGGCGACCACCGAGATCTACACTCTTTCCCTACACGACGCTCTTCCGATCTTGCCCACTCTCTTGTAGTACATATC</w:t>
            </w:r>
          </w:p>
        </w:tc>
        <w:tc>
          <w:tcPr>
            <w:tcW w:w="2126" w:type="dxa"/>
          </w:tcPr>
          <w:p w14:paraId="5935F03F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391A981A" w14:textId="77777777">
        <w:trPr>
          <w:trHeight w:val="640"/>
        </w:trPr>
        <w:tc>
          <w:tcPr>
            <w:tcW w:w="1562" w:type="dxa"/>
          </w:tcPr>
          <w:p w14:paraId="3050D187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P5_ATCOPIA93_3</w:t>
            </w:r>
          </w:p>
        </w:tc>
        <w:tc>
          <w:tcPr>
            <w:tcW w:w="5663" w:type="dxa"/>
          </w:tcPr>
          <w:p w14:paraId="2782E5F0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AATGATACGGCGACCACCGAGATCTACACTCTTTCCCTACACGACGCTCTTCCGATCTATGCCCACTCTCTTGTAGTACATATC</w:t>
            </w:r>
          </w:p>
        </w:tc>
        <w:tc>
          <w:tcPr>
            <w:tcW w:w="2126" w:type="dxa"/>
          </w:tcPr>
          <w:p w14:paraId="63BBDD03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3653DDB4" w14:textId="77777777">
        <w:trPr>
          <w:trHeight w:val="640"/>
        </w:trPr>
        <w:tc>
          <w:tcPr>
            <w:tcW w:w="1562" w:type="dxa"/>
          </w:tcPr>
          <w:p w14:paraId="4C49F962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P5_ATCOPIA93_4</w:t>
            </w:r>
          </w:p>
        </w:tc>
        <w:tc>
          <w:tcPr>
            <w:tcW w:w="5663" w:type="dxa"/>
          </w:tcPr>
          <w:p w14:paraId="4CF0F992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AATGATACGGCGACCACCGAGATCTACACTCTTTCCCTACACGACGCTCTTCCGATCTCATAGCCCACTCTCTTGTAGTACATATC</w:t>
            </w:r>
          </w:p>
        </w:tc>
        <w:tc>
          <w:tcPr>
            <w:tcW w:w="2126" w:type="dxa"/>
          </w:tcPr>
          <w:p w14:paraId="53A32F21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7A87E73D" w14:textId="77777777">
        <w:trPr>
          <w:trHeight w:val="640"/>
        </w:trPr>
        <w:tc>
          <w:tcPr>
            <w:tcW w:w="1562" w:type="dxa"/>
          </w:tcPr>
          <w:p w14:paraId="4A6D1EA1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P5_ATCOPIA93_5</w:t>
            </w:r>
          </w:p>
        </w:tc>
        <w:tc>
          <w:tcPr>
            <w:tcW w:w="5663" w:type="dxa"/>
          </w:tcPr>
          <w:p w14:paraId="573CD0F7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AATGATACGGCGACCACCGAGATCTACACTCTTTCCCTACACGACGCTCTTCCGATCTGAATTGCCCACTCTCTTGTAGTACATATC</w:t>
            </w:r>
          </w:p>
        </w:tc>
        <w:tc>
          <w:tcPr>
            <w:tcW w:w="2126" w:type="dxa"/>
          </w:tcPr>
          <w:p w14:paraId="532982B3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0155BAAE" w14:textId="77777777">
        <w:trPr>
          <w:trHeight w:val="640"/>
        </w:trPr>
        <w:tc>
          <w:tcPr>
            <w:tcW w:w="1562" w:type="dxa"/>
          </w:tcPr>
          <w:p w14:paraId="4ABF03AC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P5_VANDAL21_1</w:t>
            </w:r>
          </w:p>
        </w:tc>
        <w:tc>
          <w:tcPr>
            <w:tcW w:w="5663" w:type="dxa"/>
          </w:tcPr>
          <w:p w14:paraId="1CFCC8B6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AATGATACGGCGACCACCGAGATCTACACTCTTTCCCTACACGACGCTCTTCCGATCTCGGATGGAGATATACTAGTAATATCC</w:t>
            </w:r>
          </w:p>
        </w:tc>
        <w:tc>
          <w:tcPr>
            <w:tcW w:w="2126" w:type="dxa"/>
          </w:tcPr>
          <w:p w14:paraId="28AC9ED3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44194F66" w14:textId="77777777">
        <w:trPr>
          <w:trHeight w:val="640"/>
        </w:trPr>
        <w:tc>
          <w:tcPr>
            <w:tcW w:w="1562" w:type="dxa"/>
          </w:tcPr>
          <w:p w14:paraId="50E75743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P5_VANDAL21_2</w:t>
            </w:r>
          </w:p>
        </w:tc>
        <w:tc>
          <w:tcPr>
            <w:tcW w:w="5663" w:type="dxa"/>
          </w:tcPr>
          <w:p w14:paraId="560B8C11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AATGATACGGCGACCACCGAGATCTACACTCTTTCCCTACACGACGCTCTTCCGATCTTCGGATGGAGATATACTAGTAATATCC</w:t>
            </w:r>
          </w:p>
        </w:tc>
        <w:tc>
          <w:tcPr>
            <w:tcW w:w="2126" w:type="dxa"/>
          </w:tcPr>
          <w:p w14:paraId="14094E9B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1C3CEAFE" w14:textId="77777777">
        <w:trPr>
          <w:trHeight w:val="640"/>
        </w:trPr>
        <w:tc>
          <w:tcPr>
            <w:tcW w:w="1562" w:type="dxa"/>
          </w:tcPr>
          <w:p w14:paraId="1A07D3A6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P5_VANDAL21_3</w:t>
            </w:r>
          </w:p>
        </w:tc>
        <w:tc>
          <w:tcPr>
            <w:tcW w:w="5663" w:type="dxa"/>
          </w:tcPr>
          <w:p w14:paraId="394F47BE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AATGATACGGCGACCACCGAGATCTACACTCTTTCCCTACACGACGCTCTTCCGATCTATCGGATGGAGATATACTAGTAATATCC</w:t>
            </w:r>
          </w:p>
        </w:tc>
        <w:tc>
          <w:tcPr>
            <w:tcW w:w="2126" w:type="dxa"/>
          </w:tcPr>
          <w:p w14:paraId="318025F5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3B402080" w14:textId="77777777">
        <w:trPr>
          <w:trHeight w:val="640"/>
        </w:trPr>
        <w:tc>
          <w:tcPr>
            <w:tcW w:w="1562" w:type="dxa"/>
          </w:tcPr>
          <w:p w14:paraId="680FD495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P5_VANDAL21_4</w:t>
            </w:r>
          </w:p>
        </w:tc>
        <w:tc>
          <w:tcPr>
            <w:tcW w:w="5663" w:type="dxa"/>
          </w:tcPr>
          <w:p w14:paraId="425B4ED1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AATGATACGGCGACCACCGAGATCTACACTCTTTCCCTACACGACGCTCTTCCGATCTCACGGATGGAGATATACTAGTAATATCCTA</w:t>
            </w:r>
          </w:p>
        </w:tc>
        <w:tc>
          <w:tcPr>
            <w:tcW w:w="2126" w:type="dxa"/>
          </w:tcPr>
          <w:p w14:paraId="43EB76FA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6F616501" w14:textId="77777777">
        <w:trPr>
          <w:trHeight w:val="640"/>
        </w:trPr>
        <w:tc>
          <w:tcPr>
            <w:tcW w:w="1562" w:type="dxa"/>
          </w:tcPr>
          <w:p w14:paraId="262B9383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P5_VANDAL21_5</w:t>
            </w:r>
          </w:p>
        </w:tc>
        <w:tc>
          <w:tcPr>
            <w:tcW w:w="5663" w:type="dxa"/>
          </w:tcPr>
          <w:p w14:paraId="70C6C73A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AATGATACGGCGACCACCGAGATCTACACTCTTTCCCTACACGACGCTCTTCCGATCTGAATTCGGATGGAGATATACTAGTAATATCC</w:t>
            </w:r>
          </w:p>
        </w:tc>
        <w:tc>
          <w:tcPr>
            <w:tcW w:w="2126" w:type="dxa"/>
          </w:tcPr>
          <w:p w14:paraId="14D5F695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6F1FB811" w14:textId="77777777">
        <w:trPr>
          <w:trHeight w:val="640"/>
        </w:trPr>
        <w:tc>
          <w:tcPr>
            <w:tcW w:w="1562" w:type="dxa"/>
          </w:tcPr>
          <w:p w14:paraId="066CBE05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P5_ATENSPM3_1</w:t>
            </w:r>
          </w:p>
        </w:tc>
        <w:tc>
          <w:tcPr>
            <w:tcW w:w="5663" w:type="dxa"/>
          </w:tcPr>
          <w:p w14:paraId="14C2739A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AATGATACGGCGACCACCGAGATCTACACTCTTTCCCTACACGACGCTCTTCCGATCTGTATTTTACATTCCCGCTAGAGGAT</w:t>
            </w:r>
          </w:p>
        </w:tc>
        <w:tc>
          <w:tcPr>
            <w:tcW w:w="2126" w:type="dxa"/>
          </w:tcPr>
          <w:p w14:paraId="02D98DC0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1FE32B28" w14:textId="77777777">
        <w:trPr>
          <w:trHeight w:val="640"/>
        </w:trPr>
        <w:tc>
          <w:tcPr>
            <w:tcW w:w="1562" w:type="dxa"/>
          </w:tcPr>
          <w:p w14:paraId="2EE562A9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P5_ATENSPM3_2</w:t>
            </w:r>
          </w:p>
        </w:tc>
        <w:tc>
          <w:tcPr>
            <w:tcW w:w="5663" w:type="dxa"/>
          </w:tcPr>
          <w:p w14:paraId="3106A8F7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AATGATACGGCGACCACCGAGATCTACACTCTTTCCCTACACGACGCTCTTCCGATCTTGTATTTTACATTCCCGCTAGAGGAT</w:t>
            </w:r>
          </w:p>
        </w:tc>
        <w:tc>
          <w:tcPr>
            <w:tcW w:w="2126" w:type="dxa"/>
          </w:tcPr>
          <w:p w14:paraId="678CCEB7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0CC9FEB5" w14:textId="77777777">
        <w:trPr>
          <w:trHeight w:val="640"/>
        </w:trPr>
        <w:tc>
          <w:tcPr>
            <w:tcW w:w="1562" w:type="dxa"/>
          </w:tcPr>
          <w:p w14:paraId="68FB6DDA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P5_ATENSPM3_3</w:t>
            </w:r>
          </w:p>
        </w:tc>
        <w:tc>
          <w:tcPr>
            <w:tcW w:w="5663" w:type="dxa"/>
          </w:tcPr>
          <w:p w14:paraId="10B2399C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AATGATACGGCGACCACCGAGATCTACACTCTTTCCCTACACGACGCTCTTCCGATCTATGTATTTTACATTCCCGCTAGAGGAT</w:t>
            </w:r>
          </w:p>
        </w:tc>
        <w:tc>
          <w:tcPr>
            <w:tcW w:w="2126" w:type="dxa"/>
          </w:tcPr>
          <w:p w14:paraId="2058E15A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3A207FF7" w14:textId="77777777">
        <w:trPr>
          <w:trHeight w:val="640"/>
        </w:trPr>
        <w:tc>
          <w:tcPr>
            <w:tcW w:w="1562" w:type="dxa"/>
          </w:tcPr>
          <w:p w14:paraId="3C3D2465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P5_ATENSPM3_4</w:t>
            </w:r>
          </w:p>
        </w:tc>
        <w:tc>
          <w:tcPr>
            <w:tcW w:w="5663" w:type="dxa"/>
          </w:tcPr>
          <w:p w14:paraId="10AA0AD7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AATGATACGGCGACCACCGAGATCTACACTCTTTCCCTACACGACGCTCTTCCGATCTCATAGTATTTTACATTCCCGCTAGAGGAT</w:t>
            </w:r>
          </w:p>
        </w:tc>
        <w:tc>
          <w:tcPr>
            <w:tcW w:w="2126" w:type="dxa"/>
          </w:tcPr>
          <w:p w14:paraId="666E8CE8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  <w:tr w:rsidR="00123DDB" w14:paraId="665C19C9" w14:textId="77777777">
        <w:trPr>
          <w:trHeight w:val="640"/>
        </w:trPr>
        <w:tc>
          <w:tcPr>
            <w:tcW w:w="1562" w:type="dxa"/>
          </w:tcPr>
          <w:p w14:paraId="0BD9FEDA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P5_ATENSPM3_5</w:t>
            </w:r>
          </w:p>
        </w:tc>
        <w:tc>
          <w:tcPr>
            <w:tcW w:w="5663" w:type="dxa"/>
          </w:tcPr>
          <w:p w14:paraId="451295AF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AATGATACGGCGACCACCGAGATCTACACTCTTTCCCTACACGACGCTCTTCCGATCTGAATTGTATTTTACATTCCCGCTAGAGGAT</w:t>
            </w:r>
          </w:p>
        </w:tc>
        <w:tc>
          <w:tcPr>
            <w:tcW w:w="2126" w:type="dxa"/>
          </w:tcPr>
          <w:p w14:paraId="75054605" w14:textId="77777777" w:rsidR="00123DDB" w:rsidRDefault="00BD520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</w:p>
        </w:tc>
      </w:tr>
    </w:tbl>
    <w:p w14:paraId="152AD5A2" w14:textId="77777777" w:rsidR="00123DDB" w:rsidRDefault="00123DDB">
      <w:pPr>
        <w:rPr>
          <w:rFonts w:ascii="Arial" w:eastAsia="Arial" w:hAnsi="Arial" w:cs="Arial"/>
          <w:sz w:val="22"/>
          <w:szCs w:val="22"/>
        </w:rPr>
      </w:pPr>
    </w:p>
    <w:sectPr w:rsidR="00123DDB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79B12" w14:textId="77777777" w:rsidR="00D956AC" w:rsidRDefault="00D956AC" w:rsidP="00266048">
      <w:r>
        <w:separator/>
      </w:r>
    </w:p>
  </w:endnote>
  <w:endnote w:type="continuationSeparator" w:id="0">
    <w:p w14:paraId="134875D0" w14:textId="77777777" w:rsidR="00D956AC" w:rsidRDefault="00D956AC" w:rsidP="00266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7C76E" w14:textId="77777777" w:rsidR="00D956AC" w:rsidRDefault="00D956AC" w:rsidP="00266048">
      <w:r>
        <w:separator/>
      </w:r>
    </w:p>
  </w:footnote>
  <w:footnote w:type="continuationSeparator" w:id="0">
    <w:p w14:paraId="422B9DBB" w14:textId="77777777" w:rsidR="00D956AC" w:rsidRDefault="00D956AC" w:rsidP="002660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DDB"/>
    <w:rsid w:val="00123DDB"/>
    <w:rsid w:val="00266048"/>
    <w:rsid w:val="00BD520B"/>
    <w:rsid w:val="00D956AC"/>
    <w:rsid w:val="00F7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7F52F"/>
  <w15:docId w15:val="{85C57292-8DB9-4788-9932-02EC9D7A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5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6604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048"/>
  </w:style>
  <w:style w:type="paragraph" w:styleId="Footer">
    <w:name w:val="footer"/>
    <w:basedOn w:val="Normal"/>
    <w:link w:val="FooterChar"/>
    <w:uiPriority w:val="99"/>
    <w:unhideWhenUsed/>
    <w:rsid w:val="0026604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+Z0a0yxlY45AnTSX1PpIfGthlA==">CgMxLjA4AHIhMU5ZWVpsMzBBcXFPXzBLSElUblVmQ01oUmREOTJITDE5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642</Words>
  <Characters>3662</Characters>
  <Application>Microsoft Office Word</Application>
  <DocSecurity>0</DocSecurity>
  <Lines>30</Lines>
  <Paragraphs>8</Paragraphs>
  <ScaleCrop>false</ScaleCrop>
  <Company>IPS2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 Quadrana</dc:creator>
  <cp:lastModifiedBy>Leandro Quadrana</cp:lastModifiedBy>
  <cp:revision>3</cp:revision>
  <dcterms:created xsi:type="dcterms:W3CDTF">2024-07-23T15:44:00Z</dcterms:created>
  <dcterms:modified xsi:type="dcterms:W3CDTF">2025-02-19T22:42:00Z</dcterms:modified>
</cp:coreProperties>
</file>