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341FD" w:rsidRDefault="00F341FD"/>
    <w:tbl>
      <w:tblPr>
        <w:tblW w:w="0" w:type="auto"/>
        <w:tblCellMar>
          <w:left w:w="0" w:type="dxa"/>
          <w:right w:w="0" w:type="dxa"/>
        </w:tblCellMar>
        <w:tblLook w:val="04A0" w:firstRow="1" w:lastRow="0" w:firstColumn="1" w:lastColumn="0" w:noHBand="0" w:noVBand="1"/>
      </w:tblPr>
      <w:tblGrid>
        <w:gridCol w:w="2119"/>
        <w:gridCol w:w="1984"/>
        <w:gridCol w:w="1843"/>
        <w:gridCol w:w="1701"/>
      </w:tblGrid>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b/>
                <w:bCs/>
                <w:color w:val="000000" w:themeColor="text1"/>
                <w:sz w:val="15"/>
                <w:szCs w:val="15"/>
              </w:rPr>
              <w:t>Method 1</w:t>
            </w:r>
          </w:p>
        </w:tc>
        <w:tc>
          <w:tcPr>
            <w:tcW w:w="198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b/>
                <w:bCs/>
                <w:color w:val="000000" w:themeColor="text1"/>
                <w:sz w:val="15"/>
                <w:szCs w:val="15"/>
              </w:rPr>
              <w:t>Method 2</w:t>
            </w:r>
          </w:p>
        </w:tc>
        <w:tc>
          <w:tcPr>
            <w:tcW w:w="184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b/>
                <w:bCs/>
                <w:color w:val="000000" w:themeColor="text1"/>
                <w:sz w:val="15"/>
                <w:szCs w:val="15"/>
              </w:rPr>
              <w:t>p-value</w:t>
            </w:r>
          </w:p>
        </w:tc>
        <w:tc>
          <w:tcPr>
            <w:tcW w:w="1701"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b/>
                <w:bCs/>
                <w:color w:val="000000" w:themeColor="text1"/>
                <w:sz w:val="15"/>
                <w:szCs w:val="15"/>
              </w:rPr>
              <w:t>statistic</w:t>
            </w:r>
          </w:p>
        </w:tc>
      </w:tr>
      <w:tr w:rsidR="00F341FD" w:rsidRPr="0036352E" w:rsidTr="00F341FD">
        <w:trPr>
          <w:trHeight w:val="165"/>
        </w:trPr>
        <w:tc>
          <w:tcPr>
            <w:tcW w:w="7647" w:type="dxa"/>
            <w:gridSpan w:val="4"/>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60" w:type="dxa"/>
              <w:left w:w="60" w:type="dxa"/>
              <w:bottom w:w="60" w:type="dxa"/>
              <w:right w:w="60" w:type="dxa"/>
            </w:tcMar>
          </w:tcPr>
          <w:p w:rsidR="00F341FD" w:rsidRPr="0036352E" w:rsidRDefault="00F341FD" w:rsidP="00F341FD">
            <w:pPr>
              <w:pStyle w:val="NormalWeb"/>
              <w:numPr>
                <w:ilvl w:val="0"/>
                <w:numId w:val="1"/>
              </w:numPr>
              <w:spacing w:before="0" w:beforeAutospacing="0" w:after="0" w:afterAutospacing="0"/>
              <w:jc w:val="center"/>
              <w:rPr>
                <w:rFonts w:ascii="Helvetica Neue" w:hAnsi="Helvetica Neue"/>
                <w:b/>
                <w:bCs/>
                <w:color w:val="000000" w:themeColor="text1"/>
                <w:sz w:val="15"/>
                <w:szCs w:val="15"/>
              </w:rPr>
            </w:pPr>
            <w:r w:rsidRPr="00D47E78">
              <w:rPr>
                <w:rFonts w:asciiTheme="minorHAnsi" w:hAnsiTheme="minorHAnsi" w:cstheme="minorHAnsi"/>
                <w:color w:val="000000" w:themeColor="text1"/>
                <w:sz w:val="20"/>
                <w:szCs w:val="20"/>
              </w:rPr>
              <w:t>Mann-Whitney paired u-test a</w:t>
            </w:r>
            <w:r w:rsidRPr="002761CD">
              <w:rPr>
                <w:rFonts w:asciiTheme="minorHAnsi" w:hAnsiTheme="minorHAnsi" w:cstheme="minorHAnsi"/>
                <w:color w:val="000000" w:themeColor="text1"/>
                <w:sz w:val="20"/>
                <w:szCs w:val="20"/>
              </w:rPr>
              <w:t xml:space="preserve">nalysis of </w:t>
            </w:r>
            <w:r w:rsidRPr="00F0113C">
              <w:rPr>
                <w:rFonts w:asciiTheme="minorHAnsi" w:hAnsiTheme="minorHAnsi" w:cstheme="minorHAnsi"/>
                <w:b/>
                <w:bCs/>
                <w:color w:val="000000" w:themeColor="text1"/>
                <w:sz w:val="20"/>
                <w:szCs w:val="20"/>
              </w:rPr>
              <w:t>Figure 3A</w:t>
            </w:r>
          </w:p>
        </w:tc>
      </w:tr>
      <w:tr w:rsidR="00F341FD" w:rsidRPr="0036352E" w:rsidTr="00F341FD">
        <w:trPr>
          <w:trHeight w:val="180"/>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b/>
                <w:bCs/>
                <w:color w:val="000000" w:themeColor="text1"/>
                <w:sz w:val="15"/>
                <w:szCs w:val="15"/>
              </w:rPr>
              <w:t>ESCOTT</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EVE_ensemble</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0.0002</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55.0000</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b/>
                <w:bCs/>
                <w:color w:val="000000" w:themeColor="text1"/>
                <w:sz w:val="15"/>
                <w:szCs w:val="15"/>
              </w:rPr>
              <w:t>ESCOTT</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ESM1b</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0.0008</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92.0000</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b/>
                <w:bCs/>
                <w:color w:val="000000" w:themeColor="text1"/>
                <w:sz w:val="15"/>
                <w:szCs w:val="15"/>
              </w:rPr>
              <w:t>ESCOTT</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AlphaMissense</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0.5483</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231.5000</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b/>
                <w:bCs/>
                <w:color w:val="000000" w:themeColor="text1"/>
                <w:sz w:val="15"/>
                <w:szCs w:val="15"/>
              </w:rPr>
              <w:t>EVE_ensemble</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ESM1b</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0.5119</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227.5000</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b/>
                <w:bCs/>
                <w:color w:val="000000" w:themeColor="text1"/>
                <w:sz w:val="15"/>
                <w:szCs w:val="15"/>
              </w:rPr>
              <w:t>EVE_ensemble</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AlphaMissense</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0.0029</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96.0000</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b/>
                <w:bCs/>
                <w:color w:val="000000" w:themeColor="text1"/>
                <w:sz w:val="15"/>
                <w:szCs w:val="15"/>
              </w:rPr>
              <w:t>ESM1b</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AlphaMissense</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0.0001</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341FD" w:rsidRPr="0036352E" w:rsidRDefault="00F341FD" w:rsidP="00E7139C">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67.0000</w:t>
            </w:r>
          </w:p>
        </w:tc>
      </w:tr>
      <w:tr w:rsidR="00F341FD" w:rsidRPr="0036352E" w:rsidTr="00F341FD">
        <w:trPr>
          <w:trHeight w:val="165"/>
        </w:trPr>
        <w:tc>
          <w:tcPr>
            <w:tcW w:w="7647" w:type="dxa"/>
            <w:gridSpan w:val="4"/>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60" w:type="dxa"/>
              <w:left w:w="60" w:type="dxa"/>
              <w:bottom w:w="60" w:type="dxa"/>
              <w:right w:w="60" w:type="dxa"/>
            </w:tcMar>
          </w:tcPr>
          <w:p w:rsidR="00F341FD" w:rsidRPr="0036352E" w:rsidRDefault="00F341FD" w:rsidP="00F341FD">
            <w:pPr>
              <w:pStyle w:val="NormalWeb"/>
              <w:numPr>
                <w:ilvl w:val="0"/>
                <w:numId w:val="1"/>
              </w:numPr>
              <w:spacing w:before="0" w:beforeAutospacing="0" w:after="0" w:afterAutospacing="0"/>
              <w:jc w:val="center"/>
              <w:rPr>
                <w:rFonts w:ascii="Helvetica Neue" w:hAnsi="Helvetica Neue"/>
                <w:color w:val="000000" w:themeColor="text1"/>
                <w:sz w:val="15"/>
                <w:szCs w:val="15"/>
              </w:rPr>
            </w:pPr>
            <w:r w:rsidRPr="00D47E78">
              <w:rPr>
                <w:rFonts w:asciiTheme="minorHAnsi" w:hAnsiTheme="minorHAnsi" w:cstheme="minorHAnsi"/>
                <w:color w:val="000000" w:themeColor="text1"/>
                <w:sz w:val="20"/>
                <w:szCs w:val="20"/>
              </w:rPr>
              <w:t>Mann-Whitney paired u-test a</w:t>
            </w:r>
            <w:r w:rsidRPr="002761CD">
              <w:rPr>
                <w:rFonts w:asciiTheme="minorHAnsi" w:hAnsiTheme="minorHAnsi" w:cstheme="minorHAnsi"/>
                <w:color w:val="000000" w:themeColor="text1"/>
                <w:sz w:val="20"/>
                <w:szCs w:val="20"/>
              </w:rPr>
              <w:t xml:space="preserve">nalysis of </w:t>
            </w:r>
            <w:r w:rsidRPr="00F0113C">
              <w:rPr>
                <w:rFonts w:asciiTheme="minorHAnsi" w:hAnsiTheme="minorHAnsi" w:cstheme="minorHAnsi"/>
                <w:b/>
                <w:bCs/>
                <w:color w:val="000000" w:themeColor="text1"/>
                <w:sz w:val="20"/>
                <w:szCs w:val="20"/>
              </w:rPr>
              <w:t>Figure 6A</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b/>
                <w:bCs/>
                <w:color w:val="000000" w:themeColor="text1"/>
                <w:sz w:val="15"/>
                <w:szCs w:val="15"/>
              </w:rPr>
              <w:t>ESCOTT Averaged</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EVE (Ensemble) Averaged</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0.0024</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74.0000</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b/>
                <w:bCs/>
                <w:color w:val="000000" w:themeColor="text1"/>
                <w:sz w:val="15"/>
                <w:szCs w:val="15"/>
              </w:rPr>
              <w:t>ESCOTT Averaged</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ESM1b Averaged</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0.0089</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89.5000</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b/>
                <w:bCs/>
                <w:color w:val="000000" w:themeColor="text1"/>
                <w:sz w:val="15"/>
                <w:szCs w:val="15"/>
              </w:rPr>
              <w:t>ESCOTT Averaged</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AlphaMissense Averaged</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0.0628</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120.5000</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b/>
                <w:bCs/>
                <w:color w:val="000000" w:themeColor="text1"/>
                <w:sz w:val="15"/>
                <w:szCs w:val="15"/>
              </w:rPr>
              <w:t>EVE (Ensemble) Averaged</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ESM1b Averaged</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0.9019</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196.5000</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b/>
                <w:bCs/>
                <w:color w:val="000000" w:themeColor="text1"/>
                <w:sz w:val="15"/>
                <w:szCs w:val="15"/>
              </w:rPr>
              <w:t>EVE (Ensemble) Averaged</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AlphaMissense Averaged</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0.1502</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139.0000</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b/>
                <w:bCs/>
                <w:color w:val="000000" w:themeColor="text1"/>
                <w:sz w:val="15"/>
                <w:szCs w:val="15"/>
              </w:rPr>
              <w:t>ESM1b Averaged</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AlphaMissense Averaged</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0.0735</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Pr="0036352E" w:rsidRDefault="00F341FD" w:rsidP="00F341FD">
            <w:pPr>
              <w:pStyle w:val="NormalWeb"/>
              <w:spacing w:before="0" w:beforeAutospacing="0" w:after="0" w:afterAutospacing="0"/>
              <w:rPr>
                <w:color w:val="000000" w:themeColor="text1"/>
              </w:rPr>
            </w:pPr>
            <w:r w:rsidRPr="0036352E">
              <w:rPr>
                <w:rFonts w:ascii="Helvetica Neue" w:hAnsi="Helvetica Neue"/>
                <w:color w:val="000000" w:themeColor="text1"/>
                <w:sz w:val="15"/>
                <w:szCs w:val="15"/>
              </w:rPr>
              <w:t>124.0000</w:t>
            </w:r>
          </w:p>
        </w:tc>
      </w:tr>
      <w:tr w:rsidR="00F341FD" w:rsidRPr="0036352E" w:rsidTr="00F341FD">
        <w:trPr>
          <w:trHeight w:val="165"/>
        </w:trPr>
        <w:tc>
          <w:tcPr>
            <w:tcW w:w="7647" w:type="dxa"/>
            <w:gridSpan w:val="4"/>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60" w:type="dxa"/>
              <w:left w:w="60" w:type="dxa"/>
              <w:bottom w:w="60" w:type="dxa"/>
              <w:right w:w="60" w:type="dxa"/>
            </w:tcMar>
          </w:tcPr>
          <w:p w:rsidR="00F341FD" w:rsidRPr="0036352E" w:rsidRDefault="00F341FD" w:rsidP="00F341FD">
            <w:pPr>
              <w:pStyle w:val="NormalWeb"/>
              <w:numPr>
                <w:ilvl w:val="0"/>
                <w:numId w:val="1"/>
              </w:numPr>
              <w:spacing w:before="0" w:beforeAutospacing="0" w:after="0" w:afterAutospacing="0"/>
              <w:jc w:val="center"/>
              <w:rPr>
                <w:rFonts w:ascii="Helvetica Neue" w:hAnsi="Helvetica Neue"/>
                <w:color w:val="000000" w:themeColor="text1"/>
                <w:sz w:val="15"/>
                <w:szCs w:val="15"/>
              </w:rPr>
            </w:pPr>
            <w:r w:rsidRPr="00D47E78">
              <w:rPr>
                <w:rFonts w:asciiTheme="minorHAnsi" w:hAnsiTheme="minorHAnsi" w:cstheme="minorHAnsi"/>
                <w:color w:val="000000" w:themeColor="text1"/>
                <w:sz w:val="20"/>
                <w:szCs w:val="20"/>
              </w:rPr>
              <w:t>Mann-Whitney paired u-test a</w:t>
            </w:r>
            <w:r w:rsidRPr="002761CD">
              <w:rPr>
                <w:rFonts w:asciiTheme="minorHAnsi" w:hAnsiTheme="minorHAnsi" w:cstheme="minorHAnsi"/>
                <w:color w:val="000000" w:themeColor="text1"/>
                <w:sz w:val="20"/>
                <w:szCs w:val="20"/>
              </w:rPr>
              <w:t xml:space="preserve">nalysis of </w:t>
            </w:r>
            <w:r w:rsidRPr="00F0113C">
              <w:rPr>
                <w:rFonts w:asciiTheme="minorHAnsi" w:hAnsiTheme="minorHAnsi" w:cstheme="minorHAnsi"/>
                <w:b/>
                <w:bCs/>
                <w:color w:val="000000" w:themeColor="text1"/>
                <w:sz w:val="20"/>
                <w:szCs w:val="20"/>
              </w:rPr>
              <w:t>Figure 7C</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b/>
                <w:bCs/>
                <w:color w:val="000000"/>
                <w:sz w:val="15"/>
                <w:szCs w:val="15"/>
              </w:rPr>
              <w:t>PRESCOTT</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AlphaMissense</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0.0016</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164.0000</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b/>
                <w:bCs/>
                <w:color w:val="000000"/>
                <w:sz w:val="15"/>
                <w:szCs w:val="15"/>
              </w:rPr>
              <w:t>PRESCOTT</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ESM1b</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0.0000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33.0000</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b/>
                <w:bCs/>
                <w:color w:val="000000"/>
                <w:sz w:val="15"/>
                <w:szCs w:val="15"/>
              </w:rPr>
              <w:t>PRESCOTT</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EVE</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0.0000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41.5000</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b/>
                <w:bCs/>
                <w:color w:val="000000"/>
                <w:sz w:val="15"/>
                <w:szCs w:val="15"/>
              </w:rPr>
              <w:t>PRESCOTT</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ESCOTT</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0.0000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5.5000</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b/>
                <w:bCs/>
                <w:color w:val="000000"/>
                <w:sz w:val="15"/>
                <w:szCs w:val="15"/>
              </w:rPr>
              <w:t>AlphaMissense</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ESM1b</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0.0000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74.0000</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b/>
                <w:bCs/>
                <w:color w:val="000000"/>
                <w:sz w:val="15"/>
                <w:szCs w:val="15"/>
              </w:rPr>
              <w:t>AlphaMissense</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EVE</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0.0000</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92.0000</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b/>
                <w:bCs/>
                <w:color w:val="000000"/>
                <w:sz w:val="15"/>
                <w:szCs w:val="15"/>
              </w:rPr>
              <w:t>AlphaMissense</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ESCOTT</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0.0007</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181.0000</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b/>
                <w:bCs/>
                <w:color w:val="000000"/>
                <w:sz w:val="15"/>
                <w:szCs w:val="15"/>
              </w:rPr>
              <w:t>ESM1b</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EVE</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0.1124</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308.0000</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b/>
                <w:bCs/>
                <w:color w:val="000000"/>
                <w:sz w:val="15"/>
                <w:szCs w:val="15"/>
              </w:rPr>
              <w:t>ESM1b</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ESCOTT</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0.0005</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173.0000</w:t>
            </w:r>
          </w:p>
        </w:tc>
      </w:tr>
      <w:tr w:rsidR="00F341FD" w:rsidRPr="0036352E" w:rsidTr="00F341FD">
        <w:trPr>
          <w:trHeight w:val="165"/>
        </w:trPr>
        <w:tc>
          <w:tcPr>
            <w:tcW w:w="2119"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b/>
                <w:bCs/>
                <w:color w:val="000000"/>
                <w:sz w:val="15"/>
                <w:szCs w:val="15"/>
              </w:rPr>
              <w:t>EVE</w:t>
            </w:r>
          </w:p>
        </w:tc>
        <w:tc>
          <w:tcPr>
            <w:tcW w:w="198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ESCOTT</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0.0853</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rsidR="00F341FD" w:rsidRDefault="00F341FD" w:rsidP="00F341FD">
            <w:pPr>
              <w:pStyle w:val="NormalWeb"/>
              <w:spacing w:before="0" w:beforeAutospacing="0" w:after="0" w:afterAutospacing="0"/>
            </w:pPr>
            <w:r>
              <w:rPr>
                <w:rFonts w:ascii="Helvetica Neue" w:hAnsi="Helvetica Neue"/>
                <w:color w:val="000000"/>
                <w:sz w:val="15"/>
                <w:szCs w:val="15"/>
              </w:rPr>
              <w:t>282.0000</w:t>
            </w:r>
          </w:p>
        </w:tc>
      </w:tr>
    </w:tbl>
    <w:p w:rsidR="00F341FD" w:rsidRDefault="00F341FD"/>
    <w:p w:rsidR="00F341FD" w:rsidRPr="00D7383E" w:rsidRDefault="00F341FD" w:rsidP="00F341FD">
      <w:pPr>
        <w:ind w:left="-284" w:right="-330"/>
        <w:jc w:val="both"/>
        <w:rPr>
          <w:rFonts w:asciiTheme="minorHAnsi" w:hAnsiTheme="minorHAnsi" w:cstheme="minorHAnsi"/>
          <w:color w:val="000000" w:themeColor="text1"/>
          <w:sz w:val="20"/>
          <w:szCs w:val="20"/>
        </w:rPr>
      </w:pPr>
      <w:r w:rsidRPr="00D7383E">
        <w:rPr>
          <w:rFonts w:asciiTheme="minorHAnsi" w:hAnsiTheme="minorHAnsi" w:cstheme="minorHAnsi"/>
          <w:b/>
          <w:bCs/>
          <w:color w:val="000000" w:themeColor="text1"/>
          <w:sz w:val="20"/>
          <w:szCs w:val="20"/>
        </w:rPr>
        <w:t>Table S1.</w:t>
      </w:r>
      <w:r w:rsidRPr="00D7383E">
        <w:rPr>
          <w:rFonts w:asciiTheme="minorHAnsi" w:hAnsiTheme="minorHAnsi" w:cstheme="minorHAnsi"/>
          <w:color w:val="000000" w:themeColor="text1"/>
          <w:sz w:val="20"/>
          <w:szCs w:val="20"/>
        </w:rPr>
        <w:t xml:space="preserve"> </w:t>
      </w:r>
      <w:r w:rsidRPr="00D7383E">
        <w:rPr>
          <w:rFonts w:asciiTheme="minorHAnsi" w:hAnsiTheme="minorHAnsi" w:cstheme="minorHAnsi"/>
          <w:b/>
          <w:bCs/>
          <w:color w:val="000000" w:themeColor="text1"/>
          <w:sz w:val="20"/>
          <w:szCs w:val="20"/>
        </w:rPr>
        <w:t>Mann-Whitney paired u-tests for data in Figure 3A, Figure 5A and Figure 7C. A.</w:t>
      </w:r>
      <w:r w:rsidRPr="00D7383E">
        <w:rPr>
          <w:rFonts w:asciiTheme="minorHAnsi" w:hAnsiTheme="minorHAnsi" w:cstheme="minorHAnsi"/>
          <w:color w:val="000000" w:themeColor="text1"/>
          <w:sz w:val="20"/>
          <w:szCs w:val="20"/>
        </w:rPr>
        <w:t xml:space="preserve"> From the analysis of </w:t>
      </w:r>
      <w:r w:rsidRPr="00D7383E">
        <w:rPr>
          <w:rFonts w:asciiTheme="minorHAnsi" w:hAnsiTheme="minorHAnsi" w:cstheme="minorHAnsi"/>
          <w:b/>
          <w:bCs/>
          <w:color w:val="000000" w:themeColor="text1"/>
          <w:sz w:val="20"/>
          <w:szCs w:val="20"/>
        </w:rPr>
        <w:t>Figure 3A</w:t>
      </w:r>
      <w:r w:rsidRPr="00D7383E">
        <w:rPr>
          <w:rFonts w:asciiTheme="minorHAnsi" w:hAnsiTheme="minorHAnsi" w:cstheme="minorHAnsi"/>
          <w:color w:val="000000" w:themeColor="text1"/>
          <w:sz w:val="20"/>
          <w:szCs w:val="20"/>
        </w:rPr>
        <w:t>,</w:t>
      </w:r>
      <w:r w:rsidRPr="00D7383E">
        <w:rPr>
          <w:rFonts w:asciiTheme="minorHAnsi" w:hAnsiTheme="minorHAnsi" w:cstheme="minorHAnsi"/>
          <w:b/>
          <w:bCs/>
          <w:color w:val="000000" w:themeColor="text1"/>
          <w:sz w:val="20"/>
          <w:szCs w:val="20"/>
        </w:rPr>
        <w:t xml:space="preserve"> </w:t>
      </w:r>
      <w:r w:rsidRPr="00D7383E">
        <w:rPr>
          <w:rFonts w:asciiTheme="minorHAnsi" w:hAnsiTheme="minorHAnsi" w:cstheme="minorHAnsi"/>
          <w:color w:val="000000" w:themeColor="text1"/>
          <w:sz w:val="20"/>
          <w:szCs w:val="20"/>
        </w:rPr>
        <w:t xml:space="preserve">ESCOTT emerges as a robust method, with significant performance advantages over EVE_ensemble and ESM1b, while maintaining parity with AlphaMissense. This highlights ESCOTT strong overall behavior and reliability across datasets, comparable only to AlphaMissense, which also consistently outperforms the other approaches. </w:t>
      </w:r>
      <w:r w:rsidRPr="00D7383E">
        <w:rPr>
          <w:rFonts w:asciiTheme="minorHAnsi" w:hAnsiTheme="minorHAnsi" w:cstheme="minorHAnsi"/>
          <w:b/>
          <w:bCs/>
          <w:color w:val="000000" w:themeColor="text1"/>
          <w:sz w:val="20"/>
          <w:szCs w:val="20"/>
        </w:rPr>
        <w:t xml:space="preserve">B. </w:t>
      </w:r>
      <w:r w:rsidRPr="00D7383E">
        <w:rPr>
          <w:rFonts w:asciiTheme="minorHAnsi" w:hAnsiTheme="minorHAnsi" w:cstheme="minorHAnsi"/>
          <w:color w:val="000000" w:themeColor="text1"/>
          <w:sz w:val="20"/>
          <w:szCs w:val="20"/>
        </w:rPr>
        <w:t xml:space="preserve">From the analysis of </w:t>
      </w:r>
      <w:r w:rsidRPr="00D7383E">
        <w:rPr>
          <w:rFonts w:asciiTheme="minorHAnsi" w:hAnsiTheme="minorHAnsi" w:cstheme="minorHAnsi"/>
          <w:b/>
          <w:bCs/>
          <w:color w:val="000000" w:themeColor="text1"/>
          <w:sz w:val="20"/>
          <w:szCs w:val="20"/>
        </w:rPr>
        <w:t xml:space="preserve">Figure </w:t>
      </w:r>
      <w:r>
        <w:rPr>
          <w:rFonts w:asciiTheme="minorHAnsi" w:hAnsiTheme="minorHAnsi" w:cstheme="minorHAnsi"/>
          <w:b/>
          <w:bCs/>
          <w:color w:val="000000" w:themeColor="text1"/>
          <w:sz w:val="20"/>
          <w:szCs w:val="20"/>
        </w:rPr>
        <w:t>6</w:t>
      </w:r>
      <w:r w:rsidRPr="00D7383E">
        <w:rPr>
          <w:rFonts w:asciiTheme="minorHAnsi" w:hAnsiTheme="minorHAnsi" w:cstheme="minorHAnsi"/>
          <w:b/>
          <w:bCs/>
          <w:color w:val="000000" w:themeColor="text1"/>
          <w:sz w:val="20"/>
          <w:szCs w:val="20"/>
        </w:rPr>
        <w:t>A</w:t>
      </w:r>
      <w:r w:rsidRPr="00D7383E">
        <w:rPr>
          <w:rFonts w:asciiTheme="minorHAnsi" w:hAnsiTheme="minorHAnsi" w:cstheme="minorHAnsi"/>
          <w:color w:val="000000" w:themeColor="text1"/>
          <w:sz w:val="20"/>
          <w:szCs w:val="20"/>
        </w:rPr>
        <w:t>,</w:t>
      </w:r>
      <w:r w:rsidRPr="00D7383E">
        <w:rPr>
          <w:rFonts w:asciiTheme="minorHAnsi" w:hAnsiTheme="minorHAnsi" w:cstheme="minorHAnsi"/>
          <w:b/>
          <w:bCs/>
          <w:color w:val="000000" w:themeColor="text1"/>
          <w:sz w:val="20"/>
          <w:szCs w:val="20"/>
        </w:rPr>
        <w:t xml:space="preserve"> </w:t>
      </w:r>
      <w:r w:rsidRPr="00D7383E">
        <w:rPr>
          <w:rFonts w:asciiTheme="minorHAnsi" w:hAnsiTheme="minorHAnsi" w:cstheme="minorHAnsi"/>
          <w:color w:val="000000" w:themeColor="text1"/>
          <w:sz w:val="20"/>
          <w:szCs w:val="20"/>
        </w:rPr>
        <w:t>ESCOTT demonstrates a better overall performance, as it shows statistically significant differences compared to EVE (Ensemble) and ESM1b, highlighting its robustness, while its comparable performance with AlphaMissense suggests it maintains competitive effectiveness even against strong alternatives.</w:t>
      </w:r>
      <w:r w:rsidRPr="00D7383E">
        <w:rPr>
          <w:rFonts w:asciiTheme="minorHAnsi" w:hAnsiTheme="minorHAnsi" w:cstheme="minorHAnsi"/>
          <w:b/>
          <w:bCs/>
          <w:color w:val="000000" w:themeColor="text1"/>
          <w:sz w:val="20"/>
          <w:szCs w:val="20"/>
        </w:rPr>
        <w:t xml:space="preserve"> C. </w:t>
      </w:r>
      <w:r w:rsidRPr="00D7383E">
        <w:rPr>
          <w:rFonts w:asciiTheme="minorHAnsi" w:hAnsiTheme="minorHAnsi" w:cstheme="minorHAnsi"/>
          <w:color w:val="000000" w:themeColor="text1"/>
          <w:sz w:val="20"/>
          <w:szCs w:val="20"/>
        </w:rPr>
        <w:t xml:space="preserve">From the analysis of </w:t>
      </w:r>
      <w:r w:rsidRPr="00D7383E">
        <w:rPr>
          <w:rFonts w:asciiTheme="minorHAnsi" w:hAnsiTheme="minorHAnsi" w:cstheme="minorHAnsi"/>
          <w:b/>
          <w:bCs/>
          <w:color w:val="000000" w:themeColor="text1"/>
          <w:sz w:val="20"/>
          <w:szCs w:val="20"/>
        </w:rPr>
        <w:t>Figure 7C</w:t>
      </w:r>
      <w:r w:rsidRPr="00D7383E">
        <w:rPr>
          <w:rFonts w:asciiTheme="minorHAnsi" w:hAnsiTheme="minorHAnsi" w:cstheme="minorHAnsi"/>
          <w:color w:val="000000" w:themeColor="text1"/>
          <w:sz w:val="20"/>
          <w:szCs w:val="20"/>
        </w:rPr>
        <w:t xml:space="preserve">, PRESCOTT emerges as the strongest method, consistently showing statistically significant advantages over other approaches. AlphaMissense also demonstrates strong performance, particularly when compared to ESM1b and EVE. ESCOTT holds its ground against EVE but is clearly outperformed by PRESCOTT. This table highlights the robustness of PRESCOTT and AlphaMissense in this analysis. </w:t>
      </w:r>
      <w:r w:rsidRPr="00D7383E">
        <w:rPr>
          <w:rFonts w:asciiTheme="minorHAnsi" w:hAnsiTheme="minorHAnsi" w:cstheme="minorHAnsi"/>
          <w:b/>
          <w:bCs/>
          <w:color w:val="000000" w:themeColor="text1"/>
          <w:sz w:val="20"/>
          <w:szCs w:val="20"/>
        </w:rPr>
        <w:t>C.</w:t>
      </w:r>
      <w:r w:rsidRPr="00D7383E">
        <w:rPr>
          <w:rFonts w:asciiTheme="minorHAnsi" w:hAnsiTheme="minorHAnsi" w:cstheme="minorHAnsi"/>
          <w:color w:val="000000" w:themeColor="text1"/>
          <w:sz w:val="20"/>
          <w:szCs w:val="20"/>
        </w:rPr>
        <w:t xml:space="preserve"> </w:t>
      </w:r>
    </w:p>
    <w:p w:rsidR="00F341FD" w:rsidRDefault="00F341FD" w:rsidP="00F341FD"/>
    <w:p w:rsidR="00F341FD" w:rsidRDefault="00F341FD"/>
    <w:sectPr w:rsidR="00F341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945BD5"/>
    <w:multiLevelType w:val="hybridMultilevel"/>
    <w:tmpl w:val="664274C2"/>
    <w:lvl w:ilvl="0" w:tplc="D702158E">
      <w:start w:val="1"/>
      <w:numFmt w:val="upperLetter"/>
      <w:lvlText w:val="%1."/>
      <w:lvlJc w:val="left"/>
      <w:pPr>
        <w:ind w:left="720" w:hanging="360"/>
      </w:pPr>
      <w:rPr>
        <w:rFonts w:asciiTheme="minorHAnsi" w:hAnsiTheme="minorHAnsi" w:cstheme="minorHAnsi" w:hint="default"/>
        <w:b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2001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236"/>
    <w:rsid w:val="00073664"/>
    <w:rsid w:val="00307236"/>
    <w:rsid w:val="00997664"/>
    <w:rsid w:val="00F341FD"/>
  </w:rsids>
  <m:mathPr>
    <m:mathFont m:val="Cambria Math"/>
    <m:brkBin m:val="before"/>
    <m:brkBinSub m:val="--"/>
    <m:smallFrac m:val="0"/>
    <m:dispDef/>
    <m:lMargin m:val="0"/>
    <m:rMargin m:val="0"/>
    <m:defJc m:val="centerGroup"/>
    <m:wrapIndent m:val="1440"/>
    <m:intLim m:val="subSup"/>
    <m:naryLim m:val="undOvr"/>
  </m:mathPr>
  <w:themeFontLang w:val="en-FR"/>
  <w:clrSchemeMapping w:bg1="light1" w:t1="dark1" w:bg2="light2" w:t2="dark2" w:accent1="accent1" w:accent2="accent2" w:accent3="accent3" w:accent4="accent4" w:accent5="accent5" w:accent6="accent6" w:hyperlink="hyperlink" w:followedHyperlink="followedHyperlink"/>
  <w:decimalSymbol w:val=","/>
  <w:listSeparator w:val=","/>
  <w14:docId w14:val="367AB80C"/>
  <w15:chartTrackingRefBased/>
  <w15:docId w15:val="{96A15DAB-6BAE-074A-9ACF-89039C1A7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236"/>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30723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0723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07236"/>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07236"/>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307236"/>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307236"/>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307236"/>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307236"/>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307236"/>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2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72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723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723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0723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072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2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2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236"/>
    <w:rPr>
      <w:rFonts w:eastAsiaTheme="majorEastAsia" w:cstheme="majorBidi"/>
      <w:color w:val="272727" w:themeColor="text1" w:themeTint="D8"/>
    </w:rPr>
  </w:style>
  <w:style w:type="paragraph" w:styleId="Title">
    <w:name w:val="Title"/>
    <w:basedOn w:val="Normal"/>
    <w:next w:val="Normal"/>
    <w:link w:val="TitleChar"/>
    <w:uiPriority w:val="10"/>
    <w:qFormat/>
    <w:rsid w:val="0030723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072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23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072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236"/>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307236"/>
    <w:rPr>
      <w:i/>
      <w:iCs/>
      <w:color w:val="404040" w:themeColor="text1" w:themeTint="BF"/>
    </w:rPr>
  </w:style>
  <w:style w:type="paragraph" w:styleId="ListParagraph">
    <w:name w:val="List Paragraph"/>
    <w:basedOn w:val="Normal"/>
    <w:uiPriority w:val="34"/>
    <w:qFormat/>
    <w:rsid w:val="00307236"/>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307236"/>
    <w:rPr>
      <w:i/>
      <w:iCs/>
      <w:color w:val="2F5496" w:themeColor="accent1" w:themeShade="BF"/>
    </w:rPr>
  </w:style>
  <w:style w:type="paragraph" w:styleId="IntenseQuote">
    <w:name w:val="Intense Quote"/>
    <w:basedOn w:val="Normal"/>
    <w:next w:val="Normal"/>
    <w:link w:val="IntenseQuoteChar"/>
    <w:uiPriority w:val="30"/>
    <w:qFormat/>
    <w:rsid w:val="0030723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307236"/>
    <w:rPr>
      <w:i/>
      <w:iCs/>
      <w:color w:val="2F5496" w:themeColor="accent1" w:themeShade="BF"/>
    </w:rPr>
  </w:style>
  <w:style w:type="character" w:styleId="IntenseReference">
    <w:name w:val="Intense Reference"/>
    <w:basedOn w:val="DefaultParagraphFont"/>
    <w:uiPriority w:val="32"/>
    <w:qFormat/>
    <w:rsid w:val="00307236"/>
    <w:rPr>
      <w:b/>
      <w:bCs/>
      <w:smallCaps/>
      <w:color w:val="2F5496" w:themeColor="accent1" w:themeShade="BF"/>
      <w:spacing w:val="5"/>
    </w:rPr>
  </w:style>
  <w:style w:type="paragraph" w:styleId="NormalWeb">
    <w:name w:val="Normal (Web)"/>
    <w:basedOn w:val="Normal"/>
    <w:uiPriority w:val="99"/>
    <w:unhideWhenUsed/>
    <w:rsid w:val="0030723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338</Words>
  <Characters>1928</Characters>
  <Application>Microsoft Office Word</Application>
  <DocSecurity>0</DocSecurity>
  <Lines>16</Lines>
  <Paragraphs>4</Paragraphs>
  <ScaleCrop>false</ScaleCrop>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2025-03-19T13:38:00Z</dcterms:created>
  <dcterms:modified xsi:type="dcterms:W3CDTF">2025-03-19T13:44:00Z</dcterms:modified>
</cp:coreProperties>
</file>