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C4B77A" w14:textId="77777777" w:rsidR="00BF5469" w:rsidRDefault="008C28D9">
      <w:pPr>
        <w:rPr>
          <w:rFonts w:ascii="Times New Roman" w:eastAsia="Times New Roman" w:hAnsi="Times New Roman" w:cs="Times New Roman"/>
        </w:rPr>
      </w:pPr>
      <w:r>
        <w:rPr>
          <w:rFonts w:ascii="Times New Roman" w:eastAsia="Times New Roman" w:hAnsi="Times New Roman" w:cs="Times New Roman"/>
        </w:rPr>
        <w:t>Review History</w:t>
      </w:r>
    </w:p>
    <w:p w14:paraId="6EC4B77B" w14:textId="77777777" w:rsidR="00BF5469" w:rsidRDefault="008C28D9">
      <w:pPr>
        <w:spacing w:after="0" w:line="240" w:lineRule="auto"/>
        <w:rPr>
          <w:rFonts w:ascii="Times New Roman" w:eastAsia="Times New Roman" w:hAnsi="Times New Roman" w:cs="Times New Roman"/>
          <w:b/>
        </w:rPr>
      </w:pPr>
      <w:r>
        <w:rPr>
          <w:rFonts w:ascii="Times New Roman" w:eastAsia="Times New Roman" w:hAnsi="Times New Roman" w:cs="Times New Roman"/>
          <w:b/>
        </w:rPr>
        <w:t>First round of review</w:t>
      </w:r>
    </w:p>
    <w:p w14:paraId="6EC4B77C" w14:textId="77777777" w:rsidR="00BF5469" w:rsidRDefault="008C28D9">
      <w:pPr>
        <w:spacing w:after="0" w:line="240" w:lineRule="auto"/>
        <w:rPr>
          <w:rFonts w:ascii="Times New Roman" w:eastAsia="Times New Roman" w:hAnsi="Times New Roman" w:cs="Times New Roman"/>
          <w:b/>
        </w:rPr>
      </w:pPr>
      <w:r>
        <w:rPr>
          <w:rFonts w:ascii="Times New Roman" w:eastAsia="Times New Roman" w:hAnsi="Times New Roman" w:cs="Times New Roman"/>
          <w:b/>
        </w:rPr>
        <w:t>Reviewer 1</w:t>
      </w:r>
    </w:p>
    <w:p w14:paraId="6EC4B77D" w14:textId="77777777" w:rsidR="00BF5469" w:rsidRDefault="00BF5469">
      <w:pPr>
        <w:spacing w:after="0" w:line="240" w:lineRule="auto"/>
        <w:rPr>
          <w:rFonts w:ascii="Times New Roman" w:eastAsia="Times New Roman" w:hAnsi="Times New Roman" w:cs="Times New Roman"/>
          <w:b/>
        </w:rPr>
      </w:pPr>
    </w:p>
    <w:p w14:paraId="6EC4B77E" w14:textId="33FDB7C1" w:rsidR="00BF5469" w:rsidRPr="00771181" w:rsidRDefault="008C28D9">
      <w:pPr>
        <w:spacing w:after="0" w:line="240" w:lineRule="auto"/>
        <w:rPr>
          <w:rFonts w:ascii="Times New Roman" w:eastAsia="Times New Roman" w:hAnsi="Times New Roman" w:cs="Times New Roman"/>
          <w:bCs/>
          <w:color w:val="000033"/>
        </w:rPr>
      </w:pPr>
      <w:r>
        <w:rPr>
          <w:rFonts w:ascii="Times New Roman" w:eastAsia="Times New Roman" w:hAnsi="Times New Roman" w:cs="Times New Roman"/>
          <w:b/>
          <w:color w:val="000033"/>
          <w:highlight w:val="white"/>
        </w:rPr>
        <w:t>Were you able to assess all statistics in the manuscript, including the appropriateness of statistical tests used?</w:t>
      </w:r>
      <w:r w:rsidR="00771181">
        <w:rPr>
          <w:rFonts w:ascii="Times New Roman" w:eastAsia="Times New Roman" w:hAnsi="Times New Roman" w:cs="Times New Roman"/>
          <w:b/>
          <w:color w:val="000033"/>
        </w:rPr>
        <w:t xml:space="preserve"> </w:t>
      </w:r>
      <w:r w:rsidR="00771181" w:rsidRPr="00771181">
        <w:rPr>
          <w:rFonts w:ascii="Times New Roman" w:eastAsia="Times New Roman" w:hAnsi="Times New Roman" w:cs="Times New Roman"/>
          <w:bCs/>
          <w:color w:val="000033"/>
        </w:rPr>
        <w:t>No, I do not feel adequately qualified to assess the statistics.</w:t>
      </w:r>
    </w:p>
    <w:p w14:paraId="6EC4B77F" w14:textId="77777777" w:rsidR="00BF5469" w:rsidRDefault="00BF5469">
      <w:pPr>
        <w:spacing w:after="0" w:line="240" w:lineRule="auto"/>
        <w:rPr>
          <w:rFonts w:ascii="Times New Roman" w:eastAsia="Times New Roman" w:hAnsi="Times New Roman" w:cs="Times New Roman"/>
        </w:rPr>
      </w:pPr>
    </w:p>
    <w:p w14:paraId="6EC4B780" w14:textId="77777777" w:rsidR="00BF5469" w:rsidRDefault="008C28D9">
      <w:pPr>
        <w:spacing w:after="0" w:line="240" w:lineRule="auto"/>
        <w:rPr>
          <w:rFonts w:ascii="Times New Roman" w:eastAsia="Times New Roman" w:hAnsi="Times New Roman" w:cs="Times New Roman"/>
          <w:b/>
        </w:rPr>
      </w:pPr>
      <w:r>
        <w:rPr>
          <w:rFonts w:ascii="Times New Roman" w:eastAsia="Times New Roman" w:hAnsi="Times New Roman" w:cs="Times New Roman"/>
          <w:b/>
        </w:rPr>
        <w:t>Comments to author:</w:t>
      </w:r>
    </w:p>
    <w:p w14:paraId="6EC4B781" w14:textId="77777777" w:rsidR="00BF5469" w:rsidRDefault="00BF5469">
      <w:pPr>
        <w:spacing w:after="0" w:line="240" w:lineRule="auto"/>
        <w:rPr>
          <w:rFonts w:ascii="Times New Roman" w:eastAsia="Times New Roman" w:hAnsi="Times New Roman" w:cs="Times New Roman"/>
        </w:rPr>
      </w:pPr>
    </w:p>
    <w:p w14:paraId="5443D5BD" w14:textId="77777777" w:rsidR="00771181" w:rsidRPr="00771181" w:rsidRDefault="00771181" w:rsidP="00771181">
      <w:pPr>
        <w:spacing w:after="0" w:line="240" w:lineRule="auto"/>
        <w:rPr>
          <w:rFonts w:ascii="Times New Roman" w:eastAsia="Times New Roman" w:hAnsi="Times New Roman" w:cs="Times New Roman"/>
        </w:rPr>
      </w:pPr>
      <w:r w:rsidRPr="00771181">
        <w:rPr>
          <w:rFonts w:ascii="Times New Roman" w:eastAsia="Times New Roman" w:hAnsi="Times New Roman" w:cs="Times New Roman"/>
        </w:rPr>
        <w:t xml:space="preserve">In this manuscript, the authors screened several repressor domains from a recent tiling library and developed novel bipartite and tripartite fusions to enhance the knockdown efficiency of </w:t>
      </w:r>
      <w:proofErr w:type="spellStart"/>
      <w:r w:rsidRPr="00771181">
        <w:rPr>
          <w:rFonts w:ascii="Times New Roman" w:eastAsia="Times New Roman" w:hAnsi="Times New Roman" w:cs="Times New Roman"/>
        </w:rPr>
        <w:t>CRISPRi</w:t>
      </w:r>
      <w:proofErr w:type="spellEnd"/>
      <w:r w:rsidRPr="00771181">
        <w:rPr>
          <w:rFonts w:ascii="Times New Roman" w:eastAsia="Times New Roman" w:hAnsi="Times New Roman" w:cs="Times New Roman"/>
        </w:rPr>
        <w:t xml:space="preserve">, including dCas9-KOX1(KRAB)-MeCP2(t), dCas9-ZIM3(KRAB)-MAX-MeCP2(t) and dCas9-ZIM3(KRAB)-MeCP2(t). The authors validated the improved efficiency of these </w:t>
      </w:r>
      <w:proofErr w:type="spellStart"/>
      <w:r w:rsidRPr="00771181">
        <w:rPr>
          <w:rFonts w:ascii="Times New Roman" w:eastAsia="Times New Roman" w:hAnsi="Times New Roman" w:cs="Times New Roman"/>
        </w:rPr>
        <w:t>CRISPRi</w:t>
      </w:r>
      <w:proofErr w:type="spellEnd"/>
      <w:r w:rsidRPr="00771181">
        <w:rPr>
          <w:rFonts w:ascii="Times New Roman" w:eastAsia="Times New Roman" w:hAnsi="Times New Roman" w:cs="Times New Roman"/>
        </w:rPr>
        <w:t xml:space="preserve"> tools across various genes and cell </w:t>
      </w:r>
      <w:proofErr w:type="gramStart"/>
      <w:r w:rsidRPr="00771181">
        <w:rPr>
          <w:rFonts w:ascii="Times New Roman" w:eastAsia="Times New Roman" w:hAnsi="Times New Roman" w:cs="Times New Roman"/>
        </w:rPr>
        <w:t>lines, and</w:t>
      </w:r>
      <w:proofErr w:type="gramEnd"/>
      <w:r w:rsidRPr="00771181">
        <w:rPr>
          <w:rFonts w:ascii="Times New Roman" w:eastAsia="Times New Roman" w:hAnsi="Times New Roman" w:cs="Times New Roman"/>
        </w:rPr>
        <w:t xml:space="preserve"> demonstrated their applicability in scaffold-based effector recruitment systems. Furthermore, the authors elucidated that the knockdown efficiency of </w:t>
      </w:r>
      <w:proofErr w:type="spellStart"/>
      <w:r w:rsidRPr="00771181">
        <w:rPr>
          <w:rFonts w:ascii="Times New Roman" w:eastAsia="Times New Roman" w:hAnsi="Times New Roman" w:cs="Times New Roman"/>
        </w:rPr>
        <w:t>CRISPRi</w:t>
      </w:r>
      <w:proofErr w:type="spellEnd"/>
      <w:r w:rsidRPr="00771181">
        <w:rPr>
          <w:rFonts w:ascii="Times New Roman" w:eastAsia="Times New Roman" w:hAnsi="Times New Roman" w:cs="Times New Roman"/>
        </w:rPr>
        <w:t xml:space="preserve"> could be collectively impacted by both the protein expression levels and the recruited cofactors across different cell lines. This work introduces several highly efficient </w:t>
      </w:r>
      <w:proofErr w:type="spellStart"/>
      <w:r w:rsidRPr="00771181">
        <w:rPr>
          <w:rFonts w:ascii="Times New Roman" w:eastAsia="Times New Roman" w:hAnsi="Times New Roman" w:cs="Times New Roman"/>
        </w:rPr>
        <w:t>CRISPRi</w:t>
      </w:r>
      <w:proofErr w:type="spellEnd"/>
      <w:r w:rsidRPr="00771181">
        <w:rPr>
          <w:rFonts w:ascii="Times New Roman" w:eastAsia="Times New Roman" w:hAnsi="Times New Roman" w:cs="Times New Roman"/>
        </w:rPr>
        <w:t xml:space="preserve"> tools and deepens our comprehension of </w:t>
      </w:r>
      <w:proofErr w:type="spellStart"/>
      <w:r w:rsidRPr="00771181">
        <w:rPr>
          <w:rFonts w:ascii="Times New Roman" w:eastAsia="Times New Roman" w:hAnsi="Times New Roman" w:cs="Times New Roman"/>
        </w:rPr>
        <w:t>CRISPRi</w:t>
      </w:r>
      <w:proofErr w:type="spellEnd"/>
      <w:r w:rsidRPr="00771181">
        <w:rPr>
          <w:rFonts w:ascii="Times New Roman" w:eastAsia="Times New Roman" w:hAnsi="Times New Roman" w:cs="Times New Roman"/>
        </w:rPr>
        <w:t xml:space="preserve"> mechanisms.</w:t>
      </w:r>
    </w:p>
    <w:p w14:paraId="496B870E" w14:textId="77777777" w:rsidR="00771181" w:rsidRPr="00771181" w:rsidRDefault="00771181" w:rsidP="00771181">
      <w:pPr>
        <w:spacing w:after="0" w:line="240" w:lineRule="auto"/>
        <w:rPr>
          <w:rFonts w:ascii="Times New Roman" w:eastAsia="Times New Roman" w:hAnsi="Times New Roman" w:cs="Times New Roman"/>
        </w:rPr>
      </w:pPr>
      <w:r w:rsidRPr="00771181">
        <w:rPr>
          <w:rFonts w:ascii="Times New Roman" w:eastAsia="Times New Roman" w:hAnsi="Times New Roman" w:cs="Times New Roman"/>
        </w:rPr>
        <w:t>Major:</w:t>
      </w:r>
    </w:p>
    <w:p w14:paraId="3D29044B" w14:textId="77777777" w:rsidR="00771181" w:rsidRPr="00771181" w:rsidRDefault="00771181" w:rsidP="00771181">
      <w:pPr>
        <w:spacing w:after="0" w:line="240" w:lineRule="auto"/>
        <w:rPr>
          <w:rFonts w:ascii="Times New Roman" w:eastAsia="Times New Roman" w:hAnsi="Times New Roman" w:cs="Times New Roman"/>
        </w:rPr>
      </w:pPr>
      <w:r w:rsidRPr="00771181">
        <w:rPr>
          <w:rFonts w:ascii="Times New Roman" w:eastAsia="Times New Roman" w:hAnsi="Times New Roman" w:cs="Times New Roman"/>
        </w:rPr>
        <w:t xml:space="preserve">1. In Figure 5, targeting endogenous loci should be tested to evaluate the efficiency of </w:t>
      </w:r>
      <w:proofErr w:type="spellStart"/>
      <w:r w:rsidRPr="00771181">
        <w:rPr>
          <w:rFonts w:ascii="Times New Roman" w:eastAsia="Times New Roman" w:hAnsi="Times New Roman" w:cs="Times New Roman"/>
        </w:rPr>
        <w:t>CRISPRi</w:t>
      </w:r>
      <w:proofErr w:type="spellEnd"/>
      <w:r w:rsidRPr="00771181">
        <w:rPr>
          <w:rFonts w:ascii="Times New Roman" w:eastAsia="Times New Roman" w:hAnsi="Times New Roman" w:cs="Times New Roman"/>
        </w:rPr>
        <w:t xml:space="preserve"> across diverse cell types.</w:t>
      </w:r>
    </w:p>
    <w:p w14:paraId="699693C6" w14:textId="77777777" w:rsidR="00771181" w:rsidRPr="00771181" w:rsidRDefault="00771181" w:rsidP="00771181">
      <w:pPr>
        <w:spacing w:after="0" w:line="240" w:lineRule="auto"/>
        <w:rPr>
          <w:rFonts w:ascii="Times New Roman" w:eastAsia="Times New Roman" w:hAnsi="Times New Roman" w:cs="Times New Roman"/>
        </w:rPr>
      </w:pPr>
      <w:r w:rsidRPr="00771181">
        <w:rPr>
          <w:rFonts w:ascii="Times New Roman" w:eastAsia="Times New Roman" w:hAnsi="Times New Roman" w:cs="Times New Roman"/>
        </w:rPr>
        <w:t>2. The impact of the length and type of linker sequence between repressor domains on their efficiency warrants investigation.</w:t>
      </w:r>
    </w:p>
    <w:p w14:paraId="50B00DA9" w14:textId="77777777" w:rsidR="00771181" w:rsidRPr="00771181" w:rsidRDefault="00771181" w:rsidP="00771181">
      <w:pPr>
        <w:spacing w:after="0" w:line="240" w:lineRule="auto"/>
        <w:rPr>
          <w:rFonts w:ascii="Times New Roman" w:eastAsia="Times New Roman" w:hAnsi="Times New Roman" w:cs="Times New Roman"/>
        </w:rPr>
      </w:pPr>
      <w:r w:rsidRPr="00771181">
        <w:rPr>
          <w:rFonts w:ascii="Times New Roman" w:eastAsia="Times New Roman" w:hAnsi="Times New Roman" w:cs="Times New Roman"/>
        </w:rPr>
        <w:t>Minor:</w:t>
      </w:r>
    </w:p>
    <w:p w14:paraId="6EC4B782" w14:textId="0D08FA78" w:rsidR="00BF5469" w:rsidRDefault="00771181" w:rsidP="00771181">
      <w:pPr>
        <w:spacing w:after="0" w:line="240" w:lineRule="auto"/>
        <w:rPr>
          <w:rFonts w:ascii="Times New Roman" w:eastAsia="Times New Roman" w:hAnsi="Times New Roman" w:cs="Times New Roman"/>
        </w:rPr>
      </w:pPr>
      <w:r w:rsidRPr="00771181">
        <w:rPr>
          <w:rFonts w:ascii="Times New Roman" w:eastAsia="Times New Roman" w:hAnsi="Times New Roman" w:cs="Times New Roman"/>
        </w:rPr>
        <w:t>The description of Figure 4C-D on page 15 of the article is inaccurate as there is no corresponding label "D" in Figure 4.</w:t>
      </w:r>
    </w:p>
    <w:p w14:paraId="3A54FD47" w14:textId="77777777" w:rsidR="00771181" w:rsidRDefault="00771181" w:rsidP="00771181">
      <w:pPr>
        <w:spacing w:after="0" w:line="240" w:lineRule="auto"/>
        <w:rPr>
          <w:rFonts w:ascii="Times New Roman" w:eastAsia="Times New Roman" w:hAnsi="Times New Roman" w:cs="Times New Roman"/>
        </w:rPr>
      </w:pPr>
    </w:p>
    <w:p w14:paraId="6EC4B783" w14:textId="77777777" w:rsidR="00BF5469" w:rsidRDefault="008C28D9">
      <w:pPr>
        <w:spacing w:after="0" w:line="240" w:lineRule="auto"/>
        <w:rPr>
          <w:rFonts w:ascii="Times New Roman" w:eastAsia="Times New Roman" w:hAnsi="Times New Roman" w:cs="Times New Roman"/>
          <w:b/>
        </w:rPr>
      </w:pPr>
      <w:r>
        <w:rPr>
          <w:rFonts w:ascii="Times New Roman" w:eastAsia="Times New Roman" w:hAnsi="Times New Roman" w:cs="Times New Roman"/>
          <w:b/>
        </w:rPr>
        <w:t>Reviewer 2</w:t>
      </w:r>
    </w:p>
    <w:p w14:paraId="6EC4B784" w14:textId="77777777" w:rsidR="00BF5469" w:rsidRDefault="00BF5469">
      <w:pPr>
        <w:spacing w:after="0" w:line="240" w:lineRule="auto"/>
        <w:rPr>
          <w:rFonts w:ascii="Times New Roman" w:eastAsia="Times New Roman" w:hAnsi="Times New Roman" w:cs="Times New Roman"/>
          <w:b/>
          <w:color w:val="000033"/>
          <w:highlight w:val="white"/>
        </w:rPr>
      </w:pPr>
    </w:p>
    <w:p w14:paraId="6EC4B785" w14:textId="77777777" w:rsidR="00BF5469" w:rsidRDefault="008C28D9">
      <w:pPr>
        <w:spacing w:after="0" w:line="240" w:lineRule="auto"/>
        <w:rPr>
          <w:rFonts w:ascii="Times New Roman" w:eastAsia="Times New Roman" w:hAnsi="Times New Roman" w:cs="Times New Roman"/>
          <w:b/>
          <w:color w:val="000033"/>
          <w:highlight w:val="white"/>
        </w:rPr>
      </w:pPr>
      <w:r>
        <w:rPr>
          <w:rFonts w:ascii="Times New Roman" w:eastAsia="Times New Roman" w:hAnsi="Times New Roman" w:cs="Times New Roman"/>
          <w:b/>
          <w:color w:val="000033"/>
          <w:highlight w:val="white"/>
        </w:rPr>
        <w:t>Were you able to assess all statistics in the manuscript, including the appropriateness of statistical tests used?</w:t>
      </w:r>
    </w:p>
    <w:p w14:paraId="6EC4B786" w14:textId="77777777" w:rsidR="00BF5469" w:rsidRDefault="00BF5469">
      <w:pPr>
        <w:spacing w:after="0" w:line="240" w:lineRule="auto"/>
        <w:rPr>
          <w:rFonts w:ascii="Times New Roman" w:eastAsia="Times New Roman" w:hAnsi="Times New Roman" w:cs="Times New Roman"/>
          <w:b/>
          <w:color w:val="000033"/>
          <w:highlight w:val="white"/>
        </w:rPr>
      </w:pPr>
    </w:p>
    <w:p w14:paraId="6EC4B787" w14:textId="77777777" w:rsidR="00BF5469" w:rsidRDefault="00BF5469">
      <w:pPr>
        <w:spacing w:after="0" w:line="240" w:lineRule="auto"/>
        <w:rPr>
          <w:rFonts w:ascii="Times New Roman" w:eastAsia="Times New Roman" w:hAnsi="Times New Roman" w:cs="Times New Roman"/>
          <w:b/>
          <w:color w:val="000033"/>
          <w:highlight w:val="white"/>
        </w:rPr>
      </w:pPr>
    </w:p>
    <w:p w14:paraId="6EC4B788" w14:textId="13E0D1B9" w:rsidR="00BF5469" w:rsidRDefault="00BB4E73">
      <w:pPr>
        <w:rPr>
          <w:rFonts w:ascii="Times New Roman" w:eastAsia="Times New Roman" w:hAnsi="Times New Roman" w:cs="Times New Roman"/>
        </w:rPr>
      </w:pPr>
      <w:r w:rsidRPr="00BB4E73">
        <w:rPr>
          <w:rFonts w:ascii="Times New Roman" w:eastAsia="Times New Roman" w:hAnsi="Times New Roman" w:cs="Times New Roman"/>
        </w:rPr>
        <w:t>Yes, and I have assessed the statistics in my report.</w:t>
      </w:r>
    </w:p>
    <w:p w14:paraId="6EC4B789" w14:textId="77777777" w:rsidR="00BF5469" w:rsidRDefault="008C28D9">
      <w:pPr>
        <w:rPr>
          <w:rFonts w:ascii="Times New Roman" w:eastAsia="Times New Roman" w:hAnsi="Times New Roman" w:cs="Times New Roman"/>
          <w:b/>
        </w:rPr>
      </w:pPr>
      <w:r>
        <w:rPr>
          <w:rFonts w:ascii="Times New Roman" w:eastAsia="Times New Roman" w:hAnsi="Times New Roman" w:cs="Times New Roman"/>
          <w:b/>
        </w:rPr>
        <w:t>Comments to author:</w:t>
      </w:r>
    </w:p>
    <w:p w14:paraId="6EC4B78A" w14:textId="77777777" w:rsidR="00BF5469" w:rsidRDefault="00BF5469">
      <w:pPr>
        <w:rPr>
          <w:rFonts w:ascii="Times New Roman" w:eastAsia="Times New Roman" w:hAnsi="Times New Roman" w:cs="Times New Roman"/>
        </w:rPr>
      </w:pPr>
    </w:p>
    <w:p w14:paraId="5A612597" w14:textId="77777777" w:rsidR="00BB4E73" w:rsidRPr="00BB4E73" w:rsidRDefault="00BB4E73" w:rsidP="00BB4E73">
      <w:pPr>
        <w:rPr>
          <w:rFonts w:ascii="Times New Roman" w:eastAsia="Times New Roman" w:hAnsi="Times New Roman" w:cs="Times New Roman"/>
        </w:rPr>
      </w:pPr>
      <w:r w:rsidRPr="00BB4E73">
        <w:rPr>
          <w:rFonts w:ascii="Times New Roman" w:eastAsia="Times New Roman" w:hAnsi="Times New Roman" w:cs="Times New Roman"/>
        </w:rPr>
        <w:t>In the manuscript by Kristof et al., the researchers systematically screen the combination of novel repressor domains with the strong Krüppel-associated box (KRAB) repressors and provide powerful CRISPR interference (</w:t>
      </w:r>
      <w:proofErr w:type="spellStart"/>
      <w:r w:rsidRPr="00BB4E73">
        <w:rPr>
          <w:rFonts w:ascii="Times New Roman" w:eastAsia="Times New Roman" w:hAnsi="Times New Roman" w:cs="Times New Roman"/>
        </w:rPr>
        <w:t>CRISPRi</w:t>
      </w:r>
      <w:proofErr w:type="spellEnd"/>
      <w:r w:rsidRPr="00BB4E73">
        <w:rPr>
          <w:rFonts w:ascii="Times New Roman" w:eastAsia="Times New Roman" w:hAnsi="Times New Roman" w:cs="Times New Roman"/>
        </w:rPr>
        <w:t xml:space="preserve">) platforms in mammalian cells. In achieving this goal, the authors set up an </w:t>
      </w:r>
      <w:proofErr w:type="spellStart"/>
      <w:r w:rsidRPr="00BB4E73">
        <w:rPr>
          <w:rFonts w:ascii="Times New Roman" w:eastAsia="Times New Roman" w:hAnsi="Times New Roman" w:cs="Times New Roman"/>
        </w:rPr>
        <w:t>eGFP</w:t>
      </w:r>
      <w:proofErr w:type="spellEnd"/>
      <w:r w:rsidRPr="00BB4E73">
        <w:rPr>
          <w:rFonts w:ascii="Times New Roman" w:eastAsia="Times New Roman" w:hAnsi="Times New Roman" w:cs="Times New Roman"/>
        </w:rPr>
        <w:t xml:space="preserve"> reporter-based screen system in HEK293T cells and titrate over &gt;100 bipartite and tripartite fusion proteins for their ability to reduce GFP fluorescence signal compared to the previously described </w:t>
      </w:r>
      <w:proofErr w:type="spellStart"/>
      <w:r w:rsidRPr="00BB4E73">
        <w:rPr>
          <w:rFonts w:ascii="Times New Roman" w:eastAsia="Times New Roman" w:hAnsi="Times New Roman" w:cs="Times New Roman"/>
        </w:rPr>
        <w:t>CRISPRi</w:t>
      </w:r>
      <w:proofErr w:type="spellEnd"/>
      <w:r w:rsidRPr="00BB4E73">
        <w:rPr>
          <w:rFonts w:ascii="Times New Roman" w:eastAsia="Times New Roman" w:hAnsi="Times New Roman" w:cs="Times New Roman"/>
        </w:rPr>
        <w:t>-repressor proteins. Importantly, they identify novel and high-efficacy repressor fusion proteins showing improved gene repression across several cell lines. Furthermore, they found mechanistically these repressor proteins function in either fusion or scaffold modalities involving the known co-factors such as MYC.</w:t>
      </w:r>
    </w:p>
    <w:p w14:paraId="5BEC0A44" w14:textId="77777777" w:rsidR="00BB4E73" w:rsidRPr="00BB4E73" w:rsidRDefault="00BB4E73" w:rsidP="00BB4E73">
      <w:pPr>
        <w:rPr>
          <w:rFonts w:ascii="Times New Roman" w:eastAsia="Times New Roman" w:hAnsi="Times New Roman" w:cs="Times New Roman"/>
        </w:rPr>
      </w:pPr>
      <w:r w:rsidRPr="00BB4E73">
        <w:rPr>
          <w:rFonts w:ascii="Times New Roman" w:eastAsia="Times New Roman" w:hAnsi="Times New Roman" w:cs="Times New Roman"/>
        </w:rPr>
        <w:lastRenderedPageBreak/>
        <w:t xml:space="preserve">This is a well-designed and high-throughput methodology work based on an elegant and simplified reporter system by providing many positive and negative controls. The main finding in this work provides several novel bipartite and tripartite KRAB </w:t>
      </w:r>
      <w:proofErr w:type="gramStart"/>
      <w:r w:rsidRPr="00BB4E73">
        <w:rPr>
          <w:rFonts w:ascii="Times New Roman" w:eastAsia="Times New Roman" w:hAnsi="Times New Roman" w:cs="Times New Roman"/>
        </w:rPr>
        <w:t>fusion</w:t>
      </w:r>
      <w:proofErr w:type="gramEnd"/>
      <w:r w:rsidRPr="00BB4E73">
        <w:rPr>
          <w:rFonts w:ascii="Times New Roman" w:eastAsia="Times New Roman" w:hAnsi="Times New Roman" w:cs="Times New Roman"/>
        </w:rPr>
        <w:t xml:space="preserve"> </w:t>
      </w:r>
      <w:proofErr w:type="gramStart"/>
      <w:r w:rsidRPr="00BB4E73">
        <w:rPr>
          <w:rFonts w:ascii="Times New Roman" w:eastAsia="Times New Roman" w:hAnsi="Times New Roman" w:cs="Times New Roman"/>
        </w:rPr>
        <w:t>proteins, and</w:t>
      </w:r>
      <w:proofErr w:type="gramEnd"/>
      <w:r w:rsidRPr="00BB4E73">
        <w:rPr>
          <w:rFonts w:ascii="Times New Roman" w:eastAsia="Times New Roman" w:hAnsi="Times New Roman" w:cs="Times New Roman"/>
        </w:rPr>
        <w:t xml:space="preserve"> gives a framework for how to design and optimize the new </w:t>
      </w:r>
      <w:proofErr w:type="spellStart"/>
      <w:r w:rsidRPr="00BB4E73">
        <w:rPr>
          <w:rFonts w:ascii="Times New Roman" w:eastAsia="Times New Roman" w:hAnsi="Times New Roman" w:cs="Times New Roman"/>
        </w:rPr>
        <w:t>CRISPRi</w:t>
      </w:r>
      <w:proofErr w:type="spellEnd"/>
      <w:r w:rsidRPr="00BB4E73">
        <w:rPr>
          <w:rFonts w:ascii="Times New Roman" w:eastAsia="Times New Roman" w:hAnsi="Times New Roman" w:cs="Times New Roman"/>
        </w:rPr>
        <w:t xml:space="preserve"> or other types of gene editors. The new </w:t>
      </w:r>
      <w:proofErr w:type="spellStart"/>
      <w:r w:rsidRPr="00BB4E73">
        <w:rPr>
          <w:rFonts w:ascii="Times New Roman" w:eastAsia="Times New Roman" w:hAnsi="Times New Roman" w:cs="Times New Roman"/>
        </w:rPr>
        <w:t>CRISPRi</w:t>
      </w:r>
      <w:proofErr w:type="spellEnd"/>
      <w:r w:rsidRPr="00BB4E73">
        <w:rPr>
          <w:rFonts w:ascii="Times New Roman" w:eastAsia="Times New Roman" w:hAnsi="Times New Roman" w:cs="Times New Roman"/>
        </w:rPr>
        <w:t xml:space="preserve"> system would benefit in many research fields for deciphering gene or non-coding element function. However, the power and versatility of such new tools are validated only in limited endogenous </w:t>
      </w:r>
      <w:proofErr w:type="gramStart"/>
      <w:r w:rsidRPr="00BB4E73">
        <w:rPr>
          <w:rFonts w:ascii="Times New Roman" w:eastAsia="Times New Roman" w:hAnsi="Times New Roman" w:cs="Times New Roman"/>
        </w:rPr>
        <w:t>genes (#</w:t>
      </w:r>
      <w:proofErr w:type="gramEnd"/>
      <w:r w:rsidRPr="00BB4E73">
        <w:rPr>
          <w:rFonts w:ascii="Times New Roman" w:eastAsia="Times New Roman" w:hAnsi="Times New Roman" w:cs="Times New Roman"/>
        </w:rPr>
        <w:t xml:space="preserve">7 in total) and limited cellular chromatin context. With that, I provide major and minor recommendations as </w:t>
      </w:r>
      <w:proofErr w:type="gramStart"/>
      <w:r w:rsidRPr="00BB4E73">
        <w:rPr>
          <w:rFonts w:ascii="Times New Roman" w:eastAsia="Times New Roman" w:hAnsi="Times New Roman" w:cs="Times New Roman"/>
        </w:rPr>
        <w:t>shown in</w:t>
      </w:r>
      <w:proofErr w:type="gramEnd"/>
      <w:r w:rsidRPr="00BB4E73">
        <w:rPr>
          <w:rFonts w:ascii="Times New Roman" w:eastAsia="Times New Roman" w:hAnsi="Times New Roman" w:cs="Times New Roman"/>
        </w:rPr>
        <w:t xml:space="preserve"> below.</w:t>
      </w:r>
    </w:p>
    <w:p w14:paraId="0952A893" w14:textId="77777777" w:rsidR="00BB4E73" w:rsidRPr="00BB4E73" w:rsidRDefault="00BB4E73" w:rsidP="00BB4E73">
      <w:pPr>
        <w:rPr>
          <w:rFonts w:ascii="Times New Roman" w:eastAsia="Times New Roman" w:hAnsi="Times New Roman" w:cs="Times New Roman"/>
        </w:rPr>
      </w:pPr>
    </w:p>
    <w:p w14:paraId="4319C906" w14:textId="77777777" w:rsidR="00BB4E73" w:rsidRPr="00BB4E73" w:rsidRDefault="00BB4E73" w:rsidP="00BB4E73">
      <w:pPr>
        <w:rPr>
          <w:rFonts w:ascii="Times New Roman" w:eastAsia="Times New Roman" w:hAnsi="Times New Roman" w:cs="Times New Roman"/>
        </w:rPr>
      </w:pPr>
      <w:r w:rsidRPr="00BB4E73">
        <w:rPr>
          <w:rFonts w:ascii="Times New Roman" w:eastAsia="Times New Roman" w:hAnsi="Times New Roman" w:cs="Times New Roman"/>
        </w:rPr>
        <w:t>Major points:</w:t>
      </w:r>
    </w:p>
    <w:p w14:paraId="4F41B8CE" w14:textId="77777777" w:rsidR="00BB4E73" w:rsidRPr="00BB4E73" w:rsidRDefault="00BB4E73" w:rsidP="00BB4E73">
      <w:pPr>
        <w:rPr>
          <w:rFonts w:ascii="Times New Roman" w:eastAsia="Times New Roman" w:hAnsi="Times New Roman" w:cs="Times New Roman"/>
        </w:rPr>
      </w:pPr>
      <w:r w:rsidRPr="00BB4E73">
        <w:rPr>
          <w:rFonts w:ascii="Times New Roman" w:eastAsia="Times New Roman" w:hAnsi="Times New Roman" w:cs="Times New Roman"/>
        </w:rPr>
        <w:t xml:space="preserve">1. This work draws their conclusion based on the comparison relative to the so-called 'gold standard repressors.' including KOX1(KRAB)-MeCP2 and ZIM3(KRAB) repressors. However, a new technique with widespread application would outcompete other available methods. As I know, many new </w:t>
      </w:r>
      <w:proofErr w:type="spellStart"/>
      <w:r w:rsidRPr="00BB4E73">
        <w:rPr>
          <w:rFonts w:ascii="Times New Roman" w:eastAsia="Times New Roman" w:hAnsi="Times New Roman" w:cs="Times New Roman"/>
        </w:rPr>
        <w:t>CRISPRi</w:t>
      </w:r>
      <w:proofErr w:type="spellEnd"/>
      <w:r w:rsidRPr="00BB4E73">
        <w:rPr>
          <w:rFonts w:ascii="Times New Roman" w:eastAsia="Times New Roman" w:hAnsi="Times New Roman" w:cs="Times New Roman"/>
        </w:rPr>
        <w:t xml:space="preserve"> tools are designed based on the combination with the key domains from epigenetic modifiers. For instance, previous work reported that </w:t>
      </w:r>
      <w:proofErr w:type="spellStart"/>
      <w:r w:rsidRPr="00BB4E73">
        <w:rPr>
          <w:rFonts w:ascii="Times New Roman" w:eastAsia="Times New Roman" w:hAnsi="Times New Roman" w:cs="Times New Roman"/>
        </w:rPr>
        <w:t>CRISPRoff</w:t>
      </w:r>
      <w:proofErr w:type="spellEnd"/>
      <w:r w:rsidRPr="00BB4E73">
        <w:rPr>
          <w:rFonts w:ascii="Times New Roman" w:eastAsia="Times New Roman" w:hAnsi="Times New Roman" w:cs="Times New Roman"/>
        </w:rPr>
        <w:t xml:space="preserve"> can heritably silence most genes, including genes without CpG islands (see </w:t>
      </w:r>
      <w:proofErr w:type="spellStart"/>
      <w:r w:rsidRPr="00BB4E73">
        <w:rPr>
          <w:rFonts w:ascii="Times New Roman" w:eastAsia="Times New Roman" w:hAnsi="Times New Roman" w:cs="Times New Roman"/>
        </w:rPr>
        <w:t>Nun˜ez</w:t>
      </w:r>
      <w:proofErr w:type="spellEnd"/>
      <w:r w:rsidRPr="00BB4E73">
        <w:rPr>
          <w:rFonts w:ascii="Times New Roman" w:eastAsia="Times New Roman" w:hAnsi="Times New Roman" w:cs="Times New Roman"/>
        </w:rPr>
        <w:t xml:space="preserve"> et al., 2021, Cell 184, 2503-2519). I wonder how the most powerful </w:t>
      </w:r>
      <w:proofErr w:type="spellStart"/>
      <w:r w:rsidRPr="00BB4E73">
        <w:rPr>
          <w:rFonts w:ascii="Times New Roman" w:eastAsia="Times New Roman" w:hAnsi="Times New Roman" w:cs="Times New Roman"/>
        </w:rPr>
        <w:t>CRISPRi</w:t>
      </w:r>
      <w:proofErr w:type="spellEnd"/>
      <w:r w:rsidRPr="00BB4E73">
        <w:rPr>
          <w:rFonts w:ascii="Times New Roman" w:eastAsia="Times New Roman" w:hAnsi="Times New Roman" w:cs="Times New Roman"/>
        </w:rPr>
        <w:t xml:space="preserve"> tool from this study compete with the epigenetic tools? Moreover, what </w:t>
      </w:r>
      <w:proofErr w:type="gramStart"/>
      <w:r w:rsidRPr="00BB4E73">
        <w:rPr>
          <w:rFonts w:ascii="Times New Roman" w:eastAsia="Times New Roman" w:hAnsi="Times New Roman" w:cs="Times New Roman"/>
        </w:rPr>
        <w:t>the</w:t>
      </w:r>
      <w:proofErr w:type="gramEnd"/>
      <w:r w:rsidRPr="00BB4E73">
        <w:rPr>
          <w:rFonts w:ascii="Times New Roman" w:eastAsia="Times New Roman" w:hAnsi="Times New Roman" w:cs="Times New Roman"/>
        </w:rPr>
        <w:t xml:space="preserve"> long-term knockdown efficiency by </w:t>
      </w:r>
      <w:proofErr w:type="gramStart"/>
      <w:r w:rsidRPr="00BB4E73">
        <w:rPr>
          <w:rFonts w:ascii="Times New Roman" w:eastAsia="Times New Roman" w:hAnsi="Times New Roman" w:cs="Times New Roman"/>
        </w:rPr>
        <w:t>those novel combination</w:t>
      </w:r>
      <w:proofErr w:type="gramEnd"/>
      <w:r w:rsidRPr="00BB4E73">
        <w:rPr>
          <w:rFonts w:ascii="Times New Roman" w:eastAsia="Times New Roman" w:hAnsi="Times New Roman" w:cs="Times New Roman"/>
        </w:rPr>
        <w:t xml:space="preserve">? This is important as gene function study </w:t>
      </w:r>
      <w:proofErr w:type="gramStart"/>
      <w:r w:rsidRPr="00BB4E73">
        <w:rPr>
          <w:rFonts w:ascii="Times New Roman" w:eastAsia="Times New Roman" w:hAnsi="Times New Roman" w:cs="Times New Roman"/>
        </w:rPr>
        <w:t>necessitate</w:t>
      </w:r>
      <w:proofErr w:type="gramEnd"/>
      <w:r w:rsidRPr="00BB4E73">
        <w:rPr>
          <w:rFonts w:ascii="Times New Roman" w:eastAsia="Times New Roman" w:hAnsi="Times New Roman" w:cs="Times New Roman"/>
        </w:rPr>
        <w:t xml:space="preserve"> long-term tracking although the authors demonstrated partially for essential genes.</w:t>
      </w:r>
    </w:p>
    <w:p w14:paraId="275B9792" w14:textId="77777777" w:rsidR="00BB4E73" w:rsidRPr="00BB4E73" w:rsidRDefault="00BB4E73" w:rsidP="00BB4E73">
      <w:pPr>
        <w:rPr>
          <w:rFonts w:ascii="Times New Roman" w:eastAsia="Times New Roman" w:hAnsi="Times New Roman" w:cs="Times New Roman"/>
        </w:rPr>
      </w:pPr>
    </w:p>
    <w:p w14:paraId="7FD2829E" w14:textId="77777777" w:rsidR="00BB4E73" w:rsidRPr="00BB4E73" w:rsidRDefault="00BB4E73" w:rsidP="00BB4E73">
      <w:pPr>
        <w:rPr>
          <w:rFonts w:ascii="Times New Roman" w:eastAsia="Times New Roman" w:hAnsi="Times New Roman" w:cs="Times New Roman"/>
        </w:rPr>
      </w:pPr>
      <w:r w:rsidRPr="00BB4E73">
        <w:rPr>
          <w:rFonts w:ascii="Times New Roman" w:eastAsia="Times New Roman" w:hAnsi="Times New Roman" w:cs="Times New Roman"/>
        </w:rPr>
        <w:t xml:space="preserve">2. In Fig 1. D, the authors claim that four novel repressor combinations (dCas9-KRBOX1(KRAB)-MAX, dCas9-ZIM3(KRAB)-MAX, dCas9-ZIM3(KRAB)-MeCP2, and dCas9-KOX1(KRAB)-MeCP2(t)) significantly improved knockdown and silencing percentage compared to dCas9-ZIM3(KRAB). Based on their initial screen in Fig 1.D, the </w:t>
      </w:r>
      <w:proofErr w:type="spellStart"/>
      <w:r w:rsidRPr="00BB4E73">
        <w:rPr>
          <w:rFonts w:ascii="Times New Roman" w:eastAsia="Times New Roman" w:hAnsi="Times New Roman" w:cs="Times New Roman"/>
        </w:rPr>
        <w:t>MeCP</w:t>
      </w:r>
      <w:proofErr w:type="spellEnd"/>
      <w:r w:rsidRPr="00BB4E73">
        <w:rPr>
          <w:rFonts w:ascii="Times New Roman" w:eastAsia="Times New Roman" w:hAnsi="Times New Roman" w:cs="Times New Roman"/>
        </w:rPr>
        <w:t>(t) exhibits similar effect compared to the MeCP2 domain. It seems that one combination dCas9-ZIM3-MeCP(t) is missing. What is the effect of such bipartite fusion relative to the above four combinations? Can authors clarify this?</w:t>
      </w:r>
    </w:p>
    <w:p w14:paraId="49E9EBA6" w14:textId="77777777" w:rsidR="00BB4E73" w:rsidRPr="00BB4E73" w:rsidRDefault="00BB4E73" w:rsidP="00BB4E73">
      <w:pPr>
        <w:rPr>
          <w:rFonts w:ascii="Times New Roman" w:eastAsia="Times New Roman" w:hAnsi="Times New Roman" w:cs="Times New Roman"/>
        </w:rPr>
      </w:pPr>
    </w:p>
    <w:p w14:paraId="2E0209B6" w14:textId="77777777" w:rsidR="00BB4E73" w:rsidRPr="00BB4E73" w:rsidRDefault="00BB4E73" w:rsidP="00BB4E73">
      <w:pPr>
        <w:rPr>
          <w:rFonts w:ascii="Times New Roman" w:eastAsia="Times New Roman" w:hAnsi="Times New Roman" w:cs="Times New Roman"/>
        </w:rPr>
      </w:pPr>
      <w:r w:rsidRPr="00BB4E73">
        <w:rPr>
          <w:rFonts w:ascii="Times New Roman" w:eastAsia="Times New Roman" w:hAnsi="Times New Roman" w:cs="Times New Roman"/>
        </w:rPr>
        <w:t xml:space="preserve">3. Again, in Fig 1. F, by further screening the tripartite fusion proteins, the authors identify one novel tripartite fusion (dCas9-ZIM3(KRAB)-MAX-MeCP2(t)) exhibited superior knockdown efficiency compared to all four potent bipartite variants in HEK293T cells. What is the effect of such tripartite fusion compared to the dCas9-ZIM3(KRAB)-MeCP2(t) bipartite and/or the new order combination dCas9-ZIM3(KRAB)-MeCP2(t)-MAX? This is about mathematic combinations and coverage of their library design, but matters. The authors need to clarify why those combinations were missing and </w:t>
      </w:r>
      <w:proofErr w:type="gramStart"/>
      <w:r w:rsidRPr="00BB4E73">
        <w:rPr>
          <w:rFonts w:ascii="Times New Roman" w:eastAsia="Times New Roman" w:hAnsi="Times New Roman" w:cs="Times New Roman"/>
        </w:rPr>
        <w:t>compare</w:t>
      </w:r>
      <w:proofErr w:type="gramEnd"/>
      <w:r w:rsidRPr="00BB4E73">
        <w:rPr>
          <w:rFonts w:ascii="Times New Roman" w:eastAsia="Times New Roman" w:hAnsi="Times New Roman" w:cs="Times New Roman"/>
        </w:rPr>
        <w:t xml:space="preserve"> to the current available results.</w:t>
      </w:r>
    </w:p>
    <w:p w14:paraId="1F3B4CC2" w14:textId="77777777" w:rsidR="00BB4E73" w:rsidRPr="00BB4E73" w:rsidRDefault="00BB4E73" w:rsidP="00BB4E73">
      <w:pPr>
        <w:rPr>
          <w:rFonts w:ascii="Times New Roman" w:eastAsia="Times New Roman" w:hAnsi="Times New Roman" w:cs="Times New Roman"/>
        </w:rPr>
      </w:pPr>
    </w:p>
    <w:p w14:paraId="40FC6673" w14:textId="77777777" w:rsidR="00BB4E73" w:rsidRPr="00BB4E73" w:rsidRDefault="00BB4E73" w:rsidP="00BB4E73">
      <w:pPr>
        <w:rPr>
          <w:rFonts w:ascii="Times New Roman" w:eastAsia="Times New Roman" w:hAnsi="Times New Roman" w:cs="Times New Roman"/>
        </w:rPr>
      </w:pPr>
      <w:r w:rsidRPr="00BB4E73">
        <w:rPr>
          <w:rFonts w:ascii="Times New Roman" w:eastAsia="Times New Roman" w:hAnsi="Times New Roman" w:cs="Times New Roman"/>
        </w:rPr>
        <w:t xml:space="preserve">4. The authors claim several times that </w:t>
      </w:r>
      <w:proofErr w:type="gramStart"/>
      <w:r w:rsidRPr="00BB4E73">
        <w:rPr>
          <w:rFonts w:ascii="Times New Roman" w:eastAsia="Times New Roman" w:hAnsi="Times New Roman" w:cs="Times New Roman"/>
        </w:rPr>
        <w:t>no</w:t>
      </w:r>
      <w:proofErr w:type="gramEnd"/>
      <w:r w:rsidRPr="00BB4E73">
        <w:rPr>
          <w:rFonts w:ascii="Times New Roman" w:eastAsia="Times New Roman" w:hAnsi="Times New Roman" w:cs="Times New Roman"/>
        </w:rPr>
        <w:t xml:space="preserve"> correlation between the expression level of dCas9 fusion protein and the knockdown efficiency (see supplemental Figure 4 and discussion part). I would argue that the </w:t>
      </w:r>
      <w:proofErr w:type="spellStart"/>
      <w:r w:rsidRPr="00BB4E73">
        <w:rPr>
          <w:rFonts w:ascii="Times New Roman" w:eastAsia="Times New Roman" w:hAnsi="Times New Roman" w:cs="Times New Roman"/>
        </w:rPr>
        <w:t>mCherry</w:t>
      </w:r>
      <w:proofErr w:type="spellEnd"/>
      <w:r w:rsidRPr="00BB4E73">
        <w:rPr>
          <w:rFonts w:ascii="Times New Roman" w:eastAsia="Times New Roman" w:hAnsi="Times New Roman" w:cs="Times New Roman"/>
        </w:rPr>
        <w:t xml:space="preserve"> signal may not represent the true expression level of dCas9 fusion protein in cells. I strongly recommend the authors validate their protein level by Western blot, at least for the novel five superior </w:t>
      </w:r>
      <w:r w:rsidRPr="00BB4E73">
        <w:rPr>
          <w:rFonts w:ascii="Times New Roman" w:eastAsia="Times New Roman" w:hAnsi="Times New Roman" w:cs="Times New Roman"/>
        </w:rPr>
        <w:lastRenderedPageBreak/>
        <w:t>combinations. In that way, it could also clearly tell the protein size of each combination as the molecular weight matters for their delivery in further application.</w:t>
      </w:r>
    </w:p>
    <w:p w14:paraId="2DF3178E" w14:textId="77777777" w:rsidR="00BB4E73" w:rsidRPr="00BB4E73" w:rsidRDefault="00BB4E73" w:rsidP="00BB4E73">
      <w:pPr>
        <w:rPr>
          <w:rFonts w:ascii="Times New Roman" w:eastAsia="Times New Roman" w:hAnsi="Times New Roman" w:cs="Times New Roman"/>
        </w:rPr>
      </w:pPr>
    </w:p>
    <w:p w14:paraId="61DB6AE4" w14:textId="77777777" w:rsidR="00BB4E73" w:rsidRPr="00BB4E73" w:rsidRDefault="00BB4E73" w:rsidP="00BB4E73">
      <w:pPr>
        <w:rPr>
          <w:rFonts w:ascii="Times New Roman" w:eastAsia="Times New Roman" w:hAnsi="Times New Roman" w:cs="Times New Roman"/>
        </w:rPr>
      </w:pPr>
      <w:r w:rsidRPr="00BB4E73">
        <w:rPr>
          <w:rFonts w:ascii="Times New Roman" w:eastAsia="Times New Roman" w:hAnsi="Times New Roman" w:cs="Times New Roman"/>
        </w:rPr>
        <w:t xml:space="preserve">5. The knockdown efficiency of </w:t>
      </w:r>
      <w:proofErr w:type="spellStart"/>
      <w:r w:rsidRPr="00BB4E73">
        <w:rPr>
          <w:rFonts w:ascii="Times New Roman" w:eastAsia="Times New Roman" w:hAnsi="Times New Roman" w:cs="Times New Roman"/>
        </w:rPr>
        <w:t>CRISPRi</w:t>
      </w:r>
      <w:proofErr w:type="spellEnd"/>
      <w:r w:rsidRPr="00BB4E73">
        <w:rPr>
          <w:rFonts w:ascii="Times New Roman" w:eastAsia="Times New Roman" w:hAnsi="Times New Roman" w:cs="Times New Roman"/>
        </w:rPr>
        <w:t xml:space="preserve"> may depend on the specific chromatin context for individual gene loci. The authors have confirmed the knockdown efficacy for four genes in HEK293T cells and set up a competitive proliferation assay to target three additional essential genes in tumor cells (Fig 2.B an Fig. 3B). However, the generality of this technique is limited by only </w:t>
      </w:r>
      <w:proofErr w:type="gramStart"/>
      <w:r w:rsidRPr="00BB4E73">
        <w:rPr>
          <w:rFonts w:ascii="Times New Roman" w:eastAsia="Times New Roman" w:hAnsi="Times New Roman" w:cs="Times New Roman"/>
        </w:rPr>
        <w:t>validating in</w:t>
      </w:r>
      <w:proofErr w:type="gramEnd"/>
      <w:r w:rsidRPr="00BB4E73">
        <w:rPr>
          <w:rFonts w:ascii="Times New Roman" w:eastAsia="Times New Roman" w:hAnsi="Times New Roman" w:cs="Times New Roman"/>
        </w:rPr>
        <w:t xml:space="preserve"> seven genes. I suggest the authors performing </w:t>
      </w:r>
      <w:proofErr w:type="gramStart"/>
      <w:r w:rsidRPr="00BB4E73">
        <w:rPr>
          <w:rFonts w:ascii="Times New Roman" w:eastAsia="Times New Roman" w:hAnsi="Times New Roman" w:cs="Times New Roman"/>
        </w:rPr>
        <w:t>an</w:t>
      </w:r>
      <w:proofErr w:type="gramEnd"/>
      <w:r w:rsidRPr="00BB4E73">
        <w:rPr>
          <w:rFonts w:ascii="Times New Roman" w:eastAsia="Times New Roman" w:hAnsi="Times New Roman" w:cs="Times New Roman"/>
        </w:rPr>
        <w:t xml:space="preserve"> </w:t>
      </w:r>
      <w:proofErr w:type="spellStart"/>
      <w:r w:rsidRPr="00BB4E73">
        <w:rPr>
          <w:rFonts w:ascii="Times New Roman" w:eastAsia="Times New Roman" w:hAnsi="Times New Roman" w:cs="Times New Roman"/>
        </w:rPr>
        <w:t>CRISPRi</w:t>
      </w:r>
      <w:proofErr w:type="spellEnd"/>
      <w:r w:rsidRPr="00BB4E73">
        <w:rPr>
          <w:rFonts w:ascii="Times New Roman" w:eastAsia="Times New Roman" w:hAnsi="Times New Roman" w:cs="Times New Roman"/>
        </w:rPr>
        <w:t xml:space="preserve">-based essential gene screen with their most powerful tool (See the method in Nat Commun. 2018 Dec 21;9(1):5416.). It would not only demonstrate how power of this platform </w:t>
      </w:r>
      <w:proofErr w:type="gramStart"/>
      <w:r w:rsidRPr="00BB4E73">
        <w:rPr>
          <w:rFonts w:ascii="Times New Roman" w:eastAsia="Times New Roman" w:hAnsi="Times New Roman" w:cs="Times New Roman"/>
        </w:rPr>
        <w:t>in</w:t>
      </w:r>
      <w:proofErr w:type="gramEnd"/>
      <w:r w:rsidRPr="00BB4E73">
        <w:rPr>
          <w:rFonts w:ascii="Times New Roman" w:eastAsia="Times New Roman" w:hAnsi="Times New Roman" w:cs="Times New Roman"/>
        </w:rPr>
        <w:t xml:space="preserve"> more endogenous </w:t>
      </w:r>
      <w:proofErr w:type="gramStart"/>
      <w:r w:rsidRPr="00BB4E73">
        <w:rPr>
          <w:rFonts w:ascii="Times New Roman" w:eastAsia="Times New Roman" w:hAnsi="Times New Roman" w:cs="Times New Roman"/>
        </w:rPr>
        <w:t>genes, but</w:t>
      </w:r>
      <w:proofErr w:type="gramEnd"/>
      <w:r w:rsidRPr="00BB4E73">
        <w:rPr>
          <w:rFonts w:ascii="Times New Roman" w:eastAsia="Times New Roman" w:hAnsi="Times New Roman" w:cs="Times New Roman"/>
        </w:rPr>
        <w:t xml:space="preserve"> also broaden the application for the tool in genetic screen.</w:t>
      </w:r>
    </w:p>
    <w:p w14:paraId="39A09188" w14:textId="77777777" w:rsidR="00BB4E73" w:rsidRPr="00BB4E73" w:rsidRDefault="00BB4E73" w:rsidP="00BB4E73">
      <w:pPr>
        <w:rPr>
          <w:rFonts w:ascii="Times New Roman" w:eastAsia="Times New Roman" w:hAnsi="Times New Roman" w:cs="Times New Roman"/>
        </w:rPr>
      </w:pPr>
    </w:p>
    <w:p w14:paraId="5FFBED0A" w14:textId="77777777" w:rsidR="00BB4E73" w:rsidRPr="00BB4E73" w:rsidRDefault="00BB4E73" w:rsidP="00BB4E73">
      <w:pPr>
        <w:rPr>
          <w:rFonts w:ascii="Times New Roman" w:eastAsia="Times New Roman" w:hAnsi="Times New Roman" w:cs="Times New Roman"/>
        </w:rPr>
      </w:pPr>
      <w:r w:rsidRPr="00BB4E73">
        <w:rPr>
          <w:rFonts w:ascii="Times New Roman" w:eastAsia="Times New Roman" w:hAnsi="Times New Roman" w:cs="Times New Roman"/>
        </w:rPr>
        <w:t xml:space="preserve">6. Again In Fig. 5A, the authors claim that "their Novel Repressor Fusions Demonstrate Robust Activity Across Cell Lines" with only validating in different cell lines based on plasmid reporter system. The reporter is a good platform to screen the best combination, while the real efficacy should be validated in the endogenous </w:t>
      </w:r>
      <w:proofErr w:type="gramStart"/>
      <w:r w:rsidRPr="00BB4E73">
        <w:rPr>
          <w:rFonts w:ascii="Times New Roman" w:eastAsia="Times New Roman" w:hAnsi="Times New Roman" w:cs="Times New Roman"/>
        </w:rPr>
        <w:t>loci</w:t>
      </w:r>
      <w:proofErr w:type="gramEnd"/>
      <w:r w:rsidRPr="00BB4E73">
        <w:rPr>
          <w:rFonts w:ascii="Times New Roman" w:eastAsia="Times New Roman" w:hAnsi="Times New Roman" w:cs="Times New Roman"/>
        </w:rPr>
        <w:t xml:space="preserve">. How power if the new </w:t>
      </w:r>
      <w:proofErr w:type="spellStart"/>
      <w:r w:rsidRPr="00BB4E73">
        <w:rPr>
          <w:rFonts w:ascii="Times New Roman" w:eastAsia="Times New Roman" w:hAnsi="Times New Roman" w:cs="Times New Roman"/>
        </w:rPr>
        <w:t>CRISPRi</w:t>
      </w:r>
      <w:proofErr w:type="spellEnd"/>
      <w:r w:rsidRPr="00BB4E73">
        <w:rPr>
          <w:rFonts w:ascii="Times New Roman" w:eastAsia="Times New Roman" w:hAnsi="Times New Roman" w:cs="Times New Roman"/>
        </w:rPr>
        <w:t xml:space="preserve"> tools in suppressing the above tested four genes by in all six cell lines beyond HEK293T cells?</w:t>
      </w:r>
    </w:p>
    <w:p w14:paraId="5EC18248" w14:textId="77777777" w:rsidR="00BB4E73" w:rsidRPr="00BB4E73" w:rsidRDefault="00BB4E73" w:rsidP="00BB4E73">
      <w:pPr>
        <w:rPr>
          <w:rFonts w:ascii="Times New Roman" w:eastAsia="Times New Roman" w:hAnsi="Times New Roman" w:cs="Times New Roman"/>
        </w:rPr>
      </w:pPr>
    </w:p>
    <w:p w14:paraId="40AFE257" w14:textId="77777777" w:rsidR="00BB4E73" w:rsidRPr="00BB4E73" w:rsidRDefault="00BB4E73" w:rsidP="00BB4E73">
      <w:pPr>
        <w:rPr>
          <w:rFonts w:ascii="Times New Roman" w:eastAsia="Times New Roman" w:hAnsi="Times New Roman" w:cs="Times New Roman"/>
        </w:rPr>
      </w:pPr>
      <w:r w:rsidRPr="00BB4E73">
        <w:rPr>
          <w:rFonts w:ascii="Times New Roman" w:eastAsia="Times New Roman" w:hAnsi="Times New Roman" w:cs="Times New Roman"/>
        </w:rPr>
        <w:t xml:space="preserve">7. Just as the author </w:t>
      </w:r>
      <w:proofErr w:type="gramStart"/>
      <w:r w:rsidRPr="00BB4E73">
        <w:rPr>
          <w:rFonts w:ascii="Times New Roman" w:eastAsia="Times New Roman" w:hAnsi="Times New Roman" w:cs="Times New Roman"/>
        </w:rPr>
        <w:t>have</w:t>
      </w:r>
      <w:proofErr w:type="gramEnd"/>
      <w:r w:rsidRPr="00BB4E73">
        <w:rPr>
          <w:rFonts w:ascii="Times New Roman" w:eastAsia="Times New Roman" w:hAnsi="Times New Roman" w:cs="Times New Roman"/>
        </w:rPr>
        <w:t xml:space="preserve"> acknowledged, their mechanistic study to investigate cell-specific determinants that impact their performance is at the beginning. The mRNA level of co-factors such as </w:t>
      </w:r>
      <w:proofErr w:type="spellStart"/>
      <w:r w:rsidRPr="00BB4E73">
        <w:rPr>
          <w:rFonts w:ascii="Times New Roman" w:eastAsia="Times New Roman" w:hAnsi="Times New Roman" w:cs="Times New Roman"/>
        </w:rPr>
        <w:t>Myc</w:t>
      </w:r>
      <w:proofErr w:type="spellEnd"/>
      <w:r w:rsidRPr="00BB4E73">
        <w:rPr>
          <w:rFonts w:ascii="Times New Roman" w:eastAsia="Times New Roman" w:hAnsi="Times New Roman" w:cs="Times New Roman"/>
        </w:rPr>
        <w:t xml:space="preserve"> may correlate with the efficacy of the MAX domain containing tool Cas9-ZIM3(KRAB)-MAX-MeCP2(t). They speculate that the MAX domain was likely exhibiting context-dependent regulatory activity, potentially dependent on its recruited cofactors, which could have significant cell-line variability. However, the whole part is correlation without validation. It would be convincing to include the protein-protein or protein-DNA interaction analysis. For sure, the occupancy or the co-occupancy of the dCas9 fusion and its related co-factors is the key, while this is a big gap or unsolved question.</w:t>
      </w:r>
    </w:p>
    <w:p w14:paraId="368B09CF" w14:textId="77777777" w:rsidR="00BB4E73" w:rsidRPr="00BB4E73" w:rsidRDefault="00BB4E73" w:rsidP="00BB4E73">
      <w:pPr>
        <w:rPr>
          <w:rFonts w:ascii="Times New Roman" w:eastAsia="Times New Roman" w:hAnsi="Times New Roman" w:cs="Times New Roman"/>
        </w:rPr>
      </w:pPr>
    </w:p>
    <w:p w14:paraId="0F041AC0" w14:textId="77777777" w:rsidR="00BB4E73" w:rsidRPr="00BB4E73" w:rsidRDefault="00BB4E73" w:rsidP="00BB4E73">
      <w:pPr>
        <w:rPr>
          <w:rFonts w:ascii="Times New Roman" w:eastAsia="Times New Roman" w:hAnsi="Times New Roman" w:cs="Times New Roman"/>
        </w:rPr>
      </w:pPr>
      <w:r w:rsidRPr="00BB4E73">
        <w:rPr>
          <w:rFonts w:ascii="Times New Roman" w:eastAsia="Times New Roman" w:hAnsi="Times New Roman" w:cs="Times New Roman"/>
        </w:rPr>
        <w:t>Minor points:</w:t>
      </w:r>
    </w:p>
    <w:p w14:paraId="2B82F558" w14:textId="77777777" w:rsidR="00BB4E73" w:rsidRPr="00BB4E73" w:rsidRDefault="00BB4E73" w:rsidP="00BB4E73">
      <w:pPr>
        <w:rPr>
          <w:rFonts w:ascii="Times New Roman" w:eastAsia="Times New Roman" w:hAnsi="Times New Roman" w:cs="Times New Roman"/>
        </w:rPr>
      </w:pPr>
      <w:r w:rsidRPr="00BB4E73">
        <w:rPr>
          <w:rFonts w:ascii="Times New Roman" w:eastAsia="Times New Roman" w:hAnsi="Times New Roman" w:cs="Times New Roman"/>
        </w:rPr>
        <w:t xml:space="preserve">1. As it </w:t>
      </w:r>
      <w:proofErr w:type="gramStart"/>
      <w:r w:rsidRPr="00BB4E73">
        <w:rPr>
          <w:rFonts w:ascii="Times New Roman" w:eastAsia="Times New Roman" w:hAnsi="Times New Roman" w:cs="Times New Roman"/>
        </w:rPr>
        <w:t>hard</w:t>
      </w:r>
      <w:proofErr w:type="gramEnd"/>
      <w:r w:rsidRPr="00BB4E73">
        <w:rPr>
          <w:rFonts w:ascii="Times New Roman" w:eastAsia="Times New Roman" w:hAnsi="Times New Roman" w:cs="Times New Roman"/>
        </w:rPr>
        <w:t xml:space="preserve"> for readers to see the complicated combination</w:t>
      </w:r>
      <w:proofErr w:type="gramStart"/>
      <w:r w:rsidRPr="00BB4E73">
        <w:rPr>
          <w:rFonts w:ascii="Times New Roman" w:eastAsia="Times New Roman" w:hAnsi="Times New Roman" w:cs="Times New Roman"/>
        </w:rPr>
        <w:t>, can</w:t>
      </w:r>
      <w:proofErr w:type="gramEnd"/>
      <w:r w:rsidRPr="00BB4E73">
        <w:rPr>
          <w:rFonts w:ascii="Times New Roman" w:eastAsia="Times New Roman" w:hAnsi="Times New Roman" w:cs="Times New Roman"/>
        </w:rPr>
        <w:t xml:space="preserve"> authors highlight and annotate the most significant bipartite and tripartite fusion proteins in Fig 1.C and 1.E, as shown in the corresponding Fig1. D and 1.F?</w:t>
      </w:r>
    </w:p>
    <w:p w14:paraId="5A0AF048" w14:textId="77777777" w:rsidR="00BB4E73" w:rsidRPr="00BB4E73" w:rsidRDefault="00BB4E73" w:rsidP="00BB4E73">
      <w:pPr>
        <w:rPr>
          <w:rFonts w:ascii="Times New Roman" w:eastAsia="Times New Roman" w:hAnsi="Times New Roman" w:cs="Times New Roman"/>
        </w:rPr>
      </w:pPr>
    </w:p>
    <w:p w14:paraId="70B0E6A6" w14:textId="77777777" w:rsidR="00BB4E73" w:rsidRPr="00BB4E73" w:rsidRDefault="00BB4E73" w:rsidP="00BB4E73">
      <w:pPr>
        <w:rPr>
          <w:rFonts w:ascii="Times New Roman" w:eastAsia="Times New Roman" w:hAnsi="Times New Roman" w:cs="Times New Roman"/>
        </w:rPr>
      </w:pPr>
      <w:r w:rsidRPr="00BB4E73">
        <w:rPr>
          <w:rFonts w:ascii="Times New Roman" w:eastAsia="Times New Roman" w:hAnsi="Times New Roman" w:cs="Times New Roman"/>
        </w:rPr>
        <w:t>2. Line 40, page 10 in result and Line 42, page 19, figure citation are not correct.</w:t>
      </w:r>
    </w:p>
    <w:p w14:paraId="4D8D6F1B" w14:textId="77777777" w:rsidR="00BB4E73" w:rsidRPr="00BB4E73" w:rsidRDefault="00BB4E73" w:rsidP="00BB4E73">
      <w:pPr>
        <w:rPr>
          <w:rFonts w:ascii="Times New Roman" w:eastAsia="Times New Roman" w:hAnsi="Times New Roman" w:cs="Times New Roman"/>
        </w:rPr>
      </w:pPr>
      <w:r w:rsidRPr="00BB4E73">
        <w:rPr>
          <w:rFonts w:ascii="Times New Roman" w:eastAsia="Times New Roman" w:hAnsi="Times New Roman" w:cs="Times New Roman"/>
        </w:rPr>
        <w:t>"In addition, the improved knockdown mediated by these tripartite domains again did not appear to correlate with expression levels of the dCas9-repressor fusions (Supplementary Figure S3)."</w:t>
      </w:r>
    </w:p>
    <w:p w14:paraId="45EC41F0" w14:textId="77777777" w:rsidR="00BB4E73" w:rsidRPr="00BB4E73" w:rsidRDefault="00BB4E73" w:rsidP="00BB4E73">
      <w:pPr>
        <w:rPr>
          <w:rFonts w:ascii="Times New Roman" w:eastAsia="Times New Roman" w:hAnsi="Times New Roman" w:cs="Times New Roman"/>
        </w:rPr>
      </w:pPr>
    </w:p>
    <w:p w14:paraId="5EA4DE36" w14:textId="13AA79F1" w:rsidR="00BB4E73" w:rsidRDefault="00BB4E73" w:rsidP="00BB4E73">
      <w:pPr>
        <w:rPr>
          <w:rFonts w:ascii="Times New Roman" w:eastAsia="Times New Roman" w:hAnsi="Times New Roman" w:cs="Times New Roman"/>
        </w:rPr>
      </w:pPr>
      <w:r w:rsidRPr="00BB4E73">
        <w:rPr>
          <w:rFonts w:ascii="Times New Roman" w:eastAsia="Times New Roman" w:hAnsi="Times New Roman" w:cs="Times New Roman"/>
        </w:rPr>
        <w:lastRenderedPageBreak/>
        <w:t xml:space="preserve">"Whereas the activity of these proteins might be expected to strongly correlate with their expression level, we often </w:t>
      </w:r>
      <w:proofErr w:type="gramStart"/>
      <w:r w:rsidRPr="00BB4E73">
        <w:rPr>
          <w:rFonts w:ascii="Times New Roman" w:eastAsia="Times New Roman" w:hAnsi="Times New Roman" w:cs="Times New Roman"/>
        </w:rPr>
        <w:t>saw</w:t>
      </w:r>
      <w:proofErr w:type="gramEnd"/>
      <w:r w:rsidRPr="00BB4E73">
        <w:rPr>
          <w:rFonts w:ascii="Times New Roman" w:eastAsia="Times New Roman" w:hAnsi="Times New Roman" w:cs="Times New Roman"/>
        </w:rPr>
        <w:t xml:space="preserve"> that that was not the case (Supplementary Figure S3A -S3C, Supplementary Figure S6)"</w:t>
      </w:r>
    </w:p>
    <w:p w14:paraId="7DDA8444" w14:textId="77777777" w:rsidR="00BB4E73" w:rsidRDefault="00BB4E73" w:rsidP="00BB4E73">
      <w:pPr>
        <w:rPr>
          <w:rFonts w:ascii="Times New Roman" w:eastAsia="Times New Roman" w:hAnsi="Times New Roman" w:cs="Times New Roman"/>
        </w:rPr>
      </w:pPr>
    </w:p>
    <w:p w14:paraId="2337EEC3" w14:textId="379D8E4E" w:rsidR="00771181" w:rsidRDefault="00771181" w:rsidP="00771181">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Reviewer </w:t>
      </w:r>
      <w:r>
        <w:rPr>
          <w:rFonts w:ascii="Times New Roman" w:eastAsia="Times New Roman" w:hAnsi="Times New Roman" w:cs="Times New Roman"/>
          <w:b/>
        </w:rPr>
        <w:t>3</w:t>
      </w:r>
    </w:p>
    <w:p w14:paraId="33CF6BC2" w14:textId="77777777" w:rsidR="00771181" w:rsidRDefault="00771181" w:rsidP="00771181">
      <w:pPr>
        <w:spacing w:after="0" w:line="240" w:lineRule="auto"/>
        <w:rPr>
          <w:rFonts w:ascii="Times New Roman" w:eastAsia="Times New Roman" w:hAnsi="Times New Roman" w:cs="Times New Roman"/>
          <w:b/>
          <w:color w:val="000033"/>
          <w:highlight w:val="white"/>
        </w:rPr>
      </w:pPr>
    </w:p>
    <w:p w14:paraId="3765BECE" w14:textId="77777777" w:rsidR="00771181" w:rsidRDefault="00771181" w:rsidP="00771181">
      <w:pPr>
        <w:spacing w:after="0" w:line="240" w:lineRule="auto"/>
        <w:rPr>
          <w:rFonts w:ascii="Times New Roman" w:eastAsia="Times New Roman" w:hAnsi="Times New Roman" w:cs="Times New Roman"/>
          <w:b/>
          <w:color w:val="000033"/>
          <w:highlight w:val="white"/>
        </w:rPr>
      </w:pPr>
      <w:r>
        <w:rPr>
          <w:rFonts w:ascii="Times New Roman" w:eastAsia="Times New Roman" w:hAnsi="Times New Roman" w:cs="Times New Roman"/>
          <w:b/>
          <w:color w:val="000033"/>
          <w:highlight w:val="white"/>
        </w:rPr>
        <w:t>Were you able to assess all statistics in the manuscript, including the appropriateness of statistical tests used?</w:t>
      </w:r>
    </w:p>
    <w:p w14:paraId="5555A9B2" w14:textId="77777777" w:rsidR="00771181" w:rsidRPr="004B3106" w:rsidRDefault="00771181" w:rsidP="00771181">
      <w:pPr>
        <w:spacing w:after="0" w:line="240" w:lineRule="auto"/>
        <w:rPr>
          <w:rFonts w:ascii="Times New Roman" w:eastAsia="Times New Roman" w:hAnsi="Times New Roman" w:cs="Times New Roman"/>
          <w:bCs/>
          <w:color w:val="000033"/>
          <w:highlight w:val="white"/>
        </w:rPr>
      </w:pPr>
    </w:p>
    <w:p w14:paraId="525BE8BB" w14:textId="6BAF0C09" w:rsidR="00771181" w:rsidRPr="004B3106" w:rsidRDefault="004B3106" w:rsidP="00771181">
      <w:pPr>
        <w:spacing w:after="0" w:line="240" w:lineRule="auto"/>
        <w:rPr>
          <w:rFonts w:ascii="Times New Roman" w:eastAsia="Times New Roman" w:hAnsi="Times New Roman" w:cs="Times New Roman"/>
          <w:bCs/>
          <w:color w:val="000033"/>
          <w:highlight w:val="white"/>
        </w:rPr>
      </w:pPr>
      <w:r w:rsidRPr="004B3106">
        <w:rPr>
          <w:rFonts w:ascii="Times New Roman" w:eastAsia="Times New Roman" w:hAnsi="Times New Roman" w:cs="Times New Roman"/>
          <w:bCs/>
          <w:color w:val="000033"/>
        </w:rPr>
        <w:t>No, I do not feel adequately qualified to assess the statistics.</w:t>
      </w:r>
    </w:p>
    <w:p w14:paraId="2AFC2A52" w14:textId="77777777" w:rsidR="00771181" w:rsidRDefault="00771181" w:rsidP="00771181">
      <w:pPr>
        <w:rPr>
          <w:rFonts w:ascii="Times New Roman" w:eastAsia="Times New Roman" w:hAnsi="Times New Roman" w:cs="Times New Roman"/>
        </w:rPr>
      </w:pPr>
    </w:p>
    <w:p w14:paraId="26F06435" w14:textId="77777777" w:rsidR="00771181" w:rsidRDefault="00771181" w:rsidP="00771181">
      <w:pPr>
        <w:rPr>
          <w:rFonts w:ascii="Times New Roman" w:eastAsia="Times New Roman" w:hAnsi="Times New Roman" w:cs="Times New Roman"/>
          <w:b/>
        </w:rPr>
      </w:pPr>
      <w:r>
        <w:rPr>
          <w:rFonts w:ascii="Times New Roman" w:eastAsia="Times New Roman" w:hAnsi="Times New Roman" w:cs="Times New Roman"/>
          <w:b/>
        </w:rPr>
        <w:t>Comments to author:</w:t>
      </w:r>
    </w:p>
    <w:p w14:paraId="0E2B5D2B" w14:textId="77777777" w:rsidR="004B3106" w:rsidRPr="004B3106" w:rsidRDefault="004B3106" w:rsidP="004B3106">
      <w:pPr>
        <w:rPr>
          <w:rFonts w:ascii="Times New Roman" w:eastAsia="Times New Roman" w:hAnsi="Times New Roman" w:cs="Times New Roman"/>
        </w:rPr>
      </w:pPr>
      <w:r w:rsidRPr="004B3106">
        <w:rPr>
          <w:rFonts w:ascii="Times New Roman" w:eastAsia="Times New Roman" w:hAnsi="Times New Roman" w:cs="Times New Roman"/>
        </w:rPr>
        <w:t xml:space="preserve">The authors of "Engineering Novel </w:t>
      </w:r>
      <w:proofErr w:type="spellStart"/>
      <w:r w:rsidRPr="004B3106">
        <w:rPr>
          <w:rFonts w:ascii="Times New Roman" w:eastAsia="Times New Roman" w:hAnsi="Times New Roman" w:cs="Times New Roman"/>
        </w:rPr>
        <w:t>CRISPRi</w:t>
      </w:r>
      <w:proofErr w:type="spellEnd"/>
      <w:r w:rsidRPr="004B3106">
        <w:rPr>
          <w:rFonts w:ascii="Times New Roman" w:eastAsia="Times New Roman" w:hAnsi="Times New Roman" w:cs="Times New Roman"/>
        </w:rPr>
        <w:t xml:space="preserve"> Repressors for Highly Efficient Mammalian Gene Regulation" have developed several novel </w:t>
      </w:r>
      <w:proofErr w:type="spellStart"/>
      <w:r w:rsidRPr="004B3106">
        <w:rPr>
          <w:rFonts w:ascii="Times New Roman" w:eastAsia="Times New Roman" w:hAnsi="Times New Roman" w:cs="Times New Roman"/>
        </w:rPr>
        <w:t>CRISPRi</w:t>
      </w:r>
      <w:proofErr w:type="spellEnd"/>
      <w:r w:rsidRPr="004B3106">
        <w:rPr>
          <w:rFonts w:ascii="Times New Roman" w:eastAsia="Times New Roman" w:hAnsi="Times New Roman" w:cs="Times New Roman"/>
        </w:rPr>
        <w:t xml:space="preserve"> repressors with enhanced gene silencing function compared to standard </w:t>
      </w:r>
      <w:proofErr w:type="spellStart"/>
      <w:r w:rsidRPr="004B3106">
        <w:rPr>
          <w:rFonts w:ascii="Times New Roman" w:eastAsia="Times New Roman" w:hAnsi="Times New Roman" w:cs="Times New Roman"/>
        </w:rPr>
        <w:t>CRISRPi</w:t>
      </w:r>
      <w:proofErr w:type="spellEnd"/>
      <w:r w:rsidRPr="004B3106">
        <w:rPr>
          <w:rFonts w:ascii="Times New Roman" w:eastAsia="Times New Roman" w:hAnsi="Times New Roman" w:cs="Times New Roman"/>
        </w:rPr>
        <w:t xml:space="preserve"> repressors in the field. Their study's purpose is highly relevant and aims to address unmet needs in achieving sufficient knockdown that is otherwise variable due to cell type-specific differences and the context of TSS targeting sequences. The authors exhaustively screened and isolated novel repressor variants and showed successful performance of their novel bi- and tri-partite repressor variants in using an </w:t>
      </w:r>
      <w:proofErr w:type="spellStart"/>
      <w:r w:rsidRPr="004B3106">
        <w:rPr>
          <w:rFonts w:ascii="Times New Roman" w:eastAsia="Times New Roman" w:hAnsi="Times New Roman" w:cs="Times New Roman"/>
        </w:rPr>
        <w:t>eGFP</w:t>
      </w:r>
      <w:proofErr w:type="spellEnd"/>
      <w:r w:rsidRPr="004B3106">
        <w:rPr>
          <w:rFonts w:ascii="Times New Roman" w:eastAsia="Times New Roman" w:hAnsi="Times New Roman" w:cs="Times New Roman"/>
        </w:rPr>
        <w:t xml:space="preserve"> reporter system and by targeting 7 protein-coding genes. However, this manuscript fails to elect a novel repressor variant superior to the field's gold standard. Rather, the novel repressor variants generated in this study show variability in their expression and silencing performance across cell lines and loci tested. For this reason, we question the degree of impact this manuscript may have on improving existing </w:t>
      </w:r>
      <w:proofErr w:type="spellStart"/>
      <w:r w:rsidRPr="004B3106">
        <w:rPr>
          <w:rFonts w:ascii="Times New Roman" w:eastAsia="Times New Roman" w:hAnsi="Times New Roman" w:cs="Times New Roman"/>
        </w:rPr>
        <w:t>CRISPRi</w:t>
      </w:r>
      <w:proofErr w:type="spellEnd"/>
      <w:r w:rsidRPr="004B3106">
        <w:rPr>
          <w:rFonts w:ascii="Times New Roman" w:eastAsia="Times New Roman" w:hAnsi="Times New Roman" w:cs="Times New Roman"/>
        </w:rPr>
        <w:t xml:space="preserve"> technology for gene silencing in high-throughput genotype-phenotype screening.</w:t>
      </w:r>
    </w:p>
    <w:p w14:paraId="30A1F3CB" w14:textId="77777777" w:rsidR="004B3106" w:rsidRPr="004B3106" w:rsidRDefault="004B3106" w:rsidP="004B3106">
      <w:pPr>
        <w:rPr>
          <w:rFonts w:ascii="Times New Roman" w:eastAsia="Times New Roman" w:hAnsi="Times New Roman" w:cs="Times New Roman"/>
        </w:rPr>
      </w:pPr>
    </w:p>
    <w:p w14:paraId="50127CED" w14:textId="77777777" w:rsidR="004B3106" w:rsidRPr="004B3106" w:rsidRDefault="004B3106" w:rsidP="004B3106">
      <w:pPr>
        <w:rPr>
          <w:rFonts w:ascii="Times New Roman" w:eastAsia="Times New Roman" w:hAnsi="Times New Roman" w:cs="Times New Roman"/>
        </w:rPr>
      </w:pPr>
      <w:r w:rsidRPr="004B3106">
        <w:rPr>
          <w:rFonts w:ascii="Times New Roman" w:eastAsia="Times New Roman" w:hAnsi="Times New Roman" w:cs="Times New Roman"/>
        </w:rPr>
        <w:t>Here are our notes on strengths/weaknesses by Figure</w:t>
      </w:r>
    </w:p>
    <w:p w14:paraId="704F6331" w14:textId="77777777" w:rsidR="004B3106" w:rsidRPr="004B3106" w:rsidRDefault="004B3106" w:rsidP="004B3106">
      <w:pPr>
        <w:rPr>
          <w:rFonts w:ascii="Times New Roman" w:eastAsia="Times New Roman" w:hAnsi="Times New Roman" w:cs="Times New Roman"/>
        </w:rPr>
      </w:pPr>
    </w:p>
    <w:p w14:paraId="309D3980" w14:textId="77777777" w:rsidR="004B3106" w:rsidRPr="004B3106" w:rsidRDefault="004B3106" w:rsidP="004B3106">
      <w:pPr>
        <w:rPr>
          <w:rFonts w:ascii="Times New Roman" w:eastAsia="Times New Roman" w:hAnsi="Times New Roman" w:cs="Times New Roman"/>
        </w:rPr>
      </w:pPr>
      <w:r w:rsidRPr="004B3106">
        <w:rPr>
          <w:rFonts w:ascii="Times New Roman" w:eastAsia="Times New Roman" w:hAnsi="Times New Roman" w:cs="Times New Roman"/>
        </w:rPr>
        <w:t>Figure 1:</w:t>
      </w:r>
    </w:p>
    <w:p w14:paraId="1AB3B027" w14:textId="77777777" w:rsidR="004B3106" w:rsidRPr="004B3106" w:rsidRDefault="004B3106" w:rsidP="004B3106">
      <w:pPr>
        <w:rPr>
          <w:rFonts w:ascii="Times New Roman" w:eastAsia="Times New Roman" w:hAnsi="Times New Roman" w:cs="Times New Roman"/>
        </w:rPr>
      </w:pPr>
      <w:r w:rsidRPr="004B3106">
        <w:rPr>
          <w:rFonts w:ascii="Times New Roman" w:eastAsia="Times New Roman" w:hAnsi="Times New Roman" w:cs="Times New Roman"/>
        </w:rPr>
        <w:t xml:space="preserve">* Figure 1A is confusing. I assume the blue cell should be on the </w:t>
      </w:r>
      <w:proofErr w:type="gramStart"/>
      <w:r w:rsidRPr="004B3106">
        <w:rPr>
          <w:rFonts w:ascii="Times New Roman" w:eastAsia="Times New Roman" w:hAnsi="Times New Roman" w:cs="Times New Roman"/>
        </w:rPr>
        <w:t>right hand</w:t>
      </w:r>
      <w:proofErr w:type="gramEnd"/>
      <w:r w:rsidRPr="004B3106">
        <w:rPr>
          <w:rFonts w:ascii="Times New Roman" w:eastAsia="Times New Roman" w:hAnsi="Times New Roman" w:cs="Times New Roman"/>
        </w:rPr>
        <w:t xml:space="preserve"> side of the gray arrow. Are the authors trying to show that 2 plasmids are being put into cells? The way it's </w:t>
      </w:r>
      <w:proofErr w:type="gramStart"/>
      <w:r w:rsidRPr="004B3106">
        <w:rPr>
          <w:rFonts w:ascii="Times New Roman" w:eastAsia="Times New Roman" w:hAnsi="Times New Roman" w:cs="Times New Roman"/>
        </w:rPr>
        <w:t>drawn make</w:t>
      </w:r>
      <w:proofErr w:type="gramEnd"/>
      <w:r w:rsidRPr="004B3106">
        <w:rPr>
          <w:rFonts w:ascii="Times New Roman" w:eastAsia="Times New Roman" w:hAnsi="Times New Roman" w:cs="Times New Roman"/>
        </w:rPr>
        <w:t xml:space="preserve"> is </w:t>
      </w:r>
      <w:proofErr w:type="gramStart"/>
      <w:r w:rsidRPr="004B3106">
        <w:rPr>
          <w:rFonts w:ascii="Times New Roman" w:eastAsia="Times New Roman" w:hAnsi="Times New Roman" w:cs="Times New Roman"/>
        </w:rPr>
        <w:t>look</w:t>
      </w:r>
      <w:proofErr w:type="gramEnd"/>
      <w:r w:rsidRPr="004B3106">
        <w:rPr>
          <w:rFonts w:ascii="Times New Roman" w:eastAsia="Times New Roman" w:hAnsi="Times New Roman" w:cs="Times New Roman"/>
        </w:rPr>
        <w:t xml:space="preserve"> like they are taking something out of the cells. Additionally, the gRNA targeting the SV40 promoter isn't shown on the </w:t>
      </w:r>
      <w:proofErr w:type="spellStart"/>
      <w:r w:rsidRPr="004B3106">
        <w:rPr>
          <w:rFonts w:ascii="Times New Roman" w:eastAsia="Times New Roman" w:hAnsi="Times New Roman" w:cs="Times New Roman"/>
        </w:rPr>
        <w:t>eGFP</w:t>
      </w:r>
      <w:proofErr w:type="spellEnd"/>
      <w:r w:rsidRPr="004B3106">
        <w:rPr>
          <w:rFonts w:ascii="Times New Roman" w:eastAsia="Times New Roman" w:hAnsi="Times New Roman" w:cs="Times New Roman"/>
        </w:rPr>
        <w:t xml:space="preserve"> construct, which leaves the reader wondering where the gRNA is coming in or if this is a non-specific repression with no gRNA.</w:t>
      </w:r>
    </w:p>
    <w:p w14:paraId="7A799B09" w14:textId="77777777" w:rsidR="004B3106" w:rsidRPr="004B3106" w:rsidRDefault="004B3106" w:rsidP="004B3106">
      <w:pPr>
        <w:rPr>
          <w:rFonts w:ascii="Times New Roman" w:eastAsia="Times New Roman" w:hAnsi="Times New Roman" w:cs="Times New Roman"/>
        </w:rPr>
      </w:pPr>
      <w:r w:rsidRPr="004B3106">
        <w:rPr>
          <w:rFonts w:ascii="Times New Roman" w:eastAsia="Times New Roman" w:hAnsi="Times New Roman" w:cs="Times New Roman"/>
        </w:rPr>
        <w:t>* Fig. 1 B, D, F need figure keys within the figure - the coloring system can become overwhelming and confusing</w:t>
      </w:r>
    </w:p>
    <w:p w14:paraId="263DA46D" w14:textId="77777777" w:rsidR="004B3106" w:rsidRPr="004B3106" w:rsidRDefault="004B3106" w:rsidP="004B3106">
      <w:pPr>
        <w:rPr>
          <w:rFonts w:ascii="Times New Roman" w:eastAsia="Times New Roman" w:hAnsi="Times New Roman" w:cs="Times New Roman"/>
        </w:rPr>
      </w:pPr>
      <w:r w:rsidRPr="004B3106">
        <w:rPr>
          <w:rFonts w:ascii="Times New Roman" w:eastAsia="Times New Roman" w:hAnsi="Times New Roman" w:cs="Times New Roman"/>
        </w:rPr>
        <w:t>* Fig. 1D has two different grey bars and two different sets of green bars. Both need to be included in the figure and appropriately in the figure description as well.</w:t>
      </w:r>
    </w:p>
    <w:p w14:paraId="25D9C2B0" w14:textId="77777777" w:rsidR="004B3106" w:rsidRPr="004B3106" w:rsidRDefault="004B3106" w:rsidP="004B3106">
      <w:pPr>
        <w:rPr>
          <w:rFonts w:ascii="Times New Roman" w:eastAsia="Times New Roman" w:hAnsi="Times New Roman" w:cs="Times New Roman"/>
        </w:rPr>
      </w:pPr>
      <w:r w:rsidRPr="004B3106">
        <w:rPr>
          <w:rFonts w:ascii="Times New Roman" w:eastAsia="Times New Roman" w:hAnsi="Times New Roman" w:cs="Times New Roman"/>
        </w:rPr>
        <w:lastRenderedPageBreak/>
        <w:t xml:space="preserve">* It is unclear why some statistical tests are shown in the figure, but not others. </w:t>
      </w:r>
      <w:proofErr w:type="gramStart"/>
      <w:r w:rsidRPr="004B3106">
        <w:rPr>
          <w:rFonts w:ascii="Times New Roman" w:eastAsia="Times New Roman" w:hAnsi="Times New Roman" w:cs="Times New Roman"/>
        </w:rPr>
        <w:t>it would</w:t>
      </w:r>
      <w:proofErr w:type="gramEnd"/>
      <w:r w:rsidRPr="004B3106">
        <w:rPr>
          <w:rFonts w:ascii="Times New Roman" w:eastAsia="Times New Roman" w:hAnsi="Times New Roman" w:cs="Times New Roman"/>
        </w:rPr>
        <w:t xml:space="preserve"> be more appropriate to compare with the gold standard dCas9-KOX1(KRAB)-MeCP2)?</w:t>
      </w:r>
    </w:p>
    <w:p w14:paraId="2E0EB2A7" w14:textId="77777777" w:rsidR="004B3106" w:rsidRPr="004B3106" w:rsidRDefault="004B3106" w:rsidP="004B3106">
      <w:pPr>
        <w:rPr>
          <w:rFonts w:ascii="Times New Roman" w:eastAsia="Times New Roman" w:hAnsi="Times New Roman" w:cs="Times New Roman"/>
        </w:rPr>
      </w:pPr>
      <w:r w:rsidRPr="004B3106">
        <w:rPr>
          <w:rFonts w:ascii="Times New Roman" w:eastAsia="Times New Roman" w:hAnsi="Times New Roman" w:cs="Times New Roman"/>
        </w:rPr>
        <w:t>* Does "dCas9" sample include a gRNA? If so, it is not an adequate control as dCas9 does have silencing capability via steric hindrance. An empty vector SV40-eGFP reporter plasmid should serve as a non-silencing control since</w:t>
      </w:r>
    </w:p>
    <w:p w14:paraId="04E88CE9" w14:textId="77777777" w:rsidR="004B3106" w:rsidRPr="004B3106" w:rsidRDefault="004B3106" w:rsidP="004B3106">
      <w:pPr>
        <w:rPr>
          <w:rFonts w:ascii="Times New Roman" w:eastAsia="Times New Roman" w:hAnsi="Times New Roman" w:cs="Times New Roman"/>
        </w:rPr>
      </w:pPr>
      <w:r w:rsidRPr="004B3106">
        <w:rPr>
          <w:rFonts w:ascii="Times New Roman" w:eastAsia="Times New Roman" w:hAnsi="Times New Roman" w:cs="Times New Roman"/>
        </w:rPr>
        <w:t>* 1F and throughout - the y-axis "</w:t>
      </w:r>
      <w:proofErr w:type="spellStart"/>
      <w:r w:rsidRPr="004B3106">
        <w:rPr>
          <w:rFonts w:ascii="Times New Roman" w:eastAsia="Times New Roman" w:hAnsi="Times New Roman" w:cs="Times New Roman"/>
        </w:rPr>
        <w:t>eGFP</w:t>
      </w:r>
      <w:proofErr w:type="spellEnd"/>
      <w:r w:rsidRPr="004B3106">
        <w:rPr>
          <w:rFonts w:ascii="Times New Roman" w:eastAsia="Times New Roman" w:hAnsi="Times New Roman" w:cs="Times New Roman"/>
        </w:rPr>
        <w:t xml:space="preserve"> expression" is unclear - what unit is </w:t>
      </w:r>
      <w:proofErr w:type="spellStart"/>
      <w:r w:rsidRPr="004B3106">
        <w:rPr>
          <w:rFonts w:ascii="Times New Roman" w:eastAsia="Times New Roman" w:hAnsi="Times New Roman" w:cs="Times New Roman"/>
        </w:rPr>
        <w:t>eGFP</w:t>
      </w:r>
      <w:proofErr w:type="spellEnd"/>
      <w:r w:rsidRPr="004B3106">
        <w:rPr>
          <w:rFonts w:ascii="Times New Roman" w:eastAsia="Times New Roman" w:hAnsi="Times New Roman" w:cs="Times New Roman"/>
        </w:rPr>
        <w:t xml:space="preserve"> expression being measured in? Is it </w:t>
      </w:r>
      <w:proofErr w:type="gramStart"/>
      <w:r w:rsidRPr="004B3106">
        <w:rPr>
          <w:rFonts w:ascii="Times New Roman" w:eastAsia="Times New Roman" w:hAnsi="Times New Roman" w:cs="Times New Roman"/>
        </w:rPr>
        <w:t>being normalized</w:t>
      </w:r>
      <w:proofErr w:type="gramEnd"/>
      <w:r w:rsidRPr="004B3106">
        <w:rPr>
          <w:rFonts w:ascii="Times New Roman" w:eastAsia="Times New Roman" w:hAnsi="Times New Roman" w:cs="Times New Roman"/>
        </w:rPr>
        <w:t xml:space="preserve"> to something?</w:t>
      </w:r>
    </w:p>
    <w:p w14:paraId="68726AC2" w14:textId="77777777" w:rsidR="004B3106" w:rsidRPr="004B3106" w:rsidRDefault="004B3106" w:rsidP="004B3106">
      <w:pPr>
        <w:rPr>
          <w:rFonts w:ascii="Times New Roman" w:eastAsia="Times New Roman" w:hAnsi="Times New Roman" w:cs="Times New Roman"/>
        </w:rPr>
      </w:pPr>
      <w:r w:rsidRPr="004B3106">
        <w:rPr>
          <w:rFonts w:ascii="Times New Roman" w:eastAsia="Times New Roman" w:hAnsi="Times New Roman" w:cs="Times New Roman"/>
        </w:rPr>
        <w:t>Figure 2:</w:t>
      </w:r>
    </w:p>
    <w:p w14:paraId="08768373" w14:textId="77777777" w:rsidR="004B3106" w:rsidRPr="004B3106" w:rsidRDefault="004B3106" w:rsidP="004B3106">
      <w:pPr>
        <w:rPr>
          <w:rFonts w:ascii="Times New Roman" w:eastAsia="Times New Roman" w:hAnsi="Times New Roman" w:cs="Times New Roman"/>
        </w:rPr>
      </w:pPr>
      <w:r w:rsidRPr="004B3106">
        <w:rPr>
          <w:rFonts w:ascii="Times New Roman" w:eastAsia="Times New Roman" w:hAnsi="Times New Roman" w:cs="Times New Roman"/>
        </w:rPr>
        <w:t>* Color coding in Fig 2 A should be described within the figure legend.</w:t>
      </w:r>
    </w:p>
    <w:p w14:paraId="459D86A1" w14:textId="77777777" w:rsidR="004B3106" w:rsidRPr="004B3106" w:rsidRDefault="004B3106" w:rsidP="004B3106">
      <w:pPr>
        <w:rPr>
          <w:rFonts w:ascii="Times New Roman" w:eastAsia="Times New Roman" w:hAnsi="Times New Roman" w:cs="Times New Roman"/>
        </w:rPr>
      </w:pPr>
      <w:r w:rsidRPr="004B3106">
        <w:rPr>
          <w:rFonts w:ascii="Times New Roman" w:eastAsia="Times New Roman" w:hAnsi="Times New Roman" w:cs="Times New Roman"/>
        </w:rPr>
        <w:t>* Figure 2 B has no figure key within the figure</w:t>
      </w:r>
    </w:p>
    <w:p w14:paraId="47429CA3" w14:textId="77777777" w:rsidR="004B3106" w:rsidRPr="004B3106" w:rsidRDefault="004B3106" w:rsidP="004B3106">
      <w:pPr>
        <w:rPr>
          <w:rFonts w:ascii="Times New Roman" w:eastAsia="Times New Roman" w:hAnsi="Times New Roman" w:cs="Times New Roman"/>
        </w:rPr>
      </w:pPr>
      <w:r w:rsidRPr="004B3106">
        <w:rPr>
          <w:rFonts w:ascii="Times New Roman" w:eastAsia="Times New Roman" w:hAnsi="Times New Roman" w:cs="Times New Roman"/>
        </w:rPr>
        <w:t>* In Figure 2B, why was ZIM(KRAB)-Max excluded from showing significance test although it clearly shows better knockdown than some of the other variants? This variant was identified and quoted as one of the three top-performing variants in lines 31 and 32 "Evaluating Novel Repressor Efficacy Across Different Genetic Loci and Targeting Modalities"</w:t>
      </w:r>
    </w:p>
    <w:p w14:paraId="6180045C" w14:textId="77777777" w:rsidR="004B3106" w:rsidRPr="004B3106" w:rsidRDefault="004B3106" w:rsidP="004B3106">
      <w:pPr>
        <w:rPr>
          <w:rFonts w:ascii="Times New Roman" w:eastAsia="Times New Roman" w:hAnsi="Times New Roman" w:cs="Times New Roman"/>
        </w:rPr>
      </w:pPr>
      <w:r w:rsidRPr="004B3106">
        <w:rPr>
          <w:rFonts w:ascii="Times New Roman" w:eastAsia="Times New Roman" w:hAnsi="Times New Roman" w:cs="Times New Roman"/>
        </w:rPr>
        <w:t xml:space="preserve">* Fig. 2A does not have relative expression to </w:t>
      </w:r>
      <w:proofErr w:type="gramStart"/>
      <w:r w:rsidRPr="004B3106">
        <w:rPr>
          <w:rFonts w:ascii="Times New Roman" w:eastAsia="Times New Roman" w:hAnsi="Times New Roman" w:cs="Times New Roman"/>
        </w:rPr>
        <w:t>an adequate</w:t>
      </w:r>
      <w:proofErr w:type="gramEnd"/>
      <w:r w:rsidRPr="004B3106">
        <w:rPr>
          <w:rFonts w:ascii="Times New Roman" w:eastAsia="Times New Roman" w:hAnsi="Times New Roman" w:cs="Times New Roman"/>
        </w:rPr>
        <w:t xml:space="preserve"> control - dCas9 can silence on </w:t>
      </w:r>
      <w:proofErr w:type="spellStart"/>
      <w:proofErr w:type="gramStart"/>
      <w:r w:rsidRPr="004B3106">
        <w:rPr>
          <w:rFonts w:ascii="Times New Roman" w:eastAsia="Times New Roman" w:hAnsi="Times New Roman" w:cs="Times New Roman"/>
        </w:rPr>
        <w:t>it's</w:t>
      </w:r>
      <w:proofErr w:type="spellEnd"/>
      <w:proofErr w:type="gramEnd"/>
      <w:r w:rsidRPr="004B3106">
        <w:rPr>
          <w:rFonts w:ascii="Times New Roman" w:eastAsia="Times New Roman" w:hAnsi="Times New Roman" w:cs="Times New Roman"/>
        </w:rPr>
        <w:t xml:space="preserve"> own if targeted to the TSS. If gRNA is not included, this should be called out.</w:t>
      </w:r>
    </w:p>
    <w:p w14:paraId="073433E3" w14:textId="77777777" w:rsidR="004B3106" w:rsidRPr="004B3106" w:rsidRDefault="004B3106" w:rsidP="004B3106">
      <w:pPr>
        <w:rPr>
          <w:rFonts w:ascii="Times New Roman" w:eastAsia="Times New Roman" w:hAnsi="Times New Roman" w:cs="Times New Roman"/>
        </w:rPr>
      </w:pPr>
      <w:r w:rsidRPr="004B3106">
        <w:rPr>
          <w:rFonts w:ascii="Times New Roman" w:eastAsia="Times New Roman" w:hAnsi="Times New Roman" w:cs="Times New Roman"/>
        </w:rPr>
        <w:t>* Only 4 genes were tested, and they are all protein-coding.</w:t>
      </w:r>
    </w:p>
    <w:p w14:paraId="78B7459B" w14:textId="77777777" w:rsidR="004B3106" w:rsidRPr="004B3106" w:rsidRDefault="004B3106" w:rsidP="004B3106">
      <w:pPr>
        <w:rPr>
          <w:rFonts w:ascii="Times New Roman" w:eastAsia="Times New Roman" w:hAnsi="Times New Roman" w:cs="Times New Roman"/>
        </w:rPr>
      </w:pPr>
      <w:r w:rsidRPr="004B3106">
        <w:rPr>
          <w:rFonts w:ascii="Times New Roman" w:eastAsia="Times New Roman" w:hAnsi="Times New Roman" w:cs="Times New Roman"/>
        </w:rPr>
        <w:t>o What about non-coding motifs?</w:t>
      </w:r>
    </w:p>
    <w:p w14:paraId="29F649B7" w14:textId="77777777" w:rsidR="004B3106" w:rsidRPr="004B3106" w:rsidRDefault="004B3106" w:rsidP="004B3106">
      <w:pPr>
        <w:rPr>
          <w:rFonts w:ascii="Times New Roman" w:eastAsia="Times New Roman" w:hAnsi="Times New Roman" w:cs="Times New Roman"/>
        </w:rPr>
      </w:pPr>
      <w:r w:rsidRPr="004B3106">
        <w:rPr>
          <w:rFonts w:ascii="Times New Roman" w:eastAsia="Times New Roman" w:hAnsi="Times New Roman" w:cs="Times New Roman"/>
        </w:rPr>
        <w:t xml:space="preserve">o </w:t>
      </w:r>
      <w:proofErr w:type="gramStart"/>
      <w:r w:rsidRPr="004B3106">
        <w:rPr>
          <w:rFonts w:ascii="Times New Roman" w:eastAsia="Times New Roman" w:hAnsi="Times New Roman" w:cs="Times New Roman"/>
        </w:rPr>
        <w:t>An</w:t>
      </w:r>
      <w:proofErr w:type="gramEnd"/>
      <w:r w:rsidRPr="004B3106">
        <w:rPr>
          <w:rFonts w:ascii="Times New Roman" w:eastAsia="Times New Roman" w:hAnsi="Times New Roman" w:cs="Times New Roman"/>
        </w:rPr>
        <w:t xml:space="preserve"> orthogonal assay such as Western blotting could be helpful to see knock down</w:t>
      </w:r>
    </w:p>
    <w:p w14:paraId="6876B570" w14:textId="77777777" w:rsidR="004B3106" w:rsidRPr="004B3106" w:rsidRDefault="004B3106" w:rsidP="004B3106">
      <w:pPr>
        <w:rPr>
          <w:rFonts w:ascii="Times New Roman" w:eastAsia="Times New Roman" w:hAnsi="Times New Roman" w:cs="Times New Roman"/>
        </w:rPr>
      </w:pPr>
      <w:r w:rsidRPr="004B3106">
        <w:rPr>
          <w:rFonts w:ascii="Times New Roman" w:eastAsia="Times New Roman" w:hAnsi="Times New Roman" w:cs="Times New Roman"/>
        </w:rPr>
        <w:t>* A more powerful experiment would compare areas of silenced chromatin between variants to understand how variants may differentially change global gene expression. No data compares variant specificity on gene silencing or aberrant gene activation (ex. MAX domain in Fig. 5 is problematic in some cell types because Fig. 5 D suggests MAX can recruit transcriptional activation).</w:t>
      </w:r>
    </w:p>
    <w:p w14:paraId="2D1B803A" w14:textId="77777777" w:rsidR="004B3106" w:rsidRPr="004B3106" w:rsidRDefault="004B3106" w:rsidP="004B3106">
      <w:pPr>
        <w:rPr>
          <w:rFonts w:ascii="Times New Roman" w:eastAsia="Times New Roman" w:hAnsi="Times New Roman" w:cs="Times New Roman"/>
        </w:rPr>
      </w:pPr>
    </w:p>
    <w:p w14:paraId="1312F230" w14:textId="77777777" w:rsidR="004B3106" w:rsidRPr="004B3106" w:rsidRDefault="004B3106" w:rsidP="004B3106">
      <w:pPr>
        <w:rPr>
          <w:rFonts w:ascii="Times New Roman" w:eastAsia="Times New Roman" w:hAnsi="Times New Roman" w:cs="Times New Roman"/>
        </w:rPr>
      </w:pPr>
      <w:r w:rsidRPr="004B3106">
        <w:rPr>
          <w:rFonts w:ascii="Times New Roman" w:eastAsia="Times New Roman" w:hAnsi="Times New Roman" w:cs="Times New Roman"/>
        </w:rPr>
        <w:t>Figure 3:</w:t>
      </w:r>
    </w:p>
    <w:p w14:paraId="58E1C8FE" w14:textId="77777777" w:rsidR="004B3106" w:rsidRPr="004B3106" w:rsidRDefault="004B3106" w:rsidP="004B3106">
      <w:pPr>
        <w:rPr>
          <w:rFonts w:ascii="Times New Roman" w:eastAsia="Times New Roman" w:hAnsi="Times New Roman" w:cs="Times New Roman"/>
        </w:rPr>
      </w:pPr>
      <w:r w:rsidRPr="004B3106">
        <w:rPr>
          <w:rFonts w:ascii="Times New Roman" w:eastAsia="Times New Roman" w:hAnsi="Times New Roman" w:cs="Times New Roman"/>
        </w:rPr>
        <w:t>* Schematic in A is helpful to understand part B</w:t>
      </w:r>
    </w:p>
    <w:p w14:paraId="68E8A2E5" w14:textId="77777777" w:rsidR="004B3106" w:rsidRPr="004B3106" w:rsidRDefault="004B3106" w:rsidP="004B3106">
      <w:pPr>
        <w:rPr>
          <w:rFonts w:ascii="Times New Roman" w:eastAsia="Times New Roman" w:hAnsi="Times New Roman" w:cs="Times New Roman"/>
        </w:rPr>
      </w:pPr>
      <w:r w:rsidRPr="004B3106">
        <w:rPr>
          <w:rFonts w:ascii="Times New Roman" w:eastAsia="Times New Roman" w:hAnsi="Times New Roman" w:cs="Times New Roman"/>
        </w:rPr>
        <w:t xml:space="preserve">* Order of sgRNA titles is confusing between B, C, </w:t>
      </w:r>
      <w:proofErr w:type="gramStart"/>
      <w:r w:rsidRPr="004B3106">
        <w:rPr>
          <w:rFonts w:ascii="Times New Roman" w:eastAsia="Times New Roman" w:hAnsi="Times New Roman" w:cs="Times New Roman"/>
        </w:rPr>
        <w:t>D .</w:t>
      </w:r>
      <w:proofErr w:type="gramEnd"/>
      <w:r w:rsidRPr="004B3106">
        <w:rPr>
          <w:rFonts w:ascii="Times New Roman" w:eastAsia="Times New Roman" w:hAnsi="Times New Roman" w:cs="Times New Roman"/>
        </w:rPr>
        <w:t xml:space="preserve"> What </w:t>
      </w:r>
      <w:proofErr w:type="gramStart"/>
      <w:r w:rsidRPr="004B3106">
        <w:rPr>
          <w:rFonts w:ascii="Times New Roman" w:eastAsia="Times New Roman" w:hAnsi="Times New Roman" w:cs="Times New Roman"/>
        </w:rPr>
        <w:t>are</w:t>
      </w:r>
      <w:proofErr w:type="gramEnd"/>
      <w:r w:rsidRPr="004B3106">
        <w:rPr>
          <w:rFonts w:ascii="Times New Roman" w:eastAsia="Times New Roman" w:hAnsi="Times New Roman" w:cs="Times New Roman"/>
        </w:rPr>
        <w:t xml:space="preserve"> the basis of choosing those respective gRNAs chosen for each of the </w:t>
      </w:r>
      <w:proofErr w:type="gramStart"/>
      <w:r w:rsidRPr="004B3106">
        <w:rPr>
          <w:rFonts w:ascii="Times New Roman" w:eastAsia="Times New Roman" w:hAnsi="Times New Roman" w:cs="Times New Roman"/>
        </w:rPr>
        <w:t>gene</w:t>
      </w:r>
      <w:proofErr w:type="gramEnd"/>
      <w:r w:rsidRPr="004B3106">
        <w:rPr>
          <w:rFonts w:ascii="Times New Roman" w:eastAsia="Times New Roman" w:hAnsi="Times New Roman" w:cs="Times New Roman"/>
        </w:rPr>
        <w:t xml:space="preserve"> to show the line graphs whereas data for all 3 gRNAs have been shown as bar plots</w:t>
      </w:r>
    </w:p>
    <w:p w14:paraId="3FBE173D" w14:textId="77777777" w:rsidR="004B3106" w:rsidRPr="004B3106" w:rsidRDefault="004B3106" w:rsidP="004B3106">
      <w:pPr>
        <w:rPr>
          <w:rFonts w:ascii="Times New Roman" w:eastAsia="Times New Roman" w:hAnsi="Times New Roman" w:cs="Times New Roman"/>
        </w:rPr>
      </w:pPr>
      <w:r w:rsidRPr="004B3106">
        <w:rPr>
          <w:rFonts w:ascii="Times New Roman" w:eastAsia="Times New Roman" w:hAnsi="Times New Roman" w:cs="Times New Roman"/>
        </w:rPr>
        <w:t>* SID4x-dCas9-KOX1 is only mentioned in this figure. It does not appear as a hit in Figure 1. Why is this variant included in part F?</w:t>
      </w:r>
    </w:p>
    <w:p w14:paraId="7A8E5626" w14:textId="77777777" w:rsidR="004B3106" w:rsidRPr="004B3106" w:rsidRDefault="004B3106" w:rsidP="004B3106">
      <w:pPr>
        <w:rPr>
          <w:rFonts w:ascii="Times New Roman" w:eastAsia="Times New Roman" w:hAnsi="Times New Roman" w:cs="Times New Roman"/>
        </w:rPr>
      </w:pPr>
    </w:p>
    <w:p w14:paraId="418BEB96" w14:textId="77777777" w:rsidR="004B3106" w:rsidRPr="004B3106" w:rsidRDefault="004B3106" w:rsidP="004B3106">
      <w:pPr>
        <w:rPr>
          <w:rFonts w:ascii="Times New Roman" w:eastAsia="Times New Roman" w:hAnsi="Times New Roman" w:cs="Times New Roman"/>
        </w:rPr>
      </w:pPr>
      <w:r w:rsidRPr="004B3106">
        <w:rPr>
          <w:rFonts w:ascii="Times New Roman" w:eastAsia="Times New Roman" w:hAnsi="Times New Roman" w:cs="Times New Roman"/>
        </w:rPr>
        <w:lastRenderedPageBreak/>
        <w:t>Figure 4:</w:t>
      </w:r>
    </w:p>
    <w:p w14:paraId="2FD9B608" w14:textId="77777777" w:rsidR="004B3106" w:rsidRPr="004B3106" w:rsidRDefault="004B3106" w:rsidP="004B3106">
      <w:pPr>
        <w:rPr>
          <w:rFonts w:ascii="Times New Roman" w:eastAsia="Times New Roman" w:hAnsi="Times New Roman" w:cs="Times New Roman"/>
        </w:rPr>
      </w:pPr>
      <w:r w:rsidRPr="004B3106">
        <w:rPr>
          <w:rFonts w:ascii="Times New Roman" w:eastAsia="Times New Roman" w:hAnsi="Times New Roman" w:cs="Times New Roman"/>
        </w:rPr>
        <w:t xml:space="preserve">* Although PP7/PCP sgRNA scaffold recruitment is interesting and a hot technique in molecular biology, it's unclear how this technology benefits </w:t>
      </w:r>
      <w:proofErr w:type="spellStart"/>
      <w:r w:rsidRPr="004B3106">
        <w:rPr>
          <w:rFonts w:ascii="Times New Roman" w:eastAsia="Times New Roman" w:hAnsi="Times New Roman" w:cs="Times New Roman"/>
        </w:rPr>
        <w:t>CRISPRi</w:t>
      </w:r>
      <w:proofErr w:type="spellEnd"/>
      <w:r w:rsidRPr="004B3106">
        <w:rPr>
          <w:rFonts w:ascii="Times New Roman" w:eastAsia="Times New Roman" w:hAnsi="Times New Roman" w:cs="Times New Roman"/>
        </w:rPr>
        <w:t xml:space="preserve"> from the results in Part B. This experiment is also not discussed in the Discussion section.</w:t>
      </w:r>
    </w:p>
    <w:p w14:paraId="4E2910E5" w14:textId="77777777" w:rsidR="004B3106" w:rsidRPr="004B3106" w:rsidRDefault="004B3106" w:rsidP="004B3106">
      <w:pPr>
        <w:rPr>
          <w:rFonts w:ascii="Times New Roman" w:eastAsia="Times New Roman" w:hAnsi="Times New Roman" w:cs="Times New Roman"/>
        </w:rPr>
      </w:pPr>
      <w:r w:rsidRPr="004B3106">
        <w:rPr>
          <w:rFonts w:ascii="Times New Roman" w:eastAsia="Times New Roman" w:hAnsi="Times New Roman" w:cs="Times New Roman"/>
        </w:rPr>
        <w:t>* dCas9 with PCP is not an adequate control</w:t>
      </w:r>
    </w:p>
    <w:p w14:paraId="1879FFAE" w14:textId="77777777" w:rsidR="004B3106" w:rsidRPr="004B3106" w:rsidRDefault="004B3106" w:rsidP="004B3106">
      <w:pPr>
        <w:rPr>
          <w:rFonts w:ascii="Times New Roman" w:eastAsia="Times New Roman" w:hAnsi="Times New Roman" w:cs="Times New Roman"/>
        </w:rPr>
      </w:pPr>
      <w:r w:rsidRPr="004B3106">
        <w:rPr>
          <w:rFonts w:ascii="Times New Roman" w:eastAsia="Times New Roman" w:hAnsi="Times New Roman" w:cs="Times New Roman"/>
        </w:rPr>
        <w:t>* "dCas9 only" is an unexplained sample label. Is this dCas9 with no gRNA?</w:t>
      </w:r>
    </w:p>
    <w:p w14:paraId="1B526B90" w14:textId="77777777" w:rsidR="004B3106" w:rsidRPr="004B3106" w:rsidRDefault="004B3106" w:rsidP="004B3106">
      <w:pPr>
        <w:rPr>
          <w:rFonts w:ascii="Times New Roman" w:eastAsia="Times New Roman" w:hAnsi="Times New Roman" w:cs="Times New Roman"/>
        </w:rPr>
      </w:pPr>
      <w:r w:rsidRPr="004B3106">
        <w:rPr>
          <w:rFonts w:ascii="Times New Roman" w:eastAsia="Times New Roman" w:hAnsi="Times New Roman" w:cs="Times New Roman"/>
        </w:rPr>
        <w:t>* It is unclear why significance annotations are noted for some comparisons but not for others in B and C</w:t>
      </w:r>
    </w:p>
    <w:p w14:paraId="43F53360" w14:textId="77777777" w:rsidR="004B3106" w:rsidRPr="004B3106" w:rsidRDefault="004B3106" w:rsidP="004B3106">
      <w:pPr>
        <w:rPr>
          <w:rFonts w:ascii="Times New Roman" w:eastAsia="Times New Roman" w:hAnsi="Times New Roman" w:cs="Times New Roman"/>
        </w:rPr>
      </w:pPr>
      <w:r w:rsidRPr="004B3106">
        <w:rPr>
          <w:rFonts w:ascii="Times New Roman" w:eastAsia="Times New Roman" w:hAnsi="Times New Roman" w:cs="Times New Roman"/>
        </w:rPr>
        <w:t>* The "NT" abbreviation in this figure refers to non-target when it previously referred to non-template strand in fig. 2A</w:t>
      </w:r>
    </w:p>
    <w:p w14:paraId="30C0CF54" w14:textId="77777777" w:rsidR="004B3106" w:rsidRPr="004B3106" w:rsidRDefault="004B3106" w:rsidP="004B3106">
      <w:pPr>
        <w:rPr>
          <w:rFonts w:ascii="Times New Roman" w:eastAsia="Times New Roman" w:hAnsi="Times New Roman" w:cs="Times New Roman"/>
        </w:rPr>
      </w:pPr>
    </w:p>
    <w:p w14:paraId="6FDEA11B" w14:textId="77777777" w:rsidR="004B3106" w:rsidRPr="004B3106" w:rsidRDefault="004B3106" w:rsidP="004B3106">
      <w:pPr>
        <w:rPr>
          <w:rFonts w:ascii="Times New Roman" w:eastAsia="Times New Roman" w:hAnsi="Times New Roman" w:cs="Times New Roman"/>
        </w:rPr>
      </w:pPr>
      <w:r w:rsidRPr="004B3106">
        <w:rPr>
          <w:rFonts w:ascii="Times New Roman" w:eastAsia="Times New Roman" w:hAnsi="Times New Roman" w:cs="Times New Roman"/>
        </w:rPr>
        <w:t>Figure 5:</w:t>
      </w:r>
    </w:p>
    <w:p w14:paraId="4AD76F9C" w14:textId="77777777" w:rsidR="004B3106" w:rsidRPr="004B3106" w:rsidRDefault="004B3106" w:rsidP="004B3106">
      <w:pPr>
        <w:rPr>
          <w:rFonts w:ascii="Times New Roman" w:eastAsia="Times New Roman" w:hAnsi="Times New Roman" w:cs="Times New Roman"/>
        </w:rPr>
      </w:pPr>
      <w:r w:rsidRPr="004B3106">
        <w:rPr>
          <w:rFonts w:ascii="Times New Roman" w:eastAsia="Times New Roman" w:hAnsi="Times New Roman" w:cs="Times New Roman"/>
        </w:rPr>
        <w:t>* It is fantastic to see some trends across cell lines - however, none of these trends are conclusive nor impactful in electing a novel variant repressor that could replace the current field standard.</w:t>
      </w:r>
    </w:p>
    <w:p w14:paraId="45E1959A" w14:textId="77777777" w:rsidR="004B3106" w:rsidRPr="004B3106" w:rsidRDefault="004B3106" w:rsidP="004B3106">
      <w:pPr>
        <w:rPr>
          <w:rFonts w:ascii="Times New Roman" w:eastAsia="Times New Roman" w:hAnsi="Times New Roman" w:cs="Times New Roman"/>
        </w:rPr>
      </w:pPr>
      <w:r w:rsidRPr="004B3106">
        <w:rPr>
          <w:rFonts w:ascii="Times New Roman" w:eastAsia="Times New Roman" w:hAnsi="Times New Roman" w:cs="Times New Roman"/>
        </w:rPr>
        <w:t>* If dCas9-ZIM3-MeCP2(t) and dCas9-KOX1-MeCP2(t) outperform dCas9-ZIM3 in this study (5A)- they should be thoroughly tested across gene loci (more than 7 genes)</w:t>
      </w:r>
    </w:p>
    <w:p w14:paraId="7A351E4B" w14:textId="77777777" w:rsidR="004B3106" w:rsidRPr="004B3106" w:rsidRDefault="004B3106" w:rsidP="004B3106">
      <w:pPr>
        <w:rPr>
          <w:rFonts w:ascii="Times New Roman" w:eastAsia="Times New Roman" w:hAnsi="Times New Roman" w:cs="Times New Roman"/>
        </w:rPr>
      </w:pPr>
      <w:r w:rsidRPr="004B3106">
        <w:rPr>
          <w:rFonts w:ascii="Times New Roman" w:eastAsia="Times New Roman" w:hAnsi="Times New Roman" w:cs="Times New Roman"/>
        </w:rPr>
        <w:t xml:space="preserve">o These two repressor variants could have been used in a small, targeted </w:t>
      </w:r>
      <w:proofErr w:type="spellStart"/>
      <w:r w:rsidRPr="004B3106">
        <w:rPr>
          <w:rFonts w:ascii="Times New Roman" w:eastAsia="Times New Roman" w:hAnsi="Times New Roman" w:cs="Times New Roman"/>
        </w:rPr>
        <w:t>CRISPRi</w:t>
      </w:r>
      <w:proofErr w:type="spellEnd"/>
      <w:r w:rsidRPr="004B3106">
        <w:rPr>
          <w:rFonts w:ascii="Times New Roman" w:eastAsia="Times New Roman" w:hAnsi="Times New Roman" w:cs="Times New Roman"/>
        </w:rPr>
        <w:t xml:space="preserve"> screen to show any improved utility of silencing for screening purposes</w:t>
      </w:r>
    </w:p>
    <w:p w14:paraId="5D550F47" w14:textId="62D80BEB" w:rsidR="00771181" w:rsidRDefault="004B3106" w:rsidP="004B3106">
      <w:pPr>
        <w:rPr>
          <w:rFonts w:ascii="Times New Roman" w:eastAsia="Times New Roman" w:hAnsi="Times New Roman" w:cs="Times New Roman"/>
        </w:rPr>
      </w:pPr>
      <w:r w:rsidRPr="004B3106">
        <w:rPr>
          <w:rFonts w:ascii="Times New Roman" w:eastAsia="Times New Roman" w:hAnsi="Times New Roman" w:cs="Times New Roman"/>
        </w:rPr>
        <w:t xml:space="preserve">* Part B is interesting and sets up the discussion well for part D. However, it does not significantly impact the merit of the collective studies. I would not want to use a MAX variant repressor in my </w:t>
      </w:r>
      <w:proofErr w:type="spellStart"/>
      <w:r w:rsidRPr="004B3106">
        <w:rPr>
          <w:rFonts w:ascii="Times New Roman" w:eastAsia="Times New Roman" w:hAnsi="Times New Roman" w:cs="Times New Roman"/>
        </w:rPr>
        <w:t>CRISPRi</w:t>
      </w:r>
      <w:proofErr w:type="spellEnd"/>
      <w:r w:rsidRPr="004B3106">
        <w:rPr>
          <w:rFonts w:ascii="Times New Roman" w:eastAsia="Times New Roman" w:hAnsi="Times New Roman" w:cs="Times New Roman"/>
        </w:rPr>
        <w:t xml:space="preserve"> study because the transcriptomic data (part D) suggests that it can recruit activators in some hi-MYC-expressing family cell types. This caveat of MAX effectors could also be addressed using techniques such as </w:t>
      </w:r>
      <w:proofErr w:type="spellStart"/>
      <w:r w:rsidRPr="004B3106">
        <w:rPr>
          <w:rFonts w:ascii="Times New Roman" w:eastAsia="Times New Roman" w:hAnsi="Times New Roman" w:cs="Times New Roman"/>
        </w:rPr>
        <w:t>ChIP</w:t>
      </w:r>
      <w:proofErr w:type="spellEnd"/>
      <w:r w:rsidRPr="004B3106">
        <w:rPr>
          <w:rFonts w:ascii="Times New Roman" w:eastAsia="Times New Roman" w:hAnsi="Times New Roman" w:cs="Times New Roman"/>
        </w:rPr>
        <w:t>-seq of silenced chromatin markers to understand the global changes they may incur on gene expression</w:t>
      </w:r>
    </w:p>
    <w:p w14:paraId="6EC4B78B" w14:textId="77777777" w:rsidR="00BF5469" w:rsidRDefault="008C28D9">
      <w:pPr>
        <w:rPr>
          <w:rFonts w:ascii="Times New Roman" w:eastAsia="Times New Roman" w:hAnsi="Times New Roman" w:cs="Times New Roman"/>
          <w:b/>
        </w:rPr>
      </w:pPr>
      <w:r>
        <w:rPr>
          <w:rFonts w:ascii="Times New Roman" w:eastAsia="Times New Roman" w:hAnsi="Times New Roman" w:cs="Times New Roman"/>
          <w:b/>
        </w:rPr>
        <w:t>Authors Response</w:t>
      </w:r>
    </w:p>
    <w:p w14:paraId="6EC4B78C" w14:textId="77777777" w:rsidR="00BF5469" w:rsidRDefault="008C28D9">
      <w:pPr>
        <w:rPr>
          <w:rFonts w:ascii="Times New Roman" w:eastAsia="Times New Roman" w:hAnsi="Times New Roman" w:cs="Times New Roman"/>
          <w:b/>
        </w:rPr>
      </w:pPr>
      <w:r>
        <w:rPr>
          <w:rFonts w:ascii="Times New Roman" w:eastAsia="Times New Roman" w:hAnsi="Times New Roman" w:cs="Times New Roman"/>
          <w:b/>
        </w:rPr>
        <w:t xml:space="preserve">Point-by-point responses to the reviewers’ comments: </w:t>
      </w:r>
    </w:p>
    <w:p w14:paraId="6EC4B78F" w14:textId="77777777" w:rsidR="00BF5469" w:rsidRDefault="00BF5469">
      <w:pPr>
        <w:rPr>
          <w:rFonts w:ascii="Times New Roman" w:eastAsia="Times New Roman" w:hAnsi="Times New Roman" w:cs="Times New Roman"/>
        </w:rPr>
      </w:pPr>
    </w:p>
    <w:p w14:paraId="78F96E88" w14:textId="77777777" w:rsidR="007F4242" w:rsidRDefault="007F4242" w:rsidP="007F4242">
      <w:pPr>
        <w:spacing w:after="92"/>
        <w:ind w:right="2"/>
        <w:jc w:val="center"/>
      </w:pPr>
      <w:r>
        <w:rPr>
          <w:rFonts w:ascii="Segoe UI" w:eastAsia="Segoe UI" w:hAnsi="Segoe UI" w:cs="Segoe UI"/>
          <w:b/>
          <w:sz w:val="32"/>
        </w:rPr>
        <w:t>RESPONSE TO REVIEWERS FOR:</w:t>
      </w:r>
      <w:r>
        <w:rPr>
          <w:rFonts w:ascii="Segoe UI" w:eastAsia="Segoe UI" w:hAnsi="Segoe UI" w:cs="Segoe UI"/>
          <w:b/>
          <w:sz w:val="26"/>
        </w:rPr>
        <w:t xml:space="preserve"> </w:t>
      </w:r>
    </w:p>
    <w:p w14:paraId="14125F8E" w14:textId="77777777" w:rsidR="007F4242" w:rsidRDefault="007F4242" w:rsidP="007F4242">
      <w:pPr>
        <w:spacing w:after="157"/>
        <w:ind w:left="1"/>
      </w:pPr>
      <w:r>
        <w:rPr>
          <w:rFonts w:ascii="Segoe UI" w:eastAsia="Segoe UI" w:hAnsi="Segoe UI" w:cs="Segoe UI"/>
          <w:b/>
          <w:sz w:val="26"/>
        </w:rPr>
        <w:t xml:space="preserve"> </w:t>
      </w:r>
    </w:p>
    <w:p w14:paraId="1FE87FB6" w14:textId="77777777" w:rsidR="007F4242" w:rsidRDefault="007F4242" w:rsidP="007F4242">
      <w:pPr>
        <w:spacing w:after="108" w:line="257" w:lineRule="auto"/>
        <w:ind w:left="1"/>
      </w:pPr>
      <w:r>
        <w:rPr>
          <w:rFonts w:ascii="Segoe UI" w:eastAsia="Segoe UI" w:hAnsi="Segoe UI" w:cs="Segoe UI"/>
          <w:b/>
          <w:sz w:val="26"/>
        </w:rPr>
        <w:t xml:space="preserve">Engineering Novel </w:t>
      </w:r>
      <w:proofErr w:type="spellStart"/>
      <w:r>
        <w:rPr>
          <w:rFonts w:ascii="Segoe UI" w:eastAsia="Segoe UI" w:hAnsi="Segoe UI" w:cs="Segoe UI"/>
          <w:b/>
          <w:sz w:val="26"/>
        </w:rPr>
        <w:t>CRISPRi</w:t>
      </w:r>
      <w:proofErr w:type="spellEnd"/>
      <w:r>
        <w:rPr>
          <w:rFonts w:ascii="Segoe UI" w:eastAsia="Segoe UI" w:hAnsi="Segoe UI" w:cs="Segoe UI"/>
          <w:b/>
          <w:sz w:val="26"/>
        </w:rPr>
        <w:t xml:space="preserve"> Repressors for Highly Efficient Mammalian Gene Regulation </w:t>
      </w:r>
    </w:p>
    <w:p w14:paraId="35783AA4" w14:textId="77777777" w:rsidR="007F4242" w:rsidRDefault="007F4242" w:rsidP="007F4242">
      <w:pPr>
        <w:spacing w:after="34"/>
        <w:ind w:left="-3" w:hanging="10"/>
        <w:jc w:val="both"/>
      </w:pPr>
      <w:r>
        <w:rPr>
          <w:rFonts w:ascii="Segoe UI" w:eastAsia="Segoe UI" w:hAnsi="Segoe UI" w:cs="Segoe UI"/>
        </w:rPr>
        <w:t>Andrew Kristof</w:t>
      </w:r>
      <w:r>
        <w:rPr>
          <w:rFonts w:ascii="Segoe UI" w:eastAsia="Segoe UI" w:hAnsi="Segoe UI" w:cs="Segoe UI"/>
          <w:vertAlign w:val="superscript"/>
        </w:rPr>
        <w:t>1</w:t>
      </w:r>
      <w:r>
        <w:rPr>
          <w:rFonts w:ascii="Segoe UI" w:eastAsia="Segoe UI" w:hAnsi="Segoe UI" w:cs="Segoe UI"/>
        </w:rPr>
        <w:t>, Krithika Karunakaran</w:t>
      </w:r>
      <w:r>
        <w:rPr>
          <w:rFonts w:ascii="Segoe UI" w:eastAsia="Segoe UI" w:hAnsi="Segoe UI" w:cs="Segoe UI"/>
          <w:vertAlign w:val="superscript"/>
        </w:rPr>
        <w:t>1</w:t>
      </w:r>
      <w:r>
        <w:rPr>
          <w:rFonts w:ascii="Segoe UI" w:eastAsia="Segoe UI" w:hAnsi="Segoe UI" w:cs="Segoe UI"/>
        </w:rPr>
        <w:t>, Christopher Allen</w:t>
      </w:r>
      <w:r>
        <w:rPr>
          <w:rFonts w:ascii="Segoe UI" w:eastAsia="Segoe UI" w:hAnsi="Segoe UI" w:cs="Segoe UI"/>
          <w:vertAlign w:val="superscript"/>
        </w:rPr>
        <w:t>1</w:t>
      </w:r>
      <w:r>
        <w:rPr>
          <w:rFonts w:ascii="Segoe UI" w:eastAsia="Segoe UI" w:hAnsi="Segoe UI" w:cs="Segoe UI"/>
        </w:rPr>
        <w:t>, Paula Mizote</w:t>
      </w:r>
      <w:r>
        <w:rPr>
          <w:rFonts w:ascii="Segoe UI" w:eastAsia="Segoe UI" w:hAnsi="Segoe UI" w:cs="Segoe UI"/>
          <w:vertAlign w:val="superscript"/>
        </w:rPr>
        <w:t>1</w:t>
      </w:r>
      <w:r>
        <w:rPr>
          <w:rFonts w:ascii="Segoe UI" w:eastAsia="Segoe UI" w:hAnsi="Segoe UI" w:cs="Segoe UI"/>
        </w:rPr>
        <w:t>, Sophie Briggs</w:t>
      </w:r>
      <w:r>
        <w:rPr>
          <w:rFonts w:ascii="Segoe UI" w:eastAsia="Segoe UI" w:hAnsi="Segoe UI" w:cs="Segoe UI"/>
          <w:vertAlign w:val="superscript"/>
        </w:rPr>
        <w:t>1</w:t>
      </w:r>
      <w:r>
        <w:rPr>
          <w:rFonts w:ascii="Segoe UI" w:eastAsia="Segoe UI" w:hAnsi="Segoe UI" w:cs="Segoe UI"/>
        </w:rPr>
        <w:t xml:space="preserve">, Zixin </w:t>
      </w:r>
    </w:p>
    <w:p w14:paraId="606E7107" w14:textId="77777777" w:rsidR="007F4242" w:rsidRDefault="007F4242" w:rsidP="007F4242">
      <w:pPr>
        <w:spacing w:after="118"/>
        <w:ind w:left="-3" w:hanging="10"/>
        <w:jc w:val="both"/>
      </w:pPr>
      <w:r>
        <w:rPr>
          <w:rFonts w:ascii="Segoe UI" w:eastAsia="Segoe UI" w:hAnsi="Segoe UI" w:cs="Segoe UI"/>
        </w:rPr>
        <w:t>Jian</w:t>
      </w:r>
      <w:r>
        <w:rPr>
          <w:rFonts w:ascii="Segoe UI" w:eastAsia="Segoe UI" w:hAnsi="Segoe UI" w:cs="Segoe UI"/>
          <w:vertAlign w:val="superscript"/>
        </w:rPr>
        <w:t>1</w:t>
      </w:r>
      <w:r>
        <w:rPr>
          <w:rFonts w:ascii="Segoe UI" w:eastAsia="Segoe UI" w:hAnsi="Segoe UI" w:cs="Segoe UI"/>
        </w:rPr>
        <w:t>, Patrick Nash</w:t>
      </w:r>
      <w:r>
        <w:rPr>
          <w:rFonts w:ascii="Segoe UI" w:eastAsia="Segoe UI" w:hAnsi="Segoe UI" w:cs="Segoe UI"/>
          <w:vertAlign w:val="superscript"/>
        </w:rPr>
        <w:t>1</w:t>
      </w:r>
      <w:r>
        <w:rPr>
          <w:rFonts w:ascii="Segoe UI" w:eastAsia="Segoe UI" w:hAnsi="Segoe UI" w:cs="Segoe UI"/>
        </w:rPr>
        <w:t xml:space="preserve"> &amp; John Blazeck</w:t>
      </w:r>
      <w:proofErr w:type="gramStart"/>
      <w:r>
        <w:rPr>
          <w:rFonts w:ascii="Segoe UI" w:eastAsia="Segoe UI" w:hAnsi="Segoe UI" w:cs="Segoe UI"/>
          <w:vertAlign w:val="superscript"/>
        </w:rPr>
        <w:t>1,*</w:t>
      </w:r>
      <w:proofErr w:type="gramEnd"/>
      <w:r>
        <w:rPr>
          <w:rFonts w:ascii="Segoe UI" w:eastAsia="Segoe UI" w:hAnsi="Segoe UI" w:cs="Segoe UI"/>
        </w:rPr>
        <w:t xml:space="preserve"> </w:t>
      </w:r>
      <w:r>
        <w:rPr>
          <w:rFonts w:ascii="Segoe UI" w:eastAsia="Segoe UI" w:hAnsi="Segoe UI" w:cs="Segoe UI"/>
          <w:b/>
        </w:rPr>
        <w:t xml:space="preserve"> </w:t>
      </w:r>
    </w:p>
    <w:p w14:paraId="07F31661" w14:textId="77777777" w:rsidR="007F4242" w:rsidRDefault="007F4242" w:rsidP="007F4242">
      <w:pPr>
        <w:spacing w:after="0"/>
        <w:ind w:left="1"/>
      </w:pPr>
      <w:r>
        <w:rPr>
          <w:rFonts w:ascii="Segoe UI" w:eastAsia="Segoe UI" w:hAnsi="Segoe UI" w:cs="Segoe UI"/>
          <w:sz w:val="14"/>
        </w:rPr>
        <w:lastRenderedPageBreak/>
        <w:t>1</w:t>
      </w:r>
    </w:p>
    <w:p w14:paraId="13AE2BE2" w14:textId="77777777" w:rsidR="007F4242" w:rsidRDefault="007F4242" w:rsidP="007F4242">
      <w:pPr>
        <w:spacing w:after="0"/>
        <w:ind w:left="-13" w:firstLine="76"/>
        <w:jc w:val="both"/>
      </w:pPr>
      <w:r>
        <w:rPr>
          <w:rFonts w:ascii="Segoe UI" w:eastAsia="Segoe UI" w:hAnsi="Segoe UI" w:cs="Segoe UI"/>
        </w:rPr>
        <w:t xml:space="preserve"> School of Chemical and Biomolecular Engineering, Georgia Institute of Technology, Atlanta, Georgia, 30332, USA  </w:t>
      </w:r>
    </w:p>
    <w:p w14:paraId="1BD629C3" w14:textId="77777777" w:rsidR="007F4242" w:rsidRDefault="007F4242" w:rsidP="007F4242">
      <w:pPr>
        <w:spacing w:after="0"/>
        <w:ind w:left="1"/>
      </w:pPr>
      <w:r>
        <w:rPr>
          <w:rFonts w:ascii="Segoe UI" w:eastAsia="Segoe UI" w:hAnsi="Segoe UI" w:cs="Segoe UI"/>
        </w:rPr>
        <w:t xml:space="preserve"> </w:t>
      </w:r>
    </w:p>
    <w:p w14:paraId="020CDB36" w14:textId="77777777" w:rsidR="007F4242" w:rsidRDefault="007F4242" w:rsidP="007F4242">
      <w:pPr>
        <w:spacing w:after="1"/>
        <w:ind w:left="-3" w:hanging="10"/>
        <w:jc w:val="both"/>
      </w:pPr>
      <w:r>
        <w:rPr>
          <w:rFonts w:ascii="Segoe UI" w:eastAsia="Segoe UI" w:hAnsi="Segoe UI" w:cs="Segoe UI"/>
        </w:rPr>
        <w:t xml:space="preserve">* To whom correspondence should be addressed.  </w:t>
      </w:r>
    </w:p>
    <w:p w14:paraId="42425107" w14:textId="77777777" w:rsidR="007F4242" w:rsidRDefault="007F4242" w:rsidP="007F4242">
      <w:pPr>
        <w:spacing w:after="17"/>
        <w:ind w:left="731" w:hanging="10"/>
        <w:jc w:val="both"/>
      </w:pPr>
      <w:r>
        <w:rPr>
          <w:rFonts w:ascii="Segoe UI" w:eastAsia="Segoe UI" w:hAnsi="Segoe UI" w:cs="Segoe UI"/>
        </w:rPr>
        <w:t>Tel: +1 (404)-385-4718; Email:</w:t>
      </w:r>
      <w:r>
        <w:rPr>
          <w:rFonts w:ascii="Segoe UI" w:eastAsia="Segoe UI" w:hAnsi="Segoe UI" w:cs="Segoe UI"/>
          <w:color w:val="FF0000"/>
        </w:rPr>
        <w:t xml:space="preserve"> </w:t>
      </w:r>
      <w:r>
        <w:rPr>
          <w:rFonts w:ascii="Segoe UI" w:eastAsia="Segoe UI" w:hAnsi="Segoe UI" w:cs="Segoe UI"/>
        </w:rPr>
        <w:t>john.blazeck@chbe.gatech.edu</w:t>
      </w:r>
      <w:r>
        <w:rPr>
          <w:rFonts w:ascii="Segoe UI" w:eastAsia="Segoe UI" w:hAnsi="Segoe UI" w:cs="Segoe UI"/>
          <w:color w:val="FF0000"/>
          <w:sz w:val="20"/>
        </w:rPr>
        <w:t xml:space="preserve"> </w:t>
      </w:r>
    </w:p>
    <w:p w14:paraId="052B4C0C" w14:textId="77777777" w:rsidR="007F4242" w:rsidRDefault="007F4242" w:rsidP="007F4242">
      <w:pPr>
        <w:spacing w:after="303"/>
        <w:ind w:left="1"/>
      </w:pPr>
      <w:r>
        <w:rPr>
          <w:b/>
          <w:sz w:val="10"/>
        </w:rPr>
        <w:t xml:space="preserve"> </w:t>
      </w:r>
    </w:p>
    <w:p w14:paraId="69110BF3" w14:textId="77777777" w:rsidR="007F4242" w:rsidRDefault="007F4242" w:rsidP="007F4242">
      <w:pPr>
        <w:spacing w:after="158"/>
        <w:ind w:left="-3" w:hanging="10"/>
        <w:jc w:val="both"/>
      </w:pPr>
      <w:r>
        <w:rPr>
          <w:rFonts w:ascii="Segoe UI" w:eastAsia="Segoe UI" w:hAnsi="Segoe UI" w:cs="Segoe UI"/>
          <w:b/>
        </w:rPr>
        <w:t>Introduction to response:</w:t>
      </w:r>
      <w:r>
        <w:rPr>
          <w:rFonts w:ascii="Segoe UI" w:eastAsia="Segoe UI" w:hAnsi="Segoe UI" w:cs="Segoe UI"/>
        </w:rPr>
        <w:t xml:space="preserve"> We deeply thank the reviewers for their comments and efforts to improve the quality and impact of our manuscript. In this revision, we believe that we have adequately addressed the reviewer’s critiques and greatly improved the study in the process. For instance, we have now performed a genome-wide </w:t>
      </w:r>
      <w:proofErr w:type="spellStart"/>
      <w:r>
        <w:rPr>
          <w:rFonts w:ascii="Segoe UI" w:eastAsia="Segoe UI" w:hAnsi="Segoe UI" w:cs="Segoe UI"/>
        </w:rPr>
        <w:t>CRISPRi</w:t>
      </w:r>
      <w:proofErr w:type="spellEnd"/>
      <w:r>
        <w:rPr>
          <w:rFonts w:ascii="Segoe UI" w:eastAsia="Segoe UI" w:hAnsi="Segoe UI" w:cs="Segoe UI"/>
        </w:rPr>
        <w:t xml:space="preserve"> screen and reported the promising results in the manuscript. We note that this was the first genome-wide screen performed in our lab. In the screen, we compared our most powerful newly isolated </w:t>
      </w:r>
      <w:proofErr w:type="spellStart"/>
      <w:r>
        <w:rPr>
          <w:rFonts w:ascii="Segoe UI" w:eastAsia="Segoe UI" w:hAnsi="Segoe UI" w:cs="Segoe UI"/>
        </w:rPr>
        <w:t>CRISPRi</w:t>
      </w:r>
      <w:proofErr w:type="spellEnd"/>
      <w:r>
        <w:rPr>
          <w:rFonts w:ascii="Segoe UI" w:eastAsia="Segoe UI" w:hAnsi="Segoe UI" w:cs="Segoe UI"/>
        </w:rPr>
        <w:t xml:space="preserve"> tool, dCas9ZIM3(KRAB)-MeCP2(t), to prior ‘gold-standard’ </w:t>
      </w:r>
      <w:proofErr w:type="spellStart"/>
      <w:r>
        <w:rPr>
          <w:rFonts w:ascii="Segoe UI" w:eastAsia="Segoe UI" w:hAnsi="Segoe UI" w:cs="Segoe UI"/>
        </w:rPr>
        <w:t>CRISPRi</w:t>
      </w:r>
      <w:proofErr w:type="spellEnd"/>
      <w:r>
        <w:rPr>
          <w:rFonts w:ascii="Segoe UI" w:eastAsia="Segoe UI" w:hAnsi="Segoe UI" w:cs="Segoe UI"/>
        </w:rPr>
        <w:t xml:space="preserve"> platforms, dCas9-ZIM3(KRAB) and dCas9KOX1(KRAB)-MeCP2, for their ability to reduce growth rate when targeting essential genes in HCT116 cells. Overall, we observed that dCas9-ZIM3(KRAB)-MeCP2(t) demonstrated an enhanced capability to: (1) perturb growth rates when targeting known, “core” essential genes and (2) uncover more genes that significantly decrease growth when employed at library scales. In the end, dCas9-ZIM3(KRAB)-MeCP2(t) uncovered more than 1,500 genes that significantly decrease growth in HCT116 cells, a significant increase compared to the prior field-standard domains. We believe that these results further distinguish dCas9-ZIM3(KRAB)-MeCP2(t) as a uniquely powerful </w:t>
      </w:r>
      <w:proofErr w:type="spellStart"/>
      <w:r>
        <w:rPr>
          <w:rFonts w:ascii="Segoe UI" w:eastAsia="Segoe UI" w:hAnsi="Segoe UI" w:cs="Segoe UI"/>
        </w:rPr>
        <w:t>CRISPRi</w:t>
      </w:r>
      <w:proofErr w:type="spellEnd"/>
      <w:r>
        <w:rPr>
          <w:rFonts w:ascii="Segoe UI" w:eastAsia="Segoe UI" w:hAnsi="Segoe UI" w:cs="Segoe UI"/>
        </w:rPr>
        <w:t xml:space="preserve"> tool and add to the merit of our studies. These new results are found in Figure 6. In addition, we now </w:t>
      </w:r>
      <w:proofErr w:type="gramStart"/>
      <w:r>
        <w:rPr>
          <w:rFonts w:ascii="Segoe UI" w:eastAsia="Segoe UI" w:hAnsi="Segoe UI" w:cs="Segoe UI"/>
        </w:rPr>
        <w:t>more fully</w:t>
      </w:r>
      <w:proofErr w:type="gramEnd"/>
      <w:r>
        <w:rPr>
          <w:rFonts w:ascii="Segoe UI" w:eastAsia="Segoe UI" w:hAnsi="Segoe UI" w:cs="Segoe UI"/>
        </w:rPr>
        <w:t xml:space="preserve"> characterize the knockdown activity of the dCas9-ZIM3(KRAB)MeCP2(t) </w:t>
      </w:r>
      <w:proofErr w:type="spellStart"/>
      <w:r>
        <w:rPr>
          <w:rFonts w:ascii="Segoe UI" w:eastAsia="Segoe UI" w:hAnsi="Segoe UI" w:cs="Segoe UI"/>
        </w:rPr>
        <w:t>CRISPRi</w:t>
      </w:r>
      <w:proofErr w:type="spellEnd"/>
      <w:r>
        <w:rPr>
          <w:rFonts w:ascii="Segoe UI" w:eastAsia="Segoe UI" w:hAnsi="Segoe UI" w:cs="Segoe UI"/>
        </w:rPr>
        <w:t xml:space="preserve"> platform (again in comparison to prior </w:t>
      </w:r>
      <w:proofErr w:type="spellStart"/>
      <w:r>
        <w:rPr>
          <w:rFonts w:ascii="Segoe UI" w:eastAsia="Segoe UI" w:hAnsi="Segoe UI" w:cs="Segoe UI"/>
        </w:rPr>
        <w:t>CRISPRi</w:t>
      </w:r>
      <w:proofErr w:type="spellEnd"/>
      <w:r>
        <w:rPr>
          <w:rFonts w:ascii="Segoe UI" w:eastAsia="Segoe UI" w:hAnsi="Segoe UI" w:cs="Segoe UI"/>
        </w:rPr>
        <w:t xml:space="preserve"> platforms), by testing for knockdown of both coding and noncoding transcripts across four cells lines, as well as knockdown of surface protein levels in the same four cells lines. Through this more extensive validation, we determined that our novel dCas9-ZIM3(KRAB)-MeCP2(t) system consistently outperformed existing gold-standards for most target genes. These characterizations are found in Figure 5. We also confirmed that the dCas9-ZIM3(KRAB)-MeCP2(t) </w:t>
      </w:r>
      <w:proofErr w:type="spellStart"/>
      <w:r>
        <w:rPr>
          <w:rFonts w:ascii="Segoe UI" w:eastAsia="Segoe UI" w:hAnsi="Segoe UI" w:cs="Segoe UI"/>
        </w:rPr>
        <w:t>CRISPRi</w:t>
      </w:r>
      <w:proofErr w:type="spellEnd"/>
      <w:r>
        <w:rPr>
          <w:rFonts w:ascii="Segoe UI" w:eastAsia="Segoe UI" w:hAnsi="Segoe UI" w:cs="Segoe UI"/>
        </w:rPr>
        <w:t xml:space="preserve"> does not impact the expression of nearby genes and further investigated the impact of linker length and sequence between repressor domains (Figure 7). Once again, we thank the reviewers for their time and effort with our manuscript. </w:t>
      </w:r>
    </w:p>
    <w:p w14:paraId="4E044DD5" w14:textId="77777777" w:rsidR="007F4242" w:rsidRDefault="007F4242" w:rsidP="007F4242">
      <w:pPr>
        <w:pStyle w:val="Heading1"/>
      </w:pPr>
      <w:r>
        <w:t>Reviewer #1</w:t>
      </w:r>
      <w:r>
        <w:rPr>
          <w:u w:color="000000"/>
        </w:rPr>
        <w:t xml:space="preserve"> </w:t>
      </w:r>
    </w:p>
    <w:p w14:paraId="162AB514" w14:textId="77777777" w:rsidR="007F4242" w:rsidRDefault="007F4242" w:rsidP="007F4242">
      <w:pPr>
        <w:spacing w:after="159"/>
        <w:ind w:left="-3" w:hanging="10"/>
        <w:jc w:val="both"/>
      </w:pPr>
      <w:r>
        <w:rPr>
          <w:rFonts w:ascii="Segoe UI" w:eastAsia="Segoe UI" w:hAnsi="Segoe UI" w:cs="Segoe UI"/>
          <w:b/>
          <w:color w:val="FF0000"/>
        </w:rPr>
        <w:t xml:space="preserve">Summary: </w:t>
      </w:r>
      <w:r>
        <w:rPr>
          <w:rFonts w:ascii="Segoe UI" w:eastAsia="Segoe UI" w:hAnsi="Segoe UI" w:cs="Segoe UI"/>
          <w:color w:val="FF0000"/>
        </w:rPr>
        <w:t xml:space="preserve">In this manuscript, the authors screened several repressor domains from a recent tiling library and developed novel bipartite and tripartite fusions to enhance the knockdown efficiency </w:t>
      </w:r>
      <w:r>
        <w:rPr>
          <w:rFonts w:ascii="Segoe UI" w:eastAsia="Segoe UI" w:hAnsi="Segoe UI" w:cs="Segoe UI"/>
          <w:color w:val="FF0000"/>
        </w:rPr>
        <w:lastRenderedPageBreak/>
        <w:t xml:space="preserve">of </w:t>
      </w:r>
      <w:proofErr w:type="spellStart"/>
      <w:r>
        <w:rPr>
          <w:rFonts w:ascii="Segoe UI" w:eastAsia="Segoe UI" w:hAnsi="Segoe UI" w:cs="Segoe UI"/>
          <w:color w:val="FF0000"/>
        </w:rPr>
        <w:t>CRISPRi</w:t>
      </w:r>
      <w:proofErr w:type="spellEnd"/>
      <w:r>
        <w:rPr>
          <w:rFonts w:ascii="Segoe UI" w:eastAsia="Segoe UI" w:hAnsi="Segoe UI" w:cs="Segoe UI"/>
          <w:color w:val="FF0000"/>
        </w:rPr>
        <w:t xml:space="preserve">, including dCas9-KOX1(KRAB)-MeCP2(t), dCas9-ZIM3(KRAB)-MAX-MeCP2(t) and dCas9-ZIM3(KRAB)-MeCP2(t). The authors validated the improved efficiency of these </w:t>
      </w:r>
      <w:proofErr w:type="spellStart"/>
      <w:r>
        <w:rPr>
          <w:rFonts w:ascii="Segoe UI" w:eastAsia="Segoe UI" w:hAnsi="Segoe UI" w:cs="Segoe UI"/>
          <w:color w:val="FF0000"/>
        </w:rPr>
        <w:t>CRISPRi</w:t>
      </w:r>
      <w:proofErr w:type="spellEnd"/>
      <w:r>
        <w:rPr>
          <w:rFonts w:ascii="Segoe UI" w:eastAsia="Segoe UI" w:hAnsi="Segoe UI" w:cs="Segoe UI"/>
          <w:color w:val="FF0000"/>
        </w:rPr>
        <w:t xml:space="preserve"> tools across various genes and cell lines and demonstrated their applicability in scaffold-based effector recruitment systems. Furthermore, the authors elucidated that the knockdown efficiency of </w:t>
      </w:r>
      <w:proofErr w:type="spellStart"/>
      <w:r>
        <w:rPr>
          <w:rFonts w:ascii="Segoe UI" w:eastAsia="Segoe UI" w:hAnsi="Segoe UI" w:cs="Segoe UI"/>
          <w:color w:val="FF0000"/>
        </w:rPr>
        <w:t>CRISPRi</w:t>
      </w:r>
      <w:proofErr w:type="spellEnd"/>
      <w:r>
        <w:rPr>
          <w:rFonts w:ascii="Segoe UI" w:eastAsia="Segoe UI" w:hAnsi="Segoe UI" w:cs="Segoe UI"/>
          <w:color w:val="FF0000"/>
        </w:rPr>
        <w:t xml:space="preserve"> could be collectively impacted by both the protein expression levels and the recruited cofactors across different cell lines. This work introduces several highly efficient </w:t>
      </w:r>
      <w:proofErr w:type="spellStart"/>
      <w:r>
        <w:rPr>
          <w:rFonts w:ascii="Segoe UI" w:eastAsia="Segoe UI" w:hAnsi="Segoe UI" w:cs="Segoe UI"/>
          <w:color w:val="FF0000"/>
        </w:rPr>
        <w:t>CRISPRi</w:t>
      </w:r>
      <w:proofErr w:type="spellEnd"/>
      <w:r>
        <w:rPr>
          <w:rFonts w:ascii="Segoe UI" w:eastAsia="Segoe UI" w:hAnsi="Segoe UI" w:cs="Segoe UI"/>
          <w:color w:val="FF0000"/>
        </w:rPr>
        <w:t xml:space="preserve"> tools and deepens our comprehension of </w:t>
      </w:r>
      <w:proofErr w:type="spellStart"/>
      <w:r>
        <w:rPr>
          <w:rFonts w:ascii="Segoe UI" w:eastAsia="Segoe UI" w:hAnsi="Segoe UI" w:cs="Segoe UI"/>
          <w:color w:val="FF0000"/>
        </w:rPr>
        <w:t>CRISPRi</w:t>
      </w:r>
      <w:proofErr w:type="spellEnd"/>
      <w:r>
        <w:rPr>
          <w:rFonts w:ascii="Segoe UI" w:eastAsia="Segoe UI" w:hAnsi="Segoe UI" w:cs="Segoe UI"/>
          <w:color w:val="FF0000"/>
        </w:rPr>
        <w:t xml:space="preserve"> mechanisms. </w:t>
      </w:r>
    </w:p>
    <w:p w14:paraId="7F718BCA" w14:textId="77777777" w:rsidR="007F4242" w:rsidRDefault="007F4242" w:rsidP="007F4242">
      <w:pPr>
        <w:spacing w:after="182"/>
        <w:ind w:left="-3" w:hanging="10"/>
        <w:jc w:val="both"/>
      </w:pPr>
      <w:r>
        <w:rPr>
          <w:rFonts w:ascii="Segoe UI" w:eastAsia="Segoe UI" w:hAnsi="Segoe UI" w:cs="Segoe UI"/>
          <w:b/>
        </w:rPr>
        <w:t>Response</w:t>
      </w:r>
      <w:r>
        <w:rPr>
          <w:rFonts w:ascii="Segoe UI" w:eastAsia="Segoe UI" w:hAnsi="Segoe UI" w:cs="Segoe UI"/>
        </w:rPr>
        <w:t xml:space="preserve">: We thank the </w:t>
      </w:r>
      <w:proofErr w:type="gramStart"/>
      <w:r>
        <w:rPr>
          <w:rFonts w:ascii="Segoe UI" w:eastAsia="Segoe UI" w:hAnsi="Segoe UI" w:cs="Segoe UI"/>
        </w:rPr>
        <w:t>reviewer</w:t>
      </w:r>
      <w:proofErr w:type="gramEnd"/>
      <w:r>
        <w:rPr>
          <w:rFonts w:ascii="Segoe UI" w:eastAsia="Segoe UI" w:hAnsi="Segoe UI" w:cs="Segoe UI"/>
        </w:rPr>
        <w:t xml:space="preserve"> for their positive assessment of our work and their time and effort reviewing the manuscript.  </w:t>
      </w:r>
    </w:p>
    <w:p w14:paraId="420CC82F" w14:textId="77777777" w:rsidR="007F4242" w:rsidRDefault="007F4242" w:rsidP="007F4242">
      <w:pPr>
        <w:pStyle w:val="Heading2"/>
        <w:ind w:left="-4"/>
      </w:pPr>
      <w:r>
        <w:t>Major Comments</w:t>
      </w:r>
      <w:r>
        <w:rPr>
          <w:u w:color="000000"/>
        </w:rPr>
        <w:t xml:space="preserve"> </w:t>
      </w:r>
    </w:p>
    <w:p w14:paraId="7F687A07" w14:textId="77777777" w:rsidR="007F4242" w:rsidRDefault="007F4242" w:rsidP="007F4242">
      <w:pPr>
        <w:spacing w:after="0"/>
        <w:ind w:left="1"/>
      </w:pPr>
      <w:r>
        <w:rPr>
          <w:rFonts w:ascii="Segoe UI" w:eastAsia="Segoe UI" w:hAnsi="Segoe UI" w:cs="Segoe UI"/>
        </w:rPr>
        <w:t xml:space="preserve"> </w:t>
      </w:r>
    </w:p>
    <w:p w14:paraId="661E5F45" w14:textId="77777777" w:rsidR="007F4242" w:rsidRDefault="007F4242" w:rsidP="007F4242">
      <w:pPr>
        <w:spacing w:after="159"/>
        <w:ind w:left="-3" w:hanging="10"/>
        <w:jc w:val="both"/>
      </w:pPr>
      <w:r>
        <w:rPr>
          <w:rFonts w:ascii="Segoe UI" w:eastAsia="Segoe UI" w:hAnsi="Segoe UI" w:cs="Segoe UI"/>
          <w:b/>
          <w:color w:val="FF0000"/>
        </w:rPr>
        <w:t xml:space="preserve">Comment 1: </w:t>
      </w:r>
      <w:r>
        <w:rPr>
          <w:rFonts w:ascii="Segoe UI" w:eastAsia="Segoe UI" w:hAnsi="Segoe UI" w:cs="Segoe UI"/>
          <w:color w:val="FF0000"/>
        </w:rPr>
        <w:t xml:space="preserve">In Figure 5, targeting endogenous loci should be tested to evaluate the efficiency of </w:t>
      </w:r>
      <w:proofErr w:type="spellStart"/>
      <w:r>
        <w:rPr>
          <w:rFonts w:ascii="Segoe UI" w:eastAsia="Segoe UI" w:hAnsi="Segoe UI" w:cs="Segoe UI"/>
          <w:color w:val="FF0000"/>
        </w:rPr>
        <w:t>CRISPRi</w:t>
      </w:r>
      <w:proofErr w:type="spellEnd"/>
      <w:r>
        <w:rPr>
          <w:rFonts w:ascii="Segoe UI" w:eastAsia="Segoe UI" w:hAnsi="Segoe UI" w:cs="Segoe UI"/>
          <w:color w:val="FF0000"/>
        </w:rPr>
        <w:t xml:space="preserve"> across diverse cell types.</w:t>
      </w:r>
      <w:r>
        <w:rPr>
          <w:rFonts w:ascii="Segoe UI" w:eastAsia="Segoe UI" w:hAnsi="Segoe UI" w:cs="Segoe UI"/>
          <w:b/>
          <w:color w:val="FF0000"/>
        </w:rPr>
        <w:t xml:space="preserve"> </w:t>
      </w:r>
    </w:p>
    <w:p w14:paraId="3639B64E" w14:textId="77777777" w:rsidR="007F4242" w:rsidRDefault="007F4242" w:rsidP="007F4242">
      <w:pPr>
        <w:spacing w:after="158"/>
        <w:ind w:left="-3" w:hanging="10"/>
        <w:jc w:val="both"/>
      </w:pPr>
      <w:r>
        <w:rPr>
          <w:rFonts w:ascii="Segoe UI" w:eastAsia="Segoe UI" w:hAnsi="Segoe UI" w:cs="Segoe UI"/>
          <w:b/>
        </w:rPr>
        <w:t>Response</w:t>
      </w:r>
      <w:r>
        <w:rPr>
          <w:rFonts w:ascii="Segoe UI" w:eastAsia="Segoe UI" w:hAnsi="Segoe UI" w:cs="Segoe UI"/>
        </w:rPr>
        <w:t xml:space="preserve">: We thank the review for this insightful recommendation. We agree that characterizing our top-performing </w:t>
      </w:r>
      <w:proofErr w:type="spellStart"/>
      <w:r>
        <w:rPr>
          <w:rFonts w:ascii="Segoe UI" w:eastAsia="Segoe UI" w:hAnsi="Segoe UI" w:cs="Segoe UI"/>
        </w:rPr>
        <w:t>CRISPRi</w:t>
      </w:r>
      <w:proofErr w:type="spellEnd"/>
      <w:r>
        <w:rPr>
          <w:rFonts w:ascii="Segoe UI" w:eastAsia="Segoe UI" w:hAnsi="Segoe UI" w:cs="Segoe UI"/>
        </w:rPr>
        <w:t xml:space="preserve"> systems on endogenous loci across cell lines would significantly improve the merit of our work. In our revised manuscript, we compared our top three new </w:t>
      </w:r>
      <w:proofErr w:type="spellStart"/>
      <w:r>
        <w:rPr>
          <w:rFonts w:ascii="Segoe UI" w:eastAsia="Segoe UI" w:hAnsi="Segoe UI" w:cs="Segoe UI"/>
        </w:rPr>
        <w:t>CRISPRi</w:t>
      </w:r>
      <w:proofErr w:type="spellEnd"/>
      <w:r>
        <w:rPr>
          <w:rFonts w:ascii="Segoe UI" w:eastAsia="Segoe UI" w:hAnsi="Segoe UI" w:cs="Segoe UI"/>
        </w:rPr>
        <w:t xml:space="preserve"> proteins to existing gold-standards by targeting endogenous coding transcripts (revised Figure 5A), endogenous non-coding transcripts (revised Figure 5B), and endogenous proteins that are displayed on the cell surface (revised Figure 5C, Supplementary Figure S11). We performed these knockdown experiments in 4 cell lines using RT-PCR, and for experiments involving </w:t>
      </w:r>
      <w:proofErr w:type="spellStart"/>
      <w:r>
        <w:rPr>
          <w:rFonts w:ascii="Segoe UI" w:eastAsia="Segoe UI" w:hAnsi="Segoe UI" w:cs="Segoe UI"/>
        </w:rPr>
        <w:t>CRISPRi</w:t>
      </w:r>
      <w:proofErr w:type="spellEnd"/>
      <w:r>
        <w:rPr>
          <w:rFonts w:ascii="Segoe UI" w:eastAsia="Segoe UI" w:hAnsi="Segoe UI" w:cs="Segoe UI"/>
        </w:rPr>
        <w:t xml:space="preserve"> for surface proteins, we used cell staining to gauge protein levels. Overall, we observed that dCas9ZIM3(KRAB)-MeCP2(t) achieved superior knockdown efficiency across the different gene targets, with strong consistency between the different cell lines. Because these validation experiments were performed on these endogenous targets and not on the SV40-eGFP reporter, we included them in the main text (Figure 5), replacing the content in the original Figure 5. Because of this, original Figure 5A is now Supplementary Figure S9, and original Figures 5B-5D are compiled together in Supplementary Figure S10. We also added associated main text on Pages 21-23:  </w:t>
      </w:r>
    </w:p>
    <w:p w14:paraId="5F1398D0" w14:textId="77777777" w:rsidR="007F4242" w:rsidRDefault="007F4242" w:rsidP="007F4242">
      <w:pPr>
        <w:spacing w:after="8" w:line="249" w:lineRule="auto"/>
        <w:ind w:left="572" w:right="564" w:hanging="9"/>
        <w:jc w:val="both"/>
      </w:pPr>
      <w:r>
        <w:rPr>
          <w:rFonts w:ascii="Segoe UI" w:eastAsia="Segoe UI" w:hAnsi="Segoe UI" w:cs="Segoe UI"/>
          <w:i/>
        </w:rPr>
        <w:t>“To expand our preliminary studies using SV40-eGFP reporter assays, we next sought to verify whether three of our novel effectors, dCas9-ZIM3(KRAB)-MeCP2(t), dCas9- KOX1(KRAB)-MeCP2(t), and dCas9-ZIM3(KRAB)-MAX-MeCP2(t), could enhance transcriptional silencing of endogenous genes across four cell lines, A549, HCT116, HEK293T, and HeLa cells. When directed toward endogenous coding genes, dCas9ZIM3(KRAB)-MeCP2(t) demonstrated significantly improved gene knockdown compared to dCas9-ZIM3(KRAB) and dCas9-KOX1(KRAB)-MeCP2 in all four cell lines and across almost all target genes, surpassing even our highly effective dCas9-</w:t>
      </w:r>
      <w:r>
        <w:rPr>
          <w:rFonts w:ascii="Segoe UI" w:eastAsia="Segoe UI" w:hAnsi="Segoe UI" w:cs="Segoe UI"/>
          <w:i/>
        </w:rPr>
        <w:lastRenderedPageBreak/>
        <w:t xml:space="preserve">KOX1(KRAB)MeCP2(t) variant in several instances (Figure 5A). Paralleling our observations with </w:t>
      </w:r>
      <w:proofErr w:type="spellStart"/>
      <w:r>
        <w:rPr>
          <w:rFonts w:ascii="Segoe UI" w:eastAsia="Segoe UI" w:hAnsi="Segoe UI" w:cs="Segoe UI"/>
          <w:i/>
        </w:rPr>
        <w:t>eGFP</w:t>
      </w:r>
      <w:proofErr w:type="spellEnd"/>
      <w:r>
        <w:rPr>
          <w:rFonts w:ascii="Segoe UI" w:eastAsia="Segoe UI" w:hAnsi="Segoe UI" w:cs="Segoe UI"/>
          <w:i/>
        </w:rPr>
        <w:t xml:space="preserve"> reporter assays (Supplementary Figure S9), dCas9-ZIM3(KRAB)-MAX-MeCP2(t) achieved poor gene knockdown in cell lines apart from HEK293T (Figure 5A), further demonstrating this tripartite variant’s cell line context-dependent activity.” </w:t>
      </w:r>
    </w:p>
    <w:p w14:paraId="0DDA5289" w14:textId="77777777" w:rsidR="007F4242" w:rsidRDefault="007F4242" w:rsidP="007F4242">
      <w:pPr>
        <w:spacing w:after="0"/>
        <w:ind w:left="721"/>
      </w:pPr>
      <w:r>
        <w:rPr>
          <w:rFonts w:ascii="Segoe UI" w:eastAsia="Segoe UI" w:hAnsi="Segoe UI" w:cs="Segoe UI"/>
        </w:rPr>
        <w:t xml:space="preserve"> </w:t>
      </w:r>
    </w:p>
    <w:p w14:paraId="0B9D05A0" w14:textId="77777777" w:rsidR="007F4242" w:rsidRDefault="007F4242" w:rsidP="007F4242">
      <w:pPr>
        <w:spacing w:after="8" w:line="249" w:lineRule="auto"/>
        <w:ind w:left="572" w:right="564" w:hanging="9"/>
        <w:jc w:val="both"/>
      </w:pPr>
      <w:r>
        <w:rPr>
          <w:rFonts w:ascii="Segoe UI" w:eastAsia="Segoe UI" w:hAnsi="Segoe UI" w:cs="Segoe UI"/>
          <w:i/>
        </w:rPr>
        <w:t xml:space="preserve">“Next, we sought to demonstrate transcriptional repression of non-coding endogenous genes, so we performed similar knockdown comparisons with two lncRNA genes, MINCR and DANCR, in HEK293T cells (Figure 5B). For these non-coding transcripts, dCas9ZIM3(KRAB)-MeCP2(t) achieved more efficient knockdown than dCas9-ZIM3(KRAB) and dCas9-KOX1(KRAB)-MeCP2 for 3 out of 4 tested sgRNAs (Figure 5B). To further investigate the degree to which our top-performing variants regulate protein expression levels, we also evaluated their ability to reduce the display of two endogenous cell surface markers, CD81 and CD151, in four different cell lines (Figure 5C, Supplementary Figure S11), and employing previously characterized ‘strong’ and ‘weak’ sgRNA sequences for each </w:t>
      </w:r>
      <w:proofErr w:type="gramStart"/>
      <w:r>
        <w:rPr>
          <w:rFonts w:ascii="Segoe UI" w:eastAsia="Segoe UI" w:hAnsi="Segoe UI" w:cs="Segoe UI"/>
          <w:i/>
        </w:rPr>
        <w:t>gene(</w:t>
      </w:r>
      <w:proofErr w:type="gramEnd"/>
      <w:r>
        <w:rPr>
          <w:rFonts w:ascii="Segoe UI" w:eastAsia="Segoe UI" w:hAnsi="Segoe UI" w:cs="Segoe UI"/>
          <w:i/>
        </w:rPr>
        <w:t xml:space="preserve">34). As expected, dCas9-ZIM3(KRAB)-MeCP2(t) significantly outperformed dCas9-ZIM3(KRAB) for most tested conditions (12 out of 14) across the different cell lines (Figure 5C, Supplementary Figure S11). Like our observations when evaluating </w:t>
      </w:r>
      <w:proofErr w:type="spellStart"/>
      <w:r>
        <w:rPr>
          <w:rFonts w:ascii="Segoe UI" w:eastAsia="Segoe UI" w:hAnsi="Segoe UI" w:cs="Segoe UI"/>
          <w:i/>
        </w:rPr>
        <w:t>CRISPRi</w:t>
      </w:r>
      <w:proofErr w:type="spellEnd"/>
      <w:r>
        <w:rPr>
          <w:rFonts w:ascii="Segoe UI" w:eastAsia="Segoe UI" w:hAnsi="Segoe UI" w:cs="Segoe UI"/>
          <w:i/>
        </w:rPr>
        <w:t xml:space="preserve"> platforms across a panel of SV40-eGFP-targeting sgRNAs (Supplementary Figure S6), dCas9-ZIM3(KRAB)-MeCP2(t) exhibited the most notable performance improvements with weaker sgRNAs, suggesting that implementation of this novel platform could reduce guide-dependent effects across a broader set of target genes.” </w:t>
      </w:r>
    </w:p>
    <w:p w14:paraId="21ED72EA" w14:textId="77777777" w:rsidR="007F4242" w:rsidRDefault="007F4242" w:rsidP="007F4242">
      <w:pPr>
        <w:spacing w:after="0"/>
        <w:ind w:left="1"/>
      </w:pPr>
      <w:r>
        <w:rPr>
          <w:rFonts w:ascii="Segoe UI" w:eastAsia="Segoe UI" w:hAnsi="Segoe UI" w:cs="Segoe UI"/>
        </w:rPr>
        <w:t xml:space="preserve"> </w:t>
      </w:r>
    </w:p>
    <w:p w14:paraId="2D5E3FCB" w14:textId="77777777" w:rsidR="007F4242" w:rsidRDefault="007F4242" w:rsidP="007F4242">
      <w:pPr>
        <w:spacing w:after="159"/>
        <w:ind w:left="-3" w:hanging="10"/>
        <w:jc w:val="both"/>
      </w:pPr>
      <w:r>
        <w:rPr>
          <w:rFonts w:ascii="Segoe UI" w:eastAsia="Segoe UI" w:hAnsi="Segoe UI" w:cs="Segoe UI"/>
          <w:b/>
          <w:color w:val="FF0000"/>
        </w:rPr>
        <w:t xml:space="preserve">Comment 2: </w:t>
      </w:r>
      <w:r>
        <w:rPr>
          <w:rFonts w:ascii="Segoe UI" w:eastAsia="Segoe UI" w:hAnsi="Segoe UI" w:cs="Segoe UI"/>
          <w:color w:val="FF0000"/>
        </w:rPr>
        <w:t xml:space="preserve">The impact of the length and type of linker sequence between repressor domains on their efficiency warrants investigation. </w:t>
      </w:r>
      <w:r>
        <w:rPr>
          <w:rFonts w:ascii="Segoe UI" w:eastAsia="Segoe UI" w:hAnsi="Segoe UI" w:cs="Segoe UI"/>
        </w:rPr>
        <w:t xml:space="preserve"> </w:t>
      </w:r>
    </w:p>
    <w:p w14:paraId="13C21ED9" w14:textId="77777777" w:rsidR="007F4242" w:rsidRDefault="007F4242" w:rsidP="007F4242">
      <w:pPr>
        <w:spacing w:after="158"/>
        <w:ind w:left="-3" w:hanging="10"/>
        <w:jc w:val="both"/>
      </w:pPr>
      <w:r>
        <w:rPr>
          <w:rFonts w:ascii="Segoe UI" w:eastAsia="Segoe UI" w:hAnsi="Segoe UI" w:cs="Segoe UI"/>
          <w:b/>
        </w:rPr>
        <w:t>Response</w:t>
      </w:r>
      <w:r>
        <w:rPr>
          <w:rFonts w:ascii="Segoe UI" w:eastAsia="Segoe UI" w:hAnsi="Segoe UI" w:cs="Segoe UI"/>
        </w:rPr>
        <w:t>: We thank the reviewer for identifying an interesting (and important) engineering approach that we did not explore in the original manuscript. In the revised manuscript</w:t>
      </w:r>
      <w:proofErr w:type="gramStart"/>
      <w:r>
        <w:rPr>
          <w:rFonts w:ascii="Segoe UI" w:eastAsia="Segoe UI" w:hAnsi="Segoe UI" w:cs="Segoe UI"/>
        </w:rPr>
        <w:t>, ,</w:t>
      </w:r>
      <w:proofErr w:type="gramEnd"/>
      <w:r>
        <w:rPr>
          <w:rFonts w:ascii="Segoe UI" w:eastAsia="Segoe UI" w:hAnsi="Segoe UI" w:cs="Segoe UI"/>
        </w:rPr>
        <w:t xml:space="preserve"> we now systematically alter the linker type (modified G/S-rich, rigid, G/S-rich, P-rich, and XTEN) and lengths (1X, 2X, and 3X repeats) located between the ZIM3(KRAB) and MeCP2(t) subdomains of our top-performing system, dCas9-ZIM3(KRAB)-MeCP2(t). Upon testing in HEK293T and HCT116 cells with the </w:t>
      </w:r>
      <w:proofErr w:type="spellStart"/>
      <w:r>
        <w:rPr>
          <w:rFonts w:ascii="Segoe UI" w:eastAsia="Segoe UI" w:hAnsi="Segoe UI" w:cs="Segoe UI"/>
        </w:rPr>
        <w:t>eGFP</w:t>
      </w:r>
      <w:proofErr w:type="spellEnd"/>
      <w:r>
        <w:rPr>
          <w:rFonts w:ascii="Segoe UI" w:eastAsia="Segoe UI" w:hAnsi="Segoe UI" w:cs="Segoe UI"/>
        </w:rPr>
        <w:t xml:space="preserve"> reporter assay, we identified that most linker modifications did not significantly alter the activity of our original dCas9-ZIM3(KRAB)-MeCP2(t) variant. However, there was one exception; we observed that replacing our modified G/S-rich linker with a single rigid linker (A.A. sequence = EAAAK) significantly improved knockdown efficiency for almost all conditions tested. This work, although limited to one repressor-repressor combination, demonstrates that optimizing linkers can alter </w:t>
      </w:r>
      <w:proofErr w:type="spellStart"/>
      <w:r>
        <w:rPr>
          <w:rFonts w:ascii="Segoe UI" w:eastAsia="Segoe UI" w:hAnsi="Segoe UI" w:cs="Segoe UI"/>
        </w:rPr>
        <w:t>CRISPRi</w:t>
      </w:r>
      <w:proofErr w:type="spellEnd"/>
      <w:r>
        <w:rPr>
          <w:rFonts w:ascii="Segoe UI" w:eastAsia="Segoe UI" w:hAnsi="Segoe UI" w:cs="Segoe UI"/>
        </w:rPr>
        <w:t xml:space="preserve"> system performance. We added these results in Figure 7 of the revised manuscript, several mentions in the Discussion, and associated main text on Page 26:  </w:t>
      </w:r>
    </w:p>
    <w:p w14:paraId="192624FB" w14:textId="77777777" w:rsidR="007F4242" w:rsidRDefault="007F4242" w:rsidP="007F4242">
      <w:pPr>
        <w:spacing w:after="168" w:line="249" w:lineRule="auto"/>
        <w:ind w:left="572" w:right="564" w:hanging="9"/>
        <w:jc w:val="both"/>
      </w:pPr>
      <w:r>
        <w:rPr>
          <w:rFonts w:ascii="Segoe UI" w:eastAsia="Segoe UI" w:hAnsi="Segoe UI" w:cs="Segoe UI"/>
          <w:i/>
        </w:rPr>
        <w:t xml:space="preserve">“Functional linkers have been shown to substantially influence the activity of several chimeric fusion </w:t>
      </w:r>
      <w:proofErr w:type="gramStart"/>
      <w:r>
        <w:rPr>
          <w:rFonts w:ascii="Segoe UI" w:eastAsia="Segoe UI" w:hAnsi="Segoe UI" w:cs="Segoe UI"/>
          <w:i/>
        </w:rPr>
        <w:t>proteins(</w:t>
      </w:r>
      <w:proofErr w:type="gramEnd"/>
      <w:r>
        <w:rPr>
          <w:rFonts w:ascii="Segoe UI" w:eastAsia="Segoe UI" w:hAnsi="Segoe UI" w:cs="Segoe UI"/>
          <w:i/>
        </w:rPr>
        <w:t xml:space="preserve">70). To determine whether linker composition can influence the potency of dCas9-ZIM3(KRAB)-MeCP2(t)-mediated gene suppression, we generated </w:t>
      </w:r>
      <w:r>
        <w:rPr>
          <w:rFonts w:ascii="Segoe UI" w:eastAsia="Segoe UI" w:hAnsi="Segoe UI" w:cs="Segoe UI"/>
          <w:i/>
        </w:rPr>
        <w:lastRenderedPageBreak/>
        <w:t xml:space="preserve">variants of dCas9-ZIM3(KRAB)-MeCP2(t) containing several classes and lengths (i.e., repeats) of well-established protein-protein </w:t>
      </w:r>
      <w:proofErr w:type="gramStart"/>
      <w:r>
        <w:rPr>
          <w:rFonts w:ascii="Segoe UI" w:eastAsia="Segoe UI" w:hAnsi="Segoe UI" w:cs="Segoe UI"/>
          <w:i/>
        </w:rPr>
        <w:t>linkers(</w:t>
      </w:r>
      <w:proofErr w:type="gramEnd"/>
      <w:r>
        <w:rPr>
          <w:rFonts w:ascii="Segoe UI" w:eastAsia="Segoe UI" w:hAnsi="Segoe UI" w:cs="Segoe UI"/>
          <w:i/>
        </w:rPr>
        <w:t xml:space="preserve">71) placed between the ZIM3(KRAB) and MeCP2(t) subdomains (Supplementary Table 7). We compared the knockdown efficiency of all these linker-variants with the ‘original’ dCas9-ZIM3(KRAB)-MeCP2(t) effector using </w:t>
      </w:r>
      <w:proofErr w:type="spellStart"/>
      <w:r>
        <w:rPr>
          <w:rFonts w:ascii="Segoe UI" w:eastAsia="Segoe UI" w:hAnsi="Segoe UI" w:cs="Segoe UI"/>
          <w:i/>
        </w:rPr>
        <w:t>eGFP</w:t>
      </w:r>
      <w:proofErr w:type="spellEnd"/>
      <w:r>
        <w:rPr>
          <w:rFonts w:ascii="Segoe UI" w:eastAsia="Segoe UI" w:hAnsi="Segoe UI" w:cs="Segoe UI"/>
          <w:i/>
        </w:rPr>
        <w:t xml:space="preserve"> reporter assays in both HEK293T and HCT116 cell lines (Figure 7). Overall, variants harboring the modified linkers achieved comparable performance to the original dCas9-ZIM3(KRAB)-MeCP2(t) fusion. Interestingly, the variant utilizing a single rigid linker, dCas9-ZIM3(KRAB)-(EAAAK)</w:t>
      </w:r>
      <w:r>
        <w:rPr>
          <w:rFonts w:ascii="Segoe UI" w:eastAsia="Segoe UI" w:hAnsi="Segoe UI" w:cs="Segoe UI"/>
          <w:i/>
          <w:vertAlign w:val="subscript"/>
        </w:rPr>
        <w:t>1</w:t>
      </w:r>
      <w:r>
        <w:rPr>
          <w:rFonts w:ascii="Segoe UI" w:eastAsia="Segoe UI" w:hAnsi="Segoe UI" w:cs="Segoe UI"/>
          <w:i/>
        </w:rPr>
        <w:t xml:space="preserve">-MeCP2(t), showed improved gene suppression over both dCas9-ZIM3(KRAB) and dCas9-ZIM3(KRAB)-MeCP2(t) for 5 out of 6 conditions across both cell lines (Figure 7). Although most linker modifications do not significantly impact the performance of dCas9-ZIM3(KRAB)-MeCP2(t), our results support the idea that, in addition to subdomain order and identity, engineering linker sequences is another important optimization tool for </w:t>
      </w:r>
      <w:proofErr w:type="spellStart"/>
      <w:r>
        <w:rPr>
          <w:rFonts w:ascii="Segoe UI" w:eastAsia="Segoe UI" w:hAnsi="Segoe UI" w:cs="Segoe UI"/>
          <w:i/>
        </w:rPr>
        <w:t>CRISPRi</w:t>
      </w:r>
      <w:proofErr w:type="spellEnd"/>
      <w:r>
        <w:rPr>
          <w:rFonts w:ascii="Segoe UI" w:eastAsia="Segoe UI" w:hAnsi="Segoe UI" w:cs="Segoe UI"/>
          <w:i/>
        </w:rPr>
        <w:t xml:space="preserve"> effector activity.” </w:t>
      </w:r>
    </w:p>
    <w:p w14:paraId="676562DC" w14:textId="77777777" w:rsidR="007F4242" w:rsidRDefault="007F4242" w:rsidP="007F4242">
      <w:pPr>
        <w:spacing w:after="181"/>
        <w:ind w:left="1"/>
      </w:pPr>
      <w:r>
        <w:rPr>
          <w:rFonts w:ascii="Segoe UI" w:eastAsia="Segoe UI" w:hAnsi="Segoe UI" w:cs="Segoe UI"/>
        </w:rPr>
        <w:t xml:space="preserve"> </w:t>
      </w:r>
    </w:p>
    <w:p w14:paraId="378E7C2C" w14:textId="77777777" w:rsidR="007F4242" w:rsidRDefault="007F4242" w:rsidP="007F4242">
      <w:pPr>
        <w:pStyle w:val="Heading2"/>
        <w:ind w:left="-4"/>
      </w:pPr>
      <w:r>
        <w:t>Minor Comments</w:t>
      </w:r>
      <w:r>
        <w:rPr>
          <w:u w:color="000000"/>
        </w:rPr>
        <w:t xml:space="preserve"> </w:t>
      </w:r>
    </w:p>
    <w:p w14:paraId="703E6D30" w14:textId="77777777" w:rsidR="007F4242" w:rsidRDefault="007F4242" w:rsidP="007F4242">
      <w:pPr>
        <w:spacing w:after="0"/>
        <w:ind w:left="1"/>
      </w:pPr>
      <w:r>
        <w:rPr>
          <w:rFonts w:ascii="Segoe UI" w:eastAsia="Segoe UI" w:hAnsi="Segoe UI" w:cs="Segoe UI"/>
        </w:rPr>
        <w:t xml:space="preserve"> </w:t>
      </w:r>
    </w:p>
    <w:p w14:paraId="25EFB609" w14:textId="77777777" w:rsidR="007F4242" w:rsidRDefault="007F4242" w:rsidP="007F4242">
      <w:pPr>
        <w:spacing w:after="159"/>
        <w:ind w:left="-3" w:hanging="10"/>
        <w:jc w:val="both"/>
      </w:pPr>
      <w:r>
        <w:rPr>
          <w:rFonts w:ascii="Segoe UI" w:eastAsia="Segoe UI" w:hAnsi="Segoe UI" w:cs="Segoe UI"/>
          <w:b/>
          <w:color w:val="FF0000"/>
        </w:rPr>
        <w:t xml:space="preserve">Minor Comment 1: </w:t>
      </w:r>
      <w:r>
        <w:rPr>
          <w:rFonts w:ascii="Segoe UI" w:eastAsia="Segoe UI" w:hAnsi="Segoe UI" w:cs="Segoe UI"/>
          <w:color w:val="FF0000"/>
        </w:rPr>
        <w:t>The description of Figure 4C-D on page 15 of the article is inaccurate as there is no corresponding label "D" in Figure 4.</w:t>
      </w:r>
      <w:r>
        <w:rPr>
          <w:rFonts w:ascii="Segoe UI" w:eastAsia="Segoe UI" w:hAnsi="Segoe UI" w:cs="Segoe UI"/>
          <w:b/>
        </w:rPr>
        <w:t xml:space="preserve"> </w:t>
      </w:r>
    </w:p>
    <w:p w14:paraId="78274AD0" w14:textId="77777777" w:rsidR="007F4242" w:rsidRDefault="007F4242" w:rsidP="007F4242">
      <w:pPr>
        <w:spacing w:after="158"/>
        <w:ind w:left="-3" w:hanging="10"/>
        <w:jc w:val="both"/>
      </w:pPr>
      <w:r>
        <w:rPr>
          <w:rFonts w:ascii="Segoe UI" w:eastAsia="Segoe UI" w:hAnsi="Segoe UI" w:cs="Segoe UI"/>
          <w:b/>
        </w:rPr>
        <w:t xml:space="preserve">Response: </w:t>
      </w:r>
      <w:r>
        <w:rPr>
          <w:rFonts w:ascii="Segoe UI" w:eastAsia="Segoe UI" w:hAnsi="Segoe UI" w:cs="Segoe UI"/>
        </w:rPr>
        <w:t xml:space="preserve">We thank the reviewer for pointing out the inaccurate figure reference. This is fixed in the revised manuscript.  </w:t>
      </w:r>
    </w:p>
    <w:p w14:paraId="166DFBB6" w14:textId="77777777" w:rsidR="007F4242" w:rsidRDefault="007F4242" w:rsidP="007F4242">
      <w:pPr>
        <w:spacing w:after="20"/>
        <w:ind w:left="1"/>
      </w:pPr>
      <w:r>
        <w:rPr>
          <w:rFonts w:ascii="Segoe UI" w:eastAsia="Segoe UI" w:hAnsi="Segoe UI" w:cs="Segoe UI"/>
        </w:rPr>
        <w:t xml:space="preserve"> </w:t>
      </w:r>
    </w:p>
    <w:p w14:paraId="145E2932" w14:textId="77777777" w:rsidR="007F4242" w:rsidRDefault="007F4242" w:rsidP="007F4242">
      <w:pPr>
        <w:spacing w:after="157"/>
        <w:ind w:left="1"/>
      </w:pPr>
      <w:r>
        <w:rPr>
          <w:rFonts w:ascii="Segoe UI" w:eastAsia="Segoe UI" w:hAnsi="Segoe UI" w:cs="Segoe UI"/>
          <w:b/>
          <w:color w:val="FF0000"/>
          <w:sz w:val="24"/>
        </w:rPr>
        <w:t xml:space="preserve"> </w:t>
      </w:r>
    </w:p>
    <w:p w14:paraId="7B5F1FDA" w14:textId="77777777" w:rsidR="007F4242" w:rsidRDefault="007F4242" w:rsidP="007F4242">
      <w:pPr>
        <w:spacing w:after="159"/>
        <w:ind w:left="1"/>
      </w:pPr>
      <w:r>
        <w:rPr>
          <w:rFonts w:ascii="Segoe UI" w:eastAsia="Segoe UI" w:hAnsi="Segoe UI" w:cs="Segoe UI"/>
          <w:b/>
          <w:color w:val="FF0000"/>
          <w:sz w:val="24"/>
        </w:rPr>
        <w:t xml:space="preserve"> </w:t>
      </w:r>
    </w:p>
    <w:p w14:paraId="0B55F359" w14:textId="77777777" w:rsidR="007F4242" w:rsidRDefault="007F4242" w:rsidP="007F4242">
      <w:pPr>
        <w:spacing w:after="157"/>
        <w:ind w:left="1"/>
      </w:pPr>
      <w:r>
        <w:rPr>
          <w:rFonts w:ascii="Segoe UI" w:eastAsia="Segoe UI" w:hAnsi="Segoe UI" w:cs="Segoe UI"/>
          <w:b/>
          <w:color w:val="FF0000"/>
          <w:sz w:val="24"/>
        </w:rPr>
        <w:t xml:space="preserve"> </w:t>
      </w:r>
    </w:p>
    <w:p w14:paraId="7B654843" w14:textId="77777777" w:rsidR="007F4242" w:rsidRDefault="007F4242" w:rsidP="007F4242">
      <w:pPr>
        <w:spacing w:after="159"/>
        <w:ind w:left="1"/>
      </w:pPr>
      <w:r>
        <w:rPr>
          <w:rFonts w:ascii="Segoe UI" w:eastAsia="Segoe UI" w:hAnsi="Segoe UI" w:cs="Segoe UI"/>
          <w:b/>
          <w:color w:val="FF0000"/>
          <w:sz w:val="24"/>
        </w:rPr>
        <w:t xml:space="preserve"> </w:t>
      </w:r>
    </w:p>
    <w:p w14:paraId="7792359C" w14:textId="77777777" w:rsidR="007F4242" w:rsidRDefault="007F4242" w:rsidP="007F4242">
      <w:pPr>
        <w:spacing w:after="157"/>
        <w:ind w:left="1"/>
      </w:pPr>
      <w:r>
        <w:rPr>
          <w:rFonts w:ascii="Segoe UI" w:eastAsia="Segoe UI" w:hAnsi="Segoe UI" w:cs="Segoe UI"/>
          <w:b/>
          <w:color w:val="FF0000"/>
          <w:sz w:val="24"/>
        </w:rPr>
        <w:t xml:space="preserve"> </w:t>
      </w:r>
    </w:p>
    <w:p w14:paraId="3F1FAADE" w14:textId="77777777" w:rsidR="007F4242" w:rsidRDefault="007F4242" w:rsidP="007F4242">
      <w:pPr>
        <w:spacing w:after="157"/>
        <w:ind w:left="1"/>
      </w:pPr>
      <w:r>
        <w:rPr>
          <w:rFonts w:ascii="Segoe UI" w:eastAsia="Segoe UI" w:hAnsi="Segoe UI" w:cs="Segoe UI"/>
          <w:b/>
          <w:color w:val="FF0000"/>
          <w:sz w:val="24"/>
        </w:rPr>
        <w:t xml:space="preserve"> </w:t>
      </w:r>
    </w:p>
    <w:p w14:paraId="3CEAD09A" w14:textId="77777777" w:rsidR="007F4242" w:rsidRDefault="007F4242" w:rsidP="007F4242">
      <w:pPr>
        <w:spacing w:after="159"/>
        <w:ind w:left="1"/>
      </w:pPr>
      <w:r>
        <w:rPr>
          <w:rFonts w:ascii="Segoe UI" w:eastAsia="Segoe UI" w:hAnsi="Segoe UI" w:cs="Segoe UI"/>
          <w:b/>
          <w:color w:val="FF0000"/>
          <w:sz w:val="24"/>
        </w:rPr>
        <w:t xml:space="preserve"> </w:t>
      </w:r>
    </w:p>
    <w:p w14:paraId="17518880" w14:textId="77777777" w:rsidR="007F4242" w:rsidRDefault="007F4242" w:rsidP="007F4242">
      <w:pPr>
        <w:spacing w:after="201"/>
        <w:ind w:left="1"/>
      </w:pPr>
      <w:r>
        <w:rPr>
          <w:rFonts w:ascii="Segoe UI" w:eastAsia="Segoe UI" w:hAnsi="Segoe UI" w:cs="Segoe UI"/>
          <w:b/>
          <w:color w:val="FF0000"/>
          <w:sz w:val="24"/>
        </w:rPr>
        <w:t xml:space="preserve"> </w:t>
      </w:r>
    </w:p>
    <w:p w14:paraId="2DEE6733" w14:textId="77777777" w:rsidR="007F4242" w:rsidRDefault="007F4242" w:rsidP="007F4242">
      <w:pPr>
        <w:pStyle w:val="Heading1"/>
      </w:pPr>
      <w:r>
        <w:lastRenderedPageBreak/>
        <w:t>Reviewer #2</w:t>
      </w:r>
      <w:r>
        <w:rPr>
          <w:u w:color="000000"/>
        </w:rPr>
        <w:t xml:space="preserve"> </w:t>
      </w:r>
    </w:p>
    <w:p w14:paraId="2DF9DB0E" w14:textId="77777777" w:rsidR="007F4242" w:rsidRDefault="007F4242" w:rsidP="007F4242">
      <w:pPr>
        <w:spacing w:after="159"/>
        <w:ind w:left="-3" w:hanging="10"/>
        <w:jc w:val="both"/>
      </w:pPr>
      <w:r>
        <w:rPr>
          <w:rFonts w:ascii="Segoe UI" w:eastAsia="Segoe UI" w:hAnsi="Segoe UI" w:cs="Segoe UI"/>
          <w:b/>
          <w:color w:val="FF0000"/>
        </w:rPr>
        <w:t xml:space="preserve">Summary: </w:t>
      </w:r>
      <w:r>
        <w:rPr>
          <w:rFonts w:ascii="Segoe UI" w:eastAsia="Segoe UI" w:hAnsi="Segoe UI" w:cs="Segoe UI"/>
          <w:color w:val="FF0000"/>
        </w:rPr>
        <w:t>In the manuscript by Kristof et al., the researchers systematically screen the combination of novel repressor domains with the strong Krüppel-associated box (KRAB) repressors and provide powerful CRISPR interference (</w:t>
      </w:r>
      <w:proofErr w:type="spellStart"/>
      <w:r>
        <w:rPr>
          <w:rFonts w:ascii="Segoe UI" w:eastAsia="Segoe UI" w:hAnsi="Segoe UI" w:cs="Segoe UI"/>
          <w:color w:val="FF0000"/>
        </w:rPr>
        <w:t>CRISPRi</w:t>
      </w:r>
      <w:proofErr w:type="spellEnd"/>
      <w:r>
        <w:rPr>
          <w:rFonts w:ascii="Segoe UI" w:eastAsia="Segoe UI" w:hAnsi="Segoe UI" w:cs="Segoe UI"/>
          <w:color w:val="FF0000"/>
        </w:rPr>
        <w:t xml:space="preserve">) platforms in mammalian cells. In achieving this goal, the authors set up an </w:t>
      </w:r>
      <w:proofErr w:type="spellStart"/>
      <w:r>
        <w:rPr>
          <w:rFonts w:ascii="Segoe UI" w:eastAsia="Segoe UI" w:hAnsi="Segoe UI" w:cs="Segoe UI"/>
          <w:color w:val="FF0000"/>
        </w:rPr>
        <w:t>eGFP</w:t>
      </w:r>
      <w:proofErr w:type="spellEnd"/>
      <w:r>
        <w:rPr>
          <w:rFonts w:ascii="Segoe UI" w:eastAsia="Segoe UI" w:hAnsi="Segoe UI" w:cs="Segoe UI"/>
          <w:color w:val="FF0000"/>
        </w:rPr>
        <w:t xml:space="preserve"> reporter-based screen system in HEK293T cells and titrate over &gt;100 bipartite and tripartite fusion proteins for their ability to reduce GFP fluorescence signal compared to the previously described </w:t>
      </w:r>
      <w:proofErr w:type="spellStart"/>
      <w:r>
        <w:rPr>
          <w:rFonts w:ascii="Segoe UI" w:eastAsia="Segoe UI" w:hAnsi="Segoe UI" w:cs="Segoe UI"/>
          <w:color w:val="FF0000"/>
        </w:rPr>
        <w:t>CRISPRi</w:t>
      </w:r>
      <w:proofErr w:type="spellEnd"/>
      <w:r>
        <w:rPr>
          <w:rFonts w:ascii="Segoe UI" w:eastAsia="Segoe UI" w:hAnsi="Segoe UI" w:cs="Segoe UI"/>
          <w:color w:val="FF0000"/>
        </w:rPr>
        <w:t xml:space="preserve">-repressor proteins. Importantly, they identify novel and high-efficacy repressor fusion proteins showing improved gene repression across several cell lines. Furthermore, they found mechanistically these repressor proteins function in either fusion or scaffold modalities involving the known co-factors such as MYC.  </w:t>
      </w:r>
    </w:p>
    <w:p w14:paraId="65558585" w14:textId="77777777" w:rsidR="007F4242" w:rsidRDefault="007F4242" w:rsidP="007F4242">
      <w:pPr>
        <w:spacing w:after="159"/>
        <w:ind w:left="-3" w:hanging="10"/>
        <w:jc w:val="both"/>
      </w:pPr>
      <w:r>
        <w:rPr>
          <w:rFonts w:ascii="Segoe UI" w:eastAsia="Segoe UI" w:hAnsi="Segoe UI" w:cs="Segoe UI"/>
          <w:color w:val="FF0000"/>
        </w:rPr>
        <w:t xml:space="preserve">This is a well-designed and high-throughput methodology work based on an elegant and simplified reporter system by providing many positive and negative controls. The main finding in this work provides several novel bipartite and tripartite KRAB </w:t>
      </w:r>
      <w:proofErr w:type="gramStart"/>
      <w:r>
        <w:rPr>
          <w:rFonts w:ascii="Segoe UI" w:eastAsia="Segoe UI" w:hAnsi="Segoe UI" w:cs="Segoe UI"/>
          <w:color w:val="FF0000"/>
        </w:rPr>
        <w:t>fusion</w:t>
      </w:r>
      <w:proofErr w:type="gramEnd"/>
      <w:r>
        <w:rPr>
          <w:rFonts w:ascii="Segoe UI" w:eastAsia="Segoe UI" w:hAnsi="Segoe UI" w:cs="Segoe UI"/>
          <w:color w:val="FF0000"/>
        </w:rPr>
        <w:t xml:space="preserve"> </w:t>
      </w:r>
      <w:proofErr w:type="gramStart"/>
      <w:r>
        <w:rPr>
          <w:rFonts w:ascii="Segoe UI" w:eastAsia="Segoe UI" w:hAnsi="Segoe UI" w:cs="Segoe UI"/>
          <w:color w:val="FF0000"/>
        </w:rPr>
        <w:t>proteins, and</w:t>
      </w:r>
      <w:proofErr w:type="gramEnd"/>
      <w:r>
        <w:rPr>
          <w:rFonts w:ascii="Segoe UI" w:eastAsia="Segoe UI" w:hAnsi="Segoe UI" w:cs="Segoe UI"/>
          <w:color w:val="FF0000"/>
        </w:rPr>
        <w:t xml:space="preserve"> gives a framework for how to design and optimize the new </w:t>
      </w:r>
      <w:proofErr w:type="spellStart"/>
      <w:r>
        <w:rPr>
          <w:rFonts w:ascii="Segoe UI" w:eastAsia="Segoe UI" w:hAnsi="Segoe UI" w:cs="Segoe UI"/>
          <w:color w:val="FF0000"/>
        </w:rPr>
        <w:t>CRISPRi</w:t>
      </w:r>
      <w:proofErr w:type="spellEnd"/>
      <w:r>
        <w:rPr>
          <w:rFonts w:ascii="Segoe UI" w:eastAsia="Segoe UI" w:hAnsi="Segoe UI" w:cs="Segoe UI"/>
          <w:color w:val="FF0000"/>
        </w:rPr>
        <w:t xml:space="preserve"> or other types of gene editors. The new </w:t>
      </w:r>
      <w:proofErr w:type="spellStart"/>
      <w:r>
        <w:rPr>
          <w:rFonts w:ascii="Segoe UI" w:eastAsia="Segoe UI" w:hAnsi="Segoe UI" w:cs="Segoe UI"/>
          <w:color w:val="FF0000"/>
        </w:rPr>
        <w:t>CRISPRi</w:t>
      </w:r>
      <w:proofErr w:type="spellEnd"/>
      <w:r>
        <w:rPr>
          <w:rFonts w:ascii="Segoe UI" w:eastAsia="Segoe UI" w:hAnsi="Segoe UI" w:cs="Segoe UI"/>
          <w:color w:val="FF0000"/>
        </w:rPr>
        <w:t xml:space="preserve"> system would benefit in many research fields for deciphering gene or non-coding element function. However, the power and versatility of such new tools are validated only in limited endogenous </w:t>
      </w:r>
      <w:proofErr w:type="gramStart"/>
      <w:r>
        <w:rPr>
          <w:rFonts w:ascii="Segoe UI" w:eastAsia="Segoe UI" w:hAnsi="Segoe UI" w:cs="Segoe UI"/>
          <w:color w:val="FF0000"/>
        </w:rPr>
        <w:t>genes (#</w:t>
      </w:r>
      <w:proofErr w:type="gramEnd"/>
      <w:r>
        <w:rPr>
          <w:rFonts w:ascii="Segoe UI" w:eastAsia="Segoe UI" w:hAnsi="Segoe UI" w:cs="Segoe UI"/>
          <w:color w:val="FF0000"/>
        </w:rPr>
        <w:t xml:space="preserve">7 in total) and limited cellular chromatin context.  </w:t>
      </w:r>
    </w:p>
    <w:p w14:paraId="1CF02C90" w14:textId="77777777" w:rsidR="007F4242" w:rsidRDefault="007F4242" w:rsidP="007F4242">
      <w:pPr>
        <w:spacing w:after="159"/>
        <w:ind w:left="-3" w:hanging="10"/>
        <w:jc w:val="both"/>
      </w:pPr>
      <w:r>
        <w:rPr>
          <w:rFonts w:ascii="Segoe UI" w:eastAsia="Segoe UI" w:hAnsi="Segoe UI" w:cs="Segoe UI"/>
          <w:color w:val="FF0000"/>
        </w:rPr>
        <w:t xml:space="preserve">With that, I provide major and minor recommendations as </w:t>
      </w:r>
      <w:proofErr w:type="gramStart"/>
      <w:r>
        <w:rPr>
          <w:rFonts w:ascii="Segoe UI" w:eastAsia="Segoe UI" w:hAnsi="Segoe UI" w:cs="Segoe UI"/>
          <w:color w:val="FF0000"/>
        </w:rPr>
        <w:t>shown in</w:t>
      </w:r>
      <w:proofErr w:type="gramEnd"/>
      <w:r>
        <w:rPr>
          <w:rFonts w:ascii="Segoe UI" w:eastAsia="Segoe UI" w:hAnsi="Segoe UI" w:cs="Segoe UI"/>
          <w:color w:val="FF0000"/>
        </w:rPr>
        <w:t xml:space="preserve"> below.  </w:t>
      </w:r>
    </w:p>
    <w:p w14:paraId="44EA63B5" w14:textId="77777777" w:rsidR="007F4242" w:rsidRDefault="007F4242" w:rsidP="007F4242">
      <w:pPr>
        <w:spacing w:after="0"/>
        <w:ind w:left="1"/>
      </w:pPr>
      <w:r>
        <w:rPr>
          <w:rFonts w:ascii="Segoe UI" w:eastAsia="Segoe UI" w:hAnsi="Segoe UI" w:cs="Segoe UI"/>
        </w:rPr>
        <w:t xml:space="preserve"> </w:t>
      </w:r>
    </w:p>
    <w:p w14:paraId="6EFFF6F6" w14:textId="77777777" w:rsidR="007F4242" w:rsidRDefault="007F4242" w:rsidP="007F4242">
      <w:pPr>
        <w:spacing w:after="158"/>
        <w:ind w:left="-3" w:hanging="10"/>
        <w:jc w:val="both"/>
      </w:pPr>
      <w:r>
        <w:rPr>
          <w:rFonts w:ascii="Segoe UI" w:eastAsia="Segoe UI" w:hAnsi="Segoe UI" w:cs="Segoe UI"/>
          <w:b/>
        </w:rPr>
        <w:t>Response</w:t>
      </w:r>
      <w:r>
        <w:rPr>
          <w:rFonts w:ascii="Segoe UI" w:eastAsia="Segoe UI" w:hAnsi="Segoe UI" w:cs="Segoe UI"/>
        </w:rPr>
        <w:t xml:space="preserve">: We thank the reviewer for their favorable description of our work. Based on your feedback, we greatly expanded our validation efforts of our top-performing </w:t>
      </w:r>
      <w:proofErr w:type="spellStart"/>
      <w:r>
        <w:rPr>
          <w:rFonts w:ascii="Segoe UI" w:eastAsia="Segoe UI" w:hAnsi="Segoe UI" w:cs="Segoe UI"/>
        </w:rPr>
        <w:t>CRISPRi</w:t>
      </w:r>
      <w:proofErr w:type="spellEnd"/>
      <w:r>
        <w:rPr>
          <w:rFonts w:ascii="Segoe UI" w:eastAsia="Segoe UI" w:hAnsi="Segoe UI" w:cs="Segoe UI"/>
        </w:rPr>
        <w:t xml:space="preserve"> fusions across cell lines, both at the RNA and protein levels, and demonstrated that our most powerful tool, dCas9-ZIM3(KRAB)-MeCP2(t), exhibits superior activity </w:t>
      </w:r>
      <w:proofErr w:type="gramStart"/>
      <w:r>
        <w:rPr>
          <w:rFonts w:ascii="Segoe UI" w:eastAsia="Segoe UI" w:hAnsi="Segoe UI" w:cs="Segoe UI"/>
        </w:rPr>
        <w:t>in</w:t>
      </w:r>
      <w:proofErr w:type="gramEnd"/>
      <w:r>
        <w:rPr>
          <w:rFonts w:ascii="Segoe UI" w:eastAsia="Segoe UI" w:hAnsi="Segoe UI" w:cs="Segoe UI"/>
        </w:rPr>
        <w:t xml:space="preserve"> a genome-wide screen compared to existing systems. We thank the reviewer for their insightful recommendations towards helping improve the quality and impact of this work.  </w:t>
      </w:r>
    </w:p>
    <w:p w14:paraId="6CB21DE5" w14:textId="77777777" w:rsidR="007F4242" w:rsidRDefault="007F4242" w:rsidP="007F4242">
      <w:pPr>
        <w:spacing w:after="181"/>
        <w:ind w:left="2"/>
      </w:pPr>
      <w:r>
        <w:rPr>
          <w:rFonts w:ascii="Segoe UI" w:eastAsia="Segoe UI" w:hAnsi="Segoe UI" w:cs="Segoe UI"/>
        </w:rPr>
        <w:t xml:space="preserve"> </w:t>
      </w:r>
    </w:p>
    <w:p w14:paraId="0831D501" w14:textId="77777777" w:rsidR="007F4242" w:rsidRDefault="007F4242" w:rsidP="007F4242">
      <w:pPr>
        <w:pStyle w:val="Heading2"/>
        <w:ind w:left="-4"/>
      </w:pPr>
      <w:r>
        <w:t>Major Comments</w:t>
      </w:r>
      <w:r>
        <w:rPr>
          <w:u w:color="000000"/>
        </w:rPr>
        <w:t xml:space="preserve"> </w:t>
      </w:r>
    </w:p>
    <w:p w14:paraId="7AC52FBF" w14:textId="77777777" w:rsidR="007F4242" w:rsidRDefault="007F4242" w:rsidP="007F4242">
      <w:pPr>
        <w:spacing w:after="0"/>
        <w:ind w:left="1"/>
      </w:pPr>
      <w:r>
        <w:rPr>
          <w:rFonts w:ascii="Segoe UI" w:eastAsia="Segoe UI" w:hAnsi="Segoe UI" w:cs="Segoe UI"/>
        </w:rPr>
        <w:t xml:space="preserve"> </w:t>
      </w:r>
    </w:p>
    <w:p w14:paraId="79C5AEEA" w14:textId="77777777" w:rsidR="007F4242" w:rsidRDefault="007F4242" w:rsidP="007F4242">
      <w:pPr>
        <w:spacing w:after="159"/>
        <w:ind w:left="-3" w:hanging="10"/>
        <w:jc w:val="both"/>
      </w:pPr>
      <w:r>
        <w:rPr>
          <w:rFonts w:ascii="Segoe UI" w:eastAsia="Segoe UI" w:hAnsi="Segoe UI" w:cs="Segoe UI"/>
          <w:b/>
          <w:color w:val="FF0000"/>
        </w:rPr>
        <w:t xml:space="preserve">Comment 1: </w:t>
      </w:r>
      <w:r>
        <w:rPr>
          <w:rFonts w:ascii="Segoe UI" w:eastAsia="Segoe UI" w:hAnsi="Segoe UI" w:cs="Segoe UI"/>
          <w:color w:val="FF0000"/>
        </w:rPr>
        <w:t xml:space="preserve">This work draws their conclusion based on the comparison relative to the so-called 'gold standard repressors.' including KOX1(KRAB)-MeCP2 and ZIM3(KRAB) repressors. However, a new technique with widespread application would outcompete other available methods. As I know, many new </w:t>
      </w:r>
      <w:proofErr w:type="spellStart"/>
      <w:r>
        <w:rPr>
          <w:rFonts w:ascii="Segoe UI" w:eastAsia="Segoe UI" w:hAnsi="Segoe UI" w:cs="Segoe UI"/>
          <w:color w:val="FF0000"/>
        </w:rPr>
        <w:t>CRISPRi</w:t>
      </w:r>
      <w:proofErr w:type="spellEnd"/>
      <w:r>
        <w:rPr>
          <w:rFonts w:ascii="Segoe UI" w:eastAsia="Segoe UI" w:hAnsi="Segoe UI" w:cs="Segoe UI"/>
          <w:color w:val="FF0000"/>
        </w:rPr>
        <w:t xml:space="preserve"> tools are designed based on the combination with the key domains </w:t>
      </w:r>
      <w:r>
        <w:rPr>
          <w:rFonts w:ascii="Segoe UI" w:eastAsia="Segoe UI" w:hAnsi="Segoe UI" w:cs="Segoe UI"/>
          <w:color w:val="FF0000"/>
        </w:rPr>
        <w:lastRenderedPageBreak/>
        <w:t xml:space="preserve">from epigenetic modifiers. For instance, previous work reported that </w:t>
      </w:r>
      <w:proofErr w:type="spellStart"/>
      <w:r>
        <w:rPr>
          <w:rFonts w:ascii="Segoe UI" w:eastAsia="Segoe UI" w:hAnsi="Segoe UI" w:cs="Segoe UI"/>
          <w:color w:val="FF0000"/>
        </w:rPr>
        <w:t>CRISPRoff</w:t>
      </w:r>
      <w:proofErr w:type="spellEnd"/>
      <w:r>
        <w:rPr>
          <w:rFonts w:ascii="Segoe UI" w:eastAsia="Segoe UI" w:hAnsi="Segoe UI" w:cs="Segoe UI"/>
          <w:color w:val="FF0000"/>
        </w:rPr>
        <w:t xml:space="preserve"> can heritably silence most genes, including genes without CpG islands (see </w:t>
      </w:r>
      <w:proofErr w:type="spellStart"/>
      <w:r>
        <w:rPr>
          <w:rFonts w:ascii="Segoe UI" w:eastAsia="Segoe UI" w:hAnsi="Segoe UI" w:cs="Segoe UI"/>
          <w:color w:val="FF0000"/>
        </w:rPr>
        <w:t>Nun˜ez</w:t>
      </w:r>
      <w:proofErr w:type="spellEnd"/>
      <w:r>
        <w:rPr>
          <w:rFonts w:ascii="Segoe UI" w:eastAsia="Segoe UI" w:hAnsi="Segoe UI" w:cs="Segoe UI"/>
          <w:color w:val="FF0000"/>
        </w:rPr>
        <w:t xml:space="preserve"> et al., 2021, Cell 184, 25032519). I wonder how the most powerful </w:t>
      </w:r>
      <w:proofErr w:type="spellStart"/>
      <w:r>
        <w:rPr>
          <w:rFonts w:ascii="Segoe UI" w:eastAsia="Segoe UI" w:hAnsi="Segoe UI" w:cs="Segoe UI"/>
          <w:color w:val="FF0000"/>
        </w:rPr>
        <w:t>CRISPRi</w:t>
      </w:r>
      <w:proofErr w:type="spellEnd"/>
      <w:r>
        <w:rPr>
          <w:rFonts w:ascii="Segoe UI" w:eastAsia="Segoe UI" w:hAnsi="Segoe UI" w:cs="Segoe UI"/>
          <w:color w:val="FF0000"/>
        </w:rPr>
        <w:t xml:space="preserve"> tool from this study compete with the epigenetic tools? Moreover, what the long-term knockdown efficiency by those novel combinations? This is important as gene function study </w:t>
      </w:r>
      <w:proofErr w:type="gramStart"/>
      <w:r>
        <w:rPr>
          <w:rFonts w:ascii="Segoe UI" w:eastAsia="Segoe UI" w:hAnsi="Segoe UI" w:cs="Segoe UI"/>
          <w:color w:val="FF0000"/>
        </w:rPr>
        <w:t>necessitate</w:t>
      </w:r>
      <w:proofErr w:type="gramEnd"/>
      <w:r>
        <w:rPr>
          <w:rFonts w:ascii="Segoe UI" w:eastAsia="Segoe UI" w:hAnsi="Segoe UI" w:cs="Segoe UI"/>
          <w:color w:val="FF0000"/>
        </w:rPr>
        <w:t xml:space="preserve"> long-term tracking although the authors demonstrated partially for essential genes.</w:t>
      </w:r>
      <w:r>
        <w:rPr>
          <w:rFonts w:ascii="Segoe UI" w:eastAsia="Segoe UI" w:hAnsi="Segoe UI" w:cs="Segoe UI"/>
          <w:b/>
          <w:color w:val="FF0000"/>
        </w:rPr>
        <w:t xml:space="preserve"> </w:t>
      </w:r>
    </w:p>
    <w:p w14:paraId="2FD44304" w14:textId="77777777" w:rsidR="007F4242" w:rsidRDefault="007F4242" w:rsidP="007F4242">
      <w:pPr>
        <w:spacing w:after="158"/>
        <w:ind w:left="-3" w:hanging="10"/>
        <w:jc w:val="both"/>
      </w:pPr>
      <w:r>
        <w:rPr>
          <w:rFonts w:ascii="Segoe UI" w:eastAsia="Segoe UI" w:hAnsi="Segoe UI" w:cs="Segoe UI"/>
          <w:b/>
        </w:rPr>
        <w:t>Response</w:t>
      </w:r>
      <w:r>
        <w:rPr>
          <w:rFonts w:ascii="Segoe UI" w:eastAsia="Segoe UI" w:hAnsi="Segoe UI" w:cs="Segoe UI"/>
        </w:rPr>
        <w:t xml:space="preserve">: We thank the reviewer for their insightful comment and agree that it would be interesting and important work to compare our most powerful variants with recent tools designed with subdomains from epigenetic modifying proteins. Because we did not include previously published epigenetic modifiers in our study, either as individual library elements or as controls, but recognize the merit of doing so, we included commentary on these epigenetic tools and the </w:t>
      </w:r>
      <w:proofErr w:type="spellStart"/>
      <w:r>
        <w:rPr>
          <w:rFonts w:ascii="Segoe UI" w:eastAsia="Segoe UI" w:hAnsi="Segoe UI" w:cs="Segoe UI"/>
        </w:rPr>
        <w:t>CRISPRoff</w:t>
      </w:r>
      <w:proofErr w:type="spellEnd"/>
      <w:r>
        <w:rPr>
          <w:rFonts w:ascii="Segoe UI" w:eastAsia="Segoe UI" w:hAnsi="Segoe UI" w:cs="Segoe UI"/>
        </w:rPr>
        <w:t xml:space="preserve"> system and a recommendation for future work in the Discussion on Page 29, Lines 1522:  </w:t>
      </w:r>
    </w:p>
    <w:p w14:paraId="7D1BBB9A" w14:textId="77777777" w:rsidR="007F4242" w:rsidRDefault="007F4242" w:rsidP="007F4242">
      <w:pPr>
        <w:spacing w:after="168" w:line="249" w:lineRule="auto"/>
        <w:ind w:left="572" w:right="564" w:hanging="9"/>
        <w:jc w:val="both"/>
      </w:pPr>
      <w:r>
        <w:rPr>
          <w:rFonts w:ascii="Segoe UI" w:eastAsia="Segoe UI" w:hAnsi="Segoe UI" w:cs="Segoe UI"/>
          <w:i/>
        </w:rPr>
        <w:t xml:space="preserve">“One recent example of this approach is the elegant </w:t>
      </w:r>
      <w:proofErr w:type="spellStart"/>
      <w:r>
        <w:rPr>
          <w:rFonts w:ascii="Segoe UI" w:eastAsia="Segoe UI" w:hAnsi="Segoe UI" w:cs="Segoe UI"/>
          <w:i/>
        </w:rPr>
        <w:t>CRISPRoff</w:t>
      </w:r>
      <w:proofErr w:type="spellEnd"/>
      <w:r>
        <w:rPr>
          <w:rFonts w:ascii="Segoe UI" w:eastAsia="Segoe UI" w:hAnsi="Segoe UI" w:cs="Segoe UI"/>
          <w:i/>
        </w:rPr>
        <w:t xml:space="preserve"> system, which combined dCas9-KOX1(KRAB) with subunits of epigenetic modifiers DNMT3A and DNMT3L to achieve long-term, heritable silencing across most gene </w:t>
      </w:r>
      <w:proofErr w:type="gramStart"/>
      <w:r>
        <w:rPr>
          <w:rFonts w:ascii="Segoe UI" w:eastAsia="Segoe UI" w:hAnsi="Segoe UI" w:cs="Segoe UI"/>
          <w:i/>
        </w:rPr>
        <w:t>targets(</w:t>
      </w:r>
      <w:proofErr w:type="gramEnd"/>
      <w:r>
        <w:rPr>
          <w:rFonts w:ascii="Segoe UI" w:eastAsia="Segoe UI" w:hAnsi="Segoe UI" w:cs="Segoe UI"/>
          <w:i/>
        </w:rPr>
        <w:t xml:space="preserve">80). We envision </w:t>
      </w:r>
      <w:proofErr w:type="gramStart"/>
      <w:r>
        <w:rPr>
          <w:rFonts w:ascii="Segoe UI" w:eastAsia="Segoe UI" w:hAnsi="Segoe UI" w:cs="Segoe UI"/>
          <w:i/>
        </w:rPr>
        <w:t>that future studies</w:t>
      </w:r>
      <w:proofErr w:type="gramEnd"/>
      <w:r>
        <w:rPr>
          <w:rFonts w:ascii="Segoe UI" w:eastAsia="Segoe UI" w:hAnsi="Segoe UI" w:cs="Segoe UI"/>
          <w:i/>
        </w:rPr>
        <w:t xml:space="preserve"> exploring complimentary epigenetic silencing mechanisms, standardizing optimal sgRNAs between different </w:t>
      </w:r>
      <w:proofErr w:type="spellStart"/>
      <w:r>
        <w:rPr>
          <w:rFonts w:ascii="Segoe UI" w:eastAsia="Segoe UI" w:hAnsi="Segoe UI" w:cs="Segoe UI"/>
          <w:i/>
        </w:rPr>
        <w:t>CRISPRi</w:t>
      </w:r>
      <w:proofErr w:type="spellEnd"/>
      <w:r>
        <w:rPr>
          <w:rFonts w:ascii="Segoe UI" w:eastAsia="Segoe UI" w:hAnsi="Segoe UI" w:cs="Segoe UI"/>
          <w:i/>
        </w:rPr>
        <w:t xml:space="preserve"> approaches, and investigating overall effector performance criteria, such as gene knockdown efficiency and duration, could together help overcome potential ‘upper limits’ on KRAB-based </w:t>
      </w:r>
      <w:proofErr w:type="spellStart"/>
      <w:r>
        <w:rPr>
          <w:rFonts w:ascii="Segoe UI" w:eastAsia="Segoe UI" w:hAnsi="Segoe UI" w:cs="Segoe UI"/>
          <w:i/>
        </w:rPr>
        <w:t>CRISPRi</w:t>
      </w:r>
      <w:proofErr w:type="spellEnd"/>
      <w:r>
        <w:rPr>
          <w:rFonts w:ascii="Segoe UI" w:eastAsia="Segoe UI" w:hAnsi="Segoe UI" w:cs="Segoe UI"/>
          <w:i/>
        </w:rPr>
        <w:t xml:space="preserve"> system performance” </w:t>
      </w:r>
    </w:p>
    <w:p w14:paraId="2BF90A44" w14:textId="77777777" w:rsidR="007F4242" w:rsidRDefault="007F4242" w:rsidP="007F4242">
      <w:pPr>
        <w:spacing w:after="158"/>
        <w:ind w:left="1"/>
      </w:pPr>
      <w:r>
        <w:rPr>
          <w:rFonts w:ascii="Segoe UI" w:eastAsia="Segoe UI" w:hAnsi="Segoe UI" w:cs="Segoe UI"/>
          <w:b/>
          <w:color w:val="FF0000"/>
        </w:rPr>
        <w:t xml:space="preserve"> </w:t>
      </w:r>
    </w:p>
    <w:p w14:paraId="0C0BAE58" w14:textId="77777777" w:rsidR="007F4242" w:rsidRDefault="007F4242" w:rsidP="007F4242">
      <w:pPr>
        <w:spacing w:after="159"/>
        <w:ind w:left="-3" w:hanging="10"/>
        <w:jc w:val="both"/>
      </w:pPr>
      <w:r>
        <w:rPr>
          <w:rFonts w:ascii="Segoe UI" w:eastAsia="Segoe UI" w:hAnsi="Segoe UI" w:cs="Segoe UI"/>
          <w:b/>
          <w:color w:val="FF0000"/>
        </w:rPr>
        <w:t xml:space="preserve">Comment 2: </w:t>
      </w:r>
      <w:r>
        <w:rPr>
          <w:rFonts w:ascii="Segoe UI" w:eastAsia="Segoe UI" w:hAnsi="Segoe UI" w:cs="Segoe UI"/>
          <w:color w:val="FF0000"/>
        </w:rPr>
        <w:t xml:space="preserve">In Fig 1. D, the authors claim that four novel repressor combinations (dCas9KRBOX1(KRAB)-MAX, dCas9-ZIM3(KRAB)-MAX, dCas9-ZIM3(KRAB)-MeCP2, and dCas9KOX1(KRAB)-MeCP2(t)) significantly improved knockdown and silencing percentage compared to dCas9-ZIM3(KRAB). Based on their initial screen in Fig 1.D, the </w:t>
      </w:r>
      <w:proofErr w:type="spellStart"/>
      <w:r>
        <w:rPr>
          <w:rFonts w:ascii="Segoe UI" w:eastAsia="Segoe UI" w:hAnsi="Segoe UI" w:cs="Segoe UI"/>
          <w:color w:val="FF0000"/>
        </w:rPr>
        <w:t>MeCP</w:t>
      </w:r>
      <w:proofErr w:type="spellEnd"/>
      <w:r>
        <w:rPr>
          <w:rFonts w:ascii="Segoe UI" w:eastAsia="Segoe UI" w:hAnsi="Segoe UI" w:cs="Segoe UI"/>
          <w:color w:val="FF0000"/>
        </w:rPr>
        <w:t>(t) exhibits similar effect compared to the MeCP2 domain. It seems that one combination dCas9-ZIM3-MeCP(t) is missing. What is the effect of such bipartite fusion relative to the above four combinations? Can authors clarify this?</w:t>
      </w:r>
      <w:r>
        <w:rPr>
          <w:rFonts w:ascii="Segoe UI" w:eastAsia="Segoe UI" w:hAnsi="Segoe UI" w:cs="Segoe UI"/>
          <w:b/>
        </w:rPr>
        <w:t xml:space="preserve"> </w:t>
      </w:r>
    </w:p>
    <w:p w14:paraId="372C1F11" w14:textId="77777777" w:rsidR="007F4242" w:rsidRDefault="007F4242" w:rsidP="007F4242">
      <w:pPr>
        <w:spacing w:after="158"/>
        <w:ind w:left="-3" w:hanging="10"/>
        <w:jc w:val="both"/>
      </w:pPr>
      <w:r>
        <w:rPr>
          <w:rFonts w:ascii="Segoe UI" w:eastAsia="Segoe UI" w:hAnsi="Segoe UI" w:cs="Segoe UI"/>
          <w:b/>
        </w:rPr>
        <w:t>Response</w:t>
      </w:r>
      <w:r>
        <w:rPr>
          <w:rFonts w:ascii="Segoe UI" w:eastAsia="Segoe UI" w:hAnsi="Segoe UI" w:cs="Segoe UI"/>
        </w:rPr>
        <w:t xml:space="preserve">: We thank the reviewer for pointing out ambiguities present in the bipartite library screening experiments. Although our bipartite library theoretically had 99% coverage (using the probability expressions introduced by Bosley and Ostermeier- </w:t>
      </w:r>
      <w:hyperlink r:id="rId8">
        <w:r>
          <w:rPr>
            <w:rFonts w:ascii="Segoe UI" w:eastAsia="Segoe UI" w:hAnsi="Segoe UI" w:cs="Segoe UI"/>
            <w:color w:val="0563C1"/>
            <w:u w:val="single" w:color="0563C1"/>
          </w:rPr>
          <w:t>https://www.sciencedirect.com/science/article/abs/pii/S1389034405000110</w:t>
        </w:r>
      </w:hyperlink>
      <w:hyperlink r:id="rId9">
        <w:r>
          <w:rPr>
            <w:rFonts w:ascii="Segoe UI" w:eastAsia="Segoe UI" w:hAnsi="Segoe UI" w:cs="Segoe UI"/>
          </w:rPr>
          <w:t>)</w:t>
        </w:r>
      </w:hyperlink>
      <w:r>
        <w:rPr>
          <w:rFonts w:ascii="Segoe UI" w:eastAsia="Segoe UI" w:hAnsi="Segoe UI" w:cs="Segoe UI"/>
        </w:rPr>
        <w:t>, dCas9-ZIM3(KRAB)MeCP2(t) unfortunately did appear in our analysis when we sequenced the top-performing plasmids in the screen to uncover their identities. We discovered the dCas9-ZIM3(KRAB)-MeCP2(t) variant later when performing a domain-switching experiment (Figure 4C</w:t>
      </w:r>
      <w:proofErr w:type="gramStart"/>
      <w:r>
        <w:rPr>
          <w:rFonts w:ascii="Segoe UI" w:eastAsia="Segoe UI" w:hAnsi="Segoe UI" w:cs="Segoe UI"/>
        </w:rPr>
        <w:t>), and</w:t>
      </w:r>
      <w:proofErr w:type="gramEnd"/>
      <w:r>
        <w:rPr>
          <w:rFonts w:ascii="Segoe UI" w:eastAsia="Segoe UI" w:hAnsi="Segoe UI" w:cs="Segoe UI"/>
        </w:rPr>
        <w:t xml:space="preserve"> subsequently found that this variant outperformed all four “bipartite hits” in </w:t>
      </w:r>
      <w:proofErr w:type="spellStart"/>
      <w:r>
        <w:rPr>
          <w:rFonts w:ascii="Segoe UI" w:eastAsia="Segoe UI" w:hAnsi="Segoe UI" w:cs="Segoe UI"/>
        </w:rPr>
        <w:t>eGFP</w:t>
      </w:r>
      <w:proofErr w:type="spellEnd"/>
      <w:r>
        <w:rPr>
          <w:rFonts w:ascii="Segoe UI" w:eastAsia="Segoe UI" w:hAnsi="Segoe UI" w:cs="Segoe UI"/>
        </w:rPr>
        <w:t xml:space="preserve"> knockdown assays (this data was moved to Supplementary Figure S9). We infer that this unfortunate “miss” in </w:t>
      </w:r>
      <w:r>
        <w:rPr>
          <w:rFonts w:ascii="Segoe UI" w:eastAsia="Segoe UI" w:hAnsi="Segoe UI" w:cs="Segoe UI"/>
        </w:rPr>
        <w:lastRenderedPageBreak/>
        <w:t xml:space="preserve">the bipartite library could have originated from either an overreliance on n = 1 replicates during initial screening with the inherent biological variability across replicates, or inherent variability of transfection, which could increase this variability.  </w:t>
      </w:r>
    </w:p>
    <w:p w14:paraId="32B09263" w14:textId="77777777" w:rsidR="007F4242" w:rsidRDefault="007F4242" w:rsidP="007F4242">
      <w:pPr>
        <w:spacing w:after="158"/>
        <w:ind w:left="-3" w:hanging="10"/>
        <w:jc w:val="both"/>
      </w:pPr>
      <w:r>
        <w:rPr>
          <w:rFonts w:ascii="Segoe UI" w:eastAsia="Segoe UI" w:hAnsi="Segoe UI" w:cs="Segoe UI"/>
        </w:rPr>
        <w:t xml:space="preserve">We included the following text on Page 28 to address this in the main text:  </w:t>
      </w:r>
    </w:p>
    <w:p w14:paraId="3AECB72F" w14:textId="77777777" w:rsidR="007F4242" w:rsidRDefault="007F4242" w:rsidP="007F4242">
      <w:pPr>
        <w:spacing w:after="168" w:line="249" w:lineRule="auto"/>
        <w:ind w:left="572" w:right="564" w:hanging="9"/>
        <w:jc w:val="both"/>
      </w:pPr>
      <w:r>
        <w:rPr>
          <w:rFonts w:ascii="Segoe UI" w:eastAsia="Segoe UI" w:hAnsi="Segoe UI" w:cs="Segoe UI"/>
          <w:i/>
        </w:rPr>
        <w:t xml:space="preserve">“Interestingly, we did not isolate our eventual top-performing repressor variant, dCas9ZIM3(KRAB)-MeCP2(t), from our original bipartite library screening process despite it being a potential library member and screening to achieve a theoretical 99% coverage. While this ‘near </w:t>
      </w:r>
      <w:proofErr w:type="spellStart"/>
      <w:r>
        <w:rPr>
          <w:rFonts w:ascii="Segoe UI" w:eastAsia="Segoe UI" w:hAnsi="Segoe UI" w:cs="Segoe UI"/>
          <w:i/>
        </w:rPr>
        <w:t>miss’</w:t>
      </w:r>
      <w:proofErr w:type="spellEnd"/>
      <w:r>
        <w:rPr>
          <w:rFonts w:ascii="Segoe UI" w:eastAsia="Segoe UI" w:hAnsi="Segoe UI" w:cs="Segoe UI"/>
          <w:i/>
        </w:rPr>
        <w:t xml:space="preserve"> may have resulted from simply not having screened for this variant originally, it may have also resulted from an over-reliance on an n = 1 library screening strategy that can be hampered by inherent biological variability. In addition, it demonstrates the importance of more thorough and rational engineering strategies towards isolating best-performing protein fusion candidates, as we saw when we were able to rectify our ‘near </w:t>
      </w:r>
      <w:proofErr w:type="spellStart"/>
      <w:r>
        <w:rPr>
          <w:rFonts w:ascii="Segoe UI" w:eastAsia="Segoe UI" w:hAnsi="Segoe UI" w:cs="Segoe UI"/>
          <w:i/>
        </w:rPr>
        <w:t>miss’</w:t>
      </w:r>
      <w:proofErr w:type="spellEnd"/>
      <w:r>
        <w:rPr>
          <w:rFonts w:ascii="Segoe UI" w:eastAsia="Segoe UI" w:hAnsi="Segoe UI" w:cs="Segoe UI"/>
          <w:i/>
        </w:rPr>
        <w:t xml:space="preserve"> while fully dissecting the tripartite dCas9-ZIM3(KRAB)MAX-MeCP2(t) variant.” </w:t>
      </w:r>
    </w:p>
    <w:p w14:paraId="263C4A09" w14:textId="77777777" w:rsidR="007F4242" w:rsidRDefault="007F4242" w:rsidP="007F4242">
      <w:pPr>
        <w:spacing w:after="158"/>
        <w:ind w:left="1"/>
      </w:pPr>
      <w:r>
        <w:rPr>
          <w:rFonts w:ascii="Segoe UI" w:eastAsia="Segoe UI" w:hAnsi="Segoe UI" w:cs="Segoe UI"/>
          <w:b/>
          <w:color w:val="FF0000"/>
        </w:rPr>
        <w:t xml:space="preserve"> </w:t>
      </w:r>
    </w:p>
    <w:p w14:paraId="71F10B71" w14:textId="77777777" w:rsidR="007F4242" w:rsidRDefault="007F4242" w:rsidP="007F4242">
      <w:pPr>
        <w:spacing w:after="159"/>
        <w:ind w:left="-3" w:hanging="10"/>
        <w:jc w:val="both"/>
      </w:pPr>
      <w:r>
        <w:rPr>
          <w:rFonts w:ascii="Segoe UI" w:eastAsia="Segoe UI" w:hAnsi="Segoe UI" w:cs="Segoe UI"/>
          <w:b/>
          <w:color w:val="FF0000"/>
        </w:rPr>
        <w:t xml:space="preserve">Comment 3: </w:t>
      </w:r>
      <w:r>
        <w:rPr>
          <w:rFonts w:ascii="Segoe UI" w:eastAsia="Segoe UI" w:hAnsi="Segoe UI" w:cs="Segoe UI"/>
          <w:color w:val="FF0000"/>
        </w:rPr>
        <w:t xml:space="preserve">Again, in Fig 1. F, by further screening the tripartite fusion proteins, the authors identify one novel tripartite fusion (dCas9-ZIM3(KRAB)-MAX-MeCP2(t)) exhibited superior knockdown efficiency compared to all four potent bipartite variants in HEK293T cells. What is the effect of such tripartite fusion compared to the dCas9-ZIM3(KRAB)-MeCP2(t) bipartite and/or the new order combination dCas9-ZIM3(KRAB)-MeCP2(t)-MAX? This is about mathematic combinations and coverage of their library design, but matters. The authors need to clarify why those combinations were missing and </w:t>
      </w:r>
      <w:proofErr w:type="gramStart"/>
      <w:r>
        <w:rPr>
          <w:rFonts w:ascii="Segoe UI" w:eastAsia="Segoe UI" w:hAnsi="Segoe UI" w:cs="Segoe UI"/>
          <w:color w:val="FF0000"/>
        </w:rPr>
        <w:t>compare</w:t>
      </w:r>
      <w:proofErr w:type="gramEnd"/>
      <w:r>
        <w:rPr>
          <w:rFonts w:ascii="Segoe UI" w:eastAsia="Segoe UI" w:hAnsi="Segoe UI" w:cs="Segoe UI"/>
          <w:color w:val="FF0000"/>
        </w:rPr>
        <w:t xml:space="preserve"> to the current available results.</w:t>
      </w:r>
      <w:r>
        <w:rPr>
          <w:rFonts w:ascii="Segoe UI" w:eastAsia="Segoe UI" w:hAnsi="Segoe UI" w:cs="Segoe UI"/>
          <w:b/>
        </w:rPr>
        <w:t xml:space="preserve"> </w:t>
      </w:r>
    </w:p>
    <w:p w14:paraId="4750D587" w14:textId="77777777" w:rsidR="007F4242" w:rsidRDefault="007F4242" w:rsidP="007F4242">
      <w:pPr>
        <w:spacing w:after="158"/>
        <w:ind w:left="-3" w:hanging="10"/>
        <w:jc w:val="both"/>
      </w:pPr>
      <w:r>
        <w:rPr>
          <w:rFonts w:ascii="Segoe UI" w:eastAsia="Segoe UI" w:hAnsi="Segoe UI" w:cs="Segoe UI"/>
          <w:b/>
        </w:rPr>
        <w:t>Response</w:t>
      </w:r>
      <w:r>
        <w:rPr>
          <w:rFonts w:ascii="Segoe UI" w:eastAsia="Segoe UI" w:hAnsi="Segoe UI" w:cs="Segoe UI"/>
        </w:rPr>
        <w:t xml:space="preserve">: We thank the reviewer for calling to attention to the unclear differences in activity between various </w:t>
      </w:r>
      <w:proofErr w:type="spellStart"/>
      <w:r>
        <w:rPr>
          <w:rFonts w:ascii="Segoe UI" w:eastAsia="Segoe UI" w:hAnsi="Segoe UI" w:cs="Segoe UI"/>
        </w:rPr>
        <w:t>CRISPRi</w:t>
      </w:r>
      <w:proofErr w:type="spellEnd"/>
      <w:r>
        <w:rPr>
          <w:rFonts w:ascii="Segoe UI" w:eastAsia="Segoe UI" w:hAnsi="Segoe UI" w:cs="Segoe UI"/>
        </w:rPr>
        <w:t xml:space="preserve"> platforms discussed in the study, including dCas9-ZIM3(KRAB)-MeCP2(t) and dCas9-ZIM3(KRAB)-MAX-MeCP2(t). Since our tripartite library only incorporated “hits” from the bipartite library as “Domain 1” and “Domain 2” in the interest of maintaining a modest library size, this introduced a significant limitation on the number of possibilities could emerge through the introduction of an additional “Domain 3”. For example, because dCas9-ZIM3(KRAB)-MAX was a “hit” in the bipartite library, dCas9-ZIM3(KRAB)-MAX-MeCP2(t) was in the potential design space of the tripartite library. Conversely, dCas9-ZIM3(KRAB)-MeCP2(t)-MAX (although containing the same domains) was not accessible in the tripartite library since we did not observe dCas9ZIM3(KRAB)-MeCP2(t) as a bipartite library “hit” (discussed further in the above </w:t>
      </w:r>
      <w:r>
        <w:rPr>
          <w:rFonts w:ascii="Segoe UI" w:eastAsia="Segoe UI" w:hAnsi="Segoe UI" w:cs="Segoe UI"/>
          <w:b/>
        </w:rPr>
        <w:t>Comment 2</w:t>
      </w:r>
      <w:r>
        <w:rPr>
          <w:rFonts w:ascii="Segoe UI" w:eastAsia="Segoe UI" w:hAnsi="Segoe UI" w:cs="Segoe UI"/>
        </w:rPr>
        <w:t xml:space="preserve">). Recognizing this inherent limitation of our library design was a primary motivation for us to pursue a domain switching experiment with dCas9-ZIM3(KRAB)-MAX-MeCP2(t) (Figure 4C), which gives a concise picture of how domain order (or “missing domains”) influences knockdown efficiency.  </w:t>
      </w:r>
    </w:p>
    <w:p w14:paraId="031C700B" w14:textId="77777777" w:rsidR="007F4242" w:rsidRDefault="007F4242" w:rsidP="007F4242">
      <w:pPr>
        <w:spacing w:after="159"/>
        <w:ind w:left="1"/>
      </w:pPr>
      <w:r>
        <w:rPr>
          <w:rFonts w:ascii="Segoe UI" w:eastAsia="Segoe UI" w:hAnsi="Segoe UI" w:cs="Segoe UI"/>
        </w:rPr>
        <w:lastRenderedPageBreak/>
        <w:t xml:space="preserve"> </w:t>
      </w:r>
    </w:p>
    <w:p w14:paraId="7502FADC" w14:textId="77777777" w:rsidR="007F4242" w:rsidRDefault="007F4242" w:rsidP="007F4242">
      <w:pPr>
        <w:spacing w:after="159"/>
        <w:ind w:left="-3" w:hanging="10"/>
        <w:jc w:val="both"/>
      </w:pPr>
      <w:r>
        <w:rPr>
          <w:rFonts w:ascii="Segoe UI" w:eastAsia="Segoe UI" w:hAnsi="Segoe UI" w:cs="Segoe UI"/>
          <w:b/>
          <w:color w:val="FF0000"/>
        </w:rPr>
        <w:t xml:space="preserve">Comment 4: </w:t>
      </w:r>
      <w:r>
        <w:rPr>
          <w:rFonts w:ascii="Segoe UI" w:eastAsia="Segoe UI" w:hAnsi="Segoe UI" w:cs="Segoe UI"/>
          <w:color w:val="FF0000"/>
        </w:rPr>
        <w:t xml:space="preserve">The authors claim several times that </w:t>
      </w:r>
      <w:proofErr w:type="gramStart"/>
      <w:r>
        <w:rPr>
          <w:rFonts w:ascii="Segoe UI" w:eastAsia="Segoe UI" w:hAnsi="Segoe UI" w:cs="Segoe UI"/>
          <w:color w:val="FF0000"/>
        </w:rPr>
        <w:t>no</w:t>
      </w:r>
      <w:proofErr w:type="gramEnd"/>
      <w:r>
        <w:rPr>
          <w:rFonts w:ascii="Segoe UI" w:eastAsia="Segoe UI" w:hAnsi="Segoe UI" w:cs="Segoe UI"/>
          <w:color w:val="FF0000"/>
        </w:rPr>
        <w:t xml:space="preserve"> correlation between the expression level of dCas9 fusion protein and the knockdown efficiency (see supplemental Figure 4 and discussion part). I would argue that the </w:t>
      </w:r>
      <w:proofErr w:type="spellStart"/>
      <w:r>
        <w:rPr>
          <w:rFonts w:ascii="Segoe UI" w:eastAsia="Segoe UI" w:hAnsi="Segoe UI" w:cs="Segoe UI"/>
          <w:color w:val="FF0000"/>
        </w:rPr>
        <w:t>mCherry</w:t>
      </w:r>
      <w:proofErr w:type="spellEnd"/>
      <w:r>
        <w:rPr>
          <w:rFonts w:ascii="Segoe UI" w:eastAsia="Segoe UI" w:hAnsi="Segoe UI" w:cs="Segoe UI"/>
          <w:color w:val="FF0000"/>
        </w:rPr>
        <w:t xml:space="preserve"> signal may not represent the true expression level of dCas9 fusion protein in cells. I strongly recommend the authors validate their protein level by Western blot, at least for the novel five superior combinations. In that way, it could also clearly tell the protein size of each combination as the molecular weight matters for their delivery in further application.</w:t>
      </w:r>
      <w:r>
        <w:rPr>
          <w:rFonts w:ascii="Segoe UI" w:eastAsia="Segoe UI" w:hAnsi="Segoe UI" w:cs="Segoe UI"/>
          <w:b/>
          <w:color w:val="FF0000"/>
        </w:rPr>
        <w:t xml:space="preserve"> </w:t>
      </w:r>
    </w:p>
    <w:p w14:paraId="0E5EB1DA" w14:textId="77777777" w:rsidR="007F4242" w:rsidRDefault="007F4242" w:rsidP="007F4242">
      <w:pPr>
        <w:spacing w:after="158"/>
        <w:ind w:left="-3" w:hanging="10"/>
        <w:jc w:val="both"/>
      </w:pPr>
      <w:r>
        <w:rPr>
          <w:rFonts w:ascii="Segoe UI" w:eastAsia="Segoe UI" w:hAnsi="Segoe UI" w:cs="Segoe UI"/>
          <w:b/>
        </w:rPr>
        <w:t>Response</w:t>
      </w:r>
      <w:r>
        <w:rPr>
          <w:rFonts w:ascii="Segoe UI" w:eastAsia="Segoe UI" w:hAnsi="Segoe UI" w:cs="Segoe UI"/>
        </w:rPr>
        <w:t xml:space="preserve">: We thank the reviewer for their recommendation and agree that it is important to validate the relationship between </w:t>
      </w:r>
      <w:proofErr w:type="spellStart"/>
      <w:r>
        <w:rPr>
          <w:rFonts w:ascii="Segoe UI" w:eastAsia="Segoe UI" w:hAnsi="Segoe UI" w:cs="Segoe UI"/>
        </w:rPr>
        <w:t>mCherry</w:t>
      </w:r>
      <w:proofErr w:type="spellEnd"/>
      <w:r>
        <w:rPr>
          <w:rFonts w:ascii="Segoe UI" w:eastAsia="Segoe UI" w:hAnsi="Segoe UI" w:cs="Segoe UI"/>
        </w:rPr>
        <w:t xml:space="preserve"> signal and actual expression levels of dCas9-repressor fusions. To demonstrate this correlation, we performed immunofluorescence staining in HEK293T cells. After transfection with our top-performing effectors and associated controls, cells were fixed, permeabilized, and stained with anti-HA, AF488 conjugated antibodies (adhering to an HA-tag within the linker connecting dCas9 to the first repressor domain). After staining, cells were analyzed via flow cytometry to simultaneously measure dCas9 expression (via AF488) and </w:t>
      </w:r>
      <w:proofErr w:type="spellStart"/>
      <w:r>
        <w:rPr>
          <w:rFonts w:ascii="Segoe UI" w:eastAsia="Segoe UI" w:hAnsi="Segoe UI" w:cs="Segoe UI"/>
        </w:rPr>
        <w:t>mCherry</w:t>
      </w:r>
      <w:proofErr w:type="spellEnd"/>
      <w:r>
        <w:rPr>
          <w:rFonts w:ascii="Segoe UI" w:eastAsia="Segoe UI" w:hAnsi="Segoe UI" w:cs="Segoe UI"/>
        </w:rPr>
        <w:t xml:space="preserve"> expression. Overall, we observed </w:t>
      </w:r>
      <w:proofErr w:type="gramStart"/>
      <w:r>
        <w:rPr>
          <w:rFonts w:ascii="Segoe UI" w:eastAsia="Segoe UI" w:hAnsi="Segoe UI" w:cs="Segoe UI"/>
        </w:rPr>
        <w:t>strong</w:t>
      </w:r>
      <w:proofErr w:type="gramEnd"/>
      <w:r>
        <w:rPr>
          <w:rFonts w:ascii="Segoe UI" w:eastAsia="Segoe UI" w:hAnsi="Segoe UI" w:cs="Segoe UI"/>
        </w:rPr>
        <w:t xml:space="preserve"> correlation between dCas9 (AF488) and </w:t>
      </w:r>
      <w:proofErr w:type="spellStart"/>
      <w:r>
        <w:rPr>
          <w:rFonts w:ascii="Segoe UI" w:eastAsia="Segoe UI" w:hAnsi="Segoe UI" w:cs="Segoe UI"/>
        </w:rPr>
        <w:t>mCherry</w:t>
      </w:r>
      <w:proofErr w:type="spellEnd"/>
      <w:r>
        <w:rPr>
          <w:rFonts w:ascii="Segoe UI" w:eastAsia="Segoe UI" w:hAnsi="Segoe UI" w:cs="Segoe UI"/>
        </w:rPr>
        <w:t xml:space="preserve">. We added the associated methods section on Page 7 and results are included in Supplementary Figure S5 with associated main text on Page 12: </w:t>
      </w:r>
    </w:p>
    <w:p w14:paraId="61D9C033" w14:textId="77777777" w:rsidR="007F4242" w:rsidRDefault="007F4242" w:rsidP="007F4242">
      <w:pPr>
        <w:spacing w:after="9" w:line="249" w:lineRule="auto"/>
        <w:ind w:left="572" w:right="564" w:hanging="9"/>
        <w:jc w:val="both"/>
      </w:pPr>
      <w:r>
        <w:rPr>
          <w:rFonts w:ascii="Segoe UI" w:eastAsia="Segoe UI" w:hAnsi="Segoe UI" w:cs="Segoe UI"/>
          <w:i/>
        </w:rPr>
        <w:t xml:space="preserve">“To confirm that </w:t>
      </w:r>
      <w:proofErr w:type="spellStart"/>
      <w:r>
        <w:rPr>
          <w:rFonts w:ascii="Segoe UI" w:eastAsia="Segoe UI" w:hAnsi="Segoe UI" w:cs="Segoe UI"/>
          <w:i/>
        </w:rPr>
        <w:t>mCherry</w:t>
      </w:r>
      <w:proofErr w:type="spellEnd"/>
      <w:r>
        <w:rPr>
          <w:rFonts w:ascii="Segoe UI" w:eastAsia="Segoe UI" w:hAnsi="Segoe UI" w:cs="Segoe UI"/>
          <w:i/>
        </w:rPr>
        <w:t xml:space="preserve"> was an accurate proxy for quantifying dCas9-repressor expression, we performed immunofluorescence staining and observed a strong degree of overlap between </w:t>
      </w:r>
      <w:proofErr w:type="spellStart"/>
      <w:r>
        <w:rPr>
          <w:rFonts w:ascii="Segoe UI" w:eastAsia="Segoe UI" w:hAnsi="Segoe UI" w:cs="Segoe UI"/>
          <w:i/>
        </w:rPr>
        <w:t>mCherry</w:t>
      </w:r>
      <w:proofErr w:type="spellEnd"/>
      <w:r>
        <w:rPr>
          <w:rFonts w:ascii="Segoe UI" w:eastAsia="Segoe UI" w:hAnsi="Segoe UI" w:cs="Segoe UI"/>
          <w:i/>
        </w:rPr>
        <w:t xml:space="preserve"> and intracellular protein levels (Supplementary Figure S5)” </w:t>
      </w:r>
    </w:p>
    <w:p w14:paraId="79AF53B8" w14:textId="77777777" w:rsidR="007F4242" w:rsidRDefault="007F4242" w:rsidP="007F4242">
      <w:pPr>
        <w:spacing w:after="158"/>
        <w:ind w:left="1"/>
      </w:pPr>
      <w:r>
        <w:rPr>
          <w:rFonts w:ascii="Segoe UI" w:eastAsia="Segoe UI" w:hAnsi="Segoe UI" w:cs="Segoe UI"/>
        </w:rPr>
        <w:t xml:space="preserve"> </w:t>
      </w:r>
    </w:p>
    <w:p w14:paraId="562BA8F6" w14:textId="77777777" w:rsidR="007F4242" w:rsidRDefault="007F4242" w:rsidP="007F4242">
      <w:pPr>
        <w:spacing w:after="159"/>
        <w:ind w:left="1"/>
      </w:pPr>
      <w:r>
        <w:rPr>
          <w:rFonts w:ascii="Segoe UI" w:eastAsia="Segoe UI" w:hAnsi="Segoe UI" w:cs="Segoe UI"/>
        </w:rPr>
        <w:t xml:space="preserve"> </w:t>
      </w:r>
    </w:p>
    <w:p w14:paraId="63FDCD97" w14:textId="77777777" w:rsidR="007F4242" w:rsidRDefault="007F4242" w:rsidP="007F4242">
      <w:pPr>
        <w:spacing w:after="159"/>
        <w:ind w:left="-3" w:hanging="10"/>
        <w:jc w:val="both"/>
      </w:pPr>
      <w:r>
        <w:rPr>
          <w:rFonts w:ascii="Segoe UI" w:eastAsia="Segoe UI" w:hAnsi="Segoe UI" w:cs="Segoe UI"/>
          <w:b/>
          <w:color w:val="FF0000"/>
        </w:rPr>
        <w:t xml:space="preserve">Comment 5: </w:t>
      </w:r>
      <w:r>
        <w:rPr>
          <w:rFonts w:ascii="Segoe UI" w:eastAsia="Segoe UI" w:hAnsi="Segoe UI" w:cs="Segoe UI"/>
          <w:color w:val="FF0000"/>
        </w:rPr>
        <w:t xml:space="preserve">The knockdown efficiency of </w:t>
      </w:r>
      <w:proofErr w:type="spellStart"/>
      <w:r>
        <w:rPr>
          <w:rFonts w:ascii="Segoe UI" w:eastAsia="Segoe UI" w:hAnsi="Segoe UI" w:cs="Segoe UI"/>
          <w:color w:val="FF0000"/>
        </w:rPr>
        <w:t>CRISPRi</w:t>
      </w:r>
      <w:proofErr w:type="spellEnd"/>
      <w:r>
        <w:rPr>
          <w:rFonts w:ascii="Segoe UI" w:eastAsia="Segoe UI" w:hAnsi="Segoe UI" w:cs="Segoe UI"/>
          <w:color w:val="FF0000"/>
        </w:rPr>
        <w:t xml:space="preserve"> may depend on the specific chromatin context for individual gene loci. The authors have confirmed the knockdown efficacy for four genes in HEK293T cells and set up a competitive proliferation assay to target three additional essential genes in tumor cells (Fig 2.B an Fig. 3B). However, the generality of this technique is limited by only </w:t>
      </w:r>
      <w:proofErr w:type="gramStart"/>
      <w:r>
        <w:rPr>
          <w:rFonts w:ascii="Segoe UI" w:eastAsia="Segoe UI" w:hAnsi="Segoe UI" w:cs="Segoe UI"/>
          <w:color w:val="FF0000"/>
        </w:rPr>
        <w:t>validating in</w:t>
      </w:r>
      <w:proofErr w:type="gramEnd"/>
      <w:r>
        <w:rPr>
          <w:rFonts w:ascii="Segoe UI" w:eastAsia="Segoe UI" w:hAnsi="Segoe UI" w:cs="Segoe UI"/>
          <w:color w:val="FF0000"/>
        </w:rPr>
        <w:t xml:space="preserve"> seven genes. I suggest the authors performing </w:t>
      </w:r>
      <w:proofErr w:type="gramStart"/>
      <w:r>
        <w:rPr>
          <w:rFonts w:ascii="Segoe UI" w:eastAsia="Segoe UI" w:hAnsi="Segoe UI" w:cs="Segoe UI"/>
          <w:color w:val="FF0000"/>
        </w:rPr>
        <w:t>an</w:t>
      </w:r>
      <w:proofErr w:type="gramEnd"/>
      <w:r>
        <w:rPr>
          <w:rFonts w:ascii="Segoe UI" w:eastAsia="Segoe UI" w:hAnsi="Segoe UI" w:cs="Segoe UI"/>
          <w:color w:val="FF0000"/>
        </w:rPr>
        <w:t xml:space="preserve"> </w:t>
      </w:r>
      <w:proofErr w:type="spellStart"/>
      <w:r>
        <w:rPr>
          <w:rFonts w:ascii="Segoe UI" w:eastAsia="Segoe UI" w:hAnsi="Segoe UI" w:cs="Segoe UI"/>
          <w:color w:val="FF0000"/>
        </w:rPr>
        <w:t>CRISPRi</w:t>
      </w:r>
      <w:proofErr w:type="spellEnd"/>
      <w:r>
        <w:rPr>
          <w:rFonts w:ascii="Segoe UI" w:eastAsia="Segoe UI" w:hAnsi="Segoe UI" w:cs="Segoe UI"/>
          <w:color w:val="FF0000"/>
        </w:rPr>
        <w:t xml:space="preserve">-based essential gene screen with their most powerful tool (See the method in Nat Commun. 2018 Dec 21;9(1):5416.). It would not only demonstrate how power of this platform </w:t>
      </w:r>
      <w:proofErr w:type="gramStart"/>
      <w:r>
        <w:rPr>
          <w:rFonts w:ascii="Segoe UI" w:eastAsia="Segoe UI" w:hAnsi="Segoe UI" w:cs="Segoe UI"/>
          <w:color w:val="FF0000"/>
        </w:rPr>
        <w:t>in</w:t>
      </w:r>
      <w:proofErr w:type="gramEnd"/>
      <w:r>
        <w:rPr>
          <w:rFonts w:ascii="Segoe UI" w:eastAsia="Segoe UI" w:hAnsi="Segoe UI" w:cs="Segoe UI"/>
          <w:color w:val="FF0000"/>
        </w:rPr>
        <w:t xml:space="preserve"> more endogenous </w:t>
      </w:r>
      <w:proofErr w:type="gramStart"/>
      <w:r>
        <w:rPr>
          <w:rFonts w:ascii="Segoe UI" w:eastAsia="Segoe UI" w:hAnsi="Segoe UI" w:cs="Segoe UI"/>
          <w:color w:val="FF0000"/>
        </w:rPr>
        <w:t>genes, but</w:t>
      </w:r>
      <w:proofErr w:type="gramEnd"/>
      <w:r>
        <w:rPr>
          <w:rFonts w:ascii="Segoe UI" w:eastAsia="Segoe UI" w:hAnsi="Segoe UI" w:cs="Segoe UI"/>
          <w:color w:val="FF0000"/>
        </w:rPr>
        <w:t xml:space="preserve"> also broaden the application for the tool in genetic screen.</w:t>
      </w:r>
      <w:r>
        <w:rPr>
          <w:rFonts w:ascii="Segoe UI" w:eastAsia="Segoe UI" w:hAnsi="Segoe UI" w:cs="Segoe UI"/>
          <w:b/>
          <w:color w:val="FF0000"/>
        </w:rPr>
        <w:t xml:space="preserve"> </w:t>
      </w:r>
    </w:p>
    <w:p w14:paraId="1AC50D19" w14:textId="77777777" w:rsidR="007F4242" w:rsidRDefault="007F4242" w:rsidP="007F4242">
      <w:pPr>
        <w:spacing w:after="158"/>
        <w:ind w:left="-3" w:hanging="10"/>
        <w:jc w:val="both"/>
      </w:pPr>
      <w:r>
        <w:rPr>
          <w:rFonts w:ascii="Segoe UI" w:eastAsia="Segoe UI" w:hAnsi="Segoe UI" w:cs="Segoe UI"/>
          <w:b/>
        </w:rPr>
        <w:t>Response</w:t>
      </w:r>
      <w:r>
        <w:rPr>
          <w:rFonts w:ascii="Segoe UI" w:eastAsia="Segoe UI" w:hAnsi="Segoe UI" w:cs="Segoe UI"/>
        </w:rPr>
        <w:t xml:space="preserve">: We thank the reviewer for their suggestion to expand the validation of our </w:t>
      </w:r>
      <w:proofErr w:type="spellStart"/>
      <w:r>
        <w:rPr>
          <w:rFonts w:ascii="Segoe UI" w:eastAsia="Segoe UI" w:hAnsi="Segoe UI" w:cs="Segoe UI"/>
        </w:rPr>
        <w:t>topperforming</w:t>
      </w:r>
      <w:proofErr w:type="spellEnd"/>
      <w:r>
        <w:rPr>
          <w:rFonts w:ascii="Segoe UI" w:eastAsia="Segoe UI" w:hAnsi="Segoe UI" w:cs="Segoe UI"/>
        </w:rPr>
        <w:t xml:space="preserve"> repressor variants to include large-scale </w:t>
      </w:r>
      <w:proofErr w:type="spellStart"/>
      <w:r>
        <w:rPr>
          <w:rFonts w:ascii="Segoe UI" w:eastAsia="Segoe UI" w:hAnsi="Segoe UI" w:cs="Segoe UI"/>
        </w:rPr>
        <w:t>CRISPRi</w:t>
      </w:r>
      <w:proofErr w:type="spellEnd"/>
      <w:r>
        <w:rPr>
          <w:rFonts w:ascii="Segoe UI" w:eastAsia="Segoe UI" w:hAnsi="Segoe UI" w:cs="Segoe UI"/>
        </w:rPr>
        <w:t xml:space="preserve"> screening. To perform this experiment, we closely followed the materials and methods described in the excellent work by Sanson et al. (</w:t>
      </w:r>
      <w:hyperlink r:id="rId10">
        <w:r>
          <w:rPr>
            <w:rFonts w:ascii="Segoe UI" w:eastAsia="Segoe UI" w:hAnsi="Segoe UI" w:cs="Segoe UI"/>
            <w:color w:val="0563C1"/>
            <w:u w:val="single" w:color="0563C1"/>
          </w:rPr>
          <w:t>https://www.nature.com/articles/s41467-018-07901-8</w:t>
        </w:r>
      </w:hyperlink>
      <w:hyperlink r:id="rId11">
        <w:r>
          <w:rPr>
            <w:rFonts w:ascii="Segoe UI" w:eastAsia="Segoe UI" w:hAnsi="Segoe UI" w:cs="Segoe UI"/>
          </w:rPr>
          <w:t>)</w:t>
        </w:r>
      </w:hyperlink>
      <w:r>
        <w:rPr>
          <w:rFonts w:ascii="Segoe UI" w:eastAsia="Segoe UI" w:hAnsi="Segoe UI" w:cs="Segoe UI"/>
        </w:rPr>
        <w:t xml:space="preserve">. Briefly, we performed a </w:t>
      </w:r>
      <w:proofErr w:type="spellStart"/>
      <w:r>
        <w:rPr>
          <w:rFonts w:ascii="Segoe UI" w:eastAsia="Segoe UI" w:hAnsi="Segoe UI" w:cs="Segoe UI"/>
        </w:rPr>
        <w:t>CRISPRi</w:t>
      </w:r>
      <w:proofErr w:type="spellEnd"/>
      <w:r>
        <w:rPr>
          <w:rFonts w:ascii="Segoe UI" w:eastAsia="Segoe UI" w:hAnsi="Segoe UI" w:cs="Segoe UI"/>
        </w:rPr>
        <w:t xml:space="preserve"> essential gene dropout screen using the Dolcetto Set A genome-wide sgRNA library </w:t>
      </w:r>
      <w:hyperlink r:id="rId12">
        <w:r>
          <w:rPr>
            <w:rFonts w:ascii="Segoe UI" w:eastAsia="Segoe UI" w:hAnsi="Segoe UI" w:cs="Segoe UI"/>
          </w:rPr>
          <w:t>(</w:t>
        </w:r>
      </w:hyperlink>
      <w:hyperlink r:id="rId13">
        <w:r>
          <w:rPr>
            <w:rFonts w:ascii="Segoe UI" w:eastAsia="Segoe UI" w:hAnsi="Segoe UI" w:cs="Segoe UI"/>
            <w:color w:val="0563C1"/>
            <w:u w:val="single" w:color="0563C1"/>
          </w:rPr>
          <w:t>https://www.addgene.org/pooled-library/broadgpp-human-crispri-dolcetto/</w:t>
        </w:r>
      </w:hyperlink>
      <w:hyperlink r:id="rId14">
        <w:r>
          <w:rPr>
            <w:rFonts w:ascii="Segoe UI" w:eastAsia="Segoe UI" w:hAnsi="Segoe UI" w:cs="Segoe UI"/>
          </w:rPr>
          <w:t>)</w:t>
        </w:r>
      </w:hyperlink>
      <w:r>
        <w:rPr>
          <w:rFonts w:ascii="Segoe UI" w:eastAsia="Segoe UI" w:hAnsi="Segoe UI" w:cs="Segoe UI"/>
        </w:rPr>
        <w:t xml:space="preserve">. We compared our most powerful tool, dCas9-ZIM3(KRAB)-MeCP2(t), to other published </w:t>
      </w:r>
      <w:proofErr w:type="spellStart"/>
      <w:r>
        <w:rPr>
          <w:rFonts w:ascii="Segoe UI" w:eastAsia="Segoe UI" w:hAnsi="Segoe UI" w:cs="Segoe UI"/>
        </w:rPr>
        <w:t>CRISPRi</w:t>
      </w:r>
      <w:proofErr w:type="spellEnd"/>
      <w:r>
        <w:rPr>
          <w:rFonts w:ascii="Segoe UI" w:eastAsia="Segoe UI" w:hAnsi="Segoe UI" w:cs="Segoe UI"/>
        </w:rPr>
        <w:t xml:space="preserve"> platforms, dCas9ZIM3(KRAB) and dCas9-KOX1(KRAB)-MeCP2, in HCT116 cells. Overall, we observed that dCas9ZIM3(KRAB)-MeCP2(t) demonstrated an enhanced capability to: (1) perturb growth rates when targeting known, “core” essential genes and (2) uncover more genes that significantly decrease growth when employed at library scales. We believe that these results further distinguish dCas9ZIM3(KRAB)-MeCP2(t) as a uniquely powerful </w:t>
      </w:r>
      <w:proofErr w:type="spellStart"/>
      <w:r>
        <w:rPr>
          <w:rFonts w:ascii="Segoe UI" w:eastAsia="Segoe UI" w:hAnsi="Segoe UI" w:cs="Segoe UI"/>
        </w:rPr>
        <w:t>CRISPRi</w:t>
      </w:r>
      <w:proofErr w:type="spellEnd"/>
      <w:r>
        <w:rPr>
          <w:rFonts w:ascii="Segoe UI" w:eastAsia="Segoe UI" w:hAnsi="Segoe UI" w:cs="Segoe UI"/>
        </w:rPr>
        <w:t xml:space="preserve"> tool and add to the merit of our studies. Because of this, we added the data into a new figure in the main text, Figure 6, an additional supplementary figure (Supplementary Figure S12), several methods sub-sections describing the associated experimental </w:t>
      </w:r>
      <w:proofErr w:type="gramStart"/>
      <w:r>
        <w:rPr>
          <w:rFonts w:ascii="Segoe UI" w:eastAsia="Segoe UI" w:hAnsi="Segoe UI" w:cs="Segoe UI"/>
        </w:rPr>
        <w:t>procedures,  supplementary</w:t>
      </w:r>
      <w:proofErr w:type="gramEnd"/>
      <w:r>
        <w:rPr>
          <w:rFonts w:ascii="Segoe UI" w:eastAsia="Segoe UI" w:hAnsi="Segoe UI" w:cs="Segoe UI"/>
        </w:rPr>
        <w:t xml:space="preserve"> tables containing read counts from the screen (Supplementary Table 5) and the core essential and non-essential genes used throughout the analysis (Supplementary Table 6). Several mentions of the results are also included in the Discussion, and we included </w:t>
      </w:r>
      <w:proofErr w:type="gramStart"/>
      <w:r>
        <w:rPr>
          <w:rFonts w:ascii="Segoe UI" w:eastAsia="Segoe UI" w:hAnsi="Segoe UI" w:cs="Segoe UI"/>
        </w:rPr>
        <w:t>new</w:t>
      </w:r>
      <w:proofErr w:type="gramEnd"/>
      <w:r>
        <w:rPr>
          <w:rFonts w:ascii="Segoe UI" w:eastAsia="Segoe UI" w:hAnsi="Segoe UI" w:cs="Segoe UI"/>
        </w:rPr>
        <w:t xml:space="preserve"> main text to accompany them on Page 23-24:  </w:t>
      </w:r>
    </w:p>
    <w:p w14:paraId="1494397F" w14:textId="77777777" w:rsidR="007F4242" w:rsidRDefault="007F4242" w:rsidP="007F4242">
      <w:pPr>
        <w:spacing w:after="159"/>
        <w:ind w:left="433"/>
      </w:pPr>
      <w:r>
        <w:rPr>
          <w:rFonts w:ascii="Segoe UI" w:eastAsia="Segoe UI" w:hAnsi="Segoe UI" w:cs="Segoe UI"/>
        </w:rPr>
        <w:t xml:space="preserve"> </w:t>
      </w:r>
    </w:p>
    <w:p w14:paraId="156E8692" w14:textId="77777777" w:rsidR="007F4242" w:rsidRDefault="007F4242" w:rsidP="007F4242">
      <w:pPr>
        <w:spacing w:after="8" w:line="249" w:lineRule="auto"/>
        <w:ind w:left="442" w:right="564" w:hanging="9"/>
        <w:jc w:val="both"/>
      </w:pPr>
      <w:r>
        <w:rPr>
          <w:rFonts w:ascii="Segoe UI" w:eastAsia="Segoe UI" w:hAnsi="Segoe UI" w:cs="Segoe UI"/>
          <w:i/>
        </w:rPr>
        <w:t xml:space="preserve">“Pooled genome-wide screening is a powerful application of CRISPR technology, enabling large-scale interrogation of gene-phenotype relationships and genes regulating fundamental biological </w:t>
      </w:r>
      <w:proofErr w:type="gramStart"/>
      <w:r>
        <w:rPr>
          <w:rFonts w:ascii="Segoe UI" w:eastAsia="Segoe UI" w:hAnsi="Segoe UI" w:cs="Segoe UI"/>
          <w:i/>
        </w:rPr>
        <w:t>processes(</w:t>
      </w:r>
      <w:proofErr w:type="gramEnd"/>
      <w:r>
        <w:rPr>
          <w:rFonts w:ascii="Segoe UI" w:eastAsia="Segoe UI" w:hAnsi="Segoe UI" w:cs="Segoe UI"/>
          <w:i/>
        </w:rPr>
        <w:t xml:space="preserve">62). To determine how our most powerful effector, dCas9-ZIM3(KRAB)-MeCP2(t), performs compared to other field-standard </w:t>
      </w:r>
      <w:proofErr w:type="spellStart"/>
      <w:r>
        <w:rPr>
          <w:rFonts w:ascii="Segoe UI" w:eastAsia="Segoe UI" w:hAnsi="Segoe UI" w:cs="Segoe UI"/>
          <w:i/>
        </w:rPr>
        <w:t>CRISPRi</w:t>
      </w:r>
      <w:proofErr w:type="spellEnd"/>
      <w:r>
        <w:rPr>
          <w:rFonts w:ascii="Segoe UI" w:eastAsia="Segoe UI" w:hAnsi="Segoe UI" w:cs="Segoe UI"/>
          <w:i/>
        </w:rPr>
        <w:t xml:space="preserve"> tools in the context of pooled genome-wide screens, we performed unbiased dropout screening in HCT116 cells. After generating heterogeneous populations of HCT116 cells stably expressing dCas9, dCas9-ZIM3(KRAB), dCas9-KOX1(KRAB)-MeCP2, or dCas9ZIM3(KRAB)-MeCP2(t), we transduced these cells with the Dolcetto Set A sgRNA library(36), measured changes in sgRNA representation over a 21-day outgrowth period using high-throughput sequencing(63), and then calculated the fold depletion of sgRNAs. We then used two distinct analyses to gauge how well each </w:t>
      </w:r>
      <w:proofErr w:type="spellStart"/>
      <w:r>
        <w:rPr>
          <w:rFonts w:ascii="Segoe UI" w:eastAsia="Segoe UI" w:hAnsi="Segoe UI" w:cs="Segoe UI"/>
          <w:i/>
        </w:rPr>
        <w:t>CRISPRi</w:t>
      </w:r>
      <w:proofErr w:type="spellEnd"/>
      <w:r>
        <w:rPr>
          <w:rFonts w:ascii="Segoe UI" w:eastAsia="Segoe UI" w:hAnsi="Segoe UI" w:cs="Segoe UI"/>
          <w:i/>
        </w:rPr>
        <w:t xml:space="preserve"> platform functioned towards mediating negative selections of genes essential for cell growth. In one analysis (Figure 6A), we looked at the level of depletion of previously identified 215 core essential and 542 non-essential </w:t>
      </w:r>
      <w:proofErr w:type="gramStart"/>
      <w:r>
        <w:rPr>
          <w:rFonts w:ascii="Segoe UI" w:eastAsia="Segoe UI" w:hAnsi="Segoe UI" w:cs="Segoe UI"/>
          <w:i/>
        </w:rPr>
        <w:t>genes(</w:t>
      </w:r>
      <w:proofErr w:type="gramEnd"/>
      <w:r>
        <w:rPr>
          <w:rFonts w:ascii="Segoe UI" w:eastAsia="Segoe UI" w:hAnsi="Segoe UI" w:cs="Segoe UI"/>
          <w:i/>
        </w:rPr>
        <w:t xml:space="preserve">43). These core essential and non-essential genes are known to be important, or expendable, respectively, for cell growth across cancer cell lines (Supplementary Table </w:t>
      </w:r>
      <w:proofErr w:type="gramStart"/>
      <w:r>
        <w:rPr>
          <w:rFonts w:ascii="Segoe UI" w:eastAsia="Segoe UI" w:hAnsi="Segoe UI" w:cs="Segoe UI"/>
          <w:i/>
        </w:rPr>
        <w:t>6)(</w:t>
      </w:r>
      <w:proofErr w:type="gramEnd"/>
      <w:r>
        <w:rPr>
          <w:rFonts w:ascii="Segoe UI" w:eastAsia="Segoe UI" w:hAnsi="Segoe UI" w:cs="Segoe UI"/>
          <w:i/>
        </w:rPr>
        <w:t>43). Cells expressing dCas9-ZIM3(KRAB)-MeCP2(t) demonstrated the strongest depletion (negative selection) of core essential genes without depletion of sgRNAs targeting the core non-essential genes (Figure 6A, Supplementary Figure S12A). In our second analysis (Figure 6B), we analyzed depletion rates for every targeted gene in our genome-wide sgRNA library (18,901 genes in all) (Supplementary Figure S12</w:t>
      </w:r>
      <w:proofErr w:type="gramStart"/>
      <w:r>
        <w:rPr>
          <w:rFonts w:ascii="Segoe UI" w:eastAsia="Segoe UI" w:hAnsi="Segoe UI" w:cs="Segoe UI"/>
          <w:i/>
        </w:rPr>
        <w:t>B)(</w:t>
      </w:r>
      <w:proofErr w:type="gramEnd"/>
      <w:r>
        <w:rPr>
          <w:rFonts w:ascii="Segoe UI" w:eastAsia="Segoe UI" w:hAnsi="Segoe UI" w:cs="Segoe UI"/>
          <w:i/>
        </w:rPr>
        <w:t xml:space="preserve">36). Using the conventional </w:t>
      </w:r>
      <w:proofErr w:type="spellStart"/>
      <w:r>
        <w:rPr>
          <w:rFonts w:ascii="Segoe UI" w:eastAsia="Segoe UI" w:hAnsi="Segoe UI" w:cs="Segoe UI"/>
          <w:i/>
        </w:rPr>
        <w:t>MAGeCK</w:t>
      </w:r>
      <w:proofErr w:type="spellEnd"/>
      <w:r>
        <w:rPr>
          <w:rFonts w:ascii="Segoe UI" w:eastAsia="Segoe UI" w:hAnsi="Segoe UI" w:cs="Segoe UI"/>
          <w:i/>
        </w:rPr>
        <w:t xml:space="preserve"> analysis </w:t>
      </w:r>
      <w:proofErr w:type="gramStart"/>
      <w:r>
        <w:rPr>
          <w:rFonts w:ascii="Segoe UI" w:eastAsia="Segoe UI" w:hAnsi="Segoe UI" w:cs="Segoe UI"/>
          <w:i/>
        </w:rPr>
        <w:t>pipeline(</w:t>
      </w:r>
      <w:proofErr w:type="gramEnd"/>
      <w:r>
        <w:rPr>
          <w:rFonts w:ascii="Segoe UI" w:eastAsia="Segoe UI" w:hAnsi="Segoe UI" w:cs="Segoe UI"/>
          <w:i/>
        </w:rPr>
        <w:t xml:space="preserve">64) implemented in previous </w:t>
      </w:r>
      <w:proofErr w:type="spellStart"/>
      <w:r>
        <w:rPr>
          <w:rFonts w:ascii="Segoe UI" w:eastAsia="Segoe UI" w:hAnsi="Segoe UI" w:cs="Segoe UI"/>
          <w:i/>
        </w:rPr>
        <w:t>CRISPRi</w:t>
      </w:r>
      <w:proofErr w:type="spellEnd"/>
      <w:r>
        <w:rPr>
          <w:rFonts w:ascii="Segoe UI" w:eastAsia="Segoe UI" w:hAnsi="Segoe UI" w:cs="Segoe UI"/>
          <w:i/>
        </w:rPr>
        <w:t xml:space="preserve"> </w:t>
      </w:r>
      <w:proofErr w:type="gramStart"/>
      <w:r>
        <w:rPr>
          <w:rFonts w:ascii="Segoe UI" w:eastAsia="Segoe UI" w:hAnsi="Segoe UI" w:cs="Segoe UI"/>
          <w:i/>
        </w:rPr>
        <w:t>screens(</w:t>
      </w:r>
      <w:proofErr w:type="gramEnd"/>
      <w:r>
        <w:rPr>
          <w:rFonts w:ascii="Segoe UI" w:eastAsia="Segoe UI" w:hAnsi="Segoe UI" w:cs="Segoe UI"/>
          <w:i/>
        </w:rPr>
        <w:t xml:space="preserve">32, 35), we identified all genes experiencing significant depletion during the 21-day outgrowth period (with a </w:t>
      </w:r>
      <w:proofErr w:type="spellStart"/>
      <w:r>
        <w:rPr>
          <w:rFonts w:ascii="Segoe UI" w:eastAsia="Segoe UI" w:hAnsi="Segoe UI" w:cs="Segoe UI"/>
          <w:i/>
        </w:rPr>
        <w:t>MAGeCK</w:t>
      </w:r>
      <w:proofErr w:type="spellEnd"/>
      <w:r>
        <w:rPr>
          <w:rFonts w:ascii="Segoe UI" w:eastAsia="Segoe UI" w:hAnsi="Segoe UI" w:cs="Segoe UI"/>
          <w:i/>
        </w:rPr>
        <w:t xml:space="preserve"> beta score &lt; -0.3 and Wald-adjusted p-values &lt; 0.05) to evaluate the ability of dCas9-ZIM3(KRAB)-MeCP2(t) to reveal genes essential for cell growth. Through this analysis, genome-wide </w:t>
      </w:r>
      <w:proofErr w:type="spellStart"/>
      <w:r>
        <w:rPr>
          <w:rFonts w:ascii="Segoe UI" w:eastAsia="Segoe UI" w:hAnsi="Segoe UI" w:cs="Segoe UI"/>
          <w:i/>
        </w:rPr>
        <w:t>CRISPRi</w:t>
      </w:r>
      <w:proofErr w:type="spellEnd"/>
      <w:r>
        <w:rPr>
          <w:rFonts w:ascii="Segoe UI" w:eastAsia="Segoe UI" w:hAnsi="Segoe UI" w:cs="Segoe UI"/>
          <w:i/>
        </w:rPr>
        <w:t xml:space="preserve"> screening with dCas9-ZIM3(KRAB)-MeCP2(t) uncovered a total of 1,719 essential genes, </w:t>
      </w:r>
      <w:r>
        <w:rPr>
          <w:rFonts w:ascii="Segoe UI" w:eastAsia="Segoe UI" w:hAnsi="Segoe UI" w:cs="Segoe UI"/>
          <w:i/>
        </w:rPr>
        <w:lastRenderedPageBreak/>
        <w:t xml:space="preserve">significantly outperforming both dCas9-ZIM3(KRAB) (696 essential genes) and dCas9KOX1(KRAB)-MeCP2 (636 essential genes) (Figure 6B). Strikingly, the number of depleted genes closely aligns with the number of essential genes (~1,800) reported from previous CRISPR-Cas9 screens in HCT116 </w:t>
      </w:r>
      <w:proofErr w:type="gramStart"/>
      <w:r>
        <w:rPr>
          <w:rFonts w:ascii="Segoe UI" w:eastAsia="Segoe UI" w:hAnsi="Segoe UI" w:cs="Segoe UI"/>
          <w:i/>
        </w:rPr>
        <w:t>cells(</w:t>
      </w:r>
      <w:proofErr w:type="gramEnd"/>
      <w:r>
        <w:rPr>
          <w:rFonts w:ascii="Segoe UI" w:eastAsia="Segoe UI" w:hAnsi="Segoe UI" w:cs="Segoe UI"/>
          <w:i/>
        </w:rPr>
        <w:t xml:space="preserve">65, 66)”  </w:t>
      </w:r>
    </w:p>
    <w:p w14:paraId="4C2D42D0" w14:textId="77777777" w:rsidR="007F4242" w:rsidRDefault="007F4242" w:rsidP="007F4242">
      <w:pPr>
        <w:spacing w:after="159"/>
        <w:ind w:left="1"/>
      </w:pPr>
      <w:r>
        <w:rPr>
          <w:rFonts w:ascii="Segoe UI" w:eastAsia="Segoe UI" w:hAnsi="Segoe UI" w:cs="Segoe UI"/>
        </w:rPr>
        <w:t xml:space="preserve"> </w:t>
      </w:r>
    </w:p>
    <w:p w14:paraId="7F69131B" w14:textId="77777777" w:rsidR="007F4242" w:rsidRDefault="007F4242" w:rsidP="007F4242">
      <w:pPr>
        <w:spacing w:after="0"/>
        <w:ind w:left="1"/>
      </w:pPr>
      <w:r>
        <w:rPr>
          <w:rFonts w:ascii="Segoe UI" w:eastAsia="Segoe UI" w:hAnsi="Segoe UI" w:cs="Segoe UI"/>
        </w:rPr>
        <w:t xml:space="preserve"> </w:t>
      </w:r>
    </w:p>
    <w:p w14:paraId="7D0EE213" w14:textId="77777777" w:rsidR="007F4242" w:rsidRDefault="007F4242" w:rsidP="007F4242">
      <w:pPr>
        <w:spacing w:after="159"/>
        <w:ind w:left="-3" w:hanging="10"/>
        <w:jc w:val="both"/>
      </w:pPr>
      <w:r>
        <w:rPr>
          <w:rFonts w:ascii="Segoe UI" w:eastAsia="Segoe UI" w:hAnsi="Segoe UI" w:cs="Segoe UI"/>
          <w:b/>
          <w:color w:val="FF0000"/>
        </w:rPr>
        <w:t xml:space="preserve">Comment 6: </w:t>
      </w:r>
      <w:r>
        <w:rPr>
          <w:rFonts w:ascii="Segoe UI" w:eastAsia="Segoe UI" w:hAnsi="Segoe UI" w:cs="Segoe UI"/>
          <w:color w:val="FF0000"/>
        </w:rPr>
        <w:t xml:space="preserve">Again In Fig. 5A, the authors claim that "their Novel Repressor Fusions Demonstrate Robust Activity Across Cell Lines" with only validating in different cell lines based on plasmid reporter system. The reporter is a good platform to screen the best combination, while the real efficacy should be validated in the endogenous </w:t>
      </w:r>
      <w:proofErr w:type="gramStart"/>
      <w:r>
        <w:rPr>
          <w:rFonts w:ascii="Segoe UI" w:eastAsia="Segoe UI" w:hAnsi="Segoe UI" w:cs="Segoe UI"/>
          <w:color w:val="FF0000"/>
        </w:rPr>
        <w:t>loci</w:t>
      </w:r>
      <w:proofErr w:type="gramEnd"/>
      <w:r>
        <w:rPr>
          <w:rFonts w:ascii="Segoe UI" w:eastAsia="Segoe UI" w:hAnsi="Segoe UI" w:cs="Segoe UI"/>
          <w:color w:val="FF0000"/>
        </w:rPr>
        <w:t xml:space="preserve">. How power if the new </w:t>
      </w:r>
      <w:proofErr w:type="spellStart"/>
      <w:r>
        <w:rPr>
          <w:rFonts w:ascii="Segoe UI" w:eastAsia="Segoe UI" w:hAnsi="Segoe UI" w:cs="Segoe UI"/>
          <w:color w:val="FF0000"/>
        </w:rPr>
        <w:t>CRISPRi</w:t>
      </w:r>
      <w:proofErr w:type="spellEnd"/>
      <w:r>
        <w:rPr>
          <w:rFonts w:ascii="Segoe UI" w:eastAsia="Segoe UI" w:hAnsi="Segoe UI" w:cs="Segoe UI"/>
          <w:color w:val="FF0000"/>
        </w:rPr>
        <w:t xml:space="preserve"> tools in suppressing the above tested four genes by in all six cell lines beyond HEK293T cells?</w:t>
      </w:r>
      <w:r>
        <w:rPr>
          <w:rFonts w:ascii="Segoe UI" w:eastAsia="Segoe UI" w:hAnsi="Segoe UI" w:cs="Segoe UI"/>
          <w:b/>
          <w:color w:val="FF0000"/>
        </w:rPr>
        <w:t xml:space="preserve"> </w:t>
      </w:r>
    </w:p>
    <w:p w14:paraId="3F03E911" w14:textId="77777777" w:rsidR="007F4242" w:rsidRDefault="007F4242" w:rsidP="007F4242">
      <w:pPr>
        <w:spacing w:after="158"/>
        <w:ind w:left="-3" w:hanging="10"/>
        <w:jc w:val="both"/>
      </w:pPr>
      <w:r>
        <w:rPr>
          <w:rFonts w:ascii="Segoe UI" w:eastAsia="Segoe UI" w:hAnsi="Segoe UI" w:cs="Segoe UI"/>
          <w:b/>
        </w:rPr>
        <w:t>Response</w:t>
      </w:r>
      <w:r>
        <w:rPr>
          <w:rFonts w:ascii="Segoe UI" w:eastAsia="Segoe UI" w:hAnsi="Segoe UI" w:cs="Segoe UI"/>
        </w:rPr>
        <w:t xml:space="preserve">: We thank the review for this insightful recommendation and agree that moving beyond reporter assays to validate our novel </w:t>
      </w:r>
      <w:proofErr w:type="spellStart"/>
      <w:r>
        <w:rPr>
          <w:rFonts w:ascii="Segoe UI" w:eastAsia="Segoe UI" w:hAnsi="Segoe UI" w:cs="Segoe UI"/>
        </w:rPr>
        <w:t>CRISPRi</w:t>
      </w:r>
      <w:proofErr w:type="spellEnd"/>
      <w:r>
        <w:rPr>
          <w:rFonts w:ascii="Segoe UI" w:eastAsia="Segoe UI" w:hAnsi="Segoe UI" w:cs="Segoe UI"/>
        </w:rPr>
        <w:t xml:space="preserve"> tools is an important step to support the claim cited in your comment. We performed several follow-up experiments comparing our top three variants to existing gold-standard systems across endogenous loci in the revised manuscript. In these experiments, we quantified knockdown efficiency of four endogenous coding transcripts in four cell lines (revised Figure 5A), two endogenous non-coding transcripts in HEK293T cells only (revised Figure 5B), and two endogenous surface proteins (measured at the protein level via staining) in four cell lines (revised Figure 5C, revised Supplementary Figure S11). Through this more extensive validation, we determined that our novel dCas9-ZIM3(KRAB)-MeCP2(t) system consistently outperformed existing gold-standards for most target genes. Because of these promising results now included in the main text, Figure 5 was significantly re-worked, and more emphasis is placed on the potency of the dCas9-ZIM3(KRAB)-MeCP2(t) effector. Original Figure 5A is now Supplementary Figure S9, and original Figures 5B-5D are compiled together in Supplementary Figure S10. We added </w:t>
      </w:r>
      <w:proofErr w:type="gramStart"/>
      <w:r>
        <w:rPr>
          <w:rFonts w:ascii="Segoe UI" w:eastAsia="Segoe UI" w:hAnsi="Segoe UI" w:cs="Segoe UI"/>
        </w:rPr>
        <w:t>new</w:t>
      </w:r>
      <w:proofErr w:type="gramEnd"/>
      <w:r>
        <w:rPr>
          <w:rFonts w:ascii="Segoe UI" w:eastAsia="Segoe UI" w:hAnsi="Segoe UI" w:cs="Segoe UI"/>
        </w:rPr>
        <w:t xml:space="preserve"> text to compliment this data on Pages 21-23:  </w:t>
      </w:r>
    </w:p>
    <w:p w14:paraId="1410F5E3" w14:textId="77777777" w:rsidR="007F4242" w:rsidRDefault="007F4242" w:rsidP="007F4242">
      <w:pPr>
        <w:spacing w:after="8" w:line="249" w:lineRule="auto"/>
        <w:ind w:left="572" w:right="564" w:hanging="9"/>
        <w:jc w:val="both"/>
      </w:pPr>
      <w:r>
        <w:rPr>
          <w:rFonts w:ascii="Segoe UI" w:eastAsia="Segoe UI" w:hAnsi="Segoe UI" w:cs="Segoe UI"/>
          <w:i/>
        </w:rPr>
        <w:t xml:space="preserve">“To expand our preliminary studies using SV40-eGFP reporter assays, we next sought to verify whether three of our novel effectors, dCas9-ZIM3(KRAB)-MeCP2(t), dCas9- KOX1(KRAB)-MeCP2(t), and dCas9-ZIM3(KRAB)-MAX-MeCP2(t), could enhance transcriptional silencing of endogenous genes across four cell lines, A549, HCT116, HEK293T, and HeLa cells. When directed toward endogenous coding genes, dCas9ZIM3(KRAB)-MeCP2(t) demonstrated significantly improved gene knockdown compared to dCas9-ZIM3(KRAB) and dCas9-KOX1(KRAB)-MeCP2 in all four cell lines and across almost all target genes, surpassing even our highly effective dCas9-KOX1(KRAB)MeCP2(t) variant in several instances (Figure 5A). Paralleling our observations with </w:t>
      </w:r>
      <w:proofErr w:type="spellStart"/>
      <w:r>
        <w:rPr>
          <w:rFonts w:ascii="Segoe UI" w:eastAsia="Segoe UI" w:hAnsi="Segoe UI" w:cs="Segoe UI"/>
          <w:i/>
        </w:rPr>
        <w:t>eGFP</w:t>
      </w:r>
      <w:proofErr w:type="spellEnd"/>
      <w:r>
        <w:rPr>
          <w:rFonts w:ascii="Segoe UI" w:eastAsia="Segoe UI" w:hAnsi="Segoe UI" w:cs="Segoe UI"/>
          <w:i/>
        </w:rPr>
        <w:t xml:space="preserve"> reporter assays (Supplementary Figure S9), dCas9-ZIM3(KRAB)-MAX-MeCP2(t) achieved poor gene knockdown in cell lines apart from HEK293T (Figure 5A), further demonstrating this tripartite variant’s cell line context-dependent activity.” </w:t>
      </w:r>
    </w:p>
    <w:p w14:paraId="69B5CE98" w14:textId="77777777" w:rsidR="007F4242" w:rsidRDefault="007F4242" w:rsidP="007F4242">
      <w:pPr>
        <w:spacing w:after="0"/>
        <w:ind w:left="1298"/>
      </w:pPr>
      <w:r>
        <w:rPr>
          <w:rFonts w:ascii="Segoe UI" w:eastAsia="Segoe UI" w:hAnsi="Segoe UI" w:cs="Segoe UI"/>
          <w:i/>
        </w:rPr>
        <w:t xml:space="preserve"> </w:t>
      </w:r>
    </w:p>
    <w:p w14:paraId="7EC381D8" w14:textId="77777777" w:rsidR="007F4242" w:rsidRDefault="007F4242" w:rsidP="007F4242">
      <w:pPr>
        <w:spacing w:after="8" w:line="249" w:lineRule="auto"/>
        <w:ind w:left="572" w:right="564" w:hanging="9"/>
        <w:jc w:val="both"/>
      </w:pPr>
      <w:r>
        <w:rPr>
          <w:rFonts w:ascii="Segoe UI" w:eastAsia="Segoe UI" w:hAnsi="Segoe UI" w:cs="Segoe UI"/>
          <w:i/>
        </w:rPr>
        <w:lastRenderedPageBreak/>
        <w:t xml:space="preserve">“Next, we sought to demonstrate transcriptional repression of non-coding endogenous genes, so we performed similar knockdown comparisons with two lncRNA genes, MINCR and DANCR, in HEK293T cells (Figure 5B). For these non-coding transcripts, dCas9ZIM3(KRAB)-MeCP2(t) achieved more efficient knockdown than dCas9-ZIM3(KRAB) and dCas9-KOX1(KRAB)-MeCP2 for 3 out of 4 tested sgRNAs (Figure 5B). To further investigate the degree to which our top-performing variants regulate protein expression levels, we also evaluated their ability to reduce the display of two endogenous cell surface markers, CD81 and CD151, in four different cell lines (Figure 5C, Supplementary Figure S11), and employing previously characterized ‘strong’ and ‘weak’ sgRNA sequences for each </w:t>
      </w:r>
      <w:proofErr w:type="gramStart"/>
      <w:r>
        <w:rPr>
          <w:rFonts w:ascii="Segoe UI" w:eastAsia="Segoe UI" w:hAnsi="Segoe UI" w:cs="Segoe UI"/>
          <w:i/>
        </w:rPr>
        <w:t>gene(</w:t>
      </w:r>
      <w:proofErr w:type="gramEnd"/>
      <w:r>
        <w:rPr>
          <w:rFonts w:ascii="Segoe UI" w:eastAsia="Segoe UI" w:hAnsi="Segoe UI" w:cs="Segoe UI"/>
          <w:i/>
        </w:rPr>
        <w:t xml:space="preserve">34). As expected, dCas9-ZIM3(KRAB)-MeCP2(t) significantly outperformed dCas9-ZIM3(KRAB) for most tested conditions (12 out of 14) across the different cell lines (Figure 5C, Supplementary Figure S11). Like our observations when evaluating </w:t>
      </w:r>
      <w:proofErr w:type="spellStart"/>
      <w:r>
        <w:rPr>
          <w:rFonts w:ascii="Segoe UI" w:eastAsia="Segoe UI" w:hAnsi="Segoe UI" w:cs="Segoe UI"/>
          <w:i/>
        </w:rPr>
        <w:t>CRISPRi</w:t>
      </w:r>
      <w:proofErr w:type="spellEnd"/>
      <w:r>
        <w:rPr>
          <w:rFonts w:ascii="Segoe UI" w:eastAsia="Segoe UI" w:hAnsi="Segoe UI" w:cs="Segoe UI"/>
          <w:i/>
        </w:rPr>
        <w:t xml:space="preserve"> platforms across a panel of SV40-eGFP-targeting sgRNAs (Supplementary Figure S6), dCas9-ZIM3(KRAB)-MeCP2(t) exhibited the most notable performance improvements with weaker sgRNAs, suggesting that implementation of this novel platform could reduce guide-dependent effects across a broader set of target genes” </w:t>
      </w:r>
    </w:p>
    <w:p w14:paraId="2D593980" w14:textId="77777777" w:rsidR="007F4242" w:rsidRDefault="007F4242" w:rsidP="007F4242">
      <w:pPr>
        <w:spacing w:after="159"/>
        <w:ind w:left="1"/>
      </w:pPr>
      <w:r>
        <w:rPr>
          <w:rFonts w:ascii="Segoe UI" w:eastAsia="Segoe UI" w:hAnsi="Segoe UI" w:cs="Segoe UI"/>
        </w:rPr>
        <w:t xml:space="preserve"> </w:t>
      </w:r>
    </w:p>
    <w:p w14:paraId="52FFAB0E" w14:textId="77777777" w:rsidR="007F4242" w:rsidRDefault="007F4242" w:rsidP="007F4242">
      <w:pPr>
        <w:spacing w:after="159"/>
        <w:ind w:left="-3" w:hanging="10"/>
        <w:jc w:val="both"/>
      </w:pPr>
      <w:r>
        <w:rPr>
          <w:rFonts w:ascii="Segoe UI" w:eastAsia="Segoe UI" w:hAnsi="Segoe UI" w:cs="Segoe UI"/>
          <w:b/>
          <w:color w:val="FF0000"/>
        </w:rPr>
        <w:t xml:space="preserve">Comment 7: </w:t>
      </w:r>
      <w:r>
        <w:rPr>
          <w:rFonts w:ascii="Segoe UI" w:eastAsia="Segoe UI" w:hAnsi="Segoe UI" w:cs="Segoe UI"/>
          <w:color w:val="FF0000"/>
        </w:rPr>
        <w:t xml:space="preserve">Just as the author </w:t>
      </w:r>
      <w:proofErr w:type="gramStart"/>
      <w:r>
        <w:rPr>
          <w:rFonts w:ascii="Segoe UI" w:eastAsia="Segoe UI" w:hAnsi="Segoe UI" w:cs="Segoe UI"/>
          <w:color w:val="FF0000"/>
        </w:rPr>
        <w:t>have</w:t>
      </w:r>
      <w:proofErr w:type="gramEnd"/>
      <w:r>
        <w:rPr>
          <w:rFonts w:ascii="Segoe UI" w:eastAsia="Segoe UI" w:hAnsi="Segoe UI" w:cs="Segoe UI"/>
          <w:color w:val="FF0000"/>
        </w:rPr>
        <w:t xml:space="preserve"> acknowledged, their mechanistic study to investigate </w:t>
      </w:r>
      <w:proofErr w:type="spellStart"/>
      <w:r>
        <w:rPr>
          <w:rFonts w:ascii="Segoe UI" w:eastAsia="Segoe UI" w:hAnsi="Segoe UI" w:cs="Segoe UI"/>
          <w:color w:val="FF0000"/>
        </w:rPr>
        <w:t>cellspecific</w:t>
      </w:r>
      <w:proofErr w:type="spellEnd"/>
      <w:r>
        <w:rPr>
          <w:rFonts w:ascii="Segoe UI" w:eastAsia="Segoe UI" w:hAnsi="Segoe UI" w:cs="Segoe UI"/>
          <w:color w:val="FF0000"/>
        </w:rPr>
        <w:t xml:space="preserve"> determinants that impact their performance is at the beginning. The mRNA level of cofactors such as </w:t>
      </w:r>
      <w:proofErr w:type="spellStart"/>
      <w:r>
        <w:rPr>
          <w:rFonts w:ascii="Segoe UI" w:eastAsia="Segoe UI" w:hAnsi="Segoe UI" w:cs="Segoe UI"/>
          <w:color w:val="FF0000"/>
        </w:rPr>
        <w:t>Myc</w:t>
      </w:r>
      <w:proofErr w:type="spellEnd"/>
      <w:r>
        <w:rPr>
          <w:rFonts w:ascii="Segoe UI" w:eastAsia="Segoe UI" w:hAnsi="Segoe UI" w:cs="Segoe UI"/>
          <w:color w:val="FF0000"/>
        </w:rPr>
        <w:t xml:space="preserve"> may correlate with the efficacy of the MAX domain containing tool Cas9ZIM3(KRAB)-MAX-MeCP2(t). They speculate that the MAX domain was likely exhibiting </w:t>
      </w:r>
      <w:proofErr w:type="spellStart"/>
      <w:proofErr w:type="gramStart"/>
      <w:r>
        <w:rPr>
          <w:rFonts w:ascii="Segoe UI" w:eastAsia="Segoe UI" w:hAnsi="Segoe UI" w:cs="Segoe UI"/>
          <w:color w:val="FF0000"/>
        </w:rPr>
        <w:t>contextdependent</w:t>
      </w:r>
      <w:proofErr w:type="spellEnd"/>
      <w:proofErr w:type="gramEnd"/>
      <w:r>
        <w:rPr>
          <w:rFonts w:ascii="Segoe UI" w:eastAsia="Segoe UI" w:hAnsi="Segoe UI" w:cs="Segoe UI"/>
          <w:color w:val="FF0000"/>
        </w:rPr>
        <w:t xml:space="preserve"> regulatory activity, potentially dependent on its recruited cofactors, which could have significant cell-line variability. However, the whole part is correlation without validation. It would be convincing to include the protein-protein or protein-DNA interaction analysis. For sure, the occupancy or the co-occupancy of the dCas9 fusion and its related co-factors is the key, while this is a big gap or unsolved question.</w:t>
      </w:r>
      <w:r>
        <w:rPr>
          <w:rFonts w:ascii="Segoe UI" w:eastAsia="Segoe UI" w:hAnsi="Segoe UI" w:cs="Segoe UI"/>
          <w:b/>
          <w:color w:val="FF0000"/>
        </w:rPr>
        <w:t xml:space="preserve"> </w:t>
      </w:r>
    </w:p>
    <w:p w14:paraId="355223D5" w14:textId="77777777" w:rsidR="007F4242" w:rsidRDefault="007F4242" w:rsidP="007F4242">
      <w:pPr>
        <w:spacing w:after="158"/>
        <w:ind w:left="-3" w:hanging="10"/>
        <w:jc w:val="both"/>
      </w:pPr>
      <w:r>
        <w:rPr>
          <w:rFonts w:ascii="Segoe UI" w:eastAsia="Segoe UI" w:hAnsi="Segoe UI" w:cs="Segoe UI"/>
          <w:b/>
        </w:rPr>
        <w:t>Response</w:t>
      </w:r>
      <w:r>
        <w:rPr>
          <w:rFonts w:ascii="Segoe UI" w:eastAsia="Segoe UI" w:hAnsi="Segoe UI" w:cs="Segoe UI"/>
        </w:rPr>
        <w:t xml:space="preserve">: We thank the reviewer for their insightful recommendations to include protein-protein interaction experiments to convincingly show the impact of endogenous co-factor expression levels on </w:t>
      </w:r>
      <w:proofErr w:type="spellStart"/>
      <w:r>
        <w:rPr>
          <w:rFonts w:ascii="Segoe UI" w:eastAsia="Segoe UI" w:hAnsi="Segoe UI" w:cs="Segoe UI"/>
        </w:rPr>
        <w:t>CRISPRi</w:t>
      </w:r>
      <w:proofErr w:type="spellEnd"/>
      <w:r>
        <w:rPr>
          <w:rFonts w:ascii="Segoe UI" w:eastAsia="Segoe UI" w:hAnsi="Segoe UI" w:cs="Segoe UI"/>
        </w:rPr>
        <w:t xml:space="preserve"> system performance across various cell types. We agree that this work would open the door to answering large, unsolved questions in the field of CRISPR-mediated transcriptional regulation. Because the MYC/MAX interaction data lacks validation (but corresponds with our confirmation experiments and represents an important direction in the field) we moved the data to Supplementary Figure S10 and decreased emphasis </w:t>
      </w:r>
      <w:proofErr w:type="gramStart"/>
      <w:r>
        <w:rPr>
          <w:rFonts w:ascii="Segoe UI" w:eastAsia="Segoe UI" w:hAnsi="Segoe UI" w:cs="Segoe UI"/>
        </w:rPr>
        <w:t>in</w:t>
      </w:r>
      <w:proofErr w:type="gramEnd"/>
      <w:r>
        <w:rPr>
          <w:rFonts w:ascii="Segoe UI" w:eastAsia="Segoe UI" w:hAnsi="Segoe UI" w:cs="Segoe UI"/>
        </w:rPr>
        <w:t xml:space="preserve"> the main text. Instead, we have re-focused more of the text on our validation of dCas9-ZIM3(KRAB)-MeCP2(t) as a particularly powerful </w:t>
      </w:r>
      <w:proofErr w:type="spellStart"/>
      <w:r>
        <w:rPr>
          <w:rFonts w:ascii="Segoe UI" w:eastAsia="Segoe UI" w:hAnsi="Segoe UI" w:cs="Segoe UI"/>
        </w:rPr>
        <w:t>CRISPRi</w:t>
      </w:r>
      <w:proofErr w:type="spellEnd"/>
      <w:r>
        <w:rPr>
          <w:rFonts w:ascii="Segoe UI" w:eastAsia="Segoe UI" w:hAnsi="Segoe UI" w:cs="Segoe UI"/>
        </w:rPr>
        <w:t xml:space="preserve"> tool, which leads up to presentation of essential screening data in Figure 6. In addition, we altered some of the text about the MYC/MAX cofactors to highlight the need for additional validation in the Discussion on Page 29:  </w:t>
      </w:r>
    </w:p>
    <w:p w14:paraId="2B3583DD" w14:textId="77777777" w:rsidR="007F4242" w:rsidRDefault="007F4242" w:rsidP="007F4242">
      <w:pPr>
        <w:spacing w:after="168" w:line="249" w:lineRule="auto"/>
        <w:ind w:left="572" w:right="564" w:hanging="9"/>
        <w:jc w:val="both"/>
      </w:pPr>
      <w:r>
        <w:rPr>
          <w:rFonts w:ascii="Segoe UI" w:eastAsia="Segoe UI" w:hAnsi="Segoe UI" w:cs="Segoe UI"/>
          <w:i/>
        </w:rPr>
        <w:lastRenderedPageBreak/>
        <w:t xml:space="preserve">“The variable activity of MAX-containing bipartite and tripartite variants across different cell lines (Supplementary Figure S10) demonstrates the importance of considering </w:t>
      </w:r>
      <w:proofErr w:type="spellStart"/>
      <w:r>
        <w:rPr>
          <w:rFonts w:ascii="Segoe UI" w:eastAsia="Segoe UI" w:hAnsi="Segoe UI" w:cs="Segoe UI"/>
          <w:i/>
        </w:rPr>
        <w:t>cellcell</w:t>
      </w:r>
      <w:proofErr w:type="spellEnd"/>
      <w:r>
        <w:rPr>
          <w:rFonts w:ascii="Segoe UI" w:eastAsia="Segoe UI" w:hAnsi="Segoe UI" w:cs="Segoe UI"/>
          <w:i/>
        </w:rPr>
        <w:t xml:space="preserve"> differences in co-transcription factor expression before selecting </w:t>
      </w:r>
      <w:proofErr w:type="spellStart"/>
      <w:r>
        <w:rPr>
          <w:rFonts w:ascii="Segoe UI" w:eastAsia="Segoe UI" w:hAnsi="Segoe UI" w:cs="Segoe UI"/>
          <w:i/>
        </w:rPr>
        <w:t>CRISPRi</w:t>
      </w:r>
      <w:proofErr w:type="spellEnd"/>
      <w:r>
        <w:rPr>
          <w:rFonts w:ascii="Segoe UI" w:eastAsia="Segoe UI" w:hAnsi="Segoe UI" w:cs="Segoe UI"/>
          <w:i/>
        </w:rPr>
        <w:t xml:space="preserve"> repressors for a given application. Although experimental validation, such as protein-protein interaction analysis, is necessary to confirm the mechanistic basis of our observations with MAX-containing variants, the observation of how their performance varies across cell lines verifies the importance of full characterization of transcriptional effectors across cells lines.” </w:t>
      </w:r>
    </w:p>
    <w:p w14:paraId="3F1074D3" w14:textId="77777777" w:rsidR="007F4242" w:rsidRDefault="007F4242" w:rsidP="007F4242">
      <w:pPr>
        <w:spacing w:after="0"/>
        <w:ind w:left="1"/>
      </w:pPr>
      <w:r>
        <w:rPr>
          <w:rFonts w:ascii="Segoe UI" w:eastAsia="Segoe UI" w:hAnsi="Segoe UI" w:cs="Segoe UI"/>
        </w:rPr>
        <w:t xml:space="preserve"> </w:t>
      </w:r>
    </w:p>
    <w:p w14:paraId="755E9DB0" w14:textId="77777777" w:rsidR="007F4242" w:rsidRDefault="007F4242" w:rsidP="007F4242">
      <w:pPr>
        <w:pStyle w:val="Heading2"/>
        <w:ind w:left="-4"/>
      </w:pPr>
      <w:r>
        <w:t>Minor Comments</w:t>
      </w:r>
      <w:r>
        <w:rPr>
          <w:u w:color="000000"/>
        </w:rPr>
        <w:t xml:space="preserve"> </w:t>
      </w:r>
    </w:p>
    <w:p w14:paraId="49D45D60" w14:textId="77777777" w:rsidR="007F4242" w:rsidRDefault="007F4242" w:rsidP="007F4242">
      <w:pPr>
        <w:spacing w:after="0"/>
        <w:ind w:left="1"/>
      </w:pPr>
      <w:r>
        <w:rPr>
          <w:rFonts w:ascii="Segoe UI" w:eastAsia="Segoe UI" w:hAnsi="Segoe UI" w:cs="Segoe UI"/>
        </w:rPr>
        <w:t xml:space="preserve"> </w:t>
      </w:r>
    </w:p>
    <w:p w14:paraId="730F1034" w14:textId="77777777" w:rsidR="007F4242" w:rsidRDefault="007F4242" w:rsidP="007F4242">
      <w:pPr>
        <w:spacing w:after="159"/>
        <w:ind w:left="-3" w:hanging="10"/>
        <w:jc w:val="both"/>
      </w:pPr>
      <w:r>
        <w:rPr>
          <w:rFonts w:ascii="Segoe UI" w:eastAsia="Segoe UI" w:hAnsi="Segoe UI" w:cs="Segoe UI"/>
          <w:b/>
          <w:color w:val="FF0000"/>
        </w:rPr>
        <w:t xml:space="preserve">Minor Comment 1: </w:t>
      </w:r>
      <w:r>
        <w:rPr>
          <w:rFonts w:ascii="Segoe UI" w:eastAsia="Segoe UI" w:hAnsi="Segoe UI" w:cs="Segoe UI"/>
          <w:color w:val="FF0000"/>
        </w:rPr>
        <w:t xml:space="preserve">As it </w:t>
      </w:r>
      <w:proofErr w:type="gramStart"/>
      <w:r>
        <w:rPr>
          <w:rFonts w:ascii="Segoe UI" w:eastAsia="Segoe UI" w:hAnsi="Segoe UI" w:cs="Segoe UI"/>
          <w:color w:val="FF0000"/>
        </w:rPr>
        <w:t>hard</w:t>
      </w:r>
      <w:proofErr w:type="gramEnd"/>
      <w:r>
        <w:rPr>
          <w:rFonts w:ascii="Segoe UI" w:eastAsia="Segoe UI" w:hAnsi="Segoe UI" w:cs="Segoe UI"/>
          <w:color w:val="FF0000"/>
        </w:rPr>
        <w:t xml:space="preserve"> for readers to see the complicated combination, can authors highlight and annotate the most significant bipartite and tripartite fusion proteins in Fig 1.C and 1.E, as shown in the corresponding Fig1. D and 1.F?</w:t>
      </w:r>
      <w:r>
        <w:rPr>
          <w:rFonts w:ascii="Segoe UI" w:eastAsia="Segoe UI" w:hAnsi="Segoe UI" w:cs="Segoe UI"/>
          <w:b/>
        </w:rPr>
        <w:t xml:space="preserve"> </w:t>
      </w:r>
    </w:p>
    <w:p w14:paraId="23ED7D0C" w14:textId="77777777" w:rsidR="007F4242" w:rsidRDefault="007F4242" w:rsidP="007F4242">
      <w:pPr>
        <w:spacing w:after="158"/>
        <w:ind w:left="-3" w:hanging="10"/>
        <w:jc w:val="both"/>
      </w:pPr>
      <w:r>
        <w:rPr>
          <w:rFonts w:ascii="Segoe UI" w:eastAsia="Segoe UI" w:hAnsi="Segoe UI" w:cs="Segoe UI"/>
          <w:b/>
        </w:rPr>
        <w:t xml:space="preserve">Response: </w:t>
      </w:r>
      <w:r>
        <w:rPr>
          <w:rFonts w:ascii="Segoe UI" w:eastAsia="Segoe UI" w:hAnsi="Segoe UI" w:cs="Segoe UI"/>
        </w:rPr>
        <w:t xml:space="preserve">We thank the reviewer for their recommendation. The bipartite and tripartite library “hits” have been marked with maroon/red marks in Figures 1D and 1F to aid readability.  </w:t>
      </w:r>
    </w:p>
    <w:p w14:paraId="68E30D66" w14:textId="77777777" w:rsidR="007F4242" w:rsidRDefault="007F4242" w:rsidP="007F4242">
      <w:pPr>
        <w:spacing w:after="158"/>
        <w:ind w:left="1"/>
      </w:pPr>
      <w:r>
        <w:rPr>
          <w:rFonts w:ascii="Segoe UI" w:eastAsia="Segoe UI" w:hAnsi="Segoe UI" w:cs="Segoe UI"/>
        </w:rPr>
        <w:t xml:space="preserve"> </w:t>
      </w:r>
    </w:p>
    <w:p w14:paraId="6985EC4D" w14:textId="77777777" w:rsidR="007F4242" w:rsidRDefault="007F4242" w:rsidP="007F4242">
      <w:pPr>
        <w:spacing w:after="0"/>
        <w:ind w:left="-3" w:hanging="10"/>
        <w:jc w:val="both"/>
      </w:pPr>
      <w:r>
        <w:rPr>
          <w:rFonts w:ascii="Segoe UI" w:eastAsia="Segoe UI" w:hAnsi="Segoe UI" w:cs="Segoe UI"/>
          <w:b/>
          <w:color w:val="FF0000"/>
        </w:rPr>
        <w:t xml:space="preserve">Minor Comment 2: </w:t>
      </w:r>
      <w:r>
        <w:rPr>
          <w:rFonts w:ascii="Segoe UI" w:eastAsia="Segoe UI" w:hAnsi="Segoe UI" w:cs="Segoe UI"/>
          <w:color w:val="FF0000"/>
        </w:rPr>
        <w:t xml:space="preserve">Line 40, page 10 in result and Line 42, page 19, figure citations are not correct.  -- "In addition, the improved knockdown mediated by these tripartite domains again did not appear to correlate with expression levels of the dCas9-repressor fusions (Supplementary Figure </w:t>
      </w:r>
    </w:p>
    <w:p w14:paraId="51C7358A" w14:textId="77777777" w:rsidR="007F4242" w:rsidRDefault="007F4242" w:rsidP="007F4242">
      <w:pPr>
        <w:spacing w:after="159"/>
        <w:ind w:left="-3" w:hanging="10"/>
        <w:jc w:val="both"/>
      </w:pPr>
      <w:r>
        <w:rPr>
          <w:rFonts w:ascii="Segoe UI" w:eastAsia="Segoe UI" w:hAnsi="Segoe UI" w:cs="Segoe UI"/>
          <w:color w:val="FF0000"/>
        </w:rPr>
        <w:t xml:space="preserve">S3)." </w:t>
      </w:r>
    </w:p>
    <w:p w14:paraId="625DDABA" w14:textId="77777777" w:rsidR="007F4242" w:rsidRDefault="007F4242" w:rsidP="007F4242">
      <w:pPr>
        <w:spacing w:after="159"/>
        <w:ind w:left="-3" w:hanging="10"/>
        <w:jc w:val="both"/>
      </w:pPr>
      <w:r>
        <w:rPr>
          <w:rFonts w:ascii="Segoe UI" w:eastAsia="Segoe UI" w:hAnsi="Segoe UI" w:cs="Segoe UI"/>
          <w:color w:val="FF0000"/>
        </w:rPr>
        <w:t>-- "Whereas the activity of these proteins might be expected to strongly correlate with their expression level, we often saw that that was not the case (Supplementary Figure S3A -S3C, Supplementary Figure S6)"</w:t>
      </w:r>
      <w:r>
        <w:rPr>
          <w:rFonts w:ascii="Segoe UI" w:eastAsia="Segoe UI" w:hAnsi="Segoe UI" w:cs="Segoe UI"/>
          <w:b/>
          <w:color w:val="FF0000"/>
        </w:rPr>
        <w:t xml:space="preserve"> </w:t>
      </w:r>
    </w:p>
    <w:p w14:paraId="459D0B7B" w14:textId="77777777" w:rsidR="007F4242" w:rsidRDefault="007F4242" w:rsidP="007F4242">
      <w:pPr>
        <w:spacing w:after="158"/>
        <w:ind w:left="-3" w:hanging="10"/>
        <w:jc w:val="both"/>
      </w:pPr>
      <w:r>
        <w:rPr>
          <w:rFonts w:ascii="Segoe UI" w:eastAsia="Segoe UI" w:hAnsi="Segoe UI" w:cs="Segoe UI"/>
          <w:b/>
        </w:rPr>
        <w:t xml:space="preserve">Response: </w:t>
      </w:r>
      <w:r>
        <w:rPr>
          <w:rFonts w:ascii="Segoe UI" w:eastAsia="Segoe UI" w:hAnsi="Segoe UI" w:cs="Segoe UI"/>
        </w:rPr>
        <w:t xml:space="preserve">We thank the reviewer for pointing out the incorrect figure references in the original text. These errors have been corrected in the revised manuscript. </w:t>
      </w:r>
      <w:r>
        <w:rPr>
          <w:rFonts w:ascii="Segoe UI" w:eastAsia="Segoe UI" w:hAnsi="Segoe UI" w:cs="Segoe UI"/>
          <w:b/>
        </w:rPr>
        <w:t xml:space="preserve"> </w:t>
      </w:r>
    </w:p>
    <w:p w14:paraId="34CE3577" w14:textId="77777777" w:rsidR="007F4242" w:rsidRDefault="007F4242" w:rsidP="007F4242">
      <w:pPr>
        <w:spacing w:after="158"/>
        <w:ind w:left="1"/>
      </w:pPr>
      <w:r>
        <w:rPr>
          <w:rFonts w:ascii="Segoe UI" w:eastAsia="Segoe UI" w:hAnsi="Segoe UI" w:cs="Segoe UI"/>
        </w:rPr>
        <w:t xml:space="preserve"> </w:t>
      </w:r>
    </w:p>
    <w:p w14:paraId="65E5F084" w14:textId="77777777" w:rsidR="007F4242" w:rsidRDefault="007F4242" w:rsidP="007F4242">
      <w:pPr>
        <w:spacing w:after="159"/>
        <w:ind w:left="1"/>
      </w:pPr>
      <w:r>
        <w:rPr>
          <w:rFonts w:ascii="Segoe UI" w:eastAsia="Segoe UI" w:hAnsi="Segoe UI" w:cs="Segoe UI"/>
        </w:rPr>
        <w:t xml:space="preserve"> </w:t>
      </w:r>
    </w:p>
    <w:p w14:paraId="4148F36F" w14:textId="77777777" w:rsidR="007F4242" w:rsidRDefault="007F4242" w:rsidP="007F4242">
      <w:pPr>
        <w:spacing w:after="158"/>
        <w:ind w:left="1"/>
      </w:pPr>
      <w:r>
        <w:rPr>
          <w:rFonts w:ascii="Segoe UI" w:eastAsia="Segoe UI" w:hAnsi="Segoe UI" w:cs="Segoe UI"/>
        </w:rPr>
        <w:t xml:space="preserve"> </w:t>
      </w:r>
    </w:p>
    <w:p w14:paraId="26AFD05A" w14:textId="77777777" w:rsidR="007F4242" w:rsidRDefault="007F4242" w:rsidP="007F4242">
      <w:pPr>
        <w:spacing w:after="159"/>
        <w:ind w:left="1"/>
      </w:pPr>
      <w:r>
        <w:rPr>
          <w:rFonts w:ascii="Segoe UI" w:eastAsia="Segoe UI" w:hAnsi="Segoe UI" w:cs="Segoe UI"/>
        </w:rPr>
        <w:t xml:space="preserve"> </w:t>
      </w:r>
    </w:p>
    <w:p w14:paraId="41D8DD2B" w14:textId="77777777" w:rsidR="007F4242" w:rsidRDefault="007F4242" w:rsidP="007F4242">
      <w:pPr>
        <w:spacing w:after="158"/>
        <w:ind w:left="1"/>
      </w:pPr>
      <w:r>
        <w:rPr>
          <w:rFonts w:ascii="Segoe UI" w:eastAsia="Segoe UI" w:hAnsi="Segoe UI" w:cs="Segoe UI"/>
        </w:rPr>
        <w:t xml:space="preserve"> </w:t>
      </w:r>
    </w:p>
    <w:p w14:paraId="37A9979C" w14:textId="77777777" w:rsidR="007F4242" w:rsidRDefault="007F4242" w:rsidP="007F4242">
      <w:pPr>
        <w:spacing w:after="159"/>
        <w:ind w:left="1"/>
      </w:pPr>
      <w:r>
        <w:rPr>
          <w:rFonts w:ascii="Segoe UI" w:eastAsia="Segoe UI" w:hAnsi="Segoe UI" w:cs="Segoe UI"/>
        </w:rPr>
        <w:t xml:space="preserve"> </w:t>
      </w:r>
    </w:p>
    <w:p w14:paraId="0029FF1D" w14:textId="77777777" w:rsidR="007F4242" w:rsidRDefault="007F4242" w:rsidP="007F4242">
      <w:pPr>
        <w:spacing w:after="158"/>
        <w:ind w:left="1"/>
      </w:pPr>
      <w:r>
        <w:rPr>
          <w:rFonts w:ascii="Segoe UI" w:eastAsia="Segoe UI" w:hAnsi="Segoe UI" w:cs="Segoe UI"/>
        </w:rPr>
        <w:lastRenderedPageBreak/>
        <w:t xml:space="preserve"> </w:t>
      </w:r>
    </w:p>
    <w:p w14:paraId="662C9AEE" w14:textId="77777777" w:rsidR="007F4242" w:rsidRDefault="007F4242" w:rsidP="007F4242">
      <w:pPr>
        <w:spacing w:after="159"/>
        <w:ind w:left="1"/>
      </w:pPr>
      <w:r>
        <w:rPr>
          <w:rFonts w:ascii="Segoe UI" w:eastAsia="Segoe UI" w:hAnsi="Segoe UI" w:cs="Segoe UI"/>
        </w:rPr>
        <w:t xml:space="preserve"> </w:t>
      </w:r>
    </w:p>
    <w:p w14:paraId="58407A6C" w14:textId="77777777" w:rsidR="007F4242" w:rsidRDefault="007F4242" w:rsidP="007F4242">
      <w:pPr>
        <w:spacing w:after="158"/>
        <w:ind w:left="1"/>
      </w:pPr>
      <w:r>
        <w:rPr>
          <w:rFonts w:ascii="Segoe UI" w:eastAsia="Segoe UI" w:hAnsi="Segoe UI" w:cs="Segoe UI"/>
        </w:rPr>
        <w:t xml:space="preserve"> </w:t>
      </w:r>
    </w:p>
    <w:p w14:paraId="3CA560EB" w14:textId="77777777" w:rsidR="007F4242" w:rsidRDefault="007F4242" w:rsidP="007F4242">
      <w:pPr>
        <w:spacing w:after="159"/>
        <w:ind w:left="1"/>
      </w:pPr>
      <w:r>
        <w:rPr>
          <w:rFonts w:ascii="Segoe UI" w:eastAsia="Segoe UI" w:hAnsi="Segoe UI" w:cs="Segoe UI"/>
        </w:rPr>
        <w:t xml:space="preserve"> </w:t>
      </w:r>
    </w:p>
    <w:p w14:paraId="2F83EF7D" w14:textId="77777777" w:rsidR="007F4242" w:rsidRDefault="007F4242" w:rsidP="007F4242">
      <w:pPr>
        <w:spacing w:after="158"/>
        <w:ind w:left="1"/>
      </w:pPr>
      <w:r>
        <w:rPr>
          <w:rFonts w:ascii="Segoe UI" w:eastAsia="Segoe UI" w:hAnsi="Segoe UI" w:cs="Segoe UI"/>
        </w:rPr>
        <w:t xml:space="preserve"> </w:t>
      </w:r>
    </w:p>
    <w:p w14:paraId="73875943" w14:textId="77777777" w:rsidR="007F4242" w:rsidRDefault="007F4242" w:rsidP="007F4242">
      <w:pPr>
        <w:spacing w:after="159"/>
        <w:ind w:left="1"/>
      </w:pPr>
      <w:r>
        <w:rPr>
          <w:rFonts w:ascii="Segoe UI" w:eastAsia="Segoe UI" w:hAnsi="Segoe UI" w:cs="Segoe UI"/>
        </w:rPr>
        <w:t xml:space="preserve"> </w:t>
      </w:r>
    </w:p>
    <w:p w14:paraId="2A784ACA" w14:textId="77777777" w:rsidR="007F4242" w:rsidRDefault="007F4242" w:rsidP="007F4242">
      <w:pPr>
        <w:spacing w:after="0"/>
        <w:ind w:left="1"/>
      </w:pPr>
      <w:r>
        <w:rPr>
          <w:rFonts w:ascii="Segoe UI" w:eastAsia="Segoe UI" w:hAnsi="Segoe UI" w:cs="Segoe UI"/>
        </w:rPr>
        <w:t xml:space="preserve"> </w:t>
      </w:r>
    </w:p>
    <w:p w14:paraId="63D9ED24" w14:textId="77777777" w:rsidR="007F4242" w:rsidRDefault="007F4242" w:rsidP="007F4242">
      <w:pPr>
        <w:spacing w:after="65"/>
        <w:ind w:left="59"/>
        <w:jc w:val="center"/>
      </w:pPr>
      <w:r>
        <w:rPr>
          <w:rFonts w:ascii="Segoe UI" w:eastAsia="Segoe UI" w:hAnsi="Segoe UI" w:cs="Segoe UI"/>
        </w:rPr>
        <w:t xml:space="preserve"> </w:t>
      </w:r>
    </w:p>
    <w:p w14:paraId="3A6B5C0A" w14:textId="77777777" w:rsidR="007F4242" w:rsidRDefault="007F4242" w:rsidP="007F4242">
      <w:pPr>
        <w:pStyle w:val="Heading1"/>
      </w:pPr>
      <w:r>
        <w:t>Reviewer #3</w:t>
      </w:r>
      <w:r>
        <w:rPr>
          <w:sz w:val="22"/>
          <w:u w:color="000000"/>
        </w:rPr>
        <w:t xml:space="preserve"> </w:t>
      </w:r>
    </w:p>
    <w:p w14:paraId="43B6BCEE" w14:textId="77777777" w:rsidR="007F4242" w:rsidRDefault="007F4242" w:rsidP="007F4242">
      <w:pPr>
        <w:spacing w:after="159"/>
        <w:ind w:left="-3" w:hanging="10"/>
        <w:jc w:val="both"/>
      </w:pPr>
      <w:r>
        <w:rPr>
          <w:rFonts w:ascii="Segoe UI" w:eastAsia="Segoe UI" w:hAnsi="Segoe UI" w:cs="Segoe UI"/>
          <w:b/>
          <w:color w:val="FF0000"/>
        </w:rPr>
        <w:t xml:space="preserve">Summary: </w:t>
      </w:r>
      <w:r>
        <w:rPr>
          <w:rFonts w:ascii="Segoe UI" w:eastAsia="Segoe UI" w:hAnsi="Segoe UI" w:cs="Segoe UI"/>
          <w:color w:val="FF0000"/>
        </w:rPr>
        <w:t xml:space="preserve">The authors of "Engineering Novel </w:t>
      </w:r>
      <w:proofErr w:type="spellStart"/>
      <w:r>
        <w:rPr>
          <w:rFonts w:ascii="Segoe UI" w:eastAsia="Segoe UI" w:hAnsi="Segoe UI" w:cs="Segoe UI"/>
          <w:color w:val="FF0000"/>
        </w:rPr>
        <w:t>CRISPRi</w:t>
      </w:r>
      <w:proofErr w:type="spellEnd"/>
      <w:r>
        <w:rPr>
          <w:rFonts w:ascii="Segoe UI" w:eastAsia="Segoe UI" w:hAnsi="Segoe UI" w:cs="Segoe UI"/>
          <w:color w:val="FF0000"/>
        </w:rPr>
        <w:t xml:space="preserve"> Repressors for Highly Efficient Mammalian Gene Regulation" have developed several novel </w:t>
      </w:r>
      <w:proofErr w:type="spellStart"/>
      <w:r>
        <w:rPr>
          <w:rFonts w:ascii="Segoe UI" w:eastAsia="Segoe UI" w:hAnsi="Segoe UI" w:cs="Segoe UI"/>
          <w:color w:val="FF0000"/>
        </w:rPr>
        <w:t>CRISPRi</w:t>
      </w:r>
      <w:proofErr w:type="spellEnd"/>
      <w:r>
        <w:rPr>
          <w:rFonts w:ascii="Segoe UI" w:eastAsia="Segoe UI" w:hAnsi="Segoe UI" w:cs="Segoe UI"/>
          <w:color w:val="FF0000"/>
        </w:rPr>
        <w:t xml:space="preserve"> repressors with enhanced gene silencing function compared to standard </w:t>
      </w:r>
      <w:proofErr w:type="spellStart"/>
      <w:r>
        <w:rPr>
          <w:rFonts w:ascii="Segoe UI" w:eastAsia="Segoe UI" w:hAnsi="Segoe UI" w:cs="Segoe UI"/>
          <w:color w:val="FF0000"/>
        </w:rPr>
        <w:t>CRISRPi</w:t>
      </w:r>
      <w:proofErr w:type="spellEnd"/>
      <w:r>
        <w:rPr>
          <w:rFonts w:ascii="Segoe UI" w:eastAsia="Segoe UI" w:hAnsi="Segoe UI" w:cs="Segoe UI"/>
          <w:color w:val="FF0000"/>
        </w:rPr>
        <w:t xml:space="preserve"> repressors in the field. Their study's purpose is highly relevant and aims to address unmet needs in achieving sufficient knockdown that is otherwise variable due to cell type-specific differences and the context of TSS targeting sequences. The authors exhaustively screened and isolated novel repressor variants and showed successful performance of their novel bi- and tri-partite repressor variants in using an </w:t>
      </w:r>
      <w:proofErr w:type="spellStart"/>
      <w:r>
        <w:rPr>
          <w:rFonts w:ascii="Segoe UI" w:eastAsia="Segoe UI" w:hAnsi="Segoe UI" w:cs="Segoe UI"/>
          <w:color w:val="FF0000"/>
        </w:rPr>
        <w:t>eGFP</w:t>
      </w:r>
      <w:proofErr w:type="spellEnd"/>
      <w:r>
        <w:rPr>
          <w:rFonts w:ascii="Segoe UI" w:eastAsia="Segoe UI" w:hAnsi="Segoe UI" w:cs="Segoe UI"/>
          <w:color w:val="FF0000"/>
        </w:rPr>
        <w:t xml:space="preserve"> reporter system and by targeting 7 protein-coding genes. However, this manuscript fails to elect a novel repressor variant superior to the field's gold standard. Rather, the novel repressor variants generated in this study show variability in their expression and silencing performance across cell lines and loci tested. For this reason, we question the degree of impact this manuscript may have on improving existing </w:t>
      </w:r>
      <w:proofErr w:type="spellStart"/>
      <w:r>
        <w:rPr>
          <w:rFonts w:ascii="Segoe UI" w:eastAsia="Segoe UI" w:hAnsi="Segoe UI" w:cs="Segoe UI"/>
          <w:color w:val="FF0000"/>
        </w:rPr>
        <w:t>CRISPRi</w:t>
      </w:r>
      <w:proofErr w:type="spellEnd"/>
      <w:r>
        <w:rPr>
          <w:rFonts w:ascii="Segoe UI" w:eastAsia="Segoe UI" w:hAnsi="Segoe UI" w:cs="Segoe UI"/>
          <w:color w:val="FF0000"/>
        </w:rPr>
        <w:t xml:space="preserve"> technology for gene silencing in high-throughput genotype-phenotype screening.  </w:t>
      </w:r>
    </w:p>
    <w:p w14:paraId="547AD35F" w14:textId="77777777" w:rsidR="007F4242" w:rsidRDefault="007F4242" w:rsidP="007F4242">
      <w:pPr>
        <w:spacing w:after="159"/>
        <w:ind w:left="-3" w:hanging="10"/>
        <w:jc w:val="both"/>
      </w:pPr>
      <w:r>
        <w:rPr>
          <w:rFonts w:ascii="Segoe UI" w:eastAsia="Segoe UI" w:hAnsi="Segoe UI" w:cs="Segoe UI"/>
          <w:color w:val="FF0000"/>
        </w:rPr>
        <w:t xml:space="preserve">Here are our notes on strengths/weaknesses by Figure.  </w:t>
      </w:r>
    </w:p>
    <w:p w14:paraId="070BC659" w14:textId="77777777" w:rsidR="007F4242" w:rsidRDefault="007F4242" w:rsidP="007F4242">
      <w:pPr>
        <w:spacing w:after="0"/>
        <w:ind w:left="1"/>
      </w:pPr>
      <w:r>
        <w:rPr>
          <w:rFonts w:ascii="Segoe UI" w:eastAsia="Segoe UI" w:hAnsi="Segoe UI" w:cs="Segoe UI"/>
        </w:rPr>
        <w:t xml:space="preserve"> </w:t>
      </w:r>
    </w:p>
    <w:p w14:paraId="69C4E7D9" w14:textId="77777777" w:rsidR="007F4242" w:rsidRDefault="007F4242" w:rsidP="007F4242">
      <w:pPr>
        <w:spacing w:after="0"/>
        <w:ind w:left="-3" w:hanging="10"/>
        <w:jc w:val="both"/>
      </w:pPr>
      <w:r>
        <w:rPr>
          <w:rFonts w:ascii="Segoe UI" w:eastAsia="Segoe UI" w:hAnsi="Segoe UI" w:cs="Segoe UI"/>
          <w:b/>
        </w:rPr>
        <w:t>Response</w:t>
      </w:r>
      <w:r>
        <w:rPr>
          <w:rFonts w:ascii="Segoe UI" w:eastAsia="Segoe UI" w:hAnsi="Segoe UI" w:cs="Segoe UI"/>
        </w:rPr>
        <w:t xml:space="preserve">: We thank the reviewers for their supportive characterization of our study and for their valuable feedback, particularly with clarifying data presentation in the figures. In the revised manuscript, we aim to address the concerns about repressor variability and the applicability of our top-performing </w:t>
      </w:r>
      <w:proofErr w:type="spellStart"/>
      <w:r>
        <w:rPr>
          <w:rFonts w:ascii="Segoe UI" w:eastAsia="Segoe UI" w:hAnsi="Segoe UI" w:cs="Segoe UI"/>
        </w:rPr>
        <w:t>CRISPRi</w:t>
      </w:r>
      <w:proofErr w:type="spellEnd"/>
      <w:r>
        <w:rPr>
          <w:rFonts w:ascii="Segoe UI" w:eastAsia="Segoe UI" w:hAnsi="Segoe UI" w:cs="Segoe UI"/>
        </w:rPr>
        <w:t xml:space="preserve"> tools for genotype-phenotype screening. Compared to the original paper, the revised manuscript includes a more extensive validation of our most potent repressor fusions compared to field standard repressors, including knockdown analyses of non-coding transcripts, surface receptors across different cell lines, and genome-wide sgRNA library screening. Through these efforts, we consistently observed that dCas9-ZIM3(KRAB)-MeCP2(t) outperformed </w:t>
      </w:r>
      <w:r>
        <w:rPr>
          <w:rFonts w:ascii="Segoe UI" w:eastAsia="Segoe UI" w:hAnsi="Segoe UI" w:cs="Segoe UI"/>
        </w:rPr>
        <w:lastRenderedPageBreak/>
        <w:t xml:space="preserve">existing </w:t>
      </w:r>
      <w:proofErr w:type="spellStart"/>
      <w:r>
        <w:rPr>
          <w:rFonts w:ascii="Segoe UI" w:eastAsia="Segoe UI" w:hAnsi="Segoe UI" w:cs="Segoe UI"/>
        </w:rPr>
        <w:t>CRISPRi</w:t>
      </w:r>
      <w:proofErr w:type="spellEnd"/>
      <w:r>
        <w:rPr>
          <w:rFonts w:ascii="Segoe UI" w:eastAsia="Segoe UI" w:hAnsi="Segoe UI" w:cs="Segoe UI"/>
        </w:rPr>
        <w:t xml:space="preserve"> gold-standards. As detailed in the points below, we made several structural changes to the manuscript to highlight these findings. We once again thank the reviewers for their constructive feedback and favorable review of our manuscript.  </w:t>
      </w:r>
    </w:p>
    <w:p w14:paraId="41FF4D6B" w14:textId="77777777" w:rsidR="007F4242" w:rsidRDefault="007F4242" w:rsidP="007F4242">
      <w:pPr>
        <w:spacing w:after="21"/>
        <w:ind w:left="1"/>
      </w:pPr>
      <w:r>
        <w:rPr>
          <w:rFonts w:ascii="Segoe UI" w:eastAsia="Segoe UI" w:hAnsi="Segoe UI" w:cs="Segoe UI"/>
        </w:rPr>
        <w:t xml:space="preserve"> </w:t>
      </w:r>
    </w:p>
    <w:p w14:paraId="7A49D6B0" w14:textId="77777777" w:rsidR="007F4242" w:rsidRDefault="007F4242" w:rsidP="007F4242">
      <w:pPr>
        <w:pStyle w:val="Heading2"/>
        <w:ind w:left="-4"/>
      </w:pPr>
      <w:r>
        <w:t>Figure 1 Comments</w:t>
      </w:r>
      <w:r>
        <w:rPr>
          <w:rFonts w:ascii="Segoe UI" w:eastAsia="Segoe UI" w:hAnsi="Segoe UI" w:cs="Segoe UI"/>
          <w:b w:val="0"/>
          <w:sz w:val="22"/>
          <w:u w:color="000000"/>
        </w:rPr>
        <w:t xml:space="preserve"> </w:t>
      </w:r>
    </w:p>
    <w:p w14:paraId="7DBE0F73" w14:textId="77777777" w:rsidR="007F4242" w:rsidRDefault="007F4242" w:rsidP="007F4242">
      <w:pPr>
        <w:spacing w:after="159"/>
        <w:ind w:left="-3" w:hanging="10"/>
        <w:jc w:val="both"/>
      </w:pPr>
      <w:r>
        <w:rPr>
          <w:rFonts w:ascii="Segoe UI" w:eastAsia="Segoe UI" w:hAnsi="Segoe UI" w:cs="Segoe UI"/>
          <w:b/>
          <w:color w:val="FF0000"/>
        </w:rPr>
        <w:t xml:space="preserve">Fig. 1 Comment 1: </w:t>
      </w:r>
      <w:r>
        <w:rPr>
          <w:rFonts w:ascii="Segoe UI" w:eastAsia="Segoe UI" w:hAnsi="Segoe UI" w:cs="Segoe UI"/>
          <w:color w:val="FF0000"/>
        </w:rPr>
        <w:t xml:space="preserve">Figure 1A is confusing.  I assume the blue cell should be on the right-hand side of the gray arrow.  Are the authors trying to show that 2 plasmids are being put into cells?  The way it's </w:t>
      </w:r>
      <w:proofErr w:type="gramStart"/>
      <w:r>
        <w:rPr>
          <w:rFonts w:ascii="Segoe UI" w:eastAsia="Segoe UI" w:hAnsi="Segoe UI" w:cs="Segoe UI"/>
          <w:color w:val="FF0000"/>
        </w:rPr>
        <w:t>drawn make</w:t>
      </w:r>
      <w:proofErr w:type="gramEnd"/>
      <w:r>
        <w:rPr>
          <w:rFonts w:ascii="Segoe UI" w:eastAsia="Segoe UI" w:hAnsi="Segoe UI" w:cs="Segoe UI"/>
          <w:color w:val="FF0000"/>
        </w:rPr>
        <w:t xml:space="preserve"> is </w:t>
      </w:r>
      <w:proofErr w:type="gramStart"/>
      <w:r>
        <w:rPr>
          <w:rFonts w:ascii="Segoe UI" w:eastAsia="Segoe UI" w:hAnsi="Segoe UI" w:cs="Segoe UI"/>
          <w:color w:val="FF0000"/>
        </w:rPr>
        <w:t>look</w:t>
      </w:r>
      <w:proofErr w:type="gramEnd"/>
      <w:r>
        <w:rPr>
          <w:rFonts w:ascii="Segoe UI" w:eastAsia="Segoe UI" w:hAnsi="Segoe UI" w:cs="Segoe UI"/>
          <w:color w:val="FF0000"/>
        </w:rPr>
        <w:t xml:space="preserve"> like they are taking something out of the cells.  Additionally, the gRNA targeting the SV40 promoter isn't shown on the </w:t>
      </w:r>
      <w:proofErr w:type="spellStart"/>
      <w:r>
        <w:rPr>
          <w:rFonts w:ascii="Segoe UI" w:eastAsia="Segoe UI" w:hAnsi="Segoe UI" w:cs="Segoe UI"/>
          <w:color w:val="FF0000"/>
        </w:rPr>
        <w:t>eGFP</w:t>
      </w:r>
      <w:proofErr w:type="spellEnd"/>
      <w:r>
        <w:rPr>
          <w:rFonts w:ascii="Segoe UI" w:eastAsia="Segoe UI" w:hAnsi="Segoe UI" w:cs="Segoe UI"/>
          <w:color w:val="FF0000"/>
        </w:rPr>
        <w:t xml:space="preserve"> construct, which leaves the reader wondering where the gRNA is coming in or if this is a non-specific repression with no gRNA.</w:t>
      </w:r>
      <w:r>
        <w:rPr>
          <w:rFonts w:ascii="Segoe UI" w:eastAsia="Segoe UI" w:hAnsi="Segoe UI" w:cs="Segoe UI"/>
          <w:b/>
          <w:color w:val="FF0000"/>
        </w:rPr>
        <w:t xml:space="preserve"> </w:t>
      </w:r>
    </w:p>
    <w:p w14:paraId="7F63B62B" w14:textId="77777777" w:rsidR="007F4242" w:rsidRDefault="007F4242" w:rsidP="007F4242">
      <w:pPr>
        <w:spacing w:after="158"/>
        <w:ind w:left="-3" w:hanging="10"/>
        <w:jc w:val="both"/>
      </w:pPr>
      <w:r>
        <w:rPr>
          <w:rFonts w:ascii="Segoe UI" w:eastAsia="Segoe UI" w:hAnsi="Segoe UI" w:cs="Segoe UI"/>
          <w:b/>
        </w:rPr>
        <w:t>Response</w:t>
      </w:r>
      <w:r>
        <w:rPr>
          <w:rFonts w:ascii="Segoe UI" w:eastAsia="Segoe UI" w:hAnsi="Segoe UI" w:cs="Segoe UI"/>
        </w:rPr>
        <w:t xml:space="preserve">: We thank the reviewer for bringing attention to the ambiguities in Figure 1A. We reorganized the schematic to clearly show that two plasmids were delivered into the cells and added the U6 promoter/sgRNA cassette on the SV40-eGFP plasmid to show the origin of the sgRNA. We also revised the caption to describe the reporter assay design more clearly on Page 13-14:  </w:t>
      </w:r>
    </w:p>
    <w:p w14:paraId="2F509884" w14:textId="77777777" w:rsidR="007F4242" w:rsidRDefault="007F4242" w:rsidP="007F4242">
      <w:pPr>
        <w:spacing w:after="158"/>
        <w:ind w:left="1"/>
      </w:pPr>
      <w:r>
        <w:rPr>
          <w:rFonts w:ascii="Segoe UI" w:eastAsia="Segoe UI" w:hAnsi="Segoe UI" w:cs="Segoe UI"/>
        </w:rPr>
        <w:t xml:space="preserve"> </w:t>
      </w:r>
    </w:p>
    <w:p w14:paraId="41F7D466" w14:textId="77777777" w:rsidR="007F4242" w:rsidRDefault="007F4242" w:rsidP="007F4242">
      <w:pPr>
        <w:spacing w:after="168" w:line="249" w:lineRule="auto"/>
        <w:ind w:left="572" w:right="564" w:hanging="9"/>
        <w:jc w:val="both"/>
      </w:pPr>
      <w:r>
        <w:rPr>
          <w:rFonts w:ascii="Segoe UI" w:eastAsia="Segoe UI" w:hAnsi="Segoe UI" w:cs="Segoe UI"/>
          <w:i/>
        </w:rPr>
        <w:t xml:space="preserve">“Candidate repressor domains attached to the C-terminus of dCas9 and co-expressed with </w:t>
      </w:r>
      <w:proofErr w:type="spellStart"/>
      <w:r>
        <w:rPr>
          <w:rFonts w:ascii="Segoe UI" w:eastAsia="Segoe UI" w:hAnsi="Segoe UI" w:cs="Segoe UI"/>
          <w:i/>
        </w:rPr>
        <w:t>mCherry</w:t>
      </w:r>
      <w:proofErr w:type="spellEnd"/>
      <w:r>
        <w:rPr>
          <w:rFonts w:ascii="Segoe UI" w:eastAsia="Segoe UI" w:hAnsi="Segoe UI" w:cs="Segoe UI"/>
          <w:i/>
        </w:rPr>
        <w:t xml:space="preserve"> (included to permit exclusion of non-expressing cells) were co-transfected with a reporter plasmid containing two main components: (1) a sgRNA designed to target the SV40 promoter, and (2) a SV40-eGFP fluorescent reporter. 3 days </w:t>
      </w:r>
      <w:proofErr w:type="spellStart"/>
      <w:r>
        <w:rPr>
          <w:rFonts w:ascii="Segoe UI" w:eastAsia="Segoe UI" w:hAnsi="Segoe UI" w:cs="Segoe UI"/>
          <w:i/>
        </w:rPr>
        <w:t>posttransfection</w:t>
      </w:r>
      <w:proofErr w:type="spellEnd"/>
      <w:r>
        <w:rPr>
          <w:rFonts w:ascii="Segoe UI" w:eastAsia="Segoe UI" w:hAnsi="Segoe UI" w:cs="Segoe UI"/>
          <w:i/>
        </w:rPr>
        <w:t xml:space="preserve">, </w:t>
      </w:r>
      <w:proofErr w:type="spellStart"/>
      <w:r>
        <w:rPr>
          <w:rFonts w:ascii="Segoe UI" w:eastAsia="Segoe UI" w:hAnsi="Segoe UI" w:cs="Segoe UI"/>
          <w:i/>
        </w:rPr>
        <w:t>eGFP</w:t>
      </w:r>
      <w:proofErr w:type="spellEnd"/>
      <w:r>
        <w:rPr>
          <w:rFonts w:ascii="Segoe UI" w:eastAsia="Segoe UI" w:hAnsi="Segoe UI" w:cs="Segoe UI"/>
          <w:i/>
        </w:rPr>
        <w:t xml:space="preserve"> expression levels were measured using flow cytometry to quantify resultant gene knockdown efficiency.” </w:t>
      </w:r>
    </w:p>
    <w:p w14:paraId="5B9C1BBA" w14:textId="77777777" w:rsidR="007F4242" w:rsidRDefault="007F4242" w:rsidP="007F4242">
      <w:pPr>
        <w:spacing w:after="159"/>
        <w:ind w:left="1"/>
      </w:pPr>
      <w:r>
        <w:rPr>
          <w:rFonts w:ascii="Segoe UI" w:eastAsia="Segoe UI" w:hAnsi="Segoe UI" w:cs="Segoe UI"/>
        </w:rPr>
        <w:t xml:space="preserve"> </w:t>
      </w:r>
    </w:p>
    <w:p w14:paraId="0EE0A423" w14:textId="77777777" w:rsidR="007F4242" w:rsidRDefault="007F4242" w:rsidP="007F4242">
      <w:pPr>
        <w:spacing w:after="159"/>
        <w:ind w:left="-3" w:hanging="10"/>
        <w:jc w:val="both"/>
      </w:pPr>
      <w:r>
        <w:rPr>
          <w:rFonts w:ascii="Segoe UI" w:eastAsia="Segoe UI" w:hAnsi="Segoe UI" w:cs="Segoe UI"/>
          <w:b/>
          <w:color w:val="FF0000"/>
        </w:rPr>
        <w:t xml:space="preserve">Fig. 1 Comment 2: </w:t>
      </w:r>
      <w:r>
        <w:rPr>
          <w:rFonts w:ascii="Segoe UI" w:eastAsia="Segoe UI" w:hAnsi="Segoe UI" w:cs="Segoe UI"/>
          <w:color w:val="FF0000"/>
        </w:rPr>
        <w:t>Fig. 1 B, D, F need figure keys within the figure - the coloring system can become overwhelming and confusing.</w:t>
      </w:r>
      <w:r>
        <w:rPr>
          <w:rFonts w:ascii="Segoe UI" w:eastAsia="Segoe UI" w:hAnsi="Segoe UI" w:cs="Segoe UI"/>
          <w:b/>
          <w:color w:val="FF0000"/>
        </w:rPr>
        <w:t xml:space="preserve"> </w:t>
      </w:r>
    </w:p>
    <w:p w14:paraId="5B0585F7" w14:textId="77777777" w:rsidR="007F4242" w:rsidRDefault="007F4242" w:rsidP="007F4242">
      <w:pPr>
        <w:spacing w:after="158"/>
        <w:ind w:left="-3" w:hanging="10"/>
        <w:jc w:val="both"/>
      </w:pPr>
      <w:r>
        <w:rPr>
          <w:rFonts w:ascii="Segoe UI" w:eastAsia="Segoe UI" w:hAnsi="Segoe UI" w:cs="Segoe UI"/>
          <w:b/>
        </w:rPr>
        <w:t>Response</w:t>
      </w:r>
      <w:r>
        <w:rPr>
          <w:rFonts w:ascii="Segoe UI" w:eastAsia="Segoe UI" w:hAnsi="Segoe UI" w:cs="Segoe UI"/>
        </w:rPr>
        <w:t xml:space="preserve">: We agree with the reviewer that the color scheme is confusing in Figure 1. Colors have been vastly simplified to instead categorize the repressors tested: (1) previously published </w:t>
      </w:r>
      <w:proofErr w:type="spellStart"/>
      <w:r>
        <w:rPr>
          <w:rFonts w:ascii="Segoe UI" w:eastAsia="Segoe UI" w:hAnsi="Segoe UI" w:cs="Segoe UI"/>
        </w:rPr>
        <w:t>CRISPRi</w:t>
      </w:r>
      <w:proofErr w:type="spellEnd"/>
      <w:r>
        <w:rPr>
          <w:rFonts w:ascii="Segoe UI" w:eastAsia="Segoe UI" w:hAnsi="Segoe UI" w:cs="Segoe UI"/>
        </w:rPr>
        <w:t xml:space="preserve"> systems (gray), novel single domains (blue), bipartite library hits (green), and tripartite library hits (purple). We added keys to Figures 1B, 1D, and 1F to clarify this and edited the corresponding figure captions to reflect the updated color scheme on Page 14:  </w:t>
      </w:r>
    </w:p>
    <w:p w14:paraId="7DF137DB" w14:textId="77777777" w:rsidR="007F4242" w:rsidRDefault="007F4242" w:rsidP="007F4242">
      <w:pPr>
        <w:spacing w:after="168" w:line="249" w:lineRule="auto"/>
        <w:ind w:left="572" w:right="564" w:hanging="9"/>
        <w:jc w:val="both"/>
      </w:pPr>
      <w:r>
        <w:rPr>
          <w:rFonts w:ascii="Segoe UI" w:eastAsia="Segoe UI" w:hAnsi="Segoe UI" w:cs="Segoe UI"/>
          <w:i/>
        </w:rPr>
        <w:t xml:space="preserve">(Figure 1B): “Previously published </w:t>
      </w:r>
      <w:proofErr w:type="spellStart"/>
      <w:r>
        <w:rPr>
          <w:rFonts w:ascii="Segoe UI" w:eastAsia="Segoe UI" w:hAnsi="Segoe UI" w:cs="Segoe UI"/>
          <w:i/>
        </w:rPr>
        <w:t>CRISPRi</w:t>
      </w:r>
      <w:proofErr w:type="spellEnd"/>
      <w:r>
        <w:rPr>
          <w:rFonts w:ascii="Segoe UI" w:eastAsia="Segoe UI" w:hAnsi="Segoe UI" w:cs="Segoe UI"/>
          <w:i/>
        </w:rPr>
        <w:t xml:space="preserve"> domains (gray bars) and novel solo repressor domains (blue bars) were assayed using the </w:t>
      </w:r>
      <w:proofErr w:type="spellStart"/>
      <w:r>
        <w:rPr>
          <w:rFonts w:ascii="Segoe UI" w:eastAsia="Segoe UI" w:hAnsi="Segoe UI" w:cs="Segoe UI"/>
          <w:i/>
        </w:rPr>
        <w:t>eGFP</w:t>
      </w:r>
      <w:proofErr w:type="spellEnd"/>
      <w:r>
        <w:rPr>
          <w:rFonts w:ascii="Segoe UI" w:eastAsia="Segoe UI" w:hAnsi="Segoe UI" w:cs="Segoe UI"/>
          <w:i/>
        </w:rPr>
        <w:t xml:space="preserve"> reporter assay in HEK293T cells. </w:t>
      </w:r>
      <w:proofErr w:type="spellStart"/>
      <w:r>
        <w:rPr>
          <w:rFonts w:ascii="Segoe UI" w:eastAsia="Segoe UI" w:hAnsi="Segoe UI" w:cs="Segoe UI"/>
          <w:i/>
        </w:rPr>
        <w:t>eGFP</w:t>
      </w:r>
      <w:proofErr w:type="spellEnd"/>
      <w:r>
        <w:rPr>
          <w:rFonts w:ascii="Segoe UI" w:eastAsia="Segoe UI" w:hAnsi="Segoe UI" w:cs="Segoe UI"/>
          <w:i/>
        </w:rPr>
        <w:t xml:space="preserve"> expression (i.e., the mean fluorescence intensity) is presented as mean ± </w:t>
      </w:r>
      <w:proofErr w:type="spellStart"/>
      <w:r>
        <w:rPr>
          <w:rFonts w:ascii="Segoe UI" w:eastAsia="Segoe UI" w:hAnsi="Segoe UI" w:cs="Segoe UI"/>
          <w:i/>
        </w:rPr>
        <w:t>s.e.m.</w:t>
      </w:r>
      <w:proofErr w:type="spellEnd"/>
      <w:r>
        <w:rPr>
          <w:rFonts w:ascii="Segoe UI" w:eastAsia="Segoe UI" w:hAnsi="Segoe UI" w:cs="Segoe UI"/>
          <w:i/>
        </w:rPr>
        <w:t xml:space="preserve"> of n = 3 biologically independent samples. Data is normalized to the mean fluorescence intensity </w:t>
      </w:r>
      <w:r>
        <w:rPr>
          <w:rFonts w:ascii="Segoe UI" w:eastAsia="Segoe UI" w:hAnsi="Segoe UI" w:cs="Segoe UI"/>
          <w:i/>
        </w:rPr>
        <w:lastRenderedPageBreak/>
        <w:t xml:space="preserve">of HEK293T cells co-expressing (1) the indicated dCas9-repressor fusion and (2) SV40eGFP plasmid with a non-targeting sgRNA. *P &lt; 0.05 and **P &lt; 0.01 by Tukey’s honestly significant difference (HSD) test” </w:t>
      </w:r>
    </w:p>
    <w:p w14:paraId="29F8D8AD" w14:textId="77777777" w:rsidR="007F4242" w:rsidRDefault="007F4242" w:rsidP="007F4242">
      <w:pPr>
        <w:spacing w:after="168" w:line="249" w:lineRule="auto"/>
        <w:ind w:left="572" w:right="564" w:hanging="9"/>
        <w:jc w:val="both"/>
      </w:pPr>
      <w:r>
        <w:rPr>
          <w:rFonts w:ascii="Segoe UI" w:eastAsia="Segoe UI" w:hAnsi="Segoe UI" w:cs="Segoe UI"/>
          <w:i/>
        </w:rPr>
        <w:t xml:space="preserve">(Figure 1D): “Systematic comparison of top-performing bipartite repressor variants (green bars) and previously published </w:t>
      </w:r>
      <w:proofErr w:type="spellStart"/>
      <w:r>
        <w:rPr>
          <w:rFonts w:ascii="Segoe UI" w:eastAsia="Segoe UI" w:hAnsi="Segoe UI" w:cs="Segoe UI"/>
          <w:i/>
        </w:rPr>
        <w:t>CRISPRi</w:t>
      </w:r>
      <w:proofErr w:type="spellEnd"/>
      <w:r>
        <w:rPr>
          <w:rFonts w:ascii="Segoe UI" w:eastAsia="Segoe UI" w:hAnsi="Segoe UI" w:cs="Segoe UI"/>
          <w:i/>
        </w:rPr>
        <w:t xml:space="preserve"> systems (gray bars) in HEK293T cells. The most significant ‘hits’ are marked in dark red. Bars denote </w:t>
      </w:r>
      <w:proofErr w:type="gramStart"/>
      <w:r>
        <w:rPr>
          <w:rFonts w:ascii="Segoe UI" w:eastAsia="Segoe UI" w:hAnsi="Segoe UI" w:cs="Segoe UI"/>
          <w:i/>
        </w:rPr>
        <w:t>mean ±</w:t>
      </w:r>
      <w:proofErr w:type="gramEnd"/>
      <w:r>
        <w:rPr>
          <w:rFonts w:ascii="Segoe UI" w:eastAsia="Segoe UI" w:hAnsi="Segoe UI" w:cs="Segoe UI"/>
          <w:i/>
        </w:rPr>
        <w:t xml:space="preserve"> </w:t>
      </w:r>
      <w:proofErr w:type="spellStart"/>
      <w:r>
        <w:rPr>
          <w:rFonts w:ascii="Segoe UI" w:eastAsia="Segoe UI" w:hAnsi="Segoe UI" w:cs="Segoe UI"/>
          <w:i/>
        </w:rPr>
        <w:t>s.e.m.</w:t>
      </w:r>
      <w:proofErr w:type="spellEnd"/>
      <w:r>
        <w:rPr>
          <w:rFonts w:ascii="Segoe UI" w:eastAsia="Segoe UI" w:hAnsi="Segoe UI" w:cs="Segoe UI"/>
          <w:i/>
        </w:rPr>
        <w:t xml:space="preserve"> of n = 6 biologically independent transfections. Data normalized as in (B). *P &lt; 0.05 and **P &lt; 0.01 by Tukey’s honestly significant difference (HSD) test” </w:t>
      </w:r>
    </w:p>
    <w:p w14:paraId="4A9D3219" w14:textId="77777777" w:rsidR="007F4242" w:rsidRDefault="007F4242" w:rsidP="007F4242">
      <w:pPr>
        <w:spacing w:after="168" w:line="249" w:lineRule="auto"/>
        <w:ind w:left="572" w:right="564" w:hanging="9"/>
        <w:jc w:val="both"/>
      </w:pPr>
      <w:r>
        <w:rPr>
          <w:rFonts w:ascii="Segoe UI" w:eastAsia="Segoe UI" w:hAnsi="Segoe UI" w:cs="Segoe UI"/>
          <w:i/>
        </w:rPr>
        <w:t xml:space="preserve">(Figure 1F): “Analysis of tripartite library hits (purple bars) and comparison to top performing bipartite variants (green bars) and previously published </w:t>
      </w:r>
      <w:proofErr w:type="spellStart"/>
      <w:r>
        <w:rPr>
          <w:rFonts w:ascii="Segoe UI" w:eastAsia="Segoe UI" w:hAnsi="Segoe UI" w:cs="Segoe UI"/>
          <w:i/>
        </w:rPr>
        <w:t>CRISPRi</w:t>
      </w:r>
      <w:proofErr w:type="spellEnd"/>
      <w:r>
        <w:rPr>
          <w:rFonts w:ascii="Segoe UI" w:eastAsia="Segoe UI" w:hAnsi="Segoe UI" w:cs="Segoe UI"/>
          <w:i/>
        </w:rPr>
        <w:t xml:space="preserve"> systems dCas9-KOX1(KRAB)-MeCP2 and dCas9-ZIM3(KRAB) (gray bars). The most significant ‘hits’ are marked in dark red. All bars denote </w:t>
      </w:r>
      <w:proofErr w:type="gramStart"/>
      <w:r>
        <w:rPr>
          <w:rFonts w:ascii="Segoe UI" w:eastAsia="Segoe UI" w:hAnsi="Segoe UI" w:cs="Segoe UI"/>
          <w:i/>
        </w:rPr>
        <w:t>mean ±</w:t>
      </w:r>
      <w:proofErr w:type="gramEnd"/>
      <w:r>
        <w:rPr>
          <w:rFonts w:ascii="Segoe UI" w:eastAsia="Segoe UI" w:hAnsi="Segoe UI" w:cs="Segoe UI"/>
          <w:i/>
        </w:rPr>
        <w:t xml:space="preserve"> </w:t>
      </w:r>
      <w:proofErr w:type="spellStart"/>
      <w:r>
        <w:rPr>
          <w:rFonts w:ascii="Segoe UI" w:eastAsia="Segoe UI" w:hAnsi="Segoe UI" w:cs="Segoe UI"/>
          <w:i/>
        </w:rPr>
        <w:t>s.e.m.</w:t>
      </w:r>
      <w:proofErr w:type="spellEnd"/>
      <w:r>
        <w:rPr>
          <w:rFonts w:ascii="Segoe UI" w:eastAsia="Segoe UI" w:hAnsi="Segoe UI" w:cs="Segoe UI"/>
          <w:i/>
        </w:rPr>
        <w:t xml:space="preserve"> of n = 6 biologically independent transfections. *P &lt; 0.05 by Tukey’s honestly significant difference (HSD) test” </w:t>
      </w:r>
    </w:p>
    <w:p w14:paraId="0B97CD57" w14:textId="77777777" w:rsidR="007F4242" w:rsidRDefault="007F4242" w:rsidP="007F4242">
      <w:pPr>
        <w:spacing w:after="0"/>
        <w:ind w:left="2"/>
      </w:pPr>
      <w:r>
        <w:rPr>
          <w:rFonts w:ascii="Segoe UI" w:eastAsia="Segoe UI" w:hAnsi="Segoe UI" w:cs="Segoe UI"/>
        </w:rPr>
        <w:t xml:space="preserve"> </w:t>
      </w:r>
    </w:p>
    <w:p w14:paraId="59AD376E" w14:textId="77777777" w:rsidR="007F4242" w:rsidRDefault="007F4242" w:rsidP="007F4242">
      <w:pPr>
        <w:spacing w:after="159"/>
        <w:ind w:left="-3" w:hanging="10"/>
        <w:jc w:val="both"/>
      </w:pPr>
      <w:r>
        <w:rPr>
          <w:rFonts w:ascii="Segoe UI" w:eastAsia="Segoe UI" w:hAnsi="Segoe UI" w:cs="Segoe UI"/>
          <w:b/>
          <w:color w:val="FF0000"/>
        </w:rPr>
        <w:t xml:space="preserve">Fig. 1 Comment 3: </w:t>
      </w:r>
      <w:r>
        <w:rPr>
          <w:rFonts w:ascii="Segoe UI" w:eastAsia="Segoe UI" w:hAnsi="Segoe UI" w:cs="Segoe UI"/>
          <w:color w:val="FF0000"/>
        </w:rPr>
        <w:t>Fig. 1D has two different grey bars and two different sets of green bars. Both need to be included in the figure and appropriately in the figure description as well.</w:t>
      </w:r>
      <w:r>
        <w:rPr>
          <w:rFonts w:ascii="Segoe UI" w:eastAsia="Segoe UI" w:hAnsi="Segoe UI" w:cs="Segoe UI"/>
          <w:b/>
          <w:color w:val="FF0000"/>
        </w:rPr>
        <w:t xml:space="preserve"> </w:t>
      </w:r>
    </w:p>
    <w:p w14:paraId="653452F9" w14:textId="77777777" w:rsidR="007F4242" w:rsidRDefault="007F4242" w:rsidP="007F4242">
      <w:pPr>
        <w:spacing w:after="158"/>
        <w:ind w:left="-3" w:hanging="10"/>
        <w:jc w:val="both"/>
      </w:pPr>
      <w:r>
        <w:rPr>
          <w:rFonts w:ascii="Segoe UI" w:eastAsia="Segoe UI" w:hAnsi="Segoe UI" w:cs="Segoe UI"/>
          <w:b/>
        </w:rPr>
        <w:t>Response</w:t>
      </w:r>
      <w:r>
        <w:rPr>
          <w:rFonts w:ascii="Segoe UI" w:eastAsia="Segoe UI" w:hAnsi="Segoe UI" w:cs="Segoe UI"/>
        </w:rPr>
        <w:t xml:space="preserve">: We thank the reviewer for pointing out ambiguities in Figure 1D. As mentioned in </w:t>
      </w:r>
      <w:r>
        <w:rPr>
          <w:rFonts w:ascii="Segoe UI" w:eastAsia="Segoe UI" w:hAnsi="Segoe UI" w:cs="Segoe UI"/>
          <w:b/>
        </w:rPr>
        <w:t>Fig. 1 Comment 2</w:t>
      </w:r>
      <w:r>
        <w:rPr>
          <w:rFonts w:ascii="Segoe UI" w:eastAsia="Segoe UI" w:hAnsi="Segoe UI" w:cs="Segoe UI"/>
        </w:rPr>
        <w:t xml:space="preserve">, we simplified the color scheme throughout Figure 1, and Figure 1D now only includes green and gray bars to identify bipartite library variants (green bars) and previously published effectors (gray bars). The figure caption and key have been updated to highlight these changes </w:t>
      </w:r>
      <w:proofErr w:type="gramStart"/>
      <w:r>
        <w:rPr>
          <w:rFonts w:ascii="Segoe UI" w:eastAsia="Segoe UI" w:hAnsi="Segoe UI" w:cs="Segoe UI"/>
        </w:rPr>
        <w:t>on</w:t>
      </w:r>
      <w:proofErr w:type="gramEnd"/>
      <w:r>
        <w:rPr>
          <w:rFonts w:ascii="Segoe UI" w:eastAsia="Segoe UI" w:hAnsi="Segoe UI" w:cs="Segoe UI"/>
        </w:rPr>
        <w:t xml:space="preserve"> Page 14:  </w:t>
      </w:r>
    </w:p>
    <w:p w14:paraId="235FF665" w14:textId="77777777" w:rsidR="007F4242" w:rsidRDefault="007F4242" w:rsidP="007F4242">
      <w:pPr>
        <w:spacing w:after="168" w:line="249" w:lineRule="auto"/>
        <w:ind w:left="572" w:right="564" w:hanging="9"/>
        <w:jc w:val="both"/>
      </w:pPr>
      <w:r>
        <w:rPr>
          <w:rFonts w:ascii="Segoe UI" w:eastAsia="Segoe UI" w:hAnsi="Segoe UI" w:cs="Segoe UI"/>
          <w:i/>
        </w:rPr>
        <w:t xml:space="preserve">“Systematic comparison of top-performing bipartite repressor variants (green bars) and previously published </w:t>
      </w:r>
      <w:proofErr w:type="spellStart"/>
      <w:r>
        <w:rPr>
          <w:rFonts w:ascii="Segoe UI" w:eastAsia="Segoe UI" w:hAnsi="Segoe UI" w:cs="Segoe UI"/>
          <w:i/>
        </w:rPr>
        <w:t>CRISPRi</w:t>
      </w:r>
      <w:proofErr w:type="spellEnd"/>
      <w:r>
        <w:rPr>
          <w:rFonts w:ascii="Segoe UI" w:eastAsia="Segoe UI" w:hAnsi="Segoe UI" w:cs="Segoe UI"/>
          <w:i/>
        </w:rPr>
        <w:t xml:space="preserve"> systems (gray bars) in HEK293T cells. The most significant ‘hits’ are marked in dark red. Bars denote </w:t>
      </w:r>
      <w:proofErr w:type="gramStart"/>
      <w:r>
        <w:rPr>
          <w:rFonts w:ascii="Segoe UI" w:eastAsia="Segoe UI" w:hAnsi="Segoe UI" w:cs="Segoe UI"/>
          <w:i/>
        </w:rPr>
        <w:t>mean ±</w:t>
      </w:r>
      <w:proofErr w:type="gramEnd"/>
      <w:r>
        <w:rPr>
          <w:rFonts w:ascii="Segoe UI" w:eastAsia="Segoe UI" w:hAnsi="Segoe UI" w:cs="Segoe UI"/>
          <w:i/>
        </w:rPr>
        <w:t xml:space="preserve"> </w:t>
      </w:r>
      <w:proofErr w:type="spellStart"/>
      <w:r>
        <w:rPr>
          <w:rFonts w:ascii="Segoe UI" w:eastAsia="Segoe UI" w:hAnsi="Segoe UI" w:cs="Segoe UI"/>
          <w:i/>
        </w:rPr>
        <w:t>s.e.m.</w:t>
      </w:r>
      <w:proofErr w:type="spellEnd"/>
      <w:r>
        <w:rPr>
          <w:rFonts w:ascii="Segoe UI" w:eastAsia="Segoe UI" w:hAnsi="Segoe UI" w:cs="Segoe UI"/>
          <w:i/>
        </w:rPr>
        <w:t xml:space="preserve"> of n = 6 biologically independent transfections. Data normalized as in (</w:t>
      </w:r>
      <w:r>
        <w:rPr>
          <w:rFonts w:ascii="Segoe UI" w:eastAsia="Segoe UI" w:hAnsi="Segoe UI" w:cs="Segoe UI"/>
          <w:b/>
          <w:i/>
        </w:rPr>
        <w:t>B</w:t>
      </w:r>
      <w:r>
        <w:rPr>
          <w:rFonts w:ascii="Segoe UI" w:eastAsia="Segoe UI" w:hAnsi="Segoe UI" w:cs="Segoe UI"/>
          <w:i/>
        </w:rPr>
        <w:t xml:space="preserve">). *P &lt; 0.05 and **P &lt; 0.01 by Tukey’s honestly significant difference (HSD) test” </w:t>
      </w:r>
    </w:p>
    <w:p w14:paraId="337C55A9" w14:textId="77777777" w:rsidR="007F4242" w:rsidRDefault="007F4242" w:rsidP="007F4242">
      <w:pPr>
        <w:spacing w:after="158"/>
        <w:ind w:left="1"/>
      </w:pPr>
      <w:r>
        <w:rPr>
          <w:rFonts w:ascii="Segoe UI" w:eastAsia="Segoe UI" w:hAnsi="Segoe UI" w:cs="Segoe UI"/>
        </w:rPr>
        <w:t xml:space="preserve"> </w:t>
      </w:r>
    </w:p>
    <w:p w14:paraId="43EF0D7C" w14:textId="77777777" w:rsidR="007F4242" w:rsidRDefault="007F4242" w:rsidP="007F4242">
      <w:pPr>
        <w:spacing w:after="159"/>
        <w:ind w:left="-3" w:hanging="10"/>
        <w:jc w:val="both"/>
      </w:pPr>
      <w:r>
        <w:rPr>
          <w:rFonts w:ascii="Segoe UI" w:eastAsia="Segoe UI" w:hAnsi="Segoe UI" w:cs="Segoe UI"/>
          <w:b/>
          <w:color w:val="FF0000"/>
        </w:rPr>
        <w:t xml:space="preserve">Fig. 1 Comment 4: </w:t>
      </w:r>
      <w:r>
        <w:rPr>
          <w:rFonts w:ascii="Segoe UI" w:eastAsia="Segoe UI" w:hAnsi="Segoe UI" w:cs="Segoe UI"/>
          <w:color w:val="FF0000"/>
        </w:rPr>
        <w:t xml:space="preserve">It is unclear why some statistical tests are shown in the figure, but not others. </w:t>
      </w:r>
      <w:proofErr w:type="gramStart"/>
      <w:r>
        <w:rPr>
          <w:rFonts w:ascii="Segoe UI" w:eastAsia="Segoe UI" w:hAnsi="Segoe UI" w:cs="Segoe UI"/>
          <w:color w:val="FF0000"/>
        </w:rPr>
        <w:t>it would</w:t>
      </w:r>
      <w:proofErr w:type="gramEnd"/>
      <w:r>
        <w:rPr>
          <w:rFonts w:ascii="Segoe UI" w:eastAsia="Segoe UI" w:hAnsi="Segoe UI" w:cs="Segoe UI"/>
          <w:color w:val="FF0000"/>
        </w:rPr>
        <w:t xml:space="preserve"> be more appropriate to compare with the gold standard dCas9-KOX1(KRAB)-MeCP2)? </w:t>
      </w:r>
      <w:r>
        <w:rPr>
          <w:rFonts w:ascii="Segoe UI" w:eastAsia="Segoe UI" w:hAnsi="Segoe UI" w:cs="Segoe UI"/>
          <w:b/>
          <w:color w:val="FF0000"/>
        </w:rPr>
        <w:t xml:space="preserve"> </w:t>
      </w:r>
    </w:p>
    <w:p w14:paraId="44E526C3" w14:textId="77777777" w:rsidR="007F4242" w:rsidRDefault="007F4242" w:rsidP="007F4242">
      <w:pPr>
        <w:spacing w:after="158"/>
        <w:ind w:left="-3" w:hanging="10"/>
        <w:jc w:val="both"/>
      </w:pPr>
      <w:r>
        <w:rPr>
          <w:rFonts w:ascii="Segoe UI" w:eastAsia="Segoe UI" w:hAnsi="Segoe UI" w:cs="Segoe UI"/>
          <w:b/>
        </w:rPr>
        <w:t>Response</w:t>
      </w:r>
      <w:r>
        <w:rPr>
          <w:rFonts w:ascii="Segoe UI" w:eastAsia="Segoe UI" w:hAnsi="Segoe UI" w:cs="Segoe UI"/>
        </w:rPr>
        <w:t xml:space="preserve">: More statistical comparisons comparing our top-performing variants to dCas9ZIM3(KRAB) (the strongest gold-standard effector in the reporter assay screens) were added to Figures 1B, 1D, and 1F. We thank the reviewer for pointing out the lack of clarity with these comparisons.  </w:t>
      </w:r>
    </w:p>
    <w:p w14:paraId="260CE314" w14:textId="77777777" w:rsidR="007F4242" w:rsidRDefault="007F4242" w:rsidP="007F4242">
      <w:pPr>
        <w:spacing w:after="158"/>
        <w:ind w:left="1"/>
      </w:pPr>
      <w:r>
        <w:rPr>
          <w:rFonts w:ascii="Segoe UI" w:eastAsia="Segoe UI" w:hAnsi="Segoe UI" w:cs="Segoe UI"/>
        </w:rPr>
        <w:t xml:space="preserve"> </w:t>
      </w:r>
    </w:p>
    <w:p w14:paraId="577040BE" w14:textId="77777777" w:rsidR="007F4242" w:rsidRDefault="007F4242" w:rsidP="007F4242">
      <w:pPr>
        <w:spacing w:after="159"/>
        <w:ind w:left="-3" w:hanging="10"/>
        <w:jc w:val="both"/>
      </w:pPr>
      <w:r>
        <w:rPr>
          <w:rFonts w:ascii="Segoe UI" w:eastAsia="Segoe UI" w:hAnsi="Segoe UI" w:cs="Segoe UI"/>
          <w:b/>
          <w:color w:val="FF0000"/>
        </w:rPr>
        <w:lastRenderedPageBreak/>
        <w:t xml:space="preserve">Fig. 1 Comment 5: </w:t>
      </w:r>
      <w:r>
        <w:rPr>
          <w:rFonts w:ascii="Segoe UI" w:eastAsia="Segoe UI" w:hAnsi="Segoe UI" w:cs="Segoe UI"/>
          <w:color w:val="FF0000"/>
        </w:rPr>
        <w:t>Does "dCas9" sample include a gRNA? If so, it is not an adequate control as dCas9 does have silencing capability via steric hindrance.  An empty vector SV40-eGFP reporter plasmid should serve as a non-silencing control since</w:t>
      </w:r>
      <w:r>
        <w:rPr>
          <w:rFonts w:ascii="Segoe UI" w:eastAsia="Segoe UI" w:hAnsi="Segoe UI" w:cs="Segoe UI"/>
          <w:b/>
          <w:color w:val="FF0000"/>
        </w:rPr>
        <w:t xml:space="preserve"> </w:t>
      </w:r>
    </w:p>
    <w:p w14:paraId="0870A7FF" w14:textId="77777777" w:rsidR="007F4242" w:rsidRDefault="007F4242" w:rsidP="007F4242">
      <w:pPr>
        <w:spacing w:after="158"/>
        <w:ind w:left="-3" w:hanging="10"/>
        <w:jc w:val="both"/>
      </w:pPr>
      <w:r>
        <w:rPr>
          <w:rFonts w:ascii="Segoe UI" w:eastAsia="Segoe UI" w:hAnsi="Segoe UI" w:cs="Segoe UI"/>
          <w:b/>
        </w:rPr>
        <w:t>Response</w:t>
      </w:r>
      <w:r>
        <w:rPr>
          <w:rFonts w:ascii="Segoe UI" w:eastAsia="Segoe UI" w:hAnsi="Segoe UI" w:cs="Segoe UI"/>
        </w:rPr>
        <w:t xml:space="preserve">: We agree with the reviewer that dCas9 possesses innate silencing capability and that the labels “dCas9” and “dCas9 Only” are unclear. The revised manuscript omits all instances of the label “dCas9 Only” because it incorrectly implies the absence of the SV40-eGFP reporter plasmid in that condition. All “dCas9” samples were cells co-transfected with (1) dCas9 and (2) the SV40eGFP reporter construct with a targeting sgRNA.  </w:t>
      </w:r>
    </w:p>
    <w:p w14:paraId="64E9957C" w14:textId="77777777" w:rsidR="007F4242" w:rsidRDefault="007F4242" w:rsidP="007F4242">
      <w:pPr>
        <w:spacing w:after="159"/>
        <w:ind w:left="1"/>
      </w:pPr>
      <w:r>
        <w:rPr>
          <w:rFonts w:ascii="Segoe UI" w:eastAsia="Segoe UI" w:hAnsi="Segoe UI" w:cs="Segoe UI"/>
        </w:rPr>
        <w:t xml:space="preserve"> </w:t>
      </w:r>
    </w:p>
    <w:p w14:paraId="7018AA8F" w14:textId="77777777" w:rsidR="007F4242" w:rsidRDefault="007F4242" w:rsidP="007F4242">
      <w:pPr>
        <w:spacing w:after="159"/>
        <w:ind w:left="-3" w:hanging="10"/>
        <w:jc w:val="both"/>
      </w:pPr>
      <w:r>
        <w:rPr>
          <w:rFonts w:ascii="Segoe UI" w:eastAsia="Segoe UI" w:hAnsi="Segoe UI" w:cs="Segoe UI"/>
          <w:b/>
          <w:color w:val="FF0000"/>
        </w:rPr>
        <w:t xml:space="preserve">Fig. 1 Comment 6: </w:t>
      </w:r>
      <w:r>
        <w:rPr>
          <w:rFonts w:ascii="Segoe UI" w:eastAsia="Segoe UI" w:hAnsi="Segoe UI" w:cs="Segoe UI"/>
          <w:color w:val="FF0000"/>
        </w:rPr>
        <w:t>1F and throughout - the y-axis "</w:t>
      </w:r>
      <w:proofErr w:type="spellStart"/>
      <w:r>
        <w:rPr>
          <w:rFonts w:ascii="Segoe UI" w:eastAsia="Segoe UI" w:hAnsi="Segoe UI" w:cs="Segoe UI"/>
          <w:color w:val="FF0000"/>
        </w:rPr>
        <w:t>eGFP</w:t>
      </w:r>
      <w:proofErr w:type="spellEnd"/>
      <w:r>
        <w:rPr>
          <w:rFonts w:ascii="Segoe UI" w:eastAsia="Segoe UI" w:hAnsi="Segoe UI" w:cs="Segoe UI"/>
          <w:color w:val="FF0000"/>
        </w:rPr>
        <w:t xml:space="preserve"> expression" is unclear - what unit is </w:t>
      </w:r>
      <w:proofErr w:type="spellStart"/>
      <w:r>
        <w:rPr>
          <w:rFonts w:ascii="Segoe UI" w:eastAsia="Segoe UI" w:hAnsi="Segoe UI" w:cs="Segoe UI"/>
          <w:color w:val="FF0000"/>
        </w:rPr>
        <w:t>eGFP</w:t>
      </w:r>
      <w:proofErr w:type="spellEnd"/>
      <w:r>
        <w:rPr>
          <w:rFonts w:ascii="Segoe UI" w:eastAsia="Segoe UI" w:hAnsi="Segoe UI" w:cs="Segoe UI"/>
          <w:color w:val="FF0000"/>
        </w:rPr>
        <w:t xml:space="preserve"> expression being measured in? Is it </w:t>
      </w:r>
      <w:proofErr w:type="gramStart"/>
      <w:r>
        <w:rPr>
          <w:rFonts w:ascii="Segoe UI" w:eastAsia="Segoe UI" w:hAnsi="Segoe UI" w:cs="Segoe UI"/>
          <w:color w:val="FF0000"/>
        </w:rPr>
        <w:t>being normalized</w:t>
      </w:r>
      <w:proofErr w:type="gramEnd"/>
      <w:r>
        <w:rPr>
          <w:rFonts w:ascii="Segoe UI" w:eastAsia="Segoe UI" w:hAnsi="Segoe UI" w:cs="Segoe UI"/>
          <w:color w:val="FF0000"/>
        </w:rPr>
        <w:t xml:space="preserve"> to something?</w:t>
      </w:r>
      <w:r>
        <w:rPr>
          <w:rFonts w:ascii="Segoe UI" w:eastAsia="Segoe UI" w:hAnsi="Segoe UI" w:cs="Segoe UI"/>
          <w:b/>
          <w:color w:val="FF0000"/>
        </w:rPr>
        <w:t xml:space="preserve"> </w:t>
      </w:r>
    </w:p>
    <w:p w14:paraId="7D541B18" w14:textId="77777777" w:rsidR="007F4242" w:rsidRDefault="007F4242" w:rsidP="007F4242">
      <w:pPr>
        <w:spacing w:after="158"/>
        <w:ind w:left="-3" w:hanging="10"/>
        <w:jc w:val="both"/>
      </w:pPr>
      <w:r>
        <w:rPr>
          <w:rFonts w:ascii="Segoe UI" w:eastAsia="Segoe UI" w:hAnsi="Segoe UI" w:cs="Segoe UI"/>
          <w:b/>
        </w:rPr>
        <w:t>Response</w:t>
      </w:r>
      <w:r>
        <w:rPr>
          <w:rFonts w:ascii="Segoe UI" w:eastAsia="Segoe UI" w:hAnsi="Segoe UI" w:cs="Segoe UI"/>
        </w:rPr>
        <w:t>: We thank the reviewer for identifying the ambiguity in the “</w:t>
      </w:r>
      <w:proofErr w:type="spellStart"/>
      <w:r>
        <w:rPr>
          <w:rFonts w:ascii="Segoe UI" w:eastAsia="Segoe UI" w:hAnsi="Segoe UI" w:cs="Segoe UI"/>
        </w:rPr>
        <w:t>eGFP</w:t>
      </w:r>
      <w:proofErr w:type="spellEnd"/>
      <w:r>
        <w:rPr>
          <w:rFonts w:ascii="Segoe UI" w:eastAsia="Segoe UI" w:hAnsi="Segoe UI" w:cs="Segoe UI"/>
        </w:rPr>
        <w:t xml:space="preserve"> Expression” axis titles used repeatedly throughout the manuscript. When plotting reporter assay data (such as in Figure 1F), we define “</w:t>
      </w:r>
      <w:proofErr w:type="spellStart"/>
      <w:r>
        <w:rPr>
          <w:rFonts w:ascii="Segoe UI" w:eastAsia="Segoe UI" w:hAnsi="Segoe UI" w:cs="Segoe UI"/>
        </w:rPr>
        <w:t>eGFP</w:t>
      </w:r>
      <w:proofErr w:type="spellEnd"/>
      <w:r>
        <w:rPr>
          <w:rFonts w:ascii="Segoe UI" w:eastAsia="Segoe UI" w:hAnsi="Segoe UI" w:cs="Segoe UI"/>
        </w:rPr>
        <w:t xml:space="preserve"> Expression” as the mean fluorescence intensity (MFI) quantified via flow cytometry by the FITC/</w:t>
      </w:r>
      <w:proofErr w:type="spellStart"/>
      <w:r>
        <w:rPr>
          <w:rFonts w:ascii="Segoe UI" w:eastAsia="Segoe UI" w:hAnsi="Segoe UI" w:cs="Segoe UI"/>
        </w:rPr>
        <w:t>eGFP</w:t>
      </w:r>
      <w:proofErr w:type="spellEnd"/>
      <w:r>
        <w:rPr>
          <w:rFonts w:ascii="Segoe UI" w:eastAsia="Segoe UI" w:hAnsi="Segoe UI" w:cs="Segoe UI"/>
        </w:rPr>
        <w:t xml:space="preserve"> detector. In most figures, “</w:t>
      </w:r>
      <w:proofErr w:type="spellStart"/>
      <w:r>
        <w:rPr>
          <w:rFonts w:ascii="Segoe UI" w:eastAsia="Segoe UI" w:hAnsi="Segoe UI" w:cs="Segoe UI"/>
        </w:rPr>
        <w:t>eGFP</w:t>
      </w:r>
      <w:proofErr w:type="spellEnd"/>
      <w:r>
        <w:rPr>
          <w:rFonts w:ascii="Segoe UI" w:eastAsia="Segoe UI" w:hAnsi="Segoe UI" w:cs="Segoe UI"/>
        </w:rPr>
        <w:t xml:space="preserve"> Expression” values are normalized by the MFI of cells co-transfected with (1) the indicated dCas9-repressor fusion and (2) SV40-eGFP reporter plasmid with a non-targeting sgRNA. We added this information </w:t>
      </w:r>
      <w:proofErr w:type="gramStart"/>
      <w:r>
        <w:rPr>
          <w:rFonts w:ascii="Segoe UI" w:eastAsia="Segoe UI" w:hAnsi="Segoe UI" w:cs="Segoe UI"/>
        </w:rPr>
        <w:t>in</w:t>
      </w:r>
      <w:proofErr w:type="gramEnd"/>
      <w:r>
        <w:rPr>
          <w:rFonts w:ascii="Segoe UI" w:eastAsia="Segoe UI" w:hAnsi="Segoe UI" w:cs="Segoe UI"/>
        </w:rPr>
        <w:t xml:space="preserve"> the Materials and Methods section on Page 4 to clarify these important points:  </w:t>
      </w:r>
    </w:p>
    <w:p w14:paraId="1EA05E55" w14:textId="77777777" w:rsidR="007F4242" w:rsidRDefault="007F4242" w:rsidP="007F4242">
      <w:pPr>
        <w:spacing w:after="168" w:line="249" w:lineRule="auto"/>
        <w:ind w:left="572" w:right="564" w:hanging="9"/>
        <w:jc w:val="both"/>
      </w:pPr>
      <w:r>
        <w:rPr>
          <w:rFonts w:ascii="Segoe UI" w:eastAsia="Segoe UI" w:hAnsi="Segoe UI" w:cs="Segoe UI"/>
          <w:i/>
        </w:rPr>
        <w:t xml:space="preserve">“Analysis was excluded to cells expressing </w:t>
      </w:r>
      <w:proofErr w:type="spellStart"/>
      <w:r>
        <w:rPr>
          <w:rFonts w:ascii="Segoe UI" w:eastAsia="Segoe UI" w:hAnsi="Segoe UI" w:cs="Segoe UI"/>
          <w:i/>
        </w:rPr>
        <w:t>mCherry</w:t>
      </w:r>
      <w:proofErr w:type="spellEnd"/>
      <w:r>
        <w:rPr>
          <w:rFonts w:ascii="Segoe UI" w:eastAsia="Segoe UI" w:hAnsi="Segoe UI" w:cs="Segoe UI"/>
          <w:i/>
        </w:rPr>
        <w:t xml:space="preserve"> to control for variable transfection efficiency, and </w:t>
      </w:r>
      <w:proofErr w:type="spellStart"/>
      <w:r>
        <w:rPr>
          <w:rFonts w:ascii="Segoe UI" w:eastAsia="Segoe UI" w:hAnsi="Segoe UI" w:cs="Segoe UI"/>
          <w:i/>
        </w:rPr>
        <w:t>eGFP</w:t>
      </w:r>
      <w:proofErr w:type="spellEnd"/>
      <w:r>
        <w:rPr>
          <w:rFonts w:ascii="Segoe UI" w:eastAsia="Segoe UI" w:hAnsi="Segoe UI" w:cs="Segoe UI"/>
          <w:i/>
        </w:rPr>
        <w:t xml:space="preserve"> mean fluorescence intensity (MFI) within this gated population was quantified for each group as a proxy for </w:t>
      </w:r>
      <w:proofErr w:type="spellStart"/>
      <w:r>
        <w:rPr>
          <w:rFonts w:ascii="Segoe UI" w:eastAsia="Segoe UI" w:hAnsi="Segoe UI" w:cs="Segoe UI"/>
          <w:i/>
        </w:rPr>
        <w:t>CRISPRi</w:t>
      </w:r>
      <w:proofErr w:type="spellEnd"/>
      <w:r>
        <w:rPr>
          <w:rFonts w:ascii="Segoe UI" w:eastAsia="Segoe UI" w:hAnsi="Segoe UI" w:cs="Segoe UI"/>
          <w:i/>
        </w:rPr>
        <w:t xml:space="preserve"> activity (Supplementary Figure S1). To calculate relative knockdown efficiencies, raw </w:t>
      </w:r>
      <w:proofErr w:type="spellStart"/>
      <w:r>
        <w:rPr>
          <w:rFonts w:ascii="Segoe UI" w:eastAsia="Segoe UI" w:hAnsi="Segoe UI" w:cs="Segoe UI"/>
          <w:i/>
        </w:rPr>
        <w:t>eGFP</w:t>
      </w:r>
      <w:proofErr w:type="spellEnd"/>
      <w:r>
        <w:rPr>
          <w:rFonts w:ascii="Segoe UI" w:eastAsia="Segoe UI" w:hAnsi="Segoe UI" w:cs="Segoe UI"/>
          <w:i/>
        </w:rPr>
        <w:t xml:space="preserve"> MFI values for each condition were then normalized by the </w:t>
      </w:r>
      <w:proofErr w:type="spellStart"/>
      <w:r>
        <w:rPr>
          <w:rFonts w:ascii="Segoe UI" w:eastAsia="Segoe UI" w:hAnsi="Segoe UI" w:cs="Segoe UI"/>
          <w:i/>
        </w:rPr>
        <w:t>eGFP</w:t>
      </w:r>
      <w:proofErr w:type="spellEnd"/>
      <w:r>
        <w:rPr>
          <w:rFonts w:ascii="Segoe UI" w:eastAsia="Segoe UI" w:hAnsi="Segoe UI" w:cs="Segoe UI"/>
          <w:i/>
        </w:rPr>
        <w:t xml:space="preserve"> MFI of cells co-transfected with (1) the indicated dCas9repressor fusion and (2) the SV40-eGFP reporter plasmid with a non-targeting sgRNA control.”</w:t>
      </w:r>
      <w:r>
        <w:rPr>
          <w:rFonts w:ascii="Segoe UI" w:eastAsia="Segoe UI" w:hAnsi="Segoe UI" w:cs="Segoe UI"/>
        </w:rPr>
        <w:t xml:space="preserve"> </w:t>
      </w:r>
    </w:p>
    <w:p w14:paraId="094FAB0A" w14:textId="77777777" w:rsidR="007F4242" w:rsidRDefault="007F4242" w:rsidP="007F4242">
      <w:pPr>
        <w:spacing w:after="181"/>
        <w:ind w:left="2"/>
      </w:pPr>
      <w:r>
        <w:rPr>
          <w:rFonts w:ascii="Segoe UI" w:eastAsia="Segoe UI" w:hAnsi="Segoe UI" w:cs="Segoe UI"/>
        </w:rPr>
        <w:t xml:space="preserve"> </w:t>
      </w:r>
    </w:p>
    <w:p w14:paraId="50614F09" w14:textId="77777777" w:rsidR="007F4242" w:rsidRDefault="007F4242" w:rsidP="007F4242">
      <w:pPr>
        <w:pStyle w:val="Heading2"/>
        <w:ind w:left="-4"/>
      </w:pPr>
      <w:r>
        <w:t>Figure 2 Comments</w:t>
      </w:r>
      <w:r>
        <w:rPr>
          <w:u w:color="000000"/>
        </w:rPr>
        <w:t xml:space="preserve"> </w:t>
      </w:r>
    </w:p>
    <w:p w14:paraId="4021F325" w14:textId="77777777" w:rsidR="007F4242" w:rsidRDefault="007F4242" w:rsidP="007F4242">
      <w:pPr>
        <w:spacing w:after="159"/>
        <w:ind w:left="-3" w:hanging="10"/>
        <w:jc w:val="both"/>
      </w:pPr>
      <w:r>
        <w:rPr>
          <w:rFonts w:ascii="Segoe UI" w:eastAsia="Segoe UI" w:hAnsi="Segoe UI" w:cs="Segoe UI"/>
          <w:b/>
          <w:color w:val="FF0000"/>
        </w:rPr>
        <w:t xml:space="preserve">Fig. 2 Comment 1: </w:t>
      </w:r>
      <w:r>
        <w:rPr>
          <w:rFonts w:ascii="Segoe UI" w:eastAsia="Segoe UI" w:hAnsi="Segoe UI" w:cs="Segoe UI"/>
          <w:color w:val="FF0000"/>
        </w:rPr>
        <w:t xml:space="preserve">Color coding in Fig 2 A should be described within the </w:t>
      </w:r>
      <w:proofErr w:type="gramStart"/>
      <w:r>
        <w:rPr>
          <w:rFonts w:ascii="Segoe UI" w:eastAsia="Segoe UI" w:hAnsi="Segoe UI" w:cs="Segoe UI"/>
          <w:color w:val="FF0000"/>
        </w:rPr>
        <w:t>figure legend</w:t>
      </w:r>
      <w:proofErr w:type="gramEnd"/>
      <w:r>
        <w:rPr>
          <w:rFonts w:ascii="Segoe UI" w:eastAsia="Segoe UI" w:hAnsi="Segoe UI" w:cs="Segoe UI"/>
          <w:color w:val="FF0000"/>
        </w:rPr>
        <w:t>.</w:t>
      </w:r>
      <w:r>
        <w:rPr>
          <w:rFonts w:ascii="Segoe UI" w:eastAsia="Segoe UI" w:hAnsi="Segoe UI" w:cs="Segoe UI"/>
          <w:b/>
          <w:color w:val="FF0000"/>
        </w:rPr>
        <w:t xml:space="preserve"> </w:t>
      </w:r>
    </w:p>
    <w:p w14:paraId="7179BB57" w14:textId="77777777" w:rsidR="007F4242" w:rsidRDefault="007F4242" w:rsidP="007F4242">
      <w:pPr>
        <w:spacing w:after="0"/>
        <w:ind w:left="-3" w:hanging="10"/>
        <w:jc w:val="both"/>
      </w:pPr>
      <w:r>
        <w:rPr>
          <w:rFonts w:ascii="Segoe UI" w:eastAsia="Segoe UI" w:hAnsi="Segoe UI" w:cs="Segoe UI"/>
          <w:b/>
        </w:rPr>
        <w:t>Response</w:t>
      </w:r>
      <w:r>
        <w:rPr>
          <w:rFonts w:ascii="Segoe UI" w:eastAsia="Segoe UI" w:hAnsi="Segoe UI" w:cs="Segoe UI"/>
        </w:rPr>
        <w:t xml:space="preserve">: We thank the reviewer for identifying this omission. The figure caption for Figure 2A now contains a description of the color coding which aligns with that used in Figure 1 on Page 15:  </w:t>
      </w:r>
    </w:p>
    <w:p w14:paraId="6614DDD5" w14:textId="77777777" w:rsidR="007F4242" w:rsidRDefault="007F4242" w:rsidP="007F4242">
      <w:pPr>
        <w:spacing w:after="0"/>
        <w:ind w:left="1"/>
      </w:pPr>
      <w:r>
        <w:rPr>
          <w:rFonts w:ascii="Segoe UI" w:eastAsia="Segoe UI" w:hAnsi="Segoe UI" w:cs="Segoe UI"/>
        </w:rPr>
        <w:t xml:space="preserve">  </w:t>
      </w:r>
    </w:p>
    <w:p w14:paraId="498F1D81" w14:textId="77777777" w:rsidR="007F4242" w:rsidRDefault="007F4242" w:rsidP="007F4242">
      <w:pPr>
        <w:spacing w:after="8" w:line="249" w:lineRule="auto"/>
        <w:ind w:left="10" w:right="2" w:hanging="9"/>
        <w:jc w:val="both"/>
      </w:pPr>
      <w:r>
        <w:rPr>
          <w:rFonts w:ascii="Segoe UI" w:eastAsia="Segoe UI" w:hAnsi="Segoe UI" w:cs="Segoe UI"/>
          <w:i/>
        </w:rPr>
        <w:t xml:space="preserve">“Knockdown efficiencies of various </w:t>
      </w:r>
      <w:proofErr w:type="spellStart"/>
      <w:r>
        <w:rPr>
          <w:rFonts w:ascii="Segoe UI" w:eastAsia="Segoe UI" w:hAnsi="Segoe UI" w:cs="Segoe UI"/>
          <w:i/>
        </w:rPr>
        <w:t>CRISPRi</w:t>
      </w:r>
      <w:proofErr w:type="spellEnd"/>
      <w:r>
        <w:rPr>
          <w:rFonts w:ascii="Segoe UI" w:eastAsia="Segoe UI" w:hAnsi="Segoe UI" w:cs="Segoe UI"/>
          <w:i/>
        </w:rPr>
        <w:t xml:space="preserve"> effectors (previously published systems, gray/orange bars; novel bipartite variants, green bars; novel tripartite variants, purple bars) using a panel of 9 </w:t>
      </w:r>
      <w:r>
        <w:rPr>
          <w:rFonts w:ascii="Segoe UI" w:eastAsia="Segoe UI" w:hAnsi="Segoe UI" w:cs="Segoe UI"/>
          <w:i/>
        </w:rPr>
        <w:lastRenderedPageBreak/>
        <w:t xml:space="preserve">distinct targeting sgRNAs tiling the SV40-eGFP reporter cassette on the template (T) and </w:t>
      </w:r>
      <w:proofErr w:type="spellStart"/>
      <w:r>
        <w:rPr>
          <w:rFonts w:ascii="Segoe UI" w:eastAsia="Segoe UI" w:hAnsi="Segoe UI" w:cs="Segoe UI"/>
          <w:i/>
        </w:rPr>
        <w:t>nontemplate</w:t>
      </w:r>
      <w:proofErr w:type="spellEnd"/>
      <w:r>
        <w:rPr>
          <w:rFonts w:ascii="Segoe UI" w:eastAsia="Segoe UI" w:hAnsi="Segoe UI" w:cs="Segoe UI"/>
          <w:i/>
        </w:rPr>
        <w:t xml:space="preserve"> (NT) strand in HEK293T cells.” </w:t>
      </w:r>
    </w:p>
    <w:p w14:paraId="126BB1A3" w14:textId="77777777" w:rsidR="007F4242" w:rsidRDefault="007F4242" w:rsidP="007F4242">
      <w:pPr>
        <w:spacing w:after="0"/>
        <w:ind w:left="1"/>
      </w:pPr>
      <w:r>
        <w:rPr>
          <w:rFonts w:ascii="Segoe UI" w:eastAsia="Segoe UI" w:hAnsi="Segoe UI" w:cs="Segoe UI"/>
        </w:rPr>
        <w:t xml:space="preserve"> </w:t>
      </w:r>
    </w:p>
    <w:p w14:paraId="488A708A" w14:textId="77777777" w:rsidR="007F4242" w:rsidRDefault="007F4242" w:rsidP="007F4242">
      <w:pPr>
        <w:spacing w:after="159"/>
        <w:ind w:left="-3" w:hanging="10"/>
        <w:jc w:val="both"/>
      </w:pPr>
      <w:r>
        <w:rPr>
          <w:rFonts w:ascii="Segoe UI" w:eastAsia="Segoe UI" w:hAnsi="Segoe UI" w:cs="Segoe UI"/>
          <w:b/>
          <w:color w:val="FF0000"/>
        </w:rPr>
        <w:t xml:space="preserve">Fig. 2 Comment 2: </w:t>
      </w:r>
      <w:r>
        <w:rPr>
          <w:rFonts w:ascii="Segoe UI" w:eastAsia="Segoe UI" w:hAnsi="Segoe UI" w:cs="Segoe UI"/>
          <w:color w:val="FF0000"/>
        </w:rPr>
        <w:t>Figure 2 B has no figure key within the figure.</w:t>
      </w:r>
      <w:r>
        <w:rPr>
          <w:rFonts w:ascii="Segoe UI" w:eastAsia="Segoe UI" w:hAnsi="Segoe UI" w:cs="Segoe UI"/>
        </w:rPr>
        <w:t xml:space="preserve"> </w:t>
      </w:r>
    </w:p>
    <w:p w14:paraId="020C2C10" w14:textId="77777777" w:rsidR="007F4242" w:rsidRDefault="007F4242" w:rsidP="007F4242">
      <w:pPr>
        <w:spacing w:after="158"/>
        <w:ind w:left="-3" w:hanging="10"/>
        <w:jc w:val="both"/>
      </w:pPr>
      <w:r>
        <w:rPr>
          <w:rFonts w:ascii="Segoe UI" w:eastAsia="Segoe UI" w:hAnsi="Segoe UI" w:cs="Segoe UI"/>
          <w:b/>
        </w:rPr>
        <w:t>Response</w:t>
      </w:r>
      <w:r>
        <w:rPr>
          <w:rFonts w:ascii="Segoe UI" w:eastAsia="Segoe UI" w:hAnsi="Segoe UI" w:cs="Segoe UI"/>
        </w:rPr>
        <w:t xml:space="preserve">: We added a key for Figure 2B to categorize the various </w:t>
      </w:r>
      <w:proofErr w:type="spellStart"/>
      <w:r>
        <w:rPr>
          <w:rFonts w:ascii="Segoe UI" w:eastAsia="Segoe UI" w:hAnsi="Segoe UI" w:cs="Segoe UI"/>
        </w:rPr>
        <w:t>CRISPRi</w:t>
      </w:r>
      <w:proofErr w:type="spellEnd"/>
      <w:r>
        <w:rPr>
          <w:rFonts w:ascii="Segoe UI" w:eastAsia="Segoe UI" w:hAnsi="Segoe UI" w:cs="Segoe UI"/>
        </w:rPr>
        <w:t xml:space="preserve"> systems, in line with our new color scheme.  </w:t>
      </w:r>
    </w:p>
    <w:p w14:paraId="280311B2" w14:textId="77777777" w:rsidR="007F4242" w:rsidRDefault="007F4242" w:rsidP="007F4242">
      <w:pPr>
        <w:spacing w:after="159"/>
        <w:ind w:left="1"/>
      </w:pPr>
      <w:r>
        <w:rPr>
          <w:rFonts w:ascii="Segoe UI" w:eastAsia="Segoe UI" w:hAnsi="Segoe UI" w:cs="Segoe UI"/>
        </w:rPr>
        <w:t xml:space="preserve"> </w:t>
      </w:r>
    </w:p>
    <w:p w14:paraId="18CA8FC4" w14:textId="77777777" w:rsidR="007F4242" w:rsidRDefault="007F4242" w:rsidP="007F4242">
      <w:pPr>
        <w:spacing w:after="159"/>
        <w:ind w:left="-3" w:hanging="10"/>
        <w:jc w:val="both"/>
      </w:pPr>
      <w:r>
        <w:rPr>
          <w:rFonts w:ascii="Segoe UI" w:eastAsia="Segoe UI" w:hAnsi="Segoe UI" w:cs="Segoe UI"/>
          <w:b/>
          <w:color w:val="FF0000"/>
        </w:rPr>
        <w:t xml:space="preserve">Fig. 2 Comment 3: </w:t>
      </w:r>
      <w:r>
        <w:rPr>
          <w:rFonts w:ascii="Segoe UI" w:eastAsia="Segoe UI" w:hAnsi="Segoe UI" w:cs="Segoe UI"/>
          <w:color w:val="FF0000"/>
        </w:rPr>
        <w:t>In Figure 2B, why was ZIM(KRAB)-Max excluded from showing significance test although it clearly shows better knockdown than some of the other variants? This variant was identified and quoted as one of the three top-performing variants in lines 31 and 32 “Evaluating Novel Repressor Efficacy Across Different Genetic Loci and Targeting Modalities”</w:t>
      </w:r>
      <w:r>
        <w:rPr>
          <w:rFonts w:ascii="Segoe UI" w:eastAsia="Segoe UI" w:hAnsi="Segoe UI" w:cs="Segoe UI"/>
          <w:b/>
          <w:color w:val="FF0000"/>
        </w:rPr>
        <w:t xml:space="preserve"> </w:t>
      </w:r>
    </w:p>
    <w:p w14:paraId="2DFA223A" w14:textId="77777777" w:rsidR="007F4242" w:rsidRDefault="007F4242" w:rsidP="007F4242">
      <w:pPr>
        <w:spacing w:after="158"/>
        <w:ind w:left="-3" w:hanging="10"/>
        <w:jc w:val="both"/>
      </w:pPr>
      <w:r>
        <w:rPr>
          <w:rFonts w:ascii="Segoe UI" w:eastAsia="Segoe UI" w:hAnsi="Segoe UI" w:cs="Segoe UI"/>
          <w:b/>
        </w:rPr>
        <w:t>Response</w:t>
      </w:r>
      <w:r>
        <w:rPr>
          <w:rFonts w:ascii="Segoe UI" w:eastAsia="Segoe UI" w:hAnsi="Segoe UI" w:cs="Segoe UI"/>
        </w:rPr>
        <w:t xml:space="preserve">: We thank the reviewer for identifying the missing statistical significance tests in Figure 2B. These are included in the revised manuscript.  </w:t>
      </w:r>
    </w:p>
    <w:p w14:paraId="6FFFE49B" w14:textId="77777777" w:rsidR="007F4242" w:rsidRDefault="007F4242" w:rsidP="007F4242">
      <w:pPr>
        <w:spacing w:after="159"/>
        <w:ind w:left="1"/>
      </w:pPr>
      <w:r>
        <w:rPr>
          <w:rFonts w:ascii="Segoe UI" w:eastAsia="Segoe UI" w:hAnsi="Segoe UI" w:cs="Segoe UI"/>
        </w:rPr>
        <w:t xml:space="preserve"> </w:t>
      </w:r>
    </w:p>
    <w:p w14:paraId="46F210D5" w14:textId="77777777" w:rsidR="007F4242" w:rsidRDefault="007F4242" w:rsidP="007F4242">
      <w:pPr>
        <w:spacing w:after="159"/>
        <w:ind w:left="-3" w:hanging="10"/>
        <w:jc w:val="both"/>
      </w:pPr>
      <w:r>
        <w:rPr>
          <w:rFonts w:ascii="Segoe UI" w:eastAsia="Segoe UI" w:hAnsi="Segoe UI" w:cs="Segoe UI"/>
          <w:b/>
          <w:color w:val="FF0000"/>
        </w:rPr>
        <w:t xml:space="preserve">Fig. 2 Comment 4: </w:t>
      </w:r>
      <w:r>
        <w:rPr>
          <w:rFonts w:ascii="Segoe UI" w:eastAsia="Segoe UI" w:hAnsi="Segoe UI" w:cs="Segoe UI"/>
          <w:color w:val="FF0000"/>
        </w:rPr>
        <w:t>Fig. 2A does not have relative expression to an adequate control – dCas9 can silence on its own if targeted to the TSS. If gRNA is not included, this should be called out.</w:t>
      </w:r>
      <w:r>
        <w:rPr>
          <w:rFonts w:ascii="Segoe UI" w:eastAsia="Segoe UI" w:hAnsi="Segoe UI" w:cs="Segoe UI"/>
          <w:b/>
          <w:color w:val="FF0000"/>
        </w:rPr>
        <w:t xml:space="preserve"> </w:t>
      </w:r>
    </w:p>
    <w:p w14:paraId="4F7CA567" w14:textId="77777777" w:rsidR="007F4242" w:rsidRDefault="007F4242" w:rsidP="007F4242">
      <w:pPr>
        <w:spacing w:after="158"/>
        <w:ind w:left="-3" w:hanging="10"/>
        <w:jc w:val="both"/>
      </w:pPr>
      <w:r>
        <w:rPr>
          <w:rFonts w:ascii="Segoe UI" w:eastAsia="Segoe UI" w:hAnsi="Segoe UI" w:cs="Segoe UI"/>
          <w:b/>
        </w:rPr>
        <w:t>Response</w:t>
      </w:r>
      <w:r>
        <w:rPr>
          <w:rFonts w:ascii="Segoe UI" w:eastAsia="Segoe UI" w:hAnsi="Segoe UI" w:cs="Segoe UI"/>
        </w:rPr>
        <w:t>: We thank the reviewer for pointing out this error. In line with our other reporter assays, “</w:t>
      </w:r>
      <w:proofErr w:type="spellStart"/>
      <w:r>
        <w:rPr>
          <w:rFonts w:ascii="Segoe UI" w:eastAsia="Segoe UI" w:hAnsi="Segoe UI" w:cs="Segoe UI"/>
        </w:rPr>
        <w:t>eGFP</w:t>
      </w:r>
      <w:proofErr w:type="spellEnd"/>
      <w:r>
        <w:rPr>
          <w:rFonts w:ascii="Segoe UI" w:eastAsia="Segoe UI" w:hAnsi="Segoe UI" w:cs="Segoe UI"/>
        </w:rPr>
        <w:t xml:space="preserve"> Expression” values are normalized by cells co-expressing dCas9 and the reporter plasmid expressing a non-targeting sgRNA control. This is clarified in the new Figure 2A caption on Page 15-16:  </w:t>
      </w:r>
    </w:p>
    <w:p w14:paraId="7BE23B14" w14:textId="77777777" w:rsidR="007F4242" w:rsidRDefault="007F4242" w:rsidP="007F4242">
      <w:pPr>
        <w:spacing w:after="168" w:line="249" w:lineRule="auto"/>
        <w:ind w:left="572" w:right="564" w:hanging="9"/>
        <w:jc w:val="both"/>
      </w:pPr>
      <w:r>
        <w:rPr>
          <w:rFonts w:ascii="Segoe UI" w:eastAsia="Segoe UI" w:hAnsi="Segoe UI" w:cs="Segoe UI"/>
          <w:i/>
        </w:rPr>
        <w:t xml:space="preserve">“Data normalized to the </w:t>
      </w:r>
      <w:proofErr w:type="spellStart"/>
      <w:r>
        <w:rPr>
          <w:rFonts w:ascii="Segoe UI" w:eastAsia="Segoe UI" w:hAnsi="Segoe UI" w:cs="Segoe UI"/>
          <w:i/>
        </w:rPr>
        <w:t>eGFP</w:t>
      </w:r>
      <w:proofErr w:type="spellEnd"/>
      <w:r>
        <w:rPr>
          <w:rFonts w:ascii="Segoe UI" w:eastAsia="Segoe UI" w:hAnsi="Segoe UI" w:cs="Segoe UI"/>
          <w:i/>
        </w:rPr>
        <w:t xml:space="preserve"> signal produced from cells expressing dCas9 and a nontargeting sgRNA control and presented as mean ± </w:t>
      </w:r>
      <w:proofErr w:type="spellStart"/>
      <w:r>
        <w:rPr>
          <w:rFonts w:ascii="Segoe UI" w:eastAsia="Segoe UI" w:hAnsi="Segoe UI" w:cs="Segoe UI"/>
          <w:i/>
        </w:rPr>
        <w:t>s.e.m.</w:t>
      </w:r>
      <w:proofErr w:type="spellEnd"/>
      <w:r>
        <w:rPr>
          <w:rFonts w:ascii="Segoe UI" w:eastAsia="Segoe UI" w:hAnsi="Segoe UI" w:cs="Segoe UI"/>
          <w:i/>
        </w:rPr>
        <w:t xml:space="preserve"> of n = 3 biologically independent transfections’ </w:t>
      </w:r>
    </w:p>
    <w:p w14:paraId="3101663A" w14:textId="77777777" w:rsidR="007F4242" w:rsidRDefault="007F4242" w:rsidP="007F4242">
      <w:pPr>
        <w:spacing w:after="158"/>
        <w:ind w:left="-3" w:hanging="10"/>
        <w:jc w:val="both"/>
      </w:pPr>
      <w:r>
        <w:rPr>
          <w:rFonts w:ascii="Segoe UI" w:eastAsia="Segoe UI" w:hAnsi="Segoe UI" w:cs="Segoe UI"/>
        </w:rPr>
        <w:t xml:space="preserve">We also added this detail in the Methods section on Page 4:  </w:t>
      </w:r>
    </w:p>
    <w:p w14:paraId="1DBB9192" w14:textId="77777777" w:rsidR="007F4242" w:rsidRDefault="007F4242" w:rsidP="007F4242">
      <w:pPr>
        <w:spacing w:after="168" w:line="249" w:lineRule="auto"/>
        <w:ind w:left="572" w:right="564" w:hanging="9"/>
        <w:jc w:val="both"/>
      </w:pPr>
      <w:r>
        <w:rPr>
          <w:rFonts w:ascii="Segoe UI" w:eastAsia="Segoe UI" w:hAnsi="Segoe UI" w:cs="Segoe UI"/>
          <w:i/>
        </w:rPr>
        <w:t xml:space="preserve">“To calculate relative knockdown efficiencies, raw </w:t>
      </w:r>
      <w:proofErr w:type="spellStart"/>
      <w:r>
        <w:rPr>
          <w:rFonts w:ascii="Segoe UI" w:eastAsia="Segoe UI" w:hAnsi="Segoe UI" w:cs="Segoe UI"/>
          <w:i/>
        </w:rPr>
        <w:t>eGFP</w:t>
      </w:r>
      <w:proofErr w:type="spellEnd"/>
      <w:r>
        <w:rPr>
          <w:rFonts w:ascii="Segoe UI" w:eastAsia="Segoe UI" w:hAnsi="Segoe UI" w:cs="Segoe UI"/>
          <w:i/>
        </w:rPr>
        <w:t xml:space="preserve"> MFI values for each condition were then normalized by the </w:t>
      </w:r>
      <w:proofErr w:type="spellStart"/>
      <w:r>
        <w:rPr>
          <w:rFonts w:ascii="Segoe UI" w:eastAsia="Segoe UI" w:hAnsi="Segoe UI" w:cs="Segoe UI"/>
          <w:i/>
        </w:rPr>
        <w:t>eGFP</w:t>
      </w:r>
      <w:proofErr w:type="spellEnd"/>
      <w:r>
        <w:rPr>
          <w:rFonts w:ascii="Segoe UI" w:eastAsia="Segoe UI" w:hAnsi="Segoe UI" w:cs="Segoe UI"/>
          <w:i/>
        </w:rPr>
        <w:t xml:space="preserve"> MFI of cells co-transfected with (1) the indicated dCas9-repressor fusion and (2) the SV40-eGFP reporter plasmid with a non-targeting sgRNA control.” </w:t>
      </w:r>
    </w:p>
    <w:p w14:paraId="3FCC40FE" w14:textId="77777777" w:rsidR="007F4242" w:rsidRDefault="007F4242" w:rsidP="007F4242">
      <w:pPr>
        <w:spacing w:after="159"/>
        <w:ind w:left="2"/>
      </w:pPr>
      <w:r>
        <w:rPr>
          <w:rFonts w:ascii="Segoe UI" w:eastAsia="Segoe UI" w:hAnsi="Segoe UI" w:cs="Segoe UI"/>
        </w:rPr>
        <w:t xml:space="preserve"> </w:t>
      </w:r>
    </w:p>
    <w:p w14:paraId="19E61788" w14:textId="77777777" w:rsidR="007F4242" w:rsidRDefault="007F4242" w:rsidP="007F4242">
      <w:pPr>
        <w:spacing w:after="159"/>
        <w:ind w:left="-3" w:hanging="10"/>
        <w:jc w:val="both"/>
      </w:pPr>
      <w:r>
        <w:rPr>
          <w:rFonts w:ascii="Segoe UI" w:eastAsia="Segoe UI" w:hAnsi="Segoe UI" w:cs="Segoe UI"/>
          <w:b/>
          <w:color w:val="FF0000"/>
        </w:rPr>
        <w:t xml:space="preserve">Fig. 2 Comment 5: </w:t>
      </w:r>
      <w:r>
        <w:rPr>
          <w:rFonts w:ascii="Segoe UI" w:eastAsia="Segoe UI" w:hAnsi="Segoe UI" w:cs="Segoe UI"/>
          <w:color w:val="FF0000"/>
        </w:rPr>
        <w:t>Only 4 genes were tested, and they are all protein-coding. What about noncoding motifs?</w:t>
      </w:r>
      <w:r>
        <w:rPr>
          <w:rFonts w:ascii="Segoe UI" w:eastAsia="Segoe UI" w:hAnsi="Segoe UI" w:cs="Segoe UI"/>
          <w:b/>
          <w:color w:val="FF0000"/>
        </w:rPr>
        <w:t xml:space="preserve"> </w:t>
      </w:r>
    </w:p>
    <w:p w14:paraId="2B218C48" w14:textId="77777777" w:rsidR="007F4242" w:rsidRDefault="007F4242" w:rsidP="007F4242">
      <w:pPr>
        <w:spacing w:after="158"/>
        <w:ind w:left="-3" w:hanging="10"/>
        <w:jc w:val="both"/>
      </w:pPr>
      <w:r>
        <w:rPr>
          <w:rFonts w:ascii="Segoe UI" w:eastAsia="Segoe UI" w:hAnsi="Segoe UI" w:cs="Segoe UI"/>
          <w:b/>
        </w:rPr>
        <w:t>Response</w:t>
      </w:r>
      <w:r>
        <w:rPr>
          <w:rFonts w:ascii="Segoe UI" w:eastAsia="Segoe UI" w:hAnsi="Segoe UI" w:cs="Segoe UI"/>
        </w:rPr>
        <w:t xml:space="preserve">: We thank the reviewer for their suggestion to expand our RT-qPCR analyses to include non-coding genes. We performed experiments quantifying the expression levels in HEK293T cells </w:t>
      </w:r>
      <w:r>
        <w:rPr>
          <w:rFonts w:ascii="Segoe UI" w:eastAsia="Segoe UI" w:hAnsi="Segoe UI" w:cs="Segoe UI"/>
        </w:rPr>
        <w:lastRenderedPageBreak/>
        <w:t xml:space="preserve">of two non-coding genes, MINCR and DANCR, with two sgRNAs each (used in the previous study: </w:t>
      </w:r>
      <w:hyperlink r:id="rId15">
        <w:r>
          <w:rPr>
            <w:rFonts w:ascii="Segoe UI" w:eastAsia="Segoe UI" w:hAnsi="Segoe UI" w:cs="Segoe UI"/>
            <w:color w:val="0563C1"/>
            <w:u w:val="single" w:color="0563C1"/>
          </w:rPr>
          <w:t>https://www.science.org/doi/10.1126/science.aah7111</w:t>
        </w:r>
      </w:hyperlink>
      <w:hyperlink r:id="rId16">
        <w:r>
          <w:rPr>
            <w:rFonts w:ascii="Segoe UI" w:eastAsia="Segoe UI" w:hAnsi="Segoe UI" w:cs="Segoe UI"/>
          </w:rPr>
          <w:t>)</w:t>
        </w:r>
      </w:hyperlink>
      <w:r>
        <w:rPr>
          <w:rFonts w:ascii="Segoe UI" w:eastAsia="Segoe UI" w:hAnsi="Segoe UI" w:cs="Segoe UI"/>
        </w:rPr>
        <w:t xml:space="preserve"> in order to compare the knockdown efficiency between our novel variants and </w:t>
      </w:r>
      <w:proofErr w:type="spellStart"/>
      <w:r>
        <w:rPr>
          <w:rFonts w:ascii="Segoe UI" w:eastAsia="Segoe UI" w:hAnsi="Segoe UI" w:cs="Segoe UI"/>
        </w:rPr>
        <w:t>CRISPRi</w:t>
      </w:r>
      <w:proofErr w:type="spellEnd"/>
      <w:r>
        <w:rPr>
          <w:rFonts w:ascii="Segoe UI" w:eastAsia="Segoe UI" w:hAnsi="Segoe UI" w:cs="Segoe UI"/>
        </w:rPr>
        <w:t xml:space="preserve"> gold-standards. This dataset is included in Figure 5B with associated main text on Page 23:  </w:t>
      </w:r>
    </w:p>
    <w:p w14:paraId="410F71C2" w14:textId="77777777" w:rsidR="007F4242" w:rsidRDefault="007F4242" w:rsidP="007F4242">
      <w:pPr>
        <w:spacing w:after="168" w:line="249" w:lineRule="auto"/>
        <w:ind w:left="572" w:right="564" w:hanging="9"/>
        <w:jc w:val="both"/>
      </w:pPr>
      <w:r>
        <w:rPr>
          <w:rFonts w:ascii="Segoe UI" w:eastAsia="Segoe UI" w:hAnsi="Segoe UI" w:cs="Segoe UI"/>
          <w:i/>
        </w:rPr>
        <w:t xml:space="preserve">“Next, we sought to demonstrate transcriptional repression of non-coding endogenous genes, so we performed similar knockdown comparisons with two lncRNA genes, MINCR and DANCR, in HEK293T cells (Figure 5B). For these non-coding transcripts, dCas9ZIM3(KRAB)-MeCP2(t) achieved more efficient knockdown than dCas9-ZIM3(KRAB) and dCas9-KOX1(KRAB)-MeCP2 for 3 out of 4 tested sgRNAs (Figure 5B)” </w:t>
      </w:r>
    </w:p>
    <w:p w14:paraId="088C03E2" w14:textId="77777777" w:rsidR="007F4242" w:rsidRDefault="007F4242" w:rsidP="007F4242">
      <w:pPr>
        <w:spacing w:after="158"/>
        <w:ind w:left="2"/>
      </w:pPr>
      <w:r>
        <w:rPr>
          <w:rFonts w:ascii="Segoe UI" w:eastAsia="Segoe UI" w:hAnsi="Segoe UI" w:cs="Segoe UI"/>
        </w:rPr>
        <w:t xml:space="preserve"> </w:t>
      </w:r>
    </w:p>
    <w:p w14:paraId="7E7DB7DC" w14:textId="77777777" w:rsidR="007F4242" w:rsidRDefault="007F4242" w:rsidP="007F4242">
      <w:pPr>
        <w:spacing w:after="159"/>
        <w:ind w:left="-3" w:hanging="10"/>
        <w:jc w:val="both"/>
      </w:pPr>
      <w:r>
        <w:rPr>
          <w:rFonts w:ascii="Segoe UI" w:eastAsia="Segoe UI" w:hAnsi="Segoe UI" w:cs="Segoe UI"/>
          <w:b/>
          <w:color w:val="FF0000"/>
        </w:rPr>
        <w:t xml:space="preserve">Fig. 2 Comment 6: </w:t>
      </w:r>
      <w:r>
        <w:rPr>
          <w:rFonts w:ascii="Segoe UI" w:eastAsia="Segoe UI" w:hAnsi="Segoe UI" w:cs="Segoe UI"/>
          <w:color w:val="FF0000"/>
        </w:rPr>
        <w:t>An orthogonal assay such as Western blotting could be helpful to see knock down.</w:t>
      </w:r>
      <w:r>
        <w:rPr>
          <w:rFonts w:ascii="Segoe UI" w:eastAsia="Segoe UI" w:hAnsi="Segoe UI" w:cs="Segoe UI"/>
          <w:b/>
          <w:color w:val="FF0000"/>
        </w:rPr>
        <w:t xml:space="preserve"> </w:t>
      </w:r>
    </w:p>
    <w:p w14:paraId="38036D0E" w14:textId="77777777" w:rsidR="007F4242" w:rsidRDefault="007F4242" w:rsidP="007F4242">
      <w:pPr>
        <w:spacing w:after="0"/>
        <w:ind w:left="-3" w:hanging="10"/>
        <w:jc w:val="both"/>
      </w:pPr>
      <w:r>
        <w:rPr>
          <w:rFonts w:ascii="Segoe UI" w:eastAsia="Segoe UI" w:hAnsi="Segoe UI" w:cs="Segoe UI"/>
          <w:b/>
        </w:rPr>
        <w:t>Response</w:t>
      </w:r>
      <w:r>
        <w:rPr>
          <w:rFonts w:ascii="Segoe UI" w:eastAsia="Segoe UI" w:hAnsi="Segoe UI" w:cs="Segoe UI"/>
        </w:rPr>
        <w:t xml:space="preserve">: We agree with the reviewer that it would be insightful to detect endogenous gene knockdown at the protein level as part of our validation experiments. To accomplish this, we targeted two surface proteins (CD81 and CD151) with two sgRNAs each (one strong, one weak) using our three top-performing variants across the study (dCas9-KOX1(KRAB)-MeCP2(t), dCas9ZIM3(KRAB)-MAX-MeCP2(t), and dCas9-ZIM3(KRAB)-MeCP2(t)) and associated controls. Knockdown efficiencies were quantified via staining with BV421-conjugated antibodies, followed by flow cytometry. We achieved similar results across 4 different cell lines: HEK293T (Figure 5C), A549, HCT116, and HeLa (Supplementary Figure S11). Associated main text was added on Page </w:t>
      </w:r>
    </w:p>
    <w:p w14:paraId="767B8EEB" w14:textId="77777777" w:rsidR="007F4242" w:rsidRDefault="007F4242" w:rsidP="007F4242">
      <w:pPr>
        <w:spacing w:after="158"/>
        <w:ind w:left="-3" w:hanging="10"/>
        <w:jc w:val="both"/>
      </w:pPr>
      <w:r>
        <w:rPr>
          <w:rFonts w:ascii="Segoe UI" w:eastAsia="Segoe UI" w:hAnsi="Segoe UI" w:cs="Segoe UI"/>
        </w:rPr>
        <w:t xml:space="preserve">23:  </w:t>
      </w:r>
    </w:p>
    <w:p w14:paraId="7D26CF98" w14:textId="77777777" w:rsidR="007F4242" w:rsidRDefault="007F4242" w:rsidP="007F4242">
      <w:pPr>
        <w:spacing w:after="8" w:line="249" w:lineRule="auto"/>
        <w:ind w:left="572" w:right="564" w:hanging="9"/>
        <w:jc w:val="both"/>
      </w:pPr>
      <w:r>
        <w:rPr>
          <w:rFonts w:ascii="Segoe UI" w:eastAsia="Segoe UI" w:hAnsi="Segoe UI" w:cs="Segoe UI"/>
          <w:i/>
        </w:rPr>
        <w:t xml:space="preserve">“To further investigate the degree to which our top-performing variants regulate protein expression levels, we also evaluated their ability to reduce the display of two endogenous cell surface markers, CD81 and CD151, in four different cell lines (Figure 5C, Supplementary Figure S11), and employing previously characterized ‘strong’ and ‘weak’ sgRNA sequences for each </w:t>
      </w:r>
      <w:proofErr w:type="gramStart"/>
      <w:r>
        <w:rPr>
          <w:rFonts w:ascii="Segoe UI" w:eastAsia="Segoe UI" w:hAnsi="Segoe UI" w:cs="Segoe UI"/>
          <w:i/>
        </w:rPr>
        <w:t>gene(</w:t>
      </w:r>
      <w:proofErr w:type="gramEnd"/>
      <w:r>
        <w:rPr>
          <w:rFonts w:ascii="Segoe UI" w:eastAsia="Segoe UI" w:hAnsi="Segoe UI" w:cs="Segoe UI"/>
          <w:i/>
        </w:rPr>
        <w:t xml:space="preserve">34). As expected, dCas9-ZIM3(KRAB)-MeCP2(t) significantly outperformed dCas9-ZIM3(KRAB) for most tested conditions (12 out of 14) across the different cell lines (Figure 5C, Supplementary Figure S11). Like our observations when evaluating </w:t>
      </w:r>
      <w:proofErr w:type="spellStart"/>
      <w:r>
        <w:rPr>
          <w:rFonts w:ascii="Segoe UI" w:eastAsia="Segoe UI" w:hAnsi="Segoe UI" w:cs="Segoe UI"/>
          <w:i/>
        </w:rPr>
        <w:t>CRISPRi</w:t>
      </w:r>
      <w:proofErr w:type="spellEnd"/>
      <w:r>
        <w:rPr>
          <w:rFonts w:ascii="Segoe UI" w:eastAsia="Segoe UI" w:hAnsi="Segoe UI" w:cs="Segoe UI"/>
          <w:i/>
        </w:rPr>
        <w:t xml:space="preserve"> platforms across a panel of SV40-eGFP-targeting sgRNAs (Supplementary Figure S6), dCas9-ZIM3(KRAB)-MeCP2(t) exhibited the most notable performance improvements with weaker sgRNAs, suggesting that implementation of this novel platform could reduce guide-dependent effects across a broader set of target genes” </w:t>
      </w:r>
    </w:p>
    <w:p w14:paraId="54F6EEBB" w14:textId="77777777" w:rsidR="007F4242" w:rsidRDefault="007F4242" w:rsidP="007F4242">
      <w:pPr>
        <w:spacing w:after="159"/>
        <w:ind w:left="1"/>
      </w:pPr>
      <w:r>
        <w:rPr>
          <w:rFonts w:ascii="Segoe UI" w:eastAsia="Segoe UI" w:hAnsi="Segoe UI" w:cs="Segoe UI"/>
        </w:rPr>
        <w:t xml:space="preserve"> </w:t>
      </w:r>
    </w:p>
    <w:p w14:paraId="20316729" w14:textId="77777777" w:rsidR="007F4242" w:rsidRDefault="007F4242" w:rsidP="007F4242">
      <w:pPr>
        <w:spacing w:after="159"/>
        <w:ind w:left="-3" w:hanging="10"/>
        <w:jc w:val="both"/>
      </w:pPr>
      <w:r>
        <w:rPr>
          <w:rFonts w:ascii="Segoe UI" w:eastAsia="Segoe UI" w:hAnsi="Segoe UI" w:cs="Segoe UI"/>
          <w:b/>
          <w:color w:val="FF0000"/>
        </w:rPr>
        <w:t xml:space="preserve">Fig. 2 Comment 7: </w:t>
      </w:r>
      <w:r>
        <w:rPr>
          <w:rFonts w:ascii="Segoe UI" w:eastAsia="Segoe UI" w:hAnsi="Segoe UI" w:cs="Segoe UI"/>
          <w:color w:val="FF0000"/>
        </w:rPr>
        <w:t xml:space="preserve">A more powerful experiment would compare areas of silenced chromatin between variants to understand how variants may differentially change global gene expression. No data compares variant specificity on gene silencing or aberrant gene activation (ex. MAX </w:t>
      </w:r>
      <w:r>
        <w:rPr>
          <w:rFonts w:ascii="Segoe UI" w:eastAsia="Segoe UI" w:hAnsi="Segoe UI" w:cs="Segoe UI"/>
          <w:color w:val="FF0000"/>
        </w:rPr>
        <w:lastRenderedPageBreak/>
        <w:t>domain in Fig. 5 is problematic in some cell types because Fig. 5 D suggests MAX can recruit transcriptional activation).</w:t>
      </w:r>
      <w:r>
        <w:rPr>
          <w:rFonts w:ascii="Segoe UI" w:eastAsia="Segoe UI" w:hAnsi="Segoe UI" w:cs="Segoe UI"/>
          <w:b/>
          <w:color w:val="FF0000"/>
        </w:rPr>
        <w:t xml:space="preserve"> </w:t>
      </w:r>
    </w:p>
    <w:p w14:paraId="224F409A" w14:textId="77777777" w:rsidR="007F4242" w:rsidRDefault="007F4242" w:rsidP="007F4242">
      <w:pPr>
        <w:spacing w:after="158"/>
        <w:ind w:left="-3" w:hanging="10"/>
        <w:jc w:val="both"/>
      </w:pPr>
      <w:r>
        <w:rPr>
          <w:rFonts w:ascii="Segoe UI" w:eastAsia="Segoe UI" w:hAnsi="Segoe UI" w:cs="Segoe UI"/>
          <w:b/>
        </w:rPr>
        <w:t>Response</w:t>
      </w:r>
      <w:r>
        <w:rPr>
          <w:rFonts w:ascii="Segoe UI" w:eastAsia="Segoe UI" w:hAnsi="Segoe UI" w:cs="Segoe UI"/>
        </w:rPr>
        <w:t>: We thank the reviewer for their comment and agree that it is valuable to explore the potential for non-specific gene expression changes due to the introduction of novel effector domains (i.e., MAX and MeCP2(t)). To investigate this, we conducted RT-qPCR experiments monitoring the expression of an intended on-target gene (SYVN1) and five nearest-neighbor (</w:t>
      </w:r>
      <w:proofErr w:type="spellStart"/>
      <w:r>
        <w:rPr>
          <w:rFonts w:ascii="Segoe UI" w:eastAsia="Segoe UI" w:hAnsi="Segoe UI" w:cs="Segoe UI"/>
        </w:rPr>
        <w:t>offtarget</w:t>
      </w:r>
      <w:proofErr w:type="spellEnd"/>
      <w:r>
        <w:rPr>
          <w:rFonts w:ascii="Segoe UI" w:eastAsia="Segoe UI" w:hAnsi="Segoe UI" w:cs="Segoe UI"/>
        </w:rPr>
        <w:t>) genes (ZNHIT2, FAU, MRPL49, SPDYC, CAPN1), following similar work performed by the study introducing the KOX1(KRAB)-MeCP2 system (</w:t>
      </w:r>
      <w:hyperlink r:id="rId17">
        <w:r>
          <w:rPr>
            <w:rFonts w:ascii="Segoe UI" w:eastAsia="Segoe UI" w:hAnsi="Segoe UI" w:cs="Segoe UI"/>
            <w:color w:val="0563C1"/>
            <w:u w:val="single" w:color="0563C1"/>
          </w:rPr>
          <w:t>https://www.nature.com/articles/s41592-018</w:t>
        </w:r>
      </w:hyperlink>
      <w:hyperlink r:id="rId18">
        <w:r>
          <w:rPr>
            <w:rFonts w:ascii="Segoe UI" w:eastAsia="Segoe UI" w:hAnsi="Segoe UI" w:cs="Segoe UI"/>
            <w:color w:val="0563C1"/>
            <w:u w:val="single" w:color="0563C1"/>
          </w:rPr>
          <w:t>0048-5</w:t>
        </w:r>
      </w:hyperlink>
      <w:hyperlink r:id="rId19">
        <w:r>
          <w:rPr>
            <w:rFonts w:ascii="Segoe UI" w:eastAsia="Segoe UI" w:hAnsi="Segoe UI" w:cs="Segoe UI"/>
          </w:rPr>
          <w:t>)</w:t>
        </w:r>
      </w:hyperlink>
      <w:r>
        <w:rPr>
          <w:rFonts w:ascii="Segoe UI" w:eastAsia="Segoe UI" w:hAnsi="Segoe UI" w:cs="Segoe UI"/>
        </w:rPr>
        <w:t xml:space="preserve">. We observed </w:t>
      </w:r>
      <w:proofErr w:type="gramStart"/>
      <w:r>
        <w:rPr>
          <w:rFonts w:ascii="Segoe UI" w:eastAsia="Segoe UI" w:hAnsi="Segoe UI" w:cs="Segoe UI"/>
        </w:rPr>
        <w:t>strong</w:t>
      </w:r>
      <w:proofErr w:type="gramEnd"/>
      <w:r>
        <w:rPr>
          <w:rFonts w:ascii="Segoe UI" w:eastAsia="Segoe UI" w:hAnsi="Segoe UI" w:cs="Segoe UI"/>
        </w:rPr>
        <w:t xml:space="preserve"> knockdown of the target gene without significantly altering </w:t>
      </w:r>
      <w:proofErr w:type="spellStart"/>
      <w:r>
        <w:rPr>
          <w:rFonts w:ascii="Segoe UI" w:eastAsia="Segoe UI" w:hAnsi="Segoe UI" w:cs="Segoe UI"/>
        </w:rPr>
        <w:t>offtarget</w:t>
      </w:r>
      <w:proofErr w:type="spellEnd"/>
      <w:r>
        <w:rPr>
          <w:rFonts w:ascii="Segoe UI" w:eastAsia="Segoe UI" w:hAnsi="Segoe UI" w:cs="Segoe UI"/>
        </w:rPr>
        <w:t xml:space="preserve"> gene expression, and the results are included in the revised manuscript in Figure 6C and described in the main text on Page 24:  </w:t>
      </w:r>
    </w:p>
    <w:p w14:paraId="556E09F8" w14:textId="77777777" w:rsidR="007F4242" w:rsidRDefault="007F4242" w:rsidP="007F4242">
      <w:pPr>
        <w:spacing w:after="168" w:line="249" w:lineRule="auto"/>
        <w:ind w:left="572" w:right="564" w:hanging="9"/>
        <w:jc w:val="both"/>
      </w:pPr>
      <w:r>
        <w:rPr>
          <w:rFonts w:ascii="Segoe UI" w:eastAsia="Segoe UI" w:hAnsi="Segoe UI" w:cs="Segoe UI"/>
          <w:i/>
        </w:rPr>
        <w:t xml:space="preserve">“Recruitment of chromatin modifiers has been shown to enact significant epigenetic changes across vast genomic </w:t>
      </w:r>
      <w:proofErr w:type="gramStart"/>
      <w:r>
        <w:rPr>
          <w:rFonts w:ascii="Segoe UI" w:eastAsia="Segoe UI" w:hAnsi="Segoe UI" w:cs="Segoe UI"/>
          <w:i/>
        </w:rPr>
        <w:t>distances(</w:t>
      </w:r>
      <w:proofErr w:type="gramEnd"/>
      <w:r>
        <w:rPr>
          <w:rFonts w:ascii="Segoe UI" w:eastAsia="Segoe UI" w:hAnsi="Segoe UI" w:cs="Segoe UI"/>
          <w:i/>
        </w:rPr>
        <w:t xml:space="preserve">67, 68). Furthermore, previous work comparing various </w:t>
      </w:r>
      <w:proofErr w:type="spellStart"/>
      <w:r>
        <w:rPr>
          <w:rFonts w:ascii="Segoe UI" w:eastAsia="Segoe UI" w:hAnsi="Segoe UI" w:cs="Segoe UI"/>
          <w:i/>
        </w:rPr>
        <w:t>CRISPRi</w:t>
      </w:r>
      <w:proofErr w:type="spellEnd"/>
      <w:r>
        <w:rPr>
          <w:rFonts w:ascii="Segoe UI" w:eastAsia="Segoe UI" w:hAnsi="Segoe UI" w:cs="Segoe UI"/>
          <w:i/>
        </w:rPr>
        <w:t xml:space="preserve"> tools reported that repressor fusions incorporating the canonical, </w:t>
      </w:r>
      <w:proofErr w:type="spellStart"/>
      <w:r>
        <w:rPr>
          <w:rFonts w:ascii="Segoe UI" w:eastAsia="Segoe UI" w:hAnsi="Segoe UI" w:cs="Segoe UI"/>
          <w:i/>
        </w:rPr>
        <w:t>fulllength</w:t>
      </w:r>
      <w:proofErr w:type="spellEnd"/>
      <w:r>
        <w:rPr>
          <w:rFonts w:ascii="Segoe UI" w:eastAsia="Segoe UI" w:hAnsi="Segoe UI" w:cs="Segoe UI"/>
          <w:i/>
        </w:rPr>
        <w:t xml:space="preserve"> MeCP2 repressor domain (i.e., dCas9-KOX1(KRAB)-MeCP2) can induce nonspecific alteration of gene expression and cell </w:t>
      </w:r>
      <w:proofErr w:type="gramStart"/>
      <w:r>
        <w:rPr>
          <w:rFonts w:ascii="Segoe UI" w:eastAsia="Segoe UI" w:hAnsi="Segoe UI" w:cs="Segoe UI"/>
          <w:i/>
        </w:rPr>
        <w:t>proliferation(</w:t>
      </w:r>
      <w:proofErr w:type="gramEnd"/>
      <w:r>
        <w:rPr>
          <w:rFonts w:ascii="Segoe UI" w:eastAsia="Segoe UI" w:hAnsi="Segoe UI" w:cs="Segoe UI"/>
          <w:i/>
        </w:rPr>
        <w:t xml:space="preserve">34). Indeed, these factors could significantly skew the results of large-scale </w:t>
      </w:r>
      <w:proofErr w:type="spellStart"/>
      <w:r>
        <w:rPr>
          <w:rFonts w:ascii="Segoe UI" w:eastAsia="Segoe UI" w:hAnsi="Segoe UI" w:cs="Segoe UI"/>
          <w:i/>
        </w:rPr>
        <w:t>CRISPRi</w:t>
      </w:r>
      <w:proofErr w:type="spellEnd"/>
      <w:r>
        <w:rPr>
          <w:rFonts w:ascii="Segoe UI" w:eastAsia="Segoe UI" w:hAnsi="Segoe UI" w:cs="Segoe UI"/>
          <w:i/>
        </w:rPr>
        <w:t xml:space="preserve"> </w:t>
      </w:r>
      <w:proofErr w:type="gramStart"/>
      <w:r>
        <w:rPr>
          <w:rFonts w:ascii="Segoe UI" w:eastAsia="Segoe UI" w:hAnsi="Segoe UI" w:cs="Segoe UI"/>
          <w:i/>
        </w:rPr>
        <w:t>screens(</w:t>
      </w:r>
      <w:proofErr w:type="gramEnd"/>
      <w:r>
        <w:rPr>
          <w:rFonts w:ascii="Segoe UI" w:eastAsia="Segoe UI" w:hAnsi="Segoe UI" w:cs="Segoe UI"/>
          <w:i/>
        </w:rPr>
        <w:t xml:space="preserve">69). Because of this, we sought to further investigate the targeting specificity of dCas9-ZIM3(KRAB)MeCP2(t). Following previous methodology used during development of dCas9KOX1(KRAB)-MeCP2(32), we targeted our </w:t>
      </w:r>
      <w:proofErr w:type="spellStart"/>
      <w:r>
        <w:rPr>
          <w:rFonts w:ascii="Segoe UI" w:eastAsia="Segoe UI" w:hAnsi="Segoe UI" w:cs="Segoe UI"/>
          <w:i/>
        </w:rPr>
        <w:t>CRISPRi</w:t>
      </w:r>
      <w:proofErr w:type="spellEnd"/>
      <w:r>
        <w:rPr>
          <w:rFonts w:ascii="Segoe UI" w:eastAsia="Segoe UI" w:hAnsi="Segoe UI" w:cs="Segoe UI"/>
          <w:i/>
        </w:rPr>
        <w:t xml:space="preserve"> effectors to SYVN1 in HEK293T cells and then measured relative RNA abundances of SYVN1 and SYVN1’s five additional nearest-neighbor genes: ZNHIT2, FAU, MRPL49, SPDYC, and CAPN1 (Figure 6C). We found that dCas9-ZIM3(KRAB)-MeCP2(t) achieved the highest on-target knockdown of SYVN1 (comparable to dCas9-KOX1(KRAB)-MeCP2(t) and dCas9-ZIM3(KRAB)-MAXMeCP2(t)) without significantly altering expression of any nearest-neighbor gene (Figure 6C)” </w:t>
      </w:r>
    </w:p>
    <w:p w14:paraId="79814782" w14:textId="77777777" w:rsidR="007F4242" w:rsidRDefault="007F4242" w:rsidP="007F4242">
      <w:pPr>
        <w:spacing w:after="181"/>
        <w:ind w:left="578"/>
      </w:pPr>
      <w:r>
        <w:rPr>
          <w:rFonts w:ascii="Segoe UI" w:eastAsia="Segoe UI" w:hAnsi="Segoe UI" w:cs="Segoe UI"/>
          <w:b/>
          <w:i/>
          <w:color w:val="FF0000"/>
        </w:rPr>
        <w:t xml:space="preserve"> </w:t>
      </w:r>
    </w:p>
    <w:p w14:paraId="6FA12CF3" w14:textId="77777777" w:rsidR="007F4242" w:rsidRDefault="007F4242" w:rsidP="007F4242">
      <w:pPr>
        <w:pStyle w:val="Heading2"/>
        <w:ind w:left="-4"/>
      </w:pPr>
      <w:r>
        <w:t>Figure 3 Comments</w:t>
      </w:r>
      <w:r>
        <w:rPr>
          <w:u w:color="000000"/>
        </w:rPr>
        <w:t xml:space="preserve"> </w:t>
      </w:r>
    </w:p>
    <w:p w14:paraId="154667AE" w14:textId="77777777" w:rsidR="007F4242" w:rsidRDefault="007F4242" w:rsidP="007F4242">
      <w:pPr>
        <w:spacing w:after="159"/>
        <w:ind w:left="-3" w:hanging="10"/>
        <w:jc w:val="both"/>
      </w:pPr>
      <w:r>
        <w:rPr>
          <w:rFonts w:ascii="Segoe UI" w:eastAsia="Segoe UI" w:hAnsi="Segoe UI" w:cs="Segoe UI"/>
          <w:b/>
          <w:color w:val="FF0000"/>
        </w:rPr>
        <w:t xml:space="preserve">Fig. 3 Comment 1: </w:t>
      </w:r>
      <w:r>
        <w:rPr>
          <w:rFonts w:ascii="Segoe UI" w:eastAsia="Segoe UI" w:hAnsi="Segoe UI" w:cs="Segoe UI"/>
          <w:color w:val="FF0000"/>
        </w:rPr>
        <w:t>Schematic in A is helpful to understand part B.</w:t>
      </w:r>
      <w:r>
        <w:rPr>
          <w:rFonts w:ascii="Segoe UI" w:eastAsia="Segoe UI" w:hAnsi="Segoe UI" w:cs="Segoe UI"/>
          <w:b/>
          <w:color w:val="FF0000"/>
        </w:rPr>
        <w:t xml:space="preserve"> </w:t>
      </w:r>
    </w:p>
    <w:p w14:paraId="49044C5C" w14:textId="77777777" w:rsidR="007F4242" w:rsidRDefault="007F4242" w:rsidP="007F4242">
      <w:pPr>
        <w:spacing w:after="1"/>
        <w:ind w:left="-3" w:hanging="10"/>
        <w:jc w:val="both"/>
      </w:pPr>
      <w:r>
        <w:rPr>
          <w:rFonts w:ascii="Segoe UI" w:eastAsia="Segoe UI" w:hAnsi="Segoe UI" w:cs="Segoe UI"/>
          <w:b/>
        </w:rPr>
        <w:t>Response</w:t>
      </w:r>
      <w:r>
        <w:rPr>
          <w:rFonts w:ascii="Segoe UI" w:eastAsia="Segoe UI" w:hAnsi="Segoe UI" w:cs="Segoe UI"/>
        </w:rPr>
        <w:t xml:space="preserve">: We are happy to hear that Figure 3A helped improve your understanding of Figure 3B! </w:t>
      </w:r>
    </w:p>
    <w:p w14:paraId="44F25092" w14:textId="77777777" w:rsidR="007F4242" w:rsidRDefault="007F4242" w:rsidP="007F4242">
      <w:pPr>
        <w:spacing w:after="158"/>
        <w:ind w:left="-3" w:hanging="10"/>
        <w:jc w:val="both"/>
      </w:pPr>
      <w:r>
        <w:rPr>
          <w:rFonts w:ascii="Segoe UI" w:eastAsia="Segoe UI" w:hAnsi="Segoe UI" w:cs="Segoe UI"/>
        </w:rPr>
        <w:t xml:space="preserve">Thank you for sharing this positive feedback.  </w:t>
      </w:r>
    </w:p>
    <w:p w14:paraId="1F09C124" w14:textId="77777777" w:rsidR="007F4242" w:rsidRDefault="007F4242" w:rsidP="007F4242">
      <w:pPr>
        <w:spacing w:after="159"/>
        <w:ind w:left="1"/>
      </w:pPr>
      <w:r>
        <w:rPr>
          <w:rFonts w:ascii="Segoe UI" w:eastAsia="Segoe UI" w:hAnsi="Segoe UI" w:cs="Segoe UI"/>
        </w:rPr>
        <w:t xml:space="preserve"> </w:t>
      </w:r>
    </w:p>
    <w:p w14:paraId="54433C39" w14:textId="77777777" w:rsidR="007F4242" w:rsidRDefault="007F4242" w:rsidP="007F4242">
      <w:pPr>
        <w:spacing w:after="159"/>
        <w:ind w:left="-3" w:hanging="10"/>
        <w:jc w:val="both"/>
      </w:pPr>
      <w:r>
        <w:rPr>
          <w:rFonts w:ascii="Segoe UI" w:eastAsia="Segoe UI" w:hAnsi="Segoe UI" w:cs="Segoe UI"/>
          <w:b/>
          <w:color w:val="FF0000"/>
        </w:rPr>
        <w:t xml:space="preserve">Fig. 3 Comment 2: </w:t>
      </w:r>
      <w:r>
        <w:rPr>
          <w:rFonts w:ascii="Segoe UI" w:eastAsia="Segoe UI" w:hAnsi="Segoe UI" w:cs="Segoe UI"/>
          <w:color w:val="FF0000"/>
        </w:rPr>
        <w:t xml:space="preserve">Order of sgRNA titles is confusing between B, C, D. What is the basis of choosing those respective gRNAs chosen for each of the </w:t>
      </w:r>
      <w:proofErr w:type="gramStart"/>
      <w:r>
        <w:rPr>
          <w:rFonts w:ascii="Segoe UI" w:eastAsia="Segoe UI" w:hAnsi="Segoe UI" w:cs="Segoe UI"/>
          <w:color w:val="FF0000"/>
        </w:rPr>
        <w:t>gene</w:t>
      </w:r>
      <w:proofErr w:type="gramEnd"/>
      <w:r>
        <w:rPr>
          <w:rFonts w:ascii="Segoe UI" w:eastAsia="Segoe UI" w:hAnsi="Segoe UI" w:cs="Segoe UI"/>
          <w:color w:val="FF0000"/>
        </w:rPr>
        <w:t xml:space="preserve"> to show the line graphs whereas data for all 3 gRNAs have been shown as bar plots? </w:t>
      </w:r>
      <w:r>
        <w:rPr>
          <w:rFonts w:ascii="Segoe UI" w:eastAsia="Segoe UI" w:hAnsi="Segoe UI" w:cs="Segoe UI"/>
          <w:b/>
          <w:color w:val="FF0000"/>
        </w:rPr>
        <w:t xml:space="preserve"> </w:t>
      </w:r>
    </w:p>
    <w:p w14:paraId="326A2EC0" w14:textId="77777777" w:rsidR="007F4242" w:rsidRDefault="007F4242" w:rsidP="007F4242">
      <w:pPr>
        <w:spacing w:after="158"/>
        <w:ind w:left="-3" w:hanging="10"/>
        <w:jc w:val="both"/>
      </w:pPr>
      <w:r>
        <w:rPr>
          <w:rFonts w:ascii="Segoe UI" w:eastAsia="Segoe UI" w:hAnsi="Segoe UI" w:cs="Segoe UI"/>
          <w:b/>
        </w:rPr>
        <w:lastRenderedPageBreak/>
        <w:t>Response</w:t>
      </w:r>
      <w:r>
        <w:rPr>
          <w:rFonts w:ascii="Segoe UI" w:eastAsia="Segoe UI" w:hAnsi="Segoe UI" w:cs="Segoe UI"/>
        </w:rPr>
        <w:t xml:space="preserve">: We thank the reviewer for pointing out the unclear data presentation in Figures 3B, 3C, and 3D. We revised these plots to display the overall proliferation rate changes (averaged across all three sgRNAs per gene). The panels in the original manuscript were moved to Supplementary Figure S8, which now gives a comprehensive picture of how individual sgRNA/repressor combinations influenced growth rates.  </w:t>
      </w:r>
    </w:p>
    <w:p w14:paraId="2E903FA3" w14:textId="77777777" w:rsidR="007F4242" w:rsidRDefault="007F4242" w:rsidP="007F4242">
      <w:pPr>
        <w:spacing w:after="159"/>
        <w:ind w:left="2"/>
      </w:pPr>
      <w:r>
        <w:rPr>
          <w:rFonts w:ascii="Segoe UI" w:eastAsia="Segoe UI" w:hAnsi="Segoe UI" w:cs="Segoe UI"/>
        </w:rPr>
        <w:t xml:space="preserve"> </w:t>
      </w:r>
    </w:p>
    <w:p w14:paraId="6EE6196B" w14:textId="77777777" w:rsidR="007F4242" w:rsidRDefault="007F4242" w:rsidP="007F4242">
      <w:pPr>
        <w:spacing w:after="159"/>
        <w:ind w:left="-3" w:hanging="10"/>
        <w:jc w:val="both"/>
      </w:pPr>
      <w:r>
        <w:rPr>
          <w:rFonts w:ascii="Segoe UI" w:eastAsia="Segoe UI" w:hAnsi="Segoe UI" w:cs="Segoe UI"/>
          <w:b/>
          <w:color w:val="FF0000"/>
        </w:rPr>
        <w:t xml:space="preserve">Fig. 3 Comment 3: </w:t>
      </w:r>
      <w:r>
        <w:rPr>
          <w:rFonts w:ascii="Segoe UI" w:eastAsia="Segoe UI" w:hAnsi="Segoe UI" w:cs="Segoe UI"/>
          <w:color w:val="FF0000"/>
        </w:rPr>
        <w:t>SID4x-dCas9-KOX1 is only mentioned in this figure. It does not appear as a hit in Figure 1. Why is this variant included in part F?</w:t>
      </w:r>
      <w:r>
        <w:rPr>
          <w:rFonts w:ascii="Segoe UI" w:eastAsia="Segoe UI" w:hAnsi="Segoe UI" w:cs="Segoe UI"/>
          <w:b/>
          <w:color w:val="FF0000"/>
        </w:rPr>
        <w:t xml:space="preserve"> </w:t>
      </w:r>
    </w:p>
    <w:p w14:paraId="0C6A0979" w14:textId="77777777" w:rsidR="007F4242" w:rsidRDefault="007F4242" w:rsidP="007F4242">
      <w:pPr>
        <w:spacing w:after="158"/>
        <w:ind w:left="-3" w:hanging="10"/>
        <w:jc w:val="both"/>
      </w:pPr>
      <w:r>
        <w:rPr>
          <w:rFonts w:ascii="Segoe UI" w:eastAsia="Segoe UI" w:hAnsi="Segoe UI" w:cs="Segoe UI"/>
          <w:b/>
        </w:rPr>
        <w:t>Response</w:t>
      </w:r>
      <w:r>
        <w:rPr>
          <w:rFonts w:ascii="Segoe UI" w:eastAsia="Segoe UI" w:hAnsi="Segoe UI" w:cs="Segoe UI"/>
        </w:rPr>
        <w:t xml:space="preserve">: We thank the reviewer for recognizing that </w:t>
      </w:r>
      <w:proofErr w:type="gramStart"/>
      <w:r>
        <w:rPr>
          <w:rFonts w:ascii="Segoe UI" w:eastAsia="Segoe UI" w:hAnsi="Segoe UI" w:cs="Segoe UI"/>
        </w:rPr>
        <w:t>context</w:t>
      </w:r>
      <w:proofErr w:type="gramEnd"/>
      <w:r>
        <w:rPr>
          <w:rFonts w:ascii="Segoe UI" w:eastAsia="Segoe UI" w:hAnsi="Segoe UI" w:cs="Segoe UI"/>
        </w:rPr>
        <w:t xml:space="preserve"> for including SID4X-dCas9KOX1(KRAB) in Figure 3F was not clearly stated in the original work. The SID4X-dCas9-KOX1(KRAB) </w:t>
      </w:r>
      <w:proofErr w:type="spellStart"/>
      <w:r>
        <w:rPr>
          <w:rFonts w:ascii="Segoe UI" w:eastAsia="Segoe UI" w:hAnsi="Segoe UI" w:cs="Segoe UI"/>
        </w:rPr>
        <w:t>CRISPRi</w:t>
      </w:r>
      <w:proofErr w:type="spellEnd"/>
      <w:r>
        <w:rPr>
          <w:rFonts w:ascii="Segoe UI" w:eastAsia="Segoe UI" w:hAnsi="Segoe UI" w:cs="Segoe UI"/>
        </w:rPr>
        <w:t xml:space="preserve"> system was previously shown to significantly decrease proliferation rates of K562 cells </w:t>
      </w:r>
      <w:hyperlink r:id="rId20">
        <w:r>
          <w:rPr>
            <w:rFonts w:ascii="Segoe UI" w:eastAsia="Segoe UI" w:hAnsi="Segoe UI" w:cs="Segoe UI"/>
          </w:rPr>
          <w:t>(</w:t>
        </w:r>
      </w:hyperlink>
      <w:hyperlink r:id="rId21">
        <w:r>
          <w:rPr>
            <w:rFonts w:ascii="Segoe UI" w:eastAsia="Segoe UI" w:hAnsi="Segoe UI" w:cs="Segoe UI"/>
            <w:color w:val="0563C1"/>
            <w:u w:val="single" w:color="0563C1"/>
          </w:rPr>
          <w:t>https://elifesciences.org/articles/81856</w:t>
        </w:r>
      </w:hyperlink>
      <w:hyperlink r:id="rId22">
        <w:r>
          <w:rPr>
            <w:rFonts w:ascii="Segoe UI" w:eastAsia="Segoe UI" w:hAnsi="Segoe UI" w:cs="Segoe UI"/>
          </w:rPr>
          <w:t>)</w:t>
        </w:r>
      </w:hyperlink>
      <w:r>
        <w:rPr>
          <w:rFonts w:ascii="Segoe UI" w:eastAsia="Segoe UI" w:hAnsi="Segoe UI" w:cs="Segoe UI"/>
        </w:rPr>
        <w:t xml:space="preserve">. Therefore, we included it here as a potential control. These details and corresponding references have been added in the main text of the revised manuscript on Page 17:  </w:t>
      </w:r>
    </w:p>
    <w:p w14:paraId="5AFA1423" w14:textId="77777777" w:rsidR="007F4242" w:rsidRDefault="007F4242" w:rsidP="007F4242">
      <w:pPr>
        <w:spacing w:after="168" w:line="249" w:lineRule="auto"/>
        <w:ind w:left="572" w:right="564" w:hanging="9"/>
        <w:jc w:val="both"/>
      </w:pPr>
      <w:r>
        <w:rPr>
          <w:rFonts w:ascii="Segoe UI" w:eastAsia="Segoe UI" w:hAnsi="Segoe UI" w:cs="Segoe UI"/>
          <w:i/>
        </w:rPr>
        <w:t xml:space="preserve">“Because individual repressor domains fused to dCas9 for </w:t>
      </w:r>
      <w:proofErr w:type="spellStart"/>
      <w:r>
        <w:rPr>
          <w:rFonts w:ascii="Segoe UI" w:eastAsia="Segoe UI" w:hAnsi="Segoe UI" w:cs="Segoe UI"/>
          <w:i/>
        </w:rPr>
        <w:t>CRISPRi</w:t>
      </w:r>
      <w:proofErr w:type="spellEnd"/>
      <w:r>
        <w:rPr>
          <w:rFonts w:ascii="Segoe UI" w:eastAsia="Segoe UI" w:hAnsi="Segoe UI" w:cs="Segoe UI"/>
          <w:i/>
        </w:rPr>
        <w:t xml:space="preserve">-mediated gene silencing might recruit factors co-regulating global transcriptional programs, their overexpression might introduce undesired, non-specific effects on cellular functions or </w:t>
      </w:r>
      <w:proofErr w:type="gramStart"/>
      <w:r>
        <w:rPr>
          <w:rFonts w:ascii="Segoe UI" w:eastAsia="Segoe UI" w:hAnsi="Segoe UI" w:cs="Segoe UI"/>
          <w:i/>
        </w:rPr>
        <w:t>growth,  as</w:t>
      </w:r>
      <w:proofErr w:type="gramEnd"/>
      <w:r>
        <w:rPr>
          <w:rFonts w:ascii="Segoe UI" w:eastAsia="Segoe UI" w:hAnsi="Segoe UI" w:cs="Segoe UI"/>
          <w:i/>
        </w:rPr>
        <w:t xml:space="preserve"> was recently demonstrated for the </w:t>
      </w:r>
      <w:proofErr w:type="spellStart"/>
      <w:r>
        <w:rPr>
          <w:rFonts w:ascii="Segoe UI" w:eastAsia="Segoe UI" w:hAnsi="Segoe UI" w:cs="Segoe UI"/>
          <w:i/>
        </w:rPr>
        <w:t>CRISPRi</w:t>
      </w:r>
      <w:proofErr w:type="spellEnd"/>
      <w:r>
        <w:rPr>
          <w:rFonts w:ascii="Segoe UI" w:eastAsia="Segoe UI" w:hAnsi="Segoe UI" w:cs="Segoe UI"/>
          <w:i/>
        </w:rPr>
        <w:t xml:space="preserve"> effector SID4X-dCas9KOX1(KRAB) (34, 52)” </w:t>
      </w:r>
    </w:p>
    <w:p w14:paraId="46E370DC" w14:textId="77777777" w:rsidR="007F4242" w:rsidRDefault="007F4242" w:rsidP="007F4242">
      <w:pPr>
        <w:spacing w:after="0"/>
        <w:ind w:left="1"/>
      </w:pPr>
      <w:r>
        <w:rPr>
          <w:rFonts w:ascii="Segoe UI" w:eastAsia="Segoe UI" w:hAnsi="Segoe UI" w:cs="Segoe UI"/>
        </w:rPr>
        <w:t xml:space="preserve"> </w:t>
      </w:r>
    </w:p>
    <w:p w14:paraId="1E6D8236" w14:textId="77777777" w:rsidR="007F4242" w:rsidRDefault="007F4242" w:rsidP="007F4242">
      <w:pPr>
        <w:pStyle w:val="Heading2"/>
        <w:ind w:left="-4"/>
      </w:pPr>
      <w:r>
        <w:t>Figure 4 Comments</w:t>
      </w:r>
      <w:r>
        <w:rPr>
          <w:u w:color="000000"/>
        </w:rPr>
        <w:t xml:space="preserve"> </w:t>
      </w:r>
    </w:p>
    <w:p w14:paraId="6A2926BC" w14:textId="77777777" w:rsidR="007F4242" w:rsidRDefault="007F4242" w:rsidP="007F4242">
      <w:pPr>
        <w:spacing w:after="159"/>
        <w:ind w:left="-3" w:hanging="10"/>
        <w:jc w:val="both"/>
      </w:pPr>
      <w:r>
        <w:rPr>
          <w:rFonts w:ascii="Segoe UI" w:eastAsia="Segoe UI" w:hAnsi="Segoe UI" w:cs="Segoe UI"/>
          <w:b/>
          <w:color w:val="FF0000"/>
        </w:rPr>
        <w:t xml:space="preserve">Fig. 4 Comment 1: </w:t>
      </w:r>
      <w:r>
        <w:rPr>
          <w:rFonts w:ascii="Segoe UI" w:eastAsia="Segoe UI" w:hAnsi="Segoe UI" w:cs="Segoe UI"/>
          <w:color w:val="FF0000"/>
        </w:rPr>
        <w:t xml:space="preserve">Although PP7/PCP sgRNA scaffold recruitment is interesting and a hot technique in molecular biology, it's unclear how this technology benefits </w:t>
      </w:r>
      <w:proofErr w:type="spellStart"/>
      <w:r>
        <w:rPr>
          <w:rFonts w:ascii="Segoe UI" w:eastAsia="Segoe UI" w:hAnsi="Segoe UI" w:cs="Segoe UI"/>
          <w:color w:val="FF0000"/>
        </w:rPr>
        <w:t>CRISPRi</w:t>
      </w:r>
      <w:proofErr w:type="spellEnd"/>
      <w:r>
        <w:rPr>
          <w:rFonts w:ascii="Segoe UI" w:eastAsia="Segoe UI" w:hAnsi="Segoe UI" w:cs="Segoe UI"/>
          <w:color w:val="FF0000"/>
        </w:rPr>
        <w:t xml:space="preserve"> from the results in Part B. This experiment is also not discussed in the Discussion section.</w:t>
      </w:r>
      <w:r>
        <w:rPr>
          <w:rFonts w:ascii="Segoe UI" w:eastAsia="Segoe UI" w:hAnsi="Segoe UI" w:cs="Segoe UI"/>
          <w:b/>
          <w:color w:val="FF0000"/>
        </w:rPr>
        <w:t xml:space="preserve"> </w:t>
      </w:r>
    </w:p>
    <w:p w14:paraId="47BFE153" w14:textId="77777777" w:rsidR="007F4242" w:rsidRDefault="007F4242" w:rsidP="007F4242">
      <w:pPr>
        <w:spacing w:after="158"/>
        <w:ind w:left="-3" w:hanging="10"/>
        <w:jc w:val="both"/>
      </w:pPr>
      <w:r>
        <w:rPr>
          <w:rFonts w:ascii="Segoe UI" w:eastAsia="Segoe UI" w:hAnsi="Segoe UI" w:cs="Segoe UI"/>
          <w:b/>
        </w:rPr>
        <w:t>Response</w:t>
      </w:r>
      <w:r>
        <w:rPr>
          <w:rFonts w:ascii="Segoe UI" w:eastAsia="Segoe UI" w:hAnsi="Segoe UI" w:cs="Segoe UI"/>
        </w:rPr>
        <w:t xml:space="preserve">: We thank the reviewer for requesting this needed and important commentary. We added commentary on the PP7/PCP scaffold recruitment experiment noting that: (1) our novel variants KOX1(KRAB)-MeCP2(t) and ZIM3(KRAB)-MAX-MeCP2(t) outperform other </w:t>
      </w:r>
      <w:proofErr w:type="spellStart"/>
      <w:r>
        <w:rPr>
          <w:rFonts w:ascii="Segoe UI" w:eastAsia="Segoe UI" w:hAnsi="Segoe UI" w:cs="Segoe UI"/>
        </w:rPr>
        <w:t>CRISPRi</w:t>
      </w:r>
      <w:proofErr w:type="spellEnd"/>
      <w:r>
        <w:rPr>
          <w:rFonts w:ascii="Segoe UI" w:eastAsia="Segoe UI" w:hAnsi="Segoe UI" w:cs="Segoe UI"/>
        </w:rPr>
        <w:t xml:space="preserve"> effectors when deployed via PCP recruitment, (2) implementing KOX1(KRAB)-MeCP2(t) and ZIM3(KRAB)-MAX-MeCP2(t) as fusions typically outperforms scaffold recruitment, (3) scaffold recruitment for </w:t>
      </w:r>
      <w:proofErr w:type="spellStart"/>
      <w:r>
        <w:rPr>
          <w:rFonts w:ascii="Segoe UI" w:eastAsia="Segoe UI" w:hAnsi="Segoe UI" w:cs="Segoe UI"/>
        </w:rPr>
        <w:t>CRISPRi</w:t>
      </w:r>
      <w:proofErr w:type="spellEnd"/>
      <w:r>
        <w:rPr>
          <w:rFonts w:ascii="Segoe UI" w:eastAsia="Segoe UI" w:hAnsi="Segoe UI" w:cs="Segoe UI"/>
        </w:rPr>
        <w:t xml:space="preserve"> systems confers less of an advantages compared to existing </w:t>
      </w:r>
      <w:proofErr w:type="spellStart"/>
      <w:r>
        <w:rPr>
          <w:rFonts w:ascii="Segoe UI" w:eastAsia="Segoe UI" w:hAnsi="Segoe UI" w:cs="Segoe UI"/>
        </w:rPr>
        <w:t>CRISPRa</w:t>
      </w:r>
      <w:proofErr w:type="spellEnd"/>
      <w:r>
        <w:rPr>
          <w:rFonts w:ascii="Segoe UI" w:eastAsia="Segoe UI" w:hAnsi="Segoe UI" w:cs="Segoe UI"/>
        </w:rPr>
        <w:t xml:space="preserve"> systems, and (4) that PP7/PCP recruitment has been shown to be a key component for simultaneous gene activation/repression. These details are in the Discussion on Page 27:  </w:t>
      </w:r>
    </w:p>
    <w:p w14:paraId="2733FDA1" w14:textId="77777777" w:rsidR="007F4242" w:rsidRDefault="007F4242" w:rsidP="007F4242">
      <w:pPr>
        <w:spacing w:after="168" w:line="249" w:lineRule="auto"/>
        <w:ind w:left="572" w:right="564" w:hanging="9"/>
        <w:jc w:val="both"/>
      </w:pPr>
      <w:r>
        <w:rPr>
          <w:rFonts w:ascii="Segoe UI" w:eastAsia="Segoe UI" w:hAnsi="Segoe UI" w:cs="Segoe UI"/>
          <w:i/>
        </w:rPr>
        <w:t xml:space="preserve">“Contrary to previous results for CRISPR-based transcriptional </w:t>
      </w:r>
      <w:proofErr w:type="gramStart"/>
      <w:r>
        <w:rPr>
          <w:rFonts w:ascii="Segoe UI" w:eastAsia="Segoe UI" w:hAnsi="Segoe UI" w:cs="Segoe UI"/>
          <w:i/>
        </w:rPr>
        <w:t>activators(</w:t>
      </w:r>
      <w:proofErr w:type="gramEnd"/>
      <w:r>
        <w:rPr>
          <w:rFonts w:ascii="Segoe UI" w:eastAsia="Segoe UI" w:hAnsi="Segoe UI" w:cs="Segoe UI"/>
          <w:i/>
        </w:rPr>
        <w:t xml:space="preserve">53, 72), we observed that PP7/PCP-based scaffold recruitment of our top-performing effector </w:t>
      </w:r>
      <w:r>
        <w:rPr>
          <w:rFonts w:ascii="Segoe UI" w:eastAsia="Segoe UI" w:hAnsi="Segoe UI" w:cs="Segoe UI"/>
          <w:i/>
        </w:rPr>
        <w:lastRenderedPageBreak/>
        <w:t xml:space="preserve">domain combinations, KOX1(KRAB)-MeCP2(t) and ZIM3(KRAB)-MAX-MeCP2(t), slightly underperformed their corresponding direct dCas9 fusions (Figure 4B). Further optimization efforts, such as domain-switching libraries, may be worthwhile to determine whether scaffold recruitment modalities could meet (or exceed) the performance of direct dCas9-repressor fusions, as scaffold recruitment is an enabling technique for dCas9-based multiplexed gene activation and </w:t>
      </w:r>
      <w:proofErr w:type="gramStart"/>
      <w:r>
        <w:rPr>
          <w:rFonts w:ascii="Segoe UI" w:eastAsia="Segoe UI" w:hAnsi="Segoe UI" w:cs="Segoe UI"/>
          <w:i/>
        </w:rPr>
        <w:t>repression(</w:t>
      </w:r>
      <w:proofErr w:type="gramEnd"/>
      <w:r>
        <w:rPr>
          <w:rFonts w:ascii="Segoe UI" w:eastAsia="Segoe UI" w:hAnsi="Segoe UI" w:cs="Segoe UI"/>
          <w:i/>
        </w:rPr>
        <w:t xml:space="preserve">73)” </w:t>
      </w:r>
    </w:p>
    <w:p w14:paraId="1095C01D" w14:textId="77777777" w:rsidR="007F4242" w:rsidRDefault="007F4242" w:rsidP="007F4242">
      <w:pPr>
        <w:spacing w:after="159"/>
        <w:ind w:left="1"/>
      </w:pPr>
      <w:r>
        <w:rPr>
          <w:rFonts w:ascii="Segoe UI" w:eastAsia="Segoe UI" w:hAnsi="Segoe UI" w:cs="Segoe UI"/>
        </w:rPr>
        <w:t xml:space="preserve"> </w:t>
      </w:r>
    </w:p>
    <w:p w14:paraId="5BF7DBF8" w14:textId="77777777" w:rsidR="007F4242" w:rsidRDefault="007F4242" w:rsidP="007F4242">
      <w:pPr>
        <w:spacing w:after="159"/>
        <w:ind w:left="-3" w:hanging="10"/>
        <w:jc w:val="both"/>
      </w:pPr>
      <w:r>
        <w:rPr>
          <w:rFonts w:ascii="Segoe UI" w:eastAsia="Segoe UI" w:hAnsi="Segoe UI" w:cs="Segoe UI"/>
          <w:b/>
          <w:color w:val="FF0000"/>
        </w:rPr>
        <w:t xml:space="preserve">Fig. 4 Comment 2: </w:t>
      </w:r>
      <w:r>
        <w:rPr>
          <w:rFonts w:ascii="Segoe UI" w:eastAsia="Segoe UI" w:hAnsi="Segoe UI" w:cs="Segoe UI"/>
          <w:color w:val="FF0000"/>
        </w:rPr>
        <w:t xml:space="preserve">dCas9 with PCP is not </w:t>
      </w:r>
      <w:proofErr w:type="gramStart"/>
      <w:r>
        <w:rPr>
          <w:rFonts w:ascii="Segoe UI" w:eastAsia="Segoe UI" w:hAnsi="Segoe UI" w:cs="Segoe UI"/>
          <w:color w:val="FF0000"/>
        </w:rPr>
        <w:t>an adequate</w:t>
      </w:r>
      <w:proofErr w:type="gramEnd"/>
      <w:r>
        <w:rPr>
          <w:rFonts w:ascii="Segoe UI" w:eastAsia="Segoe UI" w:hAnsi="Segoe UI" w:cs="Segoe UI"/>
          <w:color w:val="FF0000"/>
        </w:rPr>
        <w:t xml:space="preserve"> control.</w:t>
      </w:r>
      <w:r>
        <w:rPr>
          <w:rFonts w:ascii="Segoe UI" w:eastAsia="Segoe UI" w:hAnsi="Segoe UI" w:cs="Segoe UI"/>
          <w:b/>
          <w:color w:val="FF0000"/>
        </w:rPr>
        <w:t xml:space="preserve"> </w:t>
      </w:r>
    </w:p>
    <w:p w14:paraId="4EBEA537" w14:textId="77777777" w:rsidR="007F4242" w:rsidRDefault="007F4242" w:rsidP="007F4242">
      <w:pPr>
        <w:spacing w:after="158"/>
        <w:ind w:left="-3" w:hanging="10"/>
        <w:jc w:val="both"/>
      </w:pPr>
      <w:r>
        <w:rPr>
          <w:rFonts w:ascii="Segoe UI" w:eastAsia="Segoe UI" w:hAnsi="Segoe UI" w:cs="Segoe UI"/>
          <w:b/>
        </w:rPr>
        <w:t>Response</w:t>
      </w:r>
      <w:r>
        <w:rPr>
          <w:rFonts w:ascii="Segoe UI" w:eastAsia="Segoe UI" w:hAnsi="Segoe UI" w:cs="Segoe UI"/>
        </w:rPr>
        <w:t xml:space="preserve">: We thank the reviewer for identifying this unclear description. For Figure 4B, samples are normalized to dCas9 and a non-targeting sgRNA (with pp7 stem loops), not dCas9 with PCP as previously stated. We fixed the figure caption to address this on Page 20:  </w:t>
      </w:r>
    </w:p>
    <w:p w14:paraId="02D50CF2" w14:textId="77777777" w:rsidR="007F4242" w:rsidRDefault="007F4242" w:rsidP="007F4242">
      <w:pPr>
        <w:spacing w:after="168" w:line="249" w:lineRule="auto"/>
        <w:ind w:left="572" w:right="564" w:hanging="9"/>
        <w:jc w:val="both"/>
      </w:pPr>
      <w:r>
        <w:rPr>
          <w:rFonts w:ascii="Segoe UI" w:eastAsia="Segoe UI" w:hAnsi="Segoe UI" w:cs="Segoe UI"/>
          <w:i/>
        </w:rPr>
        <w:t xml:space="preserve">“For direct fusion, cells were co-transfected with: (1) dCas9-repressor fusions and (2) targeting sgRNAs (with pp7 stem loops) + SV40-eGFP reporters. For scaffold recruitment, cells co-expressed: (1) dCas9, (2) targeting sgRNAs (with pp7 stem loops) + SV40-eGFP reporters, and (3) PCP-repressor fusions. All data denotes </w:t>
      </w:r>
      <w:proofErr w:type="gramStart"/>
      <w:r>
        <w:rPr>
          <w:rFonts w:ascii="Segoe UI" w:eastAsia="Segoe UI" w:hAnsi="Segoe UI" w:cs="Segoe UI"/>
          <w:i/>
        </w:rPr>
        <w:t>mean ±</w:t>
      </w:r>
      <w:proofErr w:type="gramEnd"/>
      <w:r>
        <w:rPr>
          <w:rFonts w:ascii="Segoe UI" w:eastAsia="Segoe UI" w:hAnsi="Segoe UI" w:cs="Segoe UI"/>
          <w:i/>
        </w:rPr>
        <w:t xml:space="preserve"> </w:t>
      </w:r>
      <w:proofErr w:type="spellStart"/>
      <w:proofErr w:type="gramStart"/>
      <w:r>
        <w:rPr>
          <w:rFonts w:ascii="Segoe UI" w:eastAsia="Segoe UI" w:hAnsi="Segoe UI" w:cs="Segoe UI"/>
          <w:i/>
        </w:rPr>
        <w:t>s.e</w:t>
      </w:r>
      <w:proofErr w:type="gramEnd"/>
      <w:r>
        <w:rPr>
          <w:rFonts w:ascii="Segoe UI" w:eastAsia="Segoe UI" w:hAnsi="Segoe UI" w:cs="Segoe UI"/>
          <w:i/>
        </w:rPr>
        <w:t>.m.</w:t>
      </w:r>
      <w:proofErr w:type="spellEnd"/>
      <w:r>
        <w:rPr>
          <w:rFonts w:ascii="Segoe UI" w:eastAsia="Segoe UI" w:hAnsi="Segoe UI" w:cs="Segoe UI"/>
          <w:i/>
        </w:rPr>
        <w:t xml:space="preserve"> of n = 3 biologically independent transfections. All data normalized to the </w:t>
      </w:r>
      <w:proofErr w:type="spellStart"/>
      <w:r>
        <w:rPr>
          <w:rFonts w:ascii="Segoe UI" w:eastAsia="Segoe UI" w:hAnsi="Segoe UI" w:cs="Segoe UI"/>
          <w:i/>
        </w:rPr>
        <w:t>eGFP</w:t>
      </w:r>
      <w:proofErr w:type="spellEnd"/>
      <w:r>
        <w:rPr>
          <w:rFonts w:ascii="Segoe UI" w:eastAsia="Segoe UI" w:hAnsi="Segoe UI" w:cs="Segoe UI"/>
          <w:i/>
        </w:rPr>
        <w:t xml:space="preserve"> mean fluorescence intensity observed from HEK293T cells expressing both dCas9 and a nontargeting sgRNA (with pp7 stem loops)”  </w:t>
      </w:r>
    </w:p>
    <w:p w14:paraId="425E4AD9" w14:textId="77777777" w:rsidR="007F4242" w:rsidRDefault="007F4242" w:rsidP="007F4242">
      <w:pPr>
        <w:spacing w:after="159"/>
        <w:ind w:left="2"/>
      </w:pPr>
      <w:r>
        <w:rPr>
          <w:rFonts w:ascii="Segoe UI" w:eastAsia="Segoe UI" w:hAnsi="Segoe UI" w:cs="Segoe UI"/>
        </w:rPr>
        <w:t xml:space="preserve"> </w:t>
      </w:r>
    </w:p>
    <w:p w14:paraId="366A43BF" w14:textId="77777777" w:rsidR="007F4242" w:rsidRDefault="007F4242" w:rsidP="007F4242">
      <w:pPr>
        <w:spacing w:after="158"/>
        <w:ind w:left="2"/>
      </w:pPr>
      <w:r>
        <w:rPr>
          <w:rFonts w:ascii="Segoe UI" w:eastAsia="Segoe UI" w:hAnsi="Segoe UI" w:cs="Segoe UI"/>
        </w:rPr>
        <w:t xml:space="preserve"> </w:t>
      </w:r>
    </w:p>
    <w:p w14:paraId="25B5C9DC" w14:textId="77777777" w:rsidR="007F4242" w:rsidRDefault="007F4242" w:rsidP="007F4242">
      <w:pPr>
        <w:spacing w:after="0"/>
        <w:ind w:left="2"/>
      </w:pPr>
      <w:r>
        <w:rPr>
          <w:rFonts w:ascii="Segoe UI" w:eastAsia="Segoe UI" w:hAnsi="Segoe UI" w:cs="Segoe UI"/>
        </w:rPr>
        <w:t xml:space="preserve"> </w:t>
      </w:r>
    </w:p>
    <w:p w14:paraId="4A0DBDBC" w14:textId="77777777" w:rsidR="007F4242" w:rsidRDefault="007F4242" w:rsidP="007F4242">
      <w:pPr>
        <w:spacing w:after="159"/>
        <w:ind w:left="-3" w:hanging="10"/>
        <w:jc w:val="both"/>
      </w:pPr>
      <w:r>
        <w:rPr>
          <w:rFonts w:ascii="Segoe UI" w:eastAsia="Segoe UI" w:hAnsi="Segoe UI" w:cs="Segoe UI"/>
          <w:b/>
          <w:color w:val="FF0000"/>
        </w:rPr>
        <w:t xml:space="preserve">Fig. 4 Comment 3: </w:t>
      </w:r>
      <w:r>
        <w:rPr>
          <w:rFonts w:ascii="Segoe UI" w:eastAsia="Segoe UI" w:hAnsi="Segoe UI" w:cs="Segoe UI"/>
          <w:color w:val="FF0000"/>
        </w:rPr>
        <w:t>"dCas9 only" is an unexplained sample label. Is this dCas9 with no gRNA?</w:t>
      </w:r>
      <w:r>
        <w:rPr>
          <w:rFonts w:ascii="Segoe UI" w:eastAsia="Segoe UI" w:hAnsi="Segoe UI" w:cs="Segoe UI"/>
          <w:b/>
          <w:color w:val="FF0000"/>
        </w:rPr>
        <w:t xml:space="preserve"> </w:t>
      </w:r>
    </w:p>
    <w:p w14:paraId="0C34B3B6" w14:textId="77777777" w:rsidR="007F4242" w:rsidRDefault="007F4242" w:rsidP="007F4242">
      <w:pPr>
        <w:spacing w:after="158"/>
        <w:ind w:left="-3" w:hanging="10"/>
        <w:jc w:val="both"/>
      </w:pPr>
      <w:r>
        <w:rPr>
          <w:rFonts w:ascii="Segoe UI" w:eastAsia="Segoe UI" w:hAnsi="Segoe UI" w:cs="Segoe UI"/>
          <w:b/>
        </w:rPr>
        <w:t>Response</w:t>
      </w:r>
      <w:r>
        <w:rPr>
          <w:rFonts w:ascii="Segoe UI" w:eastAsia="Segoe UI" w:hAnsi="Segoe UI" w:cs="Segoe UI"/>
        </w:rPr>
        <w:t xml:space="preserve">: We thank the reviewer for recognizing the ambiguity in the “dCas9 Only” sample labels in Figures 4B and 4C. Just as in </w:t>
      </w:r>
      <w:r>
        <w:rPr>
          <w:rFonts w:ascii="Segoe UI" w:eastAsia="Segoe UI" w:hAnsi="Segoe UI" w:cs="Segoe UI"/>
          <w:b/>
        </w:rPr>
        <w:t>Fig. 1 Comment 5</w:t>
      </w:r>
      <w:r>
        <w:rPr>
          <w:rFonts w:ascii="Segoe UI" w:eastAsia="Segoe UI" w:hAnsi="Segoe UI" w:cs="Segoe UI"/>
        </w:rPr>
        <w:t xml:space="preserve">, we changed all instances of “dCas9 Only” to “dCas9” to enhance clarity. “dCas9” samples were co-transfected with (1) dCas9 and (2) targeting sgRNA+SV40-eGFP (direct fusions) or (1) dCas9, (2) targeting sgRNA+SV40-eGFP, and (3) PCPT2A-tagBFP (sgRNA scaffold recruitment). These details were added to the caption for Figure 4B on Page 20:  </w:t>
      </w:r>
    </w:p>
    <w:p w14:paraId="5CDEFB7F" w14:textId="77777777" w:rsidR="007F4242" w:rsidRDefault="007F4242" w:rsidP="007F4242">
      <w:pPr>
        <w:spacing w:after="168" w:line="249" w:lineRule="auto"/>
        <w:ind w:left="572" w:right="564" w:hanging="9"/>
        <w:jc w:val="both"/>
      </w:pPr>
      <w:r>
        <w:rPr>
          <w:rFonts w:ascii="Segoe UI" w:eastAsia="Segoe UI" w:hAnsi="Segoe UI" w:cs="Segoe UI"/>
          <w:i/>
        </w:rPr>
        <w:t xml:space="preserve">“All data normalized to the </w:t>
      </w:r>
      <w:proofErr w:type="spellStart"/>
      <w:r>
        <w:rPr>
          <w:rFonts w:ascii="Segoe UI" w:eastAsia="Segoe UI" w:hAnsi="Segoe UI" w:cs="Segoe UI"/>
          <w:i/>
        </w:rPr>
        <w:t>eGFP</w:t>
      </w:r>
      <w:proofErr w:type="spellEnd"/>
      <w:r>
        <w:rPr>
          <w:rFonts w:ascii="Segoe UI" w:eastAsia="Segoe UI" w:hAnsi="Segoe UI" w:cs="Segoe UI"/>
          <w:i/>
        </w:rPr>
        <w:t xml:space="preserve"> mean fluorescence intensity observed from HEK293T cells expressing both dCas9 and a non-targeting sgRNA (with pp7 stem loops)” </w:t>
      </w:r>
    </w:p>
    <w:p w14:paraId="716321AF" w14:textId="77777777" w:rsidR="007F4242" w:rsidRDefault="007F4242" w:rsidP="007F4242">
      <w:pPr>
        <w:spacing w:after="159"/>
        <w:ind w:left="1"/>
      </w:pPr>
      <w:r>
        <w:rPr>
          <w:rFonts w:ascii="Segoe UI" w:eastAsia="Segoe UI" w:hAnsi="Segoe UI" w:cs="Segoe UI"/>
          <w:b/>
          <w:color w:val="FF0000"/>
        </w:rPr>
        <w:t xml:space="preserve"> </w:t>
      </w:r>
    </w:p>
    <w:p w14:paraId="03101BA8" w14:textId="77777777" w:rsidR="007F4242" w:rsidRDefault="007F4242" w:rsidP="007F4242">
      <w:pPr>
        <w:spacing w:after="158"/>
        <w:ind w:left="1"/>
      </w:pPr>
      <w:r>
        <w:rPr>
          <w:rFonts w:ascii="Segoe UI" w:eastAsia="Segoe UI" w:hAnsi="Segoe UI" w:cs="Segoe UI"/>
          <w:b/>
          <w:color w:val="FF0000"/>
        </w:rPr>
        <w:t xml:space="preserve"> </w:t>
      </w:r>
    </w:p>
    <w:p w14:paraId="1C01B0DC" w14:textId="77777777" w:rsidR="007F4242" w:rsidRDefault="007F4242" w:rsidP="007F4242">
      <w:pPr>
        <w:spacing w:after="159"/>
        <w:ind w:left="-3" w:hanging="10"/>
        <w:jc w:val="both"/>
      </w:pPr>
      <w:r>
        <w:rPr>
          <w:rFonts w:ascii="Segoe UI" w:eastAsia="Segoe UI" w:hAnsi="Segoe UI" w:cs="Segoe UI"/>
          <w:b/>
          <w:color w:val="FF0000"/>
        </w:rPr>
        <w:t xml:space="preserve">Fig. 4 Comment 4: </w:t>
      </w:r>
      <w:r>
        <w:rPr>
          <w:rFonts w:ascii="Segoe UI" w:eastAsia="Segoe UI" w:hAnsi="Segoe UI" w:cs="Segoe UI"/>
          <w:color w:val="FF0000"/>
        </w:rPr>
        <w:t>It is unclear why significance annotations are noted for some comparisons but not for others in B and C.</w:t>
      </w:r>
      <w:r>
        <w:rPr>
          <w:rFonts w:ascii="Segoe UI" w:eastAsia="Segoe UI" w:hAnsi="Segoe UI" w:cs="Segoe UI"/>
          <w:b/>
          <w:color w:val="FF0000"/>
        </w:rPr>
        <w:t xml:space="preserve"> </w:t>
      </w:r>
    </w:p>
    <w:p w14:paraId="07EA9D94" w14:textId="77777777" w:rsidR="007F4242" w:rsidRDefault="007F4242" w:rsidP="007F4242">
      <w:pPr>
        <w:spacing w:after="158"/>
        <w:ind w:left="-3" w:hanging="10"/>
        <w:jc w:val="both"/>
      </w:pPr>
      <w:r>
        <w:rPr>
          <w:rFonts w:ascii="Segoe UI" w:eastAsia="Segoe UI" w:hAnsi="Segoe UI" w:cs="Segoe UI"/>
          <w:b/>
        </w:rPr>
        <w:lastRenderedPageBreak/>
        <w:t>Response</w:t>
      </w:r>
      <w:r>
        <w:rPr>
          <w:rFonts w:ascii="Segoe UI" w:eastAsia="Segoe UI" w:hAnsi="Segoe UI" w:cs="Segoe UI"/>
        </w:rPr>
        <w:t xml:space="preserve">: We thank the reviewer for pointing out the inconsistent significant annotations in Figure 4. For Figure 4B, we added significance bars to make the following comparisons: (1) direct fusions vs. scaffold recruitment for each repressor and (2) our top-performing variants employed in scaffold recruitment vs. the gold-standard fusion KOX1(KRAB)-MeCP2 (direct fusion). For Figure 4C, we added significance bars to show the performance of the dCas9-ZIM3(KRAB)-MeCP2(t) variant in relation to the following to support its usage in our studies across different cell lines: (1) gold-standard construct dCas9-ZIM3(KRAB), (2) our engineered variants dCas9-ZIM3(KRAB)-MAX and dCas9-ZIM3(KRAB)-MAX-MeCP2(t).   </w:t>
      </w:r>
    </w:p>
    <w:p w14:paraId="4EABDCFA" w14:textId="77777777" w:rsidR="007F4242" w:rsidRDefault="007F4242" w:rsidP="007F4242">
      <w:pPr>
        <w:spacing w:after="158"/>
        <w:ind w:left="1"/>
      </w:pPr>
      <w:r>
        <w:rPr>
          <w:rFonts w:ascii="Segoe UI" w:eastAsia="Segoe UI" w:hAnsi="Segoe UI" w:cs="Segoe UI"/>
        </w:rPr>
        <w:t xml:space="preserve"> </w:t>
      </w:r>
    </w:p>
    <w:p w14:paraId="32495516" w14:textId="77777777" w:rsidR="007F4242" w:rsidRDefault="007F4242" w:rsidP="007F4242">
      <w:pPr>
        <w:spacing w:after="238"/>
        <w:ind w:left="1"/>
      </w:pPr>
      <w:r>
        <w:rPr>
          <w:rFonts w:ascii="Segoe UI" w:eastAsia="Segoe UI" w:hAnsi="Segoe UI" w:cs="Segoe UI"/>
        </w:rPr>
        <w:t xml:space="preserve"> </w:t>
      </w:r>
    </w:p>
    <w:p w14:paraId="425206E8" w14:textId="77777777" w:rsidR="007F4242" w:rsidRDefault="007F4242" w:rsidP="007F4242">
      <w:pPr>
        <w:spacing w:after="159"/>
        <w:ind w:left="-3" w:hanging="10"/>
        <w:jc w:val="both"/>
      </w:pPr>
      <w:r>
        <w:rPr>
          <w:rFonts w:ascii="Segoe UI" w:eastAsia="Segoe UI" w:hAnsi="Segoe UI" w:cs="Segoe UI"/>
          <w:b/>
          <w:color w:val="FF0000"/>
        </w:rPr>
        <w:t xml:space="preserve">Fig. 4 Comment 5: </w:t>
      </w:r>
      <w:r>
        <w:rPr>
          <w:rFonts w:ascii="Segoe UI" w:eastAsia="Segoe UI" w:hAnsi="Segoe UI" w:cs="Segoe UI"/>
          <w:color w:val="FF0000"/>
        </w:rPr>
        <w:t>The "NT" abbreviation in this figure refers to non-target when it previously referred to non-template strand in fig. 2A.</w:t>
      </w:r>
      <w:r>
        <w:rPr>
          <w:rFonts w:ascii="Segoe UI" w:eastAsia="Segoe UI" w:hAnsi="Segoe UI" w:cs="Segoe UI"/>
          <w:b/>
          <w:color w:val="FF0000"/>
        </w:rPr>
        <w:t xml:space="preserve"> </w:t>
      </w:r>
    </w:p>
    <w:p w14:paraId="5FDFCAEB" w14:textId="77777777" w:rsidR="007F4242" w:rsidRDefault="007F4242" w:rsidP="007F4242">
      <w:pPr>
        <w:spacing w:after="158"/>
        <w:ind w:left="-3" w:hanging="10"/>
        <w:jc w:val="both"/>
      </w:pPr>
      <w:r>
        <w:rPr>
          <w:rFonts w:ascii="Segoe UI" w:eastAsia="Segoe UI" w:hAnsi="Segoe UI" w:cs="Segoe UI"/>
          <w:b/>
        </w:rPr>
        <w:t>Response</w:t>
      </w:r>
      <w:r>
        <w:rPr>
          <w:rFonts w:ascii="Segoe UI" w:eastAsia="Segoe UI" w:hAnsi="Segoe UI" w:cs="Segoe UI"/>
        </w:rPr>
        <w:t xml:space="preserve">: We agree with the reviewer that the “NT” abbreviation should not have been used. The bars labeled “dCas9 (NT)”, which represent cells co-transfected with dCas9 and a non-targeting sgRNA (on SV40-eGFP reporter) and was used to normalize the other conditions, was removed from Figure 4C to align with other reporter assays in the manuscript. Normalization is now described in the figure caption of Figure 4C as well.  </w:t>
      </w:r>
    </w:p>
    <w:p w14:paraId="27789501" w14:textId="77777777" w:rsidR="007F4242" w:rsidRDefault="007F4242" w:rsidP="007F4242">
      <w:pPr>
        <w:spacing w:after="158"/>
      </w:pPr>
      <w:r>
        <w:rPr>
          <w:rFonts w:ascii="Segoe UI" w:eastAsia="Segoe UI" w:hAnsi="Segoe UI" w:cs="Segoe UI"/>
        </w:rPr>
        <w:t xml:space="preserve"> </w:t>
      </w:r>
    </w:p>
    <w:p w14:paraId="57F915F6" w14:textId="77777777" w:rsidR="007F4242" w:rsidRDefault="007F4242" w:rsidP="007F4242">
      <w:pPr>
        <w:spacing w:after="159"/>
      </w:pPr>
      <w:r>
        <w:rPr>
          <w:rFonts w:ascii="Segoe UI" w:eastAsia="Segoe UI" w:hAnsi="Segoe UI" w:cs="Segoe UI"/>
        </w:rPr>
        <w:t xml:space="preserve"> </w:t>
      </w:r>
    </w:p>
    <w:p w14:paraId="09CC6CF7" w14:textId="77777777" w:rsidR="007F4242" w:rsidRDefault="007F4242" w:rsidP="007F4242">
      <w:pPr>
        <w:spacing w:after="0"/>
      </w:pPr>
      <w:r>
        <w:rPr>
          <w:rFonts w:ascii="Segoe UI" w:eastAsia="Segoe UI" w:hAnsi="Segoe UI" w:cs="Segoe UI"/>
        </w:rPr>
        <w:t xml:space="preserve"> </w:t>
      </w:r>
    </w:p>
    <w:p w14:paraId="027CF71B" w14:textId="77777777" w:rsidR="007F4242" w:rsidRDefault="007F4242" w:rsidP="007F4242">
      <w:pPr>
        <w:pStyle w:val="Heading2"/>
        <w:ind w:left="-4"/>
      </w:pPr>
      <w:r>
        <w:t>Figure 5 Comments</w:t>
      </w:r>
      <w:r>
        <w:rPr>
          <w:u w:color="000000"/>
        </w:rPr>
        <w:t xml:space="preserve"> </w:t>
      </w:r>
    </w:p>
    <w:p w14:paraId="0F208334" w14:textId="77777777" w:rsidR="007F4242" w:rsidRDefault="007F4242" w:rsidP="007F4242">
      <w:pPr>
        <w:spacing w:after="159"/>
        <w:ind w:left="1"/>
      </w:pPr>
      <w:r>
        <w:rPr>
          <w:rFonts w:ascii="Segoe UI" w:eastAsia="Segoe UI" w:hAnsi="Segoe UI" w:cs="Segoe UI"/>
          <w:b/>
          <w:color w:val="FF0000"/>
        </w:rPr>
        <w:t xml:space="preserve"> </w:t>
      </w:r>
    </w:p>
    <w:p w14:paraId="6D5624CD" w14:textId="77777777" w:rsidR="007F4242" w:rsidRDefault="007F4242" w:rsidP="007F4242">
      <w:pPr>
        <w:spacing w:after="159"/>
        <w:ind w:left="-3" w:hanging="10"/>
        <w:jc w:val="both"/>
      </w:pPr>
      <w:r>
        <w:rPr>
          <w:rFonts w:ascii="Segoe UI" w:eastAsia="Segoe UI" w:hAnsi="Segoe UI" w:cs="Segoe UI"/>
          <w:b/>
          <w:color w:val="FF0000"/>
        </w:rPr>
        <w:t xml:space="preserve">Fig. 5 Comment 1: </w:t>
      </w:r>
      <w:r>
        <w:rPr>
          <w:rFonts w:ascii="Segoe UI" w:eastAsia="Segoe UI" w:hAnsi="Segoe UI" w:cs="Segoe UI"/>
          <w:color w:val="FF0000"/>
        </w:rPr>
        <w:t>It is fantastic to see some trends across cell lines - however, none of these trends are conclusive nor impactful in electing a novel variant repressor that could replace the current field standard.</w:t>
      </w:r>
      <w:r>
        <w:rPr>
          <w:rFonts w:ascii="Segoe UI" w:eastAsia="Segoe UI" w:hAnsi="Segoe UI" w:cs="Segoe UI"/>
          <w:b/>
          <w:color w:val="FF0000"/>
        </w:rPr>
        <w:t xml:space="preserve"> </w:t>
      </w:r>
    </w:p>
    <w:p w14:paraId="1CCEC52F" w14:textId="77777777" w:rsidR="007F4242" w:rsidRDefault="007F4242" w:rsidP="007F4242">
      <w:pPr>
        <w:spacing w:after="158"/>
        <w:ind w:left="-3" w:hanging="10"/>
        <w:jc w:val="both"/>
      </w:pPr>
      <w:r>
        <w:rPr>
          <w:rFonts w:ascii="Segoe UI" w:eastAsia="Segoe UI" w:hAnsi="Segoe UI" w:cs="Segoe UI"/>
          <w:b/>
        </w:rPr>
        <w:t>Response</w:t>
      </w:r>
      <w:r>
        <w:rPr>
          <w:rFonts w:ascii="Segoe UI" w:eastAsia="Segoe UI" w:hAnsi="Segoe UI" w:cs="Segoe UI"/>
        </w:rPr>
        <w:t xml:space="preserve">: We thank the reviewer for their constructive feedback and agree that more rigorous validation experiments were warranted to elect one of our novel dCas9-repressor variants as a new field standard. To this end, we made major revisions to Figure 5. Instead of primarily focusing on the bi-functional activity of MAX-containing variants, revised Figure 5 now contains several new experiments highlighting the strong knockdown activity of our best variant – dCas9ZIM3(KRAB)-MeCP2(t) – for endogenous coding transcripts (Figure 5A), endogenous non-coding transcripts (Figure 5B), and cell-surface proteins (Figure 5C). This new data strongly </w:t>
      </w:r>
      <w:r>
        <w:rPr>
          <w:rFonts w:ascii="Segoe UI" w:eastAsia="Segoe UI" w:hAnsi="Segoe UI" w:cs="Segoe UI"/>
        </w:rPr>
        <w:lastRenderedPageBreak/>
        <w:t xml:space="preserve">suggests that dCas9-ZIM3(KRAB)-MeCP2(t) should be considered as a new field standard due to its strong performance relative to dCas9-ZIM3(KRAB) and dCas9-KOX1(KRAB)-MeCP2. With this significant content change, original Figure 5A is now Supplementary Figure S9, and original Figures 5B-5D are compiled together in Supplementary Figure S10.  </w:t>
      </w:r>
    </w:p>
    <w:p w14:paraId="436F6787" w14:textId="77777777" w:rsidR="007F4242" w:rsidRDefault="007F4242" w:rsidP="007F4242">
      <w:pPr>
        <w:spacing w:after="158"/>
        <w:ind w:left="2"/>
      </w:pPr>
      <w:r>
        <w:rPr>
          <w:rFonts w:ascii="Segoe UI" w:eastAsia="Segoe UI" w:hAnsi="Segoe UI" w:cs="Segoe UI"/>
        </w:rPr>
        <w:t xml:space="preserve"> </w:t>
      </w:r>
    </w:p>
    <w:p w14:paraId="23E37C83" w14:textId="77777777" w:rsidR="007F4242" w:rsidRDefault="007F4242" w:rsidP="007F4242">
      <w:pPr>
        <w:spacing w:after="159"/>
        <w:ind w:left="-3" w:hanging="10"/>
        <w:jc w:val="both"/>
      </w:pPr>
      <w:r>
        <w:rPr>
          <w:rFonts w:ascii="Segoe UI" w:eastAsia="Segoe UI" w:hAnsi="Segoe UI" w:cs="Segoe UI"/>
          <w:b/>
          <w:color w:val="FF0000"/>
        </w:rPr>
        <w:t xml:space="preserve">Fig. 5 Comment 2: </w:t>
      </w:r>
      <w:r>
        <w:rPr>
          <w:rFonts w:ascii="Segoe UI" w:eastAsia="Segoe UI" w:hAnsi="Segoe UI" w:cs="Segoe UI"/>
          <w:color w:val="FF0000"/>
        </w:rPr>
        <w:t xml:space="preserve">If dCas9-ZIM3-MeCP2(t) and dCas9-KOX1-MeCP2(t) outperform dCas9-ZIM3 in this study (5A)- they should be thoroughly tested across gene loci (more than 7 genes). These two repressor variants could have been used in a small, targeted </w:t>
      </w:r>
      <w:proofErr w:type="spellStart"/>
      <w:r>
        <w:rPr>
          <w:rFonts w:ascii="Segoe UI" w:eastAsia="Segoe UI" w:hAnsi="Segoe UI" w:cs="Segoe UI"/>
          <w:color w:val="FF0000"/>
        </w:rPr>
        <w:t>CRISPRi</w:t>
      </w:r>
      <w:proofErr w:type="spellEnd"/>
      <w:r>
        <w:rPr>
          <w:rFonts w:ascii="Segoe UI" w:eastAsia="Segoe UI" w:hAnsi="Segoe UI" w:cs="Segoe UI"/>
          <w:color w:val="FF0000"/>
        </w:rPr>
        <w:t xml:space="preserve"> screen to show any improved utility of silencing for screening purposes </w:t>
      </w:r>
      <w:r>
        <w:rPr>
          <w:rFonts w:ascii="Segoe UI" w:eastAsia="Segoe UI" w:hAnsi="Segoe UI" w:cs="Segoe UI"/>
          <w:b/>
          <w:color w:val="FF0000"/>
        </w:rPr>
        <w:t xml:space="preserve"> </w:t>
      </w:r>
    </w:p>
    <w:p w14:paraId="692C7897" w14:textId="77777777" w:rsidR="007F4242" w:rsidRDefault="007F4242" w:rsidP="007F4242">
      <w:pPr>
        <w:spacing w:after="158"/>
        <w:ind w:left="-3" w:hanging="10"/>
        <w:jc w:val="both"/>
      </w:pPr>
      <w:r>
        <w:rPr>
          <w:rFonts w:ascii="Segoe UI" w:eastAsia="Segoe UI" w:hAnsi="Segoe UI" w:cs="Segoe UI"/>
          <w:b/>
        </w:rPr>
        <w:t>Response</w:t>
      </w:r>
      <w:r>
        <w:rPr>
          <w:rFonts w:ascii="Segoe UI" w:eastAsia="Segoe UI" w:hAnsi="Segoe UI" w:cs="Segoe UI"/>
        </w:rPr>
        <w:t xml:space="preserve">: We agree that </w:t>
      </w:r>
      <w:proofErr w:type="spellStart"/>
      <w:r>
        <w:rPr>
          <w:rFonts w:ascii="Segoe UI" w:eastAsia="Segoe UI" w:hAnsi="Segoe UI" w:cs="Segoe UI"/>
        </w:rPr>
        <w:t>CRISPRi</w:t>
      </w:r>
      <w:proofErr w:type="spellEnd"/>
      <w:r>
        <w:rPr>
          <w:rFonts w:ascii="Segoe UI" w:eastAsia="Segoe UI" w:hAnsi="Segoe UI" w:cs="Segoe UI"/>
        </w:rPr>
        <w:t xml:space="preserve"> screening would be a particularly valuable technique for verifying the efficacy of our novel variants across many gene loci. To address this, we performed genome-wide screens comparing our best system, dCas9-ZIM3(KRAB)-MeCP2(t), to field standard </w:t>
      </w:r>
      <w:proofErr w:type="spellStart"/>
      <w:r>
        <w:rPr>
          <w:rFonts w:ascii="Segoe UI" w:eastAsia="Segoe UI" w:hAnsi="Segoe UI" w:cs="Segoe UI"/>
        </w:rPr>
        <w:t>CRISPRi</w:t>
      </w:r>
      <w:proofErr w:type="spellEnd"/>
      <w:r>
        <w:rPr>
          <w:rFonts w:ascii="Segoe UI" w:eastAsia="Segoe UI" w:hAnsi="Segoe UI" w:cs="Segoe UI"/>
        </w:rPr>
        <w:t xml:space="preserve"> systems dCas9-ZIM3(KRAB) and dCas9-KOX1(KRAB)-MeCP2. We used the well-studied Dolcetto Set A sgRNA library and HCT116 cells for our analysis. The revised manuscript contains the results of this experiment in Figure 6A (comparing effectors’ capabilities to alter growth rates when targeting previously annotated essential and non-essential genes) and Figure 6B (comparing effectors’ ability to detect essential genes). Overall, dCas9-ZIM3(KRAB)-MeCP2(t) achieved stronger growth defects when targeting essential genes without significantly altering core non-essential genes (Figure 6A). In addition, dCas9-ZIM3(KRAB)-MeCP2(t) uncovered more than 1,700 essential genes in HCT116 cells, a significant improvement over field-standard domains (Figure 6B). We added the following text on Pages 23-24:  </w:t>
      </w:r>
    </w:p>
    <w:p w14:paraId="6A1B323D" w14:textId="77777777" w:rsidR="007F4242" w:rsidRDefault="007F4242" w:rsidP="007F4242">
      <w:pPr>
        <w:spacing w:after="8" w:line="249" w:lineRule="auto"/>
        <w:ind w:left="572" w:right="564" w:hanging="9"/>
        <w:jc w:val="both"/>
      </w:pPr>
      <w:r>
        <w:rPr>
          <w:rFonts w:ascii="Segoe UI" w:eastAsia="Segoe UI" w:hAnsi="Segoe UI" w:cs="Segoe UI"/>
          <w:i/>
        </w:rPr>
        <w:t xml:space="preserve">“Pooled genome-wide screening is a powerful application of CRISPR technology, enabling large-scale interrogation of gene-phenotype relationships and genes regulating fundamental biological </w:t>
      </w:r>
      <w:proofErr w:type="gramStart"/>
      <w:r>
        <w:rPr>
          <w:rFonts w:ascii="Segoe UI" w:eastAsia="Segoe UI" w:hAnsi="Segoe UI" w:cs="Segoe UI"/>
          <w:i/>
        </w:rPr>
        <w:t>processes(</w:t>
      </w:r>
      <w:proofErr w:type="gramEnd"/>
      <w:r>
        <w:rPr>
          <w:rFonts w:ascii="Segoe UI" w:eastAsia="Segoe UI" w:hAnsi="Segoe UI" w:cs="Segoe UI"/>
          <w:i/>
        </w:rPr>
        <w:t xml:space="preserve">62). To determine how our most powerful effector, dCas9-ZIM3(KRAB)-MeCP2(t), performs compared to other field-standard </w:t>
      </w:r>
      <w:proofErr w:type="spellStart"/>
      <w:r>
        <w:rPr>
          <w:rFonts w:ascii="Segoe UI" w:eastAsia="Segoe UI" w:hAnsi="Segoe UI" w:cs="Segoe UI"/>
          <w:i/>
        </w:rPr>
        <w:t>CRISPRi</w:t>
      </w:r>
      <w:proofErr w:type="spellEnd"/>
      <w:r>
        <w:rPr>
          <w:rFonts w:ascii="Segoe UI" w:eastAsia="Segoe UI" w:hAnsi="Segoe UI" w:cs="Segoe UI"/>
          <w:i/>
        </w:rPr>
        <w:t xml:space="preserve"> tools in the context of pooled genome-wide screens, we performed unbiased dropout screening in HCT116 cells. After generating heterogeneous populations of HCT116 cells stably expressing dCas9, dCas9-ZIM3(KRAB), dCas9-KOX1(KRAB)-MeCP2, or dCas9-ZIM3(KRAB)-MeCP2(t), we transduced these cells with the Dolcetto Set A sgRNA library(36), measured changes in sgRNA representation over a 21-day outgrowth period using high-throughput sequencing(63), and then calculated the fold depletion of sgRNAs. We then used two distinct analyses to gauge how well each </w:t>
      </w:r>
      <w:proofErr w:type="spellStart"/>
      <w:r>
        <w:rPr>
          <w:rFonts w:ascii="Segoe UI" w:eastAsia="Segoe UI" w:hAnsi="Segoe UI" w:cs="Segoe UI"/>
          <w:i/>
        </w:rPr>
        <w:t>CRISPRi</w:t>
      </w:r>
      <w:proofErr w:type="spellEnd"/>
      <w:r>
        <w:rPr>
          <w:rFonts w:ascii="Segoe UI" w:eastAsia="Segoe UI" w:hAnsi="Segoe UI" w:cs="Segoe UI"/>
          <w:i/>
        </w:rPr>
        <w:t xml:space="preserve"> platform functioned towards mediating negative selections of genes essential for cell growth. In one analysis (Figure 6A), we looked at the level of depletion of previously identified 215 core essential and 542 non-essential </w:t>
      </w:r>
      <w:proofErr w:type="gramStart"/>
      <w:r>
        <w:rPr>
          <w:rFonts w:ascii="Segoe UI" w:eastAsia="Segoe UI" w:hAnsi="Segoe UI" w:cs="Segoe UI"/>
          <w:i/>
        </w:rPr>
        <w:t>genes(</w:t>
      </w:r>
      <w:proofErr w:type="gramEnd"/>
      <w:r>
        <w:rPr>
          <w:rFonts w:ascii="Segoe UI" w:eastAsia="Segoe UI" w:hAnsi="Segoe UI" w:cs="Segoe UI"/>
          <w:i/>
        </w:rPr>
        <w:t xml:space="preserve">43). These core essential and non-essential genes are known to be important, or expendable, respectively, for cell growth across cancer cell lines (Supplementary Table </w:t>
      </w:r>
      <w:proofErr w:type="gramStart"/>
      <w:r>
        <w:rPr>
          <w:rFonts w:ascii="Segoe UI" w:eastAsia="Segoe UI" w:hAnsi="Segoe UI" w:cs="Segoe UI"/>
          <w:i/>
        </w:rPr>
        <w:t>6)(</w:t>
      </w:r>
      <w:proofErr w:type="gramEnd"/>
      <w:r>
        <w:rPr>
          <w:rFonts w:ascii="Segoe UI" w:eastAsia="Segoe UI" w:hAnsi="Segoe UI" w:cs="Segoe UI"/>
          <w:i/>
        </w:rPr>
        <w:t xml:space="preserve">43). Cells expressing dCas9-ZIM3(KRAB)MeCP2(t) demonstrated the strongest depletion (negative selection) of core </w:t>
      </w:r>
      <w:r>
        <w:rPr>
          <w:rFonts w:ascii="Segoe UI" w:eastAsia="Segoe UI" w:hAnsi="Segoe UI" w:cs="Segoe UI"/>
          <w:i/>
        </w:rPr>
        <w:lastRenderedPageBreak/>
        <w:t>essential genes without depletion of sgRNAs targeting the core non-essential genes (Figure 6A, Supplementary Figure S12A). In our second analysis (Figure 6B), we analyzed depletion rates for every targeted gene in our genome-wide sgRNA library (18,901 genes in all) (Supplementary Figure S12</w:t>
      </w:r>
      <w:proofErr w:type="gramStart"/>
      <w:r>
        <w:rPr>
          <w:rFonts w:ascii="Segoe UI" w:eastAsia="Segoe UI" w:hAnsi="Segoe UI" w:cs="Segoe UI"/>
          <w:i/>
        </w:rPr>
        <w:t>B)(</w:t>
      </w:r>
      <w:proofErr w:type="gramEnd"/>
      <w:r>
        <w:rPr>
          <w:rFonts w:ascii="Segoe UI" w:eastAsia="Segoe UI" w:hAnsi="Segoe UI" w:cs="Segoe UI"/>
          <w:i/>
        </w:rPr>
        <w:t xml:space="preserve">36). Using the conventional </w:t>
      </w:r>
      <w:proofErr w:type="spellStart"/>
      <w:r>
        <w:rPr>
          <w:rFonts w:ascii="Segoe UI" w:eastAsia="Segoe UI" w:hAnsi="Segoe UI" w:cs="Segoe UI"/>
          <w:i/>
        </w:rPr>
        <w:t>MAGeCK</w:t>
      </w:r>
      <w:proofErr w:type="spellEnd"/>
      <w:r>
        <w:rPr>
          <w:rFonts w:ascii="Segoe UI" w:eastAsia="Segoe UI" w:hAnsi="Segoe UI" w:cs="Segoe UI"/>
          <w:i/>
        </w:rPr>
        <w:t xml:space="preserve"> analysis </w:t>
      </w:r>
      <w:proofErr w:type="gramStart"/>
      <w:r>
        <w:rPr>
          <w:rFonts w:ascii="Segoe UI" w:eastAsia="Segoe UI" w:hAnsi="Segoe UI" w:cs="Segoe UI"/>
          <w:i/>
        </w:rPr>
        <w:t>pipeline(</w:t>
      </w:r>
      <w:proofErr w:type="gramEnd"/>
      <w:r>
        <w:rPr>
          <w:rFonts w:ascii="Segoe UI" w:eastAsia="Segoe UI" w:hAnsi="Segoe UI" w:cs="Segoe UI"/>
          <w:i/>
        </w:rPr>
        <w:t xml:space="preserve">64) implemented in previous </w:t>
      </w:r>
      <w:proofErr w:type="spellStart"/>
      <w:r>
        <w:rPr>
          <w:rFonts w:ascii="Segoe UI" w:eastAsia="Segoe UI" w:hAnsi="Segoe UI" w:cs="Segoe UI"/>
          <w:i/>
        </w:rPr>
        <w:t>CRISPRi</w:t>
      </w:r>
      <w:proofErr w:type="spellEnd"/>
      <w:r>
        <w:rPr>
          <w:rFonts w:ascii="Segoe UI" w:eastAsia="Segoe UI" w:hAnsi="Segoe UI" w:cs="Segoe UI"/>
          <w:i/>
        </w:rPr>
        <w:t xml:space="preserve"> </w:t>
      </w:r>
      <w:proofErr w:type="gramStart"/>
      <w:r>
        <w:rPr>
          <w:rFonts w:ascii="Segoe UI" w:eastAsia="Segoe UI" w:hAnsi="Segoe UI" w:cs="Segoe UI"/>
          <w:i/>
        </w:rPr>
        <w:t>screens(</w:t>
      </w:r>
      <w:proofErr w:type="gramEnd"/>
      <w:r>
        <w:rPr>
          <w:rFonts w:ascii="Segoe UI" w:eastAsia="Segoe UI" w:hAnsi="Segoe UI" w:cs="Segoe UI"/>
          <w:i/>
        </w:rPr>
        <w:t xml:space="preserve">32, 35), we identified all genes experiencing significant depletion during the 21-day outgrowth period (with a </w:t>
      </w:r>
      <w:proofErr w:type="spellStart"/>
      <w:r>
        <w:rPr>
          <w:rFonts w:ascii="Segoe UI" w:eastAsia="Segoe UI" w:hAnsi="Segoe UI" w:cs="Segoe UI"/>
          <w:i/>
        </w:rPr>
        <w:t>MAGeCK</w:t>
      </w:r>
      <w:proofErr w:type="spellEnd"/>
      <w:r>
        <w:rPr>
          <w:rFonts w:ascii="Segoe UI" w:eastAsia="Segoe UI" w:hAnsi="Segoe UI" w:cs="Segoe UI"/>
          <w:i/>
        </w:rPr>
        <w:t xml:space="preserve"> beta score &lt; -0.3 and Wald-adjusted p-values &lt; 0.05) to evaluate the ability of dCas9-ZIM3(KRAB)MeCP2(t) to reveal genes essential for cell growth. Through this analysis, genome-wide </w:t>
      </w:r>
      <w:proofErr w:type="spellStart"/>
      <w:r>
        <w:rPr>
          <w:rFonts w:ascii="Segoe UI" w:eastAsia="Segoe UI" w:hAnsi="Segoe UI" w:cs="Segoe UI"/>
          <w:i/>
        </w:rPr>
        <w:t>CRISPRi</w:t>
      </w:r>
      <w:proofErr w:type="spellEnd"/>
      <w:r>
        <w:rPr>
          <w:rFonts w:ascii="Segoe UI" w:eastAsia="Segoe UI" w:hAnsi="Segoe UI" w:cs="Segoe UI"/>
          <w:i/>
        </w:rPr>
        <w:t xml:space="preserve"> screening with dCas9-ZIM3(KRAB)-MeCP2(t) uncovered a total of 1,719 essential genes, significantly outperforming both dCas9-ZIM3(KRAB) (696 essential genes) and dCas9-KOX1(KRAB)-MeCP2 (636 essential genes) (Figure 6B). Strikingly, the number of depleted genes closely aligns with the number of essential genes (~1,800) reported from previous CRISPR-Cas9 screens in HCT116 </w:t>
      </w:r>
      <w:proofErr w:type="gramStart"/>
      <w:r>
        <w:rPr>
          <w:rFonts w:ascii="Segoe UI" w:eastAsia="Segoe UI" w:hAnsi="Segoe UI" w:cs="Segoe UI"/>
          <w:i/>
        </w:rPr>
        <w:t>cells(</w:t>
      </w:r>
      <w:proofErr w:type="gramEnd"/>
      <w:r>
        <w:rPr>
          <w:rFonts w:ascii="Segoe UI" w:eastAsia="Segoe UI" w:hAnsi="Segoe UI" w:cs="Segoe UI"/>
          <w:i/>
        </w:rPr>
        <w:t xml:space="preserve">65, 66)” </w:t>
      </w:r>
    </w:p>
    <w:p w14:paraId="306331E4" w14:textId="77777777" w:rsidR="007F4242" w:rsidRDefault="007F4242" w:rsidP="007F4242">
      <w:pPr>
        <w:spacing w:after="0"/>
        <w:ind w:left="720"/>
      </w:pPr>
      <w:r>
        <w:rPr>
          <w:rFonts w:ascii="Segoe UI" w:eastAsia="Segoe UI" w:hAnsi="Segoe UI" w:cs="Segoe UI"/>
        </w:rPr>
        <w:t xml:space="preserve"> </w:t>
      </w:r>
    </w:p>
    <w:p w14:paraId="687DC899" w14:textId="77777777" w:rsidR="007F4242" w:rsidRDefault="007F4242" w:rsidP="007F4242">
      <w:pPr>
        <w:spacing w:after="158"/>
        <w:ind w:left="-3" w:hanging="10"/>
        <w:jc w:val="both"/>
      </w:pPr>
      <w:r>
        <w:rPr>
          <w:rFonts w:ascii="Segoe UI" w:eastAsia="Segoe UI" w:hAnsi="Segoe UI" w:cs="Segoe UI"/>
        </w:rPr>
        <w:t xml:space="preserve">We thank the reviewer for their recommendation to undertake this experiment. Presenting this data is a major improvement to the merit and overall impact of the manuscript.  </w:t>
      </w:r>
    </w:p>
    <w:p w14:paraId="3C858E71" w14:textId="77777777" w:rsidR="007F4242" w:rsidRDefault="007F4242" w:rsidP="007F4242">
      <w:pPr>
        <w:spacing w:after="158"/>
      </w:pPr>
      <w:r>
        <w:rPr>
          <w:rFonts w:ascii="Segoe UI" w:eastAsia="Segoe UI" w:hAnsi="Segoe UI" w:cs="Segoe UI"/>
        </w:rPr>
        <w:t xml:space="preserve"> </w:t>
      </w:r>
    </w:p>
    <w:p w14:paraId="6AB65E5D" w14:textId="77777777" w:rsidR="007F4242" w:rsidRDefault="007F4242" w:rsidP="007F4242">
      <w:pPr>
        <w:spacing w:after="159"/>
        <w:ind w:left="-3" w:hanging="10"/>
        <w:jc w:val="both"/>
      </w:pPr>
      <w:r>
        <w:rPr>
          <w:rFonts w:ascii="Segoe UI" w:eastAsia="Segoe UI" w:hAnsi="Segoe UI" w:cs="Segoe UI"/>
          <w:b/>
          <w:color w:val="FF0000"/>
        </w:rPr>
        <w:t xml:space="preserve">Fig. 5 Comment 3: </w:t>
      </w:r>
      <w:r>
        <w:rPr>
          <w:rFonts w:ascii="Segoe UI" w:eastAsia="Segoe UI" w:hAnsi="Segoe UI" w:cs="Segoe UI"/>
          <w:color w:val="FF0000"/>
        </w:rPr>
        <w:t xml:space="preserve">Part B is interesting and sets up the discussion well for part D. However, it does not significantly impact the merit of the collective studies. I would not want to use a MAX variant repressor in my </w:t>
      </w:r>
      <w:proofErr w:type="spellStart"/>
      <w:r>
        <w:rPr>
          <w:rFonts w:ascii="Segoe UI" w:eastAsia="Segoe UI" w:hAnsi="Segoe UI" w:cs="Segoe UI"/>
          <w:color w:val="FF0000"/>
        </w:rPr>
        <w:t>CRISPRi</w:t>
      </w:r>
      <w:proofErr w:type="spellEnd"/>
      <w:r>
        <w:rPr>
          <w:rFonts w:ascii="Segoe UI" w:eastAsia="Segoe UI" w:hAnsi="Segoe UI" w:cs="Segoe UI"/>
          <w:color w:val="FF0000"/>
        </w:rPr>
        <w:t xml:space="preserve"> study because the transcriptomic data (part D) suggests that it can recruit activators in some hi-MYC-expressing family cell types. This caveat of MAX effectors could also be addressed using techniques such as </w:t>
      </w:r>
      <w:proofErr w:type="spellStart"/>
      <w:r>
        <w:rPr>
          <w:rFonts w:ascii="Segoe UI" w:eastAsia="Segoe UI" w:hAnsi="Segoe UI" w:cs="Segoe UI"/>
          <w:color w:val="FF0000"/>
        </w:rPr>
        <w:t>ChIP</w:t>
      </w:r>
      <w:proofErr w:type="spellEnd"/>
      <w:r>
        <w:rPr>
          <w:rFonts w:ascii="Segoe UI" w:eastAsia="Segoe UI" w:hAnsi="Segoe UI" w:cs="Segoe UI"/>
          <w:color w:val="FF0000"/>
        </w:rPr>
        <w:t>-seq of silenced chromatin markers to understand the global changes they may incur on gene expression.</w:t>
      </w:r>
      <w:r>
        <w:rPr>
          <w:rFonts w:ascii="Segoe UI" w:eastAsia="Segoe UI" w:hAnsi="Segoe UI" w:cs="Segoe UI"/>
          <w:b/>
          <w:color w:val="FF0000"/>
        </w:rPr>
        <w:t xml:space="preserve"> </w:t>
      </w:r>
    </w:p>
    <w:p w14:paraId="714F0367" w14:textId="77777777" w:rsidR="007F4242" w:rsidRDefault="007F4242" w:rsidP="007F4242">
      <w:pPr>
        <w:spacing w:after="158"/>
        <w:ind w:left="-3" w:hanging="10"/>
        <w:jc w:val="both"/>
      </w:pPr>
      <w:r>
        <w:rPr>
          <w:rFonts w:ascii="Segoe UI" w:eastAsia="Segoe UI" w:hAnsi="Segoe UI" w:cs="Segoe UI"/>
          <w:b/>
        </w:rPr>
        <w:t>Response</w:t>
      </w:r>
      <w:r>
        <w:rPr>
          <w:rFonts w:ascii="Segoe UI" w:eastAsia="Segoe UI" w:hAnsi="Segoe UI" w:cs="Segoe UI"/>
        </w:rPr>
        <w:t xml:space="preserve">: We thank the reviewer for favorable </w:t>
      </w:r>
      <w:proofErr w:type="gramStart"/>
      <w:r>
        <w:rPr>
          <w:rFonts w:ascii="Segoe UI" w:eastAsia="Segoe UI" w:hAnsi="Segoe UI" w:cs="Segoe UI"/>
        </w:rPr>
        <w:t>comment</w:t>
      </w:r>
      <w:proofErr w:type="gramEnd"/>
      <w:r>
        <w:rPr>
          <w:rFonts w:ascii="Segoe UI" w:eastAsia="Segoe UI" w:hAnsi="Segoe UI" w:cs="Segoe UI"/>
        </w:rPr>
        <w:t xml:space="preserve"> and constructive feedback on the MYCMAX analyses. Although our correlation between transcriptomic data and effector performance in different cell lines is an important finding, we agree that it does not significantly impact the justification of dCas9-ZIM3(KRAB)-MeCP2(t) as a next-generation </w:t>
      </w:r>
      <w:proofErr w:type="spellStart"/>
      <w:r>
        <w:rPr>
          <w:rFonts w:ascii="Segoe UI" w:eastAsia="Segoe UI" w:hAnsi="Segoe UI" w:cs="Segoe UI"/>
        </w:rPr>
        <w:t>CRISPRi</w:t>
      </w:r>
      <w:proofErr w:type="spellEnd"/>
      <w:r>
        <w:rPr>
          <w:rFonts w:ascii="Segoe UI" w:eastAsia="Segoe UI" w:hAnsi="Segoe UI" w:cs="Segoe UI"/>
        </w:rPr>
        <w:t xml:space="preserve"> platform. Because of this, we moved this content (original Figures 5B-5D) to Supplementary Figure S10. We decreased the amount of main text describing the MYC-MAX analyses and included new text in the discussion clarifying the scope of our work and the need for additional validation on Page 29:  </w:t>
      </w:r>
    </w:p>
    <w:p w14:paraId="7F427CA7" w14:textId="77777777" w:rsidR="007F4242" w:rsidRDefault="007F4242" w:rsidP="007F4242">
      <w:pPr>
        <w:spacing w:after="168" w:line="249" w:lineRule="auto"/>
        <w:ind w:left="572" w:right="564" w:hanging="9"/>
        <w:jc w:val="both"/>
      </w:pPr>
      <w:r>
        <w:rPr>
          <w:rFonts w:ascii="Segoe UI" w:eastAsia="Segoe UI" w:hAnsi="Segoe UI" w:cs="Segoe UI"/>
          <w:i/>
        </w:rPr>
        <w:t xml:space="preserve">“The variable activity of MAX-containing bipartite and tripartite variants across different cell lines (Supplementary Figure S10) demonstrates the importance of considering </w:t>
      </w:r>
      <w:proofErr w:type="spellStart"/>
      <w:r>
        <w:rPr>
          <w:rFonts w:ascii="Segoe UI" w:eastAsia="Segoe UI" w:hAnsi="Segoe UI" w:cs="Segoe UI"/>
          <w:i/>
        </w:rPr>
        <w:t>cellcell</w:t>
      </w:r>
      <w:proofErr w:type="spellEnd"/>
      <w:r>
        <w:rPr>
          <w:rFonts w:ascii="Segoe UI" w:eastAsia="Segoe UI" w:hAnsi="Segoe UI" w:cs="Segoe UI"/>
          <w:i/>
        </w:rPr>
        <w:t xml:space="preserve"> differences in co-transcription factor expression before selecting </w:t>
      </w:r>
      <w:proofErr w:type="spellStart"/>
      <w:r>
        <w:rPr>
          <w:rFonts w:ascii="Segoe UI" w:eastAsia="Segoe UI" w:hAnsi="Segoe UI" w:cs="Segoe UI"/>
          <w:i/>
        </w:rPr>
        <w:t>CRISPRi</w:t>
      </w:r>
      <w:proofErr w:type="spellEnd"/>
      <w:r>
        <w:rPr>
          <w:rFonts w:ascii="Segoe UI" w:eastAsia="Segoe UI" w:hAnsi="Segoe UI" w:cs="Segoe UI"/>
          <w:i/>
        </w:rPr>
        <w:t xml:space="preserve"> repressors for a given application. Although experimental validation, such as protein-protein interaction analysis, is necessary to confirm the mechanistic basis of our observations with MAX-containing variants, the observation of how their performance varies across cell lines verifies the importance of full characterization of transcriptional effectors across cells lines.” </w:t>
      </w:r>
    </w:p>
    <w:p w14:paraId="34B504C9" w14:textId="77777777" w:rsidR="007F4242" w:rsidRDefault="007F4242" w:rsidP="007F4242">
      <w:pPr>
        <w:spacing w:after="159"/>
        <w:ind w:left="1"/>
      </w:pPr>
      <w:r>
        <w:rPr>
          <w:rFonts w:ascii="Segoe UI" w:eastAsia="Segoe UI" w:hAnsi="Segoe UI" w:cs="Segoe UI"/>
        </w:rPr>
        <w:lastRenderedPageBreak/>
        <w:t xml:space="preserve"> </w:t>
      </w:r>
    </w:p>
    <w:p w14:paraId="1F855F13" w14:textId="77777777" w:rsidR="007F4242" w:rsidRDefault="007F4242" w:rsidP="007F4242">
      <w:pPr>
        <w:spacing w:after="158"/>
        <w:ind w:left="1"/>
      </w:pPr>
      <w:r>
        <w:rPr>
          <w:rFonts w:ascii="Segoe UI" w:eastAsia="Segoe UI" w:hAnsi="Segoe UI" w:cs="Segoe UI"/>
        </w:rPr>
        <w:t xml:space="preserve"> </w:t>
      </w:r>
    </w:p>
    <w:p w14:paraId="5A9D1D63" w14:textId="77777777" w:rsidR="007F4242" w:rsidRDefault="007F4242" w:rsidP="007F4242">
      <w:pPr>
        <w:spacing w:after="158"/>
        <w:ind w:left="-3" w:hanging="10"/>
        <w:jc w:val="both"/>
      </w:pPr>
      <w:r>
        <w:rPr>
          <w:rFonts w:ascii="Segoe UI" w:eastAsia="Segoe UI" w:hAnsi="Segoe UI" w:cs="Segoe UI"/>
        </w:rPr>
        <w:t xml:space="preserve">We again thank the reviewers for their time and efforts with our manuscript. </w:t>
      </w:r>
    </w:p>
    <w:p w14:paraId="6155CFF7" w14:textId="77777777" w:rsidR="00732189" w:rsidRDefault="00732189">
      <w:pPr>
        <w:rPr>
          <w:rFonts w:ascii="Times New Roman" w:eastAsia="Times New Roman" w:hAnsi="Times New Roman" w:cs="Times New Roman"/>
        </w:rPr>
      </w:pPr>
    </w:p>
    <w:p w14:paraId="6EC4B790" w14:textId="77777777" w:rsidR="00BF5469" w:rsidRDefault="00BF5469">
      <w:pPr>
        <w:rPr>
          <w:rFonts w:ascii="Times New Roman" w:eastAsia="Times New Roman" w:hAnsi="Times New Roman" w:cs="Times New Roman"/>
        </w:rPr>
      </w:pPr>
    </w:p>
    <w:p w14:paraId="6EC4B791" w14:textId="77777777" w:rsidR="00BF5469" w:rsidRDefault="008C28D9">
      <w:pPr>
        <w:rPr>
          <w:rFonts w:ascii="Times New Roman" w:eastAsia="Times New Roman" w:hAnsi="Times New Roman" w:cs="Times New Roman"/>
          <w:b/>
        </w:rPr>
      </w:pPr>
      <w:r>
        <w:rPr>
          <w:rFonts w:ascii="Times New Roman" w:eastAsia="Times New Roman" w:hAnsi="Times New Roman" w:cs="Times New Roman"/>
          <w:b/>
        </w:rPr>
        <w:t>Second round of review</w:t>
      </w:r>
    </w:p>
    <w:p w14:paraId="6EC4B792" w14:textId="77777777" w:rsidR="00BF5469" w:rsidRDefault="008C28D9">
      <w:pPr>
        <w:rPr>
          <w:rFonts w:ascii="Times New Roman" w:eastAsia="Times New Roman" w:hAnsi="Times New Roman" w:cs="Times New Roman"/>
          <w:b/>
        </w:rPr>
      </w:pPr>
      <w:r>
        <w:rPr>
          <w:rFonts w:ascii="Times New Roman" w:eastAsia="Times New Roman" w:hAnsi="Times New Roman" w:cs="Times New Roman"/>
          <w:b/>
        </w:rPr>
        <w:t>Reviewer 1</w:t>
      </w:r>
    </w:p>
    <w:p w14:paraId="3C966348" w14:textId="4318C76C" w:rsidR="003635F2" w:rsidRPr="003635F2" w:rsidRDefault="003635F2">
      <w:pPr>
        <w:rPr>
          <w:rFonts w:ascii="Times New Roman" w:eastAsia="Times New Roman" w:hAnsi="Times New Roman" w:cs="Times New Roman"/>
          <w:bCs/>
        </w:rPr>
      </w:pPr>
      <w:r w:rsidRPr="003635F2">
        <w:rPr>
          <w:rFonts w:ascii="Times New Roman" w:eastAsia="Times New Roman" w:hAnsi="Times New Roman" w:cs="Times New Roman"/>
          <w:bCs/>
        </w:rPr>
        <w:t>No more comments</w:t>
      </w:r>
    </w:p>
    <w:p w14:paraId="6EC4B793" w14:textId="77777777" w:rsidR="00BF5469" w:rsidRDefault="00BF5469">
      <w:pPr>
        <w:spacing w:after="0" w:line="240" w:lineRule="auto"/>
        <w:rPr>
          <w:rFonts w:ascii="Times New Roman" w:eastAsia="Times New Roman" w:hAnsi="Times New Roman" w:cs="Times New Roman"/>
        </w:rPr>
      </w:pPr>
    </w:p>
    <w:p w14:paraId="6EC4B794" w14:textId="77777777" w:rsidR="00BF5469" w:rsidRDefault="008C28D9">
      <w:pPr>
        <w:rPr>
          <w:rFonts w:ascii="Times New Roman" w:eastAsia="Times New Roman" w:hAnsi="Times New Roman" w:cs="Times New Roman"/>
          <w:b/>
        </w:rPr>
      </w:pPr>
      <w:r>
        <w:rPr>
          <w:rFonts w:ascii="Times New Roman" w:eastAsia="Times New Roman" w:hAnsi="Times New Roman" w:cs="Times New Roman"/>
          <w:b/>
        </w:rPr>
        <w:t>Reviewer 2</w:t>
      </w:r>
    </w:p>
    <w:p w14:paraId="0AC8E308" w14:textId="40B61BED" w:rsidR="007E4939" w:rsidRPr="003635F2" w:rsidRDefault="003635F2">
      <w:pPr>
        <w:rPr>
          <w:rFonts w:ascii="Times New Roman" w:eastAsia="Times New Roman" w:hAnsi="Times New Roman" w:cs="Times New Roman"/>
          <w:bCs/>
        </w:rPr>
      </w:pPr>
      <w:r w:rsidRPr="003635F2">
        <w:rPr>
          <w:rFonts w:ascii="Times New Roman" w:eastAsia="Times New Roman" w:hAnsi="Times New Roman" w:cs="Times New Roman"/>
          <w:bCs/>
        </w:rPr>
        <w:t xml:space="preserve">The authors have adequately addressed most of my questions. Especially, they had performed a genome-wide </w:t>
      </w:r>
      <w:proofErr w:type="spellStart"/>
      <w:r w:rsidRPr="003635F2">
        <w:rPr>
          <w:rFonts w:ascii="Times New Roman" w:eastAsia="Times New Roman" w:hAnsi="Times New Roman" w:cs="Times New Roman"/>
          <w:bCs/>
        </w:rPr>
        <w:t>CRISPRi</w:t>
      </w:r>
      <w:proofErr w:type="spellEnd"/>
      <w:r w:rsidRPr="003635F2">
        <w:rPr>
          <w:rFonts w:ascii="Times New Roman" w:eastAsia="Times New Roman" w:hAnsi="Times New Roman" w:cs="Times New Roman"/>
          <w:bCs/>
        </w:rPr>
        <w:t xml:space="preserve"> screen and reported the promising results in the manuscript and showed more endogenous gene and non-coding element validation, which would greatly improve the general application of the newly identified epigenetic tools. With that, the whole study has been greatly </w:t>
      </w:r>
      <w:proofErr w:type="gramStart"/>
      <w:r w:rsidRPr="003635F2">
        <w:rPr>
          <w:rFonts w:ascii="Times New Roman" w:eastAsia="Times New Roman" w:hAnsi="Times New Roman" w:cs="Times New Roman"/>
          <w:bCs/>
        </w:rPr>
        <w:t>improved</w:t>
      </w:r>
      <w:proofErr w:type="gramEnd"/>
      <w:r w:rsidRPr="003635F2">
        <w:rPr>
          <w:rFonts w:ascii="Times New Roman" w:eastAsia="Times New Roman" w:hAnsi="Times New Roman" w:cs="Times New Roman"/>
          <w:bCs/>
        </w:rPr>
        <w:t xml:space="preserve"> and I have no more questions.</w:t>
      </w:r>
    </w:p>
    <w:p w14:paraId="2449C284" w14:textId="672E5B21" w:rsidR="007E4939" w:rsidRDefault="007E4939">
      <w:pPr>
        <w:rPr>
          <w:rFonts w:ascii="Times New Roman" w:eastAsia="Times New Roman" w:hAnsi="Times New Roman" w:cs="Times New Roman"/>
          <w:b/>
        </w:rPr>
      </w:pPr>
      <w:r>
        <w:rPr>
          <w:rFonts w:ascii="Times New Roman" w:eastAsia="Times New Roman" w:hAnsi="Times New Roman" w:cs="Times New Roman"/>
          <w:b/>
        </w:rPr>
        <w:t xml:space="preserve">Reviewer </w:t>
      </w:r>
      <w:r>
        <w:rPr>
          <w:rFonts w:ascii="Times New Roman" w:eastAsia="Times New Roman" w:hAnsi="Times New Roman" w:cs="Times New Roman"/>
          <w:b/>
        </w:rPr>
        <w:t>3</w:t>
      </w:r>
    </w:p>
    <w:p w14:paraId="2C91C82B" w14:textId="77777777" w:rsidR="00392137" w:rsidRPr="00392137" w:rsidRDefault="00392137">
      <w:pPr>
        <w:rPr>
          <w:rFonts w:ascii="Times New Roman" w:eastAsia="Times New Roman" w:hAnsi="Times New Roman" w:cs="Times New Roman"/>
          <w:bCs/>
        </w:rPr>
      </w:pPr>
    </w:p>
    <w:p w14:paraId="63BB5656" w14:textId="77777777" w:rsidR="00392137" w:rsidRPr="00392137" w:rsidRDefault="00392137" w:rsidP="00392137">
      <w:pPr>
        <w:rPr>
          <w:rFonts w:ascii="Times New Roman" w:eastAsia="Times New Roman" w:hAnsi="Times New Roman" w:cs="Times New Roman"/>
          <w:bCs/>
        </w:rPr>
      </w:pPr>
      <w:r w:rsidRPr="00392137">
        <w:rPr>
          <w:rFonts w:ascii="Times New Roman" w:eastAsia="Times New Roman" w:hAnsi="Times New Roman" w:cs="Times New Roman"/>
          <w:bCs/>
        </w:rPr>
        <w:t xml:space="preserve">The authors have done a considerable amount of work to improve their study and have addressed my previous concerns appropriately. The revisions have significantly strengthened the manuscript, adding to the merit of their studies. The authors should be commended for their time and effort. Most notably, they performed a genome-wide </w:t>
      </w:r>
      <w:proofErr w:type="spellStart"/>
      <w:r w:rsidRPr="00392137">
        <w:rPr>
          <w:rFonts w:ascii="Times New Roman" w:eastAsia="Times New Roman" w:hAnsi="Times New Roman" w:cs="Times New Roman"/>
          <w:bCs/>
        </w:rPr>
        <w:t>CRISPRi</w:t>
      </w:r>
      <w:proofErr w:type="spellEnd"/>
      <w:r w:rsidRPr="00392137">
        <w:rPr>
          <w:rFonts w:ascii="Times New Roman" w:eastAsia="Times New Roman" w:hAnsi="Times New Roman" w:cs="Times New Roman"/>
          <w:bCs/>
        </w:rPr>
        <w:t xml:space="preserve"> screen comparing their new tool, dCas9-ZIM3(KRAB)-MeCP2(t), with established </w:t>
      </w:r>
      <w:proofErr w:type="spellStart"/>
      <w:r w:rsidRPr="00392137">
        <w:rPr>
          <w:rFonts w:ascii="Times New Roman" w:eastAsia="Times New Roman" w:hAnsi="Times New Roman" w:cs="Times New Roman"/>
          <w:bCs/>
        </w:rPr>
        <w:t>CRISPRi</w:t>
      </w:r>
      <w:proofErr w:type="spellEnd"/>
      <w:r w:rsidRPr="00392137">
        <w:rPr>
          <w:rFonts w:ascii="Times New Roman" w:eastAsia="Times New Roman" w:hAnsi="Times New Roman" w:cs="Times New Roman"/>
          <w:bCs/>
        </w:rPr>
        <w:t xml:space="preserve"> platforms. This new tool demonstrated enhanced capabilities, including better perturbation of growth rates when targeting core essential genes and uncovering more growth-decreasing genes. Additionally, they characterized the knockdown activity of the new system across four cell lines at endogenous sites (coding and non-coding), consistently outperforming existing gold standards. They confirmed that it does not affect nearby gene </w:t>
      </w:r>
      <w:proofErr w:type="gramStart"/>
      <w:r w:rsidRPr="00392137">
        <w:rPr>
          <w:rFonts w:ascii="Times New Roman" w:eastAsia="Times New Roman" w:hAnsi="Times New Roman" w:cs="Times New Roman"/>
          <w:bCs/>
        </w:rPr>
        <w:t>expression</w:t>
      </w:r>
      <w:proofErr w:type="gramEnd"/>
      <w:r w:rsidRPr="00392137">
        <w:rPr>
          <w:rFonts w:ascii="Times New Roman" w:eastAsia="Times New Roman" w:hAnsi="Times New Roman" w:cs="Times New Roman"/>
          <w:bCs/>
        </w:rPr>
        <w:t xml:space="preserve"> and investigated the impact of linker length and sequence between repressor domains. These comprehensive validations are presented in new figures 5, 6, and 7.</w:t>
      </w:r>
    </w:p>
    <w:p w14:paraId="24EC189B" w14:textId="77777777" w:rsidR="00392137" w:rsidRPr="00392137" w:rsidRDefault="00392137" w:rsidP="00392137">
      <w:pPr>
        <w:rPr>
          <w:rFonts w:ascii="Times New Roman" w:eastAsia="Times New Roman" w:hAnsi="Times New Roman" w:cs="Times New Roman"/>
          <w:bCs/>
        </w:rPr>
      </w:pPr>
      <w:r w:rsidRPr="00392137">
        <w:rPr>
          <w:rFonts w:ascii="Times New Roman" w:eastAsia="Times New Roman" w:hAnsi="Times New Roman" w:cs="Times New Roman"/>
          <w:bCs/>
        </w:rPr>
        <w:t>I have some minor revisions to recommend.</w:t>
      </w:r>
    </w:p>
    <w:p w14:paraId="1078B359" w14:textId="77777777" w:rsidR="00392137" w:rsidRPr="00392137" w:rsidRDefault="00392137" w:rsidP="00392137">
      <w:pPr>
        <w:rPr>
          <w:rFonts w:ascii="Times New Roman" w:eastAsia="Times New Roman" w:hAnsi="Times New Roman" w:cs="Times New Roman"/>
          <w:bCs/>
        </w:rPr>
      </w:pPr>
    </w:p>
    <w:p w14:paraId="01852A4A" w14:textId="77777777" w:rsidR="00392137" w:rsidRPr="00392137" w:rsidRDefault="00392137" w:rsidP="00392137">
      <w:pPr>
        <w:rPr>
          <w:rFonts w:ascii="Times New Roman" w:eastAsia="Times New Roman" w:hAnsi="Times New Roman" w:cs="Times New Roman"/>
          <w:bCs/>
        </w:rPr>
      </w:pPr>
      <w:r w:rsidRPr="00392137">
        <w:rPr>
          <w:rFonts w:ascii="Times New Roman" w:eastAsia="Times New Roman" w:hAnsi="Times New Roman" w:cs="Times New Roman"/>
          <w:bCs/>
        </w:rPr>
        <w:t>In several figures (e.g., 4b and 4c), the axis is labeled "</w:t>
      </w:r>
      <w:proofErr w:type="spellStart"/>
      <w:r w:rsidRPr="00392137">
        <w:rPr>
          <w:rFonts w:ascii="Times New Roman" w:eastAsia="Times New Roman" w:hAnsi="Times New Roman" w:cs="Times New Roman"/>
          <w:bCs/>
        </w:rPr>
        <w:t>eGFP</w:t>
      </w:r>
      <w:proofErr w:type="spellEnd"/>
      <w:r w:rsidRPr="00392137">
        <w:rPr>
          <w:rFonts w:ascii="Times New Roman" w:eastAsia="Times New Roman" w:hAnsi="Times New Roman" w:cs="Times New Roman"/>
          <w:bCs/>
        </w:rPr>
        <w:t xml:space="preserve"> expression," but it should be "relative </w:t>
      </w:r>
      <w:proofErr w:type="spellStart"/>
      <w:r w:rsidRPr="00392137">
        <w:rPr>
          <w:rFonts w:ascii="Times New Roman" w:eastAsia="Times New Roman" w:hAnsi="Times New Roman" w:cs="Times New Roman"/>
          <w:bCs/>
        </w:rPr>
        <w:t>eGFP</w:t>
      </w:r>
      <w:proofErr w:type="spellEnd"/>
      <w:r w:rsidRPr="00392137">
        <w:rPr>
          <w:rFonts w:ascii="Times New Roman" w:eastAsia="Times New Roman" w:hAnsi="Times New Roman" w:cs="Times New Roman"/>
          <w:bCs/>
        </w:rPr>
        <w:t xml:space="preserve"> expression." Additionally, the accuracy of Figure 2 should be checked. It appears that the graphs have been mislabeled compared to the original submission: the graph previously labeled BLM is now labeled SEL1L, the graph previously labeled SYVN1 is not labeled BLM, and the graph previously labeled </w:t>
      </w:r>
      <w:r w:rsidRPr="00392137">
        <w:rPr>
          <w:rFonts w:ascii="Times New Roman" w:eastAsia="Times New Roman" w:hAnsi="Times New Roman" w:cs="Times New Roman"/>
          <w:bCs/>
        </w:rPr>
        <w:lastRenderedPageBreak/>
        <w:t>SEL1L is now labeled SYVN1. Additional statistics have been included, but the significance seems to have changed. Please verify for accuracy.</w:t>
      </w:r>
    </w:p>
    <w:p w14:paraId="25274A21" w14:textId="6CB3FAE6" w:rsidR="00392137" w:rsidRPr="00392137" w:rsidRDefault="00392137" w:rsidP="00392137">
      <w:pPr>
        <w:rPr>
          <w:rFonts w:ascii="Times New Roman" w:eastAsia="Times New Roman" w:hAnsi="Times New Roman" w:cs="Times New Roman"/>
          <w:bCs/>
        </w:rPr>
      </w:pPr>
      <w:r w:rsidRPr="00392137">
        <w:rPr>
          <w:rFonts w:ascii="Times New Roman" w:eastAsia="Times New Roman" w:hAnsi="Times New Roman" w:cs="Times New Roman"/>
          <w:bCs/>
        </w:rPr>
        <w:t>Thank you for your attention to these details.</w:t>
      </w:r>
    </w:p>
    <w:p w14:paraId="6EC4B795" w14:textId="77777777" w:rsidR="00BF5469" w:rsidRDefault="00BF5469">
      <w:pPr>
        <w:spacing w:after="0" w:line="240" w:lineRule="auto"/>
        <w:rPr>
          <w:rFonts w:ascii="Times New Roman" w:eastAsia="Times New Roman" w:hAnsi="Times New Roman" w:cs="Times New Roman"/>
          <w:b/>
        </w:rPr>
      </w:pPr>
    </w:p>
    <w:p w14:paraId="6EC4B796" w14:textId="77777777" w:rsidR="00BF5469" w:rsidRDefault="008C28D9">
      <w:pPr>
        <w:spacing w:after="0" w:line="240" w:lineRule="auto"/>
        <w:rPr>
          <w:rFonts w:ascii="Times New Roman" w:eastAsia="Times New Roman" w:hAnsi="Times New Roman" w:cs="Times New Roman"/>
          <w:b/>
        </w:rPr>
      </w:pPr>
      <w:r>
        <w:rPr>
          <w:rFonts w:ascii="Times New Roman" w:eastAsia="Times New Roman" w:hAnsi="Times New Roman" w:cs="Times New Roman"/>
          <w:b/>
        </w:rPr>
        <w:t>Authors Response</w:t>
      </w:r>
    </w:p>
    <w:p w14:paraId="6EC4B797" w14:textId="77777777" w:rsidR="00BF5469" w:rsidRDefault="008C28D9">
      <w:pPr>
        <w:spacing w:after="0" w:line="240" w:lineRule="auto"/>
        <w:rPr>
          <w:rFonts w:ascii="Times New Roman" w:eastAsia="Times New Roman" w:hAnsi="Times New Roman" w:cs="Times New Roman"/>
        </w:rPr>
      </w:pPr>
      <w:r>
        <w:rPr>
          <w:rFonts w:ascii="Times New Roman" w:eastAsia="Times New Roman" w:hAnsi="Times New Roman" w:cs="Times New Roman"/>
          <w:b/>
        </w:rPr>
        <w:t>Point-by-point responses to the reviewers’ comments:</w:t>
      </w:r>
      <w:r>
        <w:rPr>
          <w:rFonts w:ascii="Times New Roman" w:eastAsia="Times New Roman" w:hAnsi="Times New Roman" w:cs="Times New Roman"/>
        </w:rPr>
        <w:t xml:space="preserve"> </w:t>
      </w:r>
    </w:p>
    <w:p w14:paraId="6EC4B798" w14:textId="77777777" w:rsidR="00BF5469" w:rsidRDefault="00BF5469">
      <w:pPr>
        <w:spacing w:after="0" w:line="240" w:lineRule="auto"/>
        <w:rPr>
          <w:rFonts w:ascii="Times New Roman" w:eastAsia="Times New Roman" w:hAnsi="Times New Roman" w:cs="Times New Roman"/>
        </w:rPr>
      </w:pPr>
    </w:p>
    <w:p w14:paraId="0F6C8501" w14:textId="77777777" w:rsidR="00B158B8" w:rsidRDefault="00B158B8" w:rsidP="00B158B8">
      <w:pPr>
        <w:spacing w:after="0" w:line="259" w:lineRule="auto"/>
        <w:ind w:left="689"/>
        <w:jc w:val="center"/>
      </w:pPr>
      <w:bookmarkStart w:id="0" w:name="_891nk55qcja8" w:colFirst="0" w:colLast="0"/>
      <w:bookmarkEnd w:id="0"/>
    </w:p>
    <w:p w14:paraId="51373D1F" w14:textId="77777777" w:rsidR="00B158B8" w:rsidRDefault="00B158B8" w:rsidP="00B158B8">
      <w:pPr>
        <w:pStyle w:val="Heading4"/>
      </w:pPr>
      <w:r>
        <w:t>Reviewer #1</w:t>
      </w:r>
      <w:r>
        <w:rPr>
          <w:rFonts w:ascii="Segoe UI" w:eastAsia="Segoe UI" w:hAnsi="Segoe UI" w:cs="Segoe UI"/>
          <w:b w:val="0"/>
          <w:color w:val="000000"/>
          <w:sz w:val="22"/>
          <w:u w:color="000000"/>
        </w:rPr>
        <w:t xml:space="preserve"> </w:t>
      </w:r>
    </w:p>
    <w:p w14:paraId="4F30AC39" w14:textId="77777777" w:rsidR="00B158B8" w:rsidRDefault="00B158B8" w:rsidP="00B158B8">
      <w:pPr>
        <w:spacing w:after="38" w:line="259" w:lineRule="auto"/>
        <w:ind w:left="1340"/>
      </w:pPr>
      <w:r>
        <w:t xml:space="preserve"> </w:t>
      </w:r>
    </w:p>
    <w:p w14:paraId="194BD802" w14:textId="77777777" w:rsidR="00B158B8" w:rsidRDefault="00B158B8" w:rsidP="00B158B8">
      <w:pPr>
        <w:spacing w:after="89" w:line="256" w:lineRule="auto"/>
        <w:ind w:left="1335" w:right="712"/>
      </w:pPr>
      <w:r>
        <w:rPr>
          <w:rFonts w:ascii="Segoe UI" w:eastAsia="Segoe UI" w:hAnsi="Segoe UI" w:cs="Segoe UI"/>
          <w:b/>
          <w:color w:val="FF0000"/>
        </w:rPr>
        <w:t xml:space="preserve">Comment 1: </w:t>
      </w:r>
      <w:r>
        <w:rPr>
          <w:color w:val="FF0000"/>
        </w:rPr>
        <w:t>No more comments.</w:t>
      </w:r>
      <w:r>
        <w:rPr>
          <w:rFonts w:ascii="Segoe UI" w:eastAsia="Segoe UI" w:hAnsi="Segoe UI" w:cs="Segoe UI"/>
          <w:b/>
          <w:color w:val="FF0000"/>
          <w:sz w:val="28"/>
        </w:rPr>
        <w:t xml:space="preserve"> </w:t>
      </w:r>
    </w:p>
    <w:p w14:paraId="0DAA7B47" w14:textId="77777777" w:rsidR="00B158B8" w:rsidRDefault="00B158B8" w:rsidP="00B158B8">
      <w:pPr>
        <w:spacing w:after="170"/>
        <w:ind w:left="1350" w:right="88"/>
      </w:pPr>
      <w:r>
        <w:rPr>
          <w:rFonts w:ascii="Segoe UI" w:eastAsia="Segoe UI" w:hAnsi="Segoe UI" w:cs="Segoe UI"/>
          <w:b/>
        </w:rPr>
        <w:t xml:space="preserve">Response: </w:t>
      </w:r>
      <w:r>
        <w:t xml:space="preserve">We thank the reviewer for taking the time to re-evaluate our manuscript and, once again, for their insightful comments on the initial submission.  </w:t>
      </w:r>
    </w:p>
    <w:p w14:paraId="60480F42" w14:textId="77777777" w:rsidR="00B158B8" w:rsidRDefault="00B158B8" w:rsidP="00B158B8">
      <w:pPr>
        <w:spacing w:after="42" w:line="259" w:lineRule="auto"/>
        <w:ind w:left="1340"/>
      </w:pPr>
      <w:r>
        <w:rPr>
          <w:rFonts w:ascii="Segoe UI" w:eastAsia="Segoe UI" w:hAnsi="Segoe UI" w:cs="Segoe UI"/>
          <w:b/>
          <w:color w:val="FF0000"/>
          <w:sz w:val="24"/>
        </w:rPr>
        <w:t xml:space="preserve"> </w:t>
      </w:r>
    </w:p>
    <w:p w14:paraId="477E4738" w14:textId="77777777" w:rsidR="00B158B8" w:rsidRDefault="00B158B8" w:rsidP="00B158B8">
      <w:pPr>
        <w:pStyle w:val="Heading4"/>
      </w:pPr>
      <w:r>
        <w:t>Reviewer #2</w:t>
      </w:r>
      <w:r>
        <w:rPr>
          <w:u w:color="000000"/>
        </w:rPr>
        <w:t xml:space="preserve"> </w:t>
      </w:r>
    </w:p>
    <w:p w14:paraId="527F0CEE" w14:textId="77777777" w:rsidR="00B158B8" w:rsidRDefault="00B158B8" w:rsidP="00B158B8">
      <w:pPr>
        <w:spacing w:after="0" w:line="259" w:lineRule="auto"/>
        <w:ind w:left="1340"/>
      </w:pPr>
      <w:r>
        <w:t xml:space="preserve"> </w:t>
      </w:r>
    </w:p>
    <w:p w14:paraId="6F1FDB47" w14:textId="77777777" w:rsidR="00B158B8" w:rsidRDefault="00B158B8" w:rsidP="00B158B8">
      <w:pPr>
        <w:spacing w:after="102" w:line="249" w:lineRule="auto"/>
        <w:ind w:left="1340" w:right="495"/>
      </w:pPr>
      <w:r>
        <w:rPr>
          <w:rFonts w:ascii="Segoe UI" w:eastAsia="Segoe UI" w:hAnsi="Segoe UI" w:cs="Segoe UI"/>
          <w:b/>
          <w:color w:val="FF0000"/>
        </w:rPr>
        <w:t xml:space="preserve">Comment 1: </w:t>
      </w:r>
      <w:r>
        <w:rPr>
          <w:color w:val="FF0000"/>
        </w:rPr>
        <w:t xml:space="preserve">The authors have adequately addressed most of my questions. Especially, they had performed a genome-wide </w:t>
      </w:r>
      <w:proofErr w:type="spellStart"/>
      <w:r>
        <w:rPr>
          <w:color w:val="FF0000"/>
        </w:rPr>
        <w:t>CRISPRi</w:t>
      </w:r>
      <w:proofErr w:type="spellEnd"/>
      <w:r>
        <w:rPr>
          <w:color w:val="FF0000"/>
        </w:rPr>
        <w:t xml:space="preserve"> screen and reported the promising results in the manuscript and showed more endogenous gene and non-coding element validation, which would greatly improve the general application of the newly identified epigenetic tools. With that, the whole study has been greatly </w:t>
      </w:r>
      <w:proofErr w:type="gramStart"/>
      <w:r>
        <w:rPr>
          <w:color w:val="FF0000"/>
        </w:rPr>
        <w:t>improved</w:t>
      </w:r>
      <w:proofErr w:type="gramEnd"/>
      <w:r>
        <w:rPr>
          <w:color w:val="FF0000"/>
        </w:rPr>
        <w:t xml:space="preserve"> and I have no more questions.</w:t>
      </w:r>
      <w:r>
        <w:rPr>
          <w:rFonts w:ascii="Segoe UI" w:eastAsia="Segoe UI" w:hAnsi="Segoe UI" w:cs="Segoe UI"/>
          <w:b/>
          <w:color w:val="FF0000"/>
          <w:sz w:val="28"/>
        </w:rPr>
        <w:t xml:space="preserve"> </w:t>
      </w:r>
    </w:p>
    <w:p w14:paraId="342C244F" w14:textId="77777777" w:rsidR="00B158B8" w:rsidRDefault="00B158B8" w:rsidP="00B158B8">
      <w:pPr>
        <w:spacing w:after="151"/>
        <w:ind w:left="1350" w:right="726"/>
      </w:pPr>
      <w:r>
        <w:rPr>
          <w:rFonts w:ascii="Segoe UI" w:eastAsia="Segoe UI" w:hAnsi="Segoe UI" w:cs="Segoe UI"/>
          <w:b/>
        </w:rPr>
        <w:t>Response</w:t>
      </w:r>
      <w:r>
        <w:t xml:space="preserve">: We thank the reviewer for their positive feedback on our revised manuscript and, once again, we kindly thank the reviewer for their time and thoughtful recommendations throughout the review process.  </w:t>
      </w:r>
    </w:p>
    <w:p w14:paraId="1C79CBBC" w14:textId="77777777" w:rsidR="00B158B8" w:rsidRDefault="00B158B8" w:rsidP="00B158B8">
      <w:pPr>
        <w:spacing w:after="60" w:line="259" w:lineRule="auto"/>
        <w:ind w:left="672"/>
        <w:jc w:val="center"/>
      </w:pPr>
      <w:r>
        <w:t xml:space="preserve"> </w:t>
      </w:r>
    </w:p>
    <w:p w14:paraId="0789A765" w14:textId="77777777" w:rsidR="00B158B8" w:rsidRDefault="00B158B8" w:rsidP="00B158B8">
      <w:pPr>
        <w:pStyle w:val="Heading4"/>
      </w:pPr>
      <w:r>
        <w:t>Reviewer #3</w:t>
      </w:r>
      <w:r>
        <w:rPr>
          <w:u w:color="000000"/>
        </w:rPr>
        <w:t xml:space="preserve"> </w:t>
      </w:r>
    </w:p>
    <w:p w14:paraId="46E774BB" w14:textId="77777777" w:rsidR="00B158B8" w:rsidRDefault="00B158B8" w:rsidP="00B158B8">
      <w:pPr>
        <w:spacing w:after="0" w:line="259" w:lineRule="auto"/>
        <w:ind w:left="1340"/>
      </w:pPr>
      <w:r>
        <w:rPr>
          <w:rFonts w:ascii="Segoe UI" w:eastAsia="Segoe UI" w:hAnsi="Segoe UI" w:cs="Segoe UI"/>
          <w:b/>
          <w:color w:val="FF0000"/>
        </w:rPr>
        <w:t xml:space="preserve"> </w:t>
      </w:r>
    </w:p>
    <w:p w14:paraId="3875F5C3" w14:textId="77777777" w:rsidR="00B158B8" w:rsidRDefault="00B158B8" w:rsidP="00B158B8">
      <w:pPr>
        <w:spacing w:after="162" w:line="256" w:lineRule="auto"/>
        <w:ind w:left="1335" w:right="712"/>
      </w:pPr>
      <w:r>
        <w:rPr>
          <w:rFonts w:ascii="Segoe UI" w:eastAsia="Segoe UI" w:hAnsi="Segoe UI" w:cs="Segoe UI"/>
          <w:b/>
          <w:color w:val="FF0000"/>
        </w:rPr>
        <w:t xml:space="preserve">Comment 1: </w:t>
      </w:r>
      <w:r>
        <w:rPr>
          <w:color w:val="FF0000"/>
        </w:rPr>
        <w:t xml:space="preserve">The authors have done a considerable amount of work to improve their study and have addressed my previous concerns appropriately. The revisions have significantly strengthened the manuscript, adding to the merit of their studies. The authors should be commended for their time and effort. Most notably, they performed a genome-wide </w:t>
      </w:r>
      <w:proofErr w:type="spellStart"/>
      <w:r>
        <w:rPr>
          <w:color w:val="FF0000"/>
        </w:rPr>
        <w:t>CRISPRi</w:t>
      </w:r>
      <w:proofErr w:type="spellEnd"/>
      <w:r>
        <w:rPr>
          <w:color w:val="FF0000"/>
        </w:rPr>
        <w:t xml:space="preserve"> screen comparing their new tool, dCas9-ZIM3(KRAB)-MeCP2(t), with established </w:t>
      </w:r>
      <w:proofErr w:type="spellStart"/>
      <w:r>
        <w:rPr>
          <w:color w:val="FF0000"/>
        </w:rPr>
        <w:t>CRISPRi</w:t>
      </w:r>
      <w:proofErr w:type="spellEnd"/>
      <w:r>
        <w:rPr>
          <w:color w:val="FF0000"/>
        </w:rPr>
        <w:t xml:space="preserve"> platforms. This new tool demonstrated enhanced capabilities, including better perturbation of growth rates when targeting core essential genes and uncovering more growth-decreasing genes. Additionally, they characterized the knockdown activity of the new system across four cell lines at endogenous sites (coding and non-coding), </w:t>
      </w:r>
      <w:r>
        <w:rPr>
          <w:color w:val="FF0000"/>
        </w:rPr>
        <w:lastRenderedPageBreak/>
        <w:t xml:space="preserve">consistently outperforming existing gold standards. They confirmed that it does not affect nearby gene </w:t>
      </w:r>
      <w:proofErr w:type="gramStart"/>
      <w:r>
        <w:rPr>
          <w:color w:val="FF0000"/>
        </w:rPr>
        <w:t>expression</w:t>
      </w:r>
      <w:proofErr w:type="gramEnd"/>
      <w:r>
        <w:rPr>
          <w:color w:val="FF0000"/>
        </w:rPr>
        <w:t xml:space="preserve"> and investigated the impact of linker length and sequence between repressor domains. These comprehensive validations are presented in new figures 5, 6, and 7. I have some minor revisions to recommend. </w:t>
      </w:r>
    </w:p>
    <w:p w14:paraId="20620CCA" w14:textId="77777777" w:rsidR="00B158B8" w:rsidRDefault="00B158B8" w:rsidP="00B158B8">
      <w:pPr>
        <w:spacing w:after="152"/>
        <w:ind w:left="1350" w:right="12"/>
      </w:pPr>
      <w:r>
        <w:rPr>
          <w:rFonts w:ascii="Segoe UI" w:eastAsia="Segoe UI" w:hAnsi="Segoe UI" w:cs="Segoe UI"/>
          <w:b/>
        </w:rPr>
        <w:t>Response</w:t>
      </w:r>
      <w:r>
        <w:t xml:space="preserve">: We thank the reviewer for their supportive feedback and for bringing attention to several remaining points needing re-evaluation prior to submission of our revised manuscript.  </w:t>
      </w:r>
    </w:p>
    <w:p w14:paraId="6C9157C7" w14:textId="77777777" w:rsidR="00B158B8" w:rsidRDefault="00B158B8" w:rsidP="00B158B8">
      <w:pPr>
        <w:spacing w:after="162" w:line="256" w:lineRule="auto"/>
        <w:ind w:left="1335" w:right="712"/>
      </w:pPr>
      <w:r>
        <w:rPr>
          <w:rFonts w:ascii="Segoe UI" w:eastAsia="Segoe UI" w:hAnsi="Segoe UI" w:cs="Segoe UI"/>
          <w:b/>
          <w:color w:val="FF0000"/>
        </w:rPr>
        <w:t xml:space="preserve">Comment 2: </w:t>
      </w:r>
      <w:r>
        <w:rPr>
          <w:color w:val="FF0000"/>
        </w:rPr>
        <w:t>In several figures (e.g., 4b and 4c), the axis is labeled "</w:t>
      </w:r>
      <w:proofErr w:type="spellStart"/>
      <w:r>
        <w:rPr>
          <w:color w:val="FF0000"/>
        </w:rPr>
        <w:t>eGFP</w:t>
      </w:r>
      <w:proofErr w:type="spellEnd"/>
      <w:r>
        <w:rPr>
          <w:color w:val="FF0000"/>
        </w:rPr>
        <w:t xml:space="preserve"> expression," but it should be "relative </w:t>
      </w:r>
      <w:proofErr w:type="spellStart"/>
      <w:r>
        <w:rPr>
          <w:color w:val="FF0000"/>
        </w:rPr>
        <w:t>eGFP</w:t>
      </w:r>
      <w:proofErr w:type="spellEnd"/>
      <w:r>
        <w:rPr>
          <w:color w:val="FF0000"/>
        </w:rPr>
        <w:t xml:space="preserve"> expression."</w:t>
      </w:r>
      <w:r>
        <w:rPr>
          <w:rFonts w:ascii="Segoe UI" w:eastAsia="Segoe UI" w:hAnsi="Segoe UI" w:cs="Segoe UI"/>
          <w:b/>
          <w:color w:val="FF0000"/>
        </w:rPr>
        <w:t xml:space="preserve"> </w:t>
      </w:r>
    </w:p>
    <w:p w14:paraId="1EE1688D" w14:textId="77777777" w:rsidR="00B158B8" w:rsidRDefault="00B158B8" w:rsidP="00B158B8">
      <w:pPr>
        <w:spacing w:after="149"/>
        <w:ind w:left="1350" w:right="727"/>
      </w:pPr>
      <w:r>
        <w:rPr>
          <w:rFonts w:ascii="Segoe UI" w:eastAsia="Segoe UI" w:hAnsi="Segoe UI" w:cs="Segoe UI"/>
          <w:b/>
        </w:rPr>
        <w:t>Response</w:t>
      </w:r>
      <w:r>
        <w:t xml:space="preserve">: We agree with the </w:t>
      </w:r>
      <w:proofErr w:type="gramStart"/>
      <w:r>
        <w:t>reviewer, and</w:t>
      </w:r>
      <w:proofErr w:type="gramEnd"/>
      <w:r>
        <w:t xml:space="preserve"> thank them for this correction. All inappropriate instances of “</w:t>
      </w:r>
      <w:proofErr w:type="spellStart"/>
      <w:r>
        <w:t>eGFP</w:t>
      </w:r>
      <w:proofErr w:type="spellEnd"/>
      <w:r>
        <w:t xml:space="preserve"> Expression” have been replaced with “Relative </w:t>
      </w:r>
      <w:proofErr w:type="spellStart"/>
      <w:r>
        <w:t>eGFP</w:t>
      </w:r>
      <w:proofErr w:type="spellEnd"/>
      <w:r>
        <w:t xml:space="preserve"> Expression” in the following figures: Figure 1, Figure 2, Figure 4, Figure 7, Supplementary Figure S3, Supplementary Figure S9, Supplementary Figure S10. We thank the reviewer for recommending this correction.  </w:t>
      </w:r>
    </w:p>
    <w:p w14:paraId="4874BB6B" w14:textId="77777777" w:rsidR="00B158B8" w:rsidRDefault="00B158B8" w:rsidP="00B158B8">
      <w:pPr>
        <w:spacing w:after="162" w:line="256" w:lineRule="auto"/>
        <w:ind w:left="1335" w:right="712"/>
      </w:pPr>
      <w:r>
        <w:rPr>
          <w:rFonts w:ascii="Segoe UI" w:eastAsia="Segoe UI" w:hAnsi="Segoe UI" w:cs="Segoe UI"/>
          <w:b/>
          <w:color w:val="FF0000"/>
        </w:rPr>
        <w:t xml:space="preserve">Comment 3: </w:t>
      </w:r>
      <w:r>
        <w:rPr>
          <w:color w:val="FF0000"/>
        </w:rPr>
        <w:t xml:space="preserve">Additionally, the accuracy of Figure 2 should be checked. It appears that the graphs have been mislabeled compared to the original submission: the graph previously labeled BLM is now labeled SEL1L, the graph previously labeled SYVN1 is not labeled BLM, and the graph previously labeled SEL1L is now labeled SYVN1. Additional statistics have been included, but the significance seems to have changed. Please verify for accuracy. Thank you for your attention to these details. </w:t>
      </w:r>
    </w:p>
    <w:p w14:paraId="4146DBAD" w14:textId="77777777" w:rsidR="00B158B8" w:rsidRDefault="00B158B8" w:rsidP="00B158B8">
      <w:pPr>
        <w:spacing w:after="146"/>
        <w:ind w:left="1350" w:right="724"/>
      </w:pPr>
      <w:r>
        <w:rPr>
          <w:rFonts w:ascii="Segoe UI" w:eastAsia="Segoe UI" w:hAnsi="Segoe UI" w:cs="Segoe UI"/>
          <w:b/>
        </w:rPr>
        <w:t>Response</w:t>
      </w:r>
      <w:r>
        <w:t xml:space="preserve">: We thank the reviewer for pointing out the discrepancies present in Figure 2B between our initial and revised manuscripts. Upon verification, we found that the labels for BLM and SEL1L were incorrect, and the plots have all been paired with the appropriate labels. We also reevaluated statistical comparisons with dCas9-ZIM3(KRAB) to dCas9-ZIM3(KRAB)-MAX, dCas9KOX1(KRAB)-MeCP2(t), and dCas9-ZIM3(KRAB)-MAX-MeCP2(t) in all Figure 2B panels. Thank you again for </w:t>
      </w:r>
      <w:proofErr w:type="gramStart"/>
      <w:r>
        <w:t>catching</w:t>
      </w:r>
      <w:proofErr w:type="gramEnd"/>
      <w:r>
        <w:t xml:space="preserve"> this mistake!</w:t>
      </w:r>
      <w:r>
        <w:rPr>
          <w:rFonts w:ascii="Segoe UI" w:eastAsia="Segoe UI" w:hAnsi="Segoe UI" w:cs="Segoe UI"/>
          <w:i/>
        </w:rPr>
        <w:t xml:space="preserve"> </w:t>
      </w:r>
    </w:p>
    <w:p w14:paraId="6EC4B79C" w14:textId="77777777" w:rsidR="00BF5469" w:rsidRDefault="00BF5469">
      <w:pPr>
        <w:pBdr>
          <w:top w:val="nil"/>
          <w:left w:val="nil"/>
          <w:bottom w:val="nil"/>
          <w:right w:val="nil"/>
          <w:between w:val="nil"/>
        </w:pBdr>
        <w:spacing w:after="0" w:line="240" w:lineRule="auto"/>
        <w:rPr>
          <w:rFonts w:ascii="Times New Roman" w:eastAsia="Times New Roman" w:hAnsi="Times New Roman" w:cs="Times New Roman"/>
        </w:rPr>
      </w:pPr>
    </w:p>
    <w:p w14:paraId="26BE15F7" w14:textId="77777777" w:rsidR="007E4939" w:rsidRDefault="007E4939">
      <w:pPr>
        <w:pBdr>
          <w:top w:val="nil"/>
          <w:left w:val="nil"/>
          <w:bottom w:val="nil"/>
          <w:right w:val="nil"/>
          <w:between w:val="nil"/>
        </w:pBdr>
        <w:spacing w:after="0" w:line="240" w:lineRule="auto"/>
        <w:rPr>
          <w:rFonts w:ascii="Times New Roman" w:eastAsia="Times New Roman" w:hAnsi="Times New Roman" w:cs="Times New Roman"/>
        </w:rPr>
      </w:pPr>
    </w:p>
    <w:sectPr w:rsidR="007E4939">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5469"/>
    <w:rsid w:val="003635F2"/>
    <w:rsid w:val="00392137"/>
    <w:rsid w:val="004B3106"/>
    <w:rsid w:val="005C5E9C"/>
    <w:rsid w:val="00732189"/>
    <w:rsid w:val="00771181"/>
    <w:rsid w:val="007E2E34"/>
    <w:rsid w:val="007E4939"/>
    <w:rsid w:val="007F4242"/>
    <w:rsid w:val="008C28D9"/>
    <w:rsid w:val="00B158B8"/>
    <w:rsid w:val="00BB4E73"/>
    <w:rsid w:val="00BF5469"/>
    <w:rsid w:val="00D94E08"/>
    <w:rsid w:val="00E06586"/>
    <w:rsid w:val="00EE01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C4B77A"/>
  <w15:docId w15:val="{905861FD-A997-46FE-B259-D75ED0947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1181"/>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732189"/>
    <w:rPr>
      <w:color w:val="0000FF" w:themeColor="hyperlink"/>
      <w:u w:val="single"/>
    </w:rPr>
  </w:style>
  <w:style w:type="character" w:styleId="UnresolvedMention">
    <w:name w:val="Unresolved Mention"/>
    <w:basedOn w:val="DefaultParagraphFont"/>
    <w:uiPriority w:val="99"/>
    <w:semiHidden/>
    <w:unhideWhenUsed/>
    <w:rsid w:val="007321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881155">
      <w:bodyDiv w:val="1"/>
      <w:marLeft w:val="0"/>
      <w:marRight w:val="0"/>
      <w:marTop w:val="0"/>
      <w:marBottom w:val="0"/>
      <w:divBdr>
        <w:top w:val="none" w:sz="0" w:space="0" w:color="auto"/>
        <w:left w:val="none" w:sz="0" w:space="0" w:color="auto"/>
        <w:bottom w:val="none" w:sz="0" w:space="0" w:color="auto"/>
        <w:right w:val="none" w:sz="0" w:space="0" w:color="auto"/>
      </w:divBdr>
    </w:div>
    <w:div w:id="823743157">
      <w:bodyDiv w:val="1"/>
      <w:marLeft w:val="0"/>
      <w:marRight w:val="0"/>
      <w:marTop w:val="0"/>
      <w:marBottom w:val="0"/>
      <w:divBdr>
        <w:top w:val="none" w:sz="0" w:space="0" w:color="auto"/>
        <w:left w:val="none" w:sz="0" w:space="0" w:color="auto"/>
        <w:bottom w:val="none" w:sz="0" w:space="0" w:color="auto"/>
        <w:right w:val="none" w:sz="0" w:space="0" w:color="auto"/>
      </w:divBdr>
    </w:div>
    <w:div w:id="1386754086">
      <w:bodyDiv w:val="1"/>
      <w:marLeft w:val="0"/>
      <w:marRight w:val="0"/>
      <w:marTop w:val="0"/>
      <w:marBottom w:val="0"/>
      <w:divBdr>
        <w:top w:val="none" w:sz="0" w:space="0" w:color="auto"/>
        <w:left w:val="none" w:sz="0" w:space="0" w:color="auto"/>
        <w:bottom w:val="none" w:sz="0" w:space="0" w:color="auto"/>
        <w:right w:val="none" w:sz="0" w:space="0" w:color="auto"/>
      </w:divBdr>
    </w:div>
    <w:div w:id="21454659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sciencedirect.com/science/article/abs/pii/S1389034405000110" TargetMode="External"/><Relationship Id="rId13" Type="http://schemas.openxmlformats.org/officeDocument/2006/relationships/hyperlink" Target="https://www.addgene.org/pooled-library/broadgpp-human-crispri-dolcetto/" TargetMode="External"/><Relationship Id="rId18" Type="http://schemas.openxmlformats.org/officeDocument/2006/relationships/hyperlink" Target="https://www.nature.com/articles/s41592-018-0048-5" TargetMode="External"/><Relationship Id="rId3" Type="http://schemas.openxmlformats.org/officeDocument/2006/relationships/customXml" Target="../customXml/item3.xml"/><Relationship Id="rId21" Type="http://schemas.openxmlformats.org/officeDocument/2006/relationships/hyperlink" Target="https://elifesciences.org/articles/81856" TargetMode="External"/><Relationship Id="rId7" Type="http://schemas.openxmlformats.org/officeDocument/2006/relationships/webSettings" Target="webSettings.xml"/><Relationship Id="rId12" Type="http://schemas.openxmlformats.org/officeDocument/2006/relationships/hyperlink" Target="https://www.addgene.org/pooled-library/broadgpp-human-crispri-dolcetto/" TargetMode="External"/><Relationship Id="rId17" Type="http://schemas.openxmlformats.org/officeDocument/2006/relationships/hyperlink" Target="https://www.nature.com/articles/s41592-018-0048-5" TargetMode="External"/><Relationship Id="rId2" Type="http://schemas.openxmlformats.org/officeDocument/2006/relationships/customXml" Target="../customXml/item2.xml"/><Relationship Id="rId16" Type="http://schemas.openxmlformats.org/officeDocument/2006/relationships/hyperlink" Target="https://www.science.org/doi/10.1126/science.aah7111" TargetMode="External"/><Relationship Id="rId20" Type="http://schemas.openxmlformats.org/officeDocument/2006/relationships/hyperlink" Target="https://elifesciences.org/articles/81856"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nature.com/articles/s41467-018-07901-8"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www.science.org/doi/10.1126/science.aah7111" TargetMode="External"/><Relationship Id="rId23" Type="http://schemas.openxmlformats.org/officeDocument/2006/relationships/fontTable" Target="fontTable.xml"/><Relationship Id="rId10" Type="http://schemas.openxmlformats.org/officeDocument/2006/relationships/hyperlink" Target="https://www.nature.com/articles/s41467-018-07901-8" TargetMode="External"/><Relationship Id="rId19" Type="http://schemas.openxmlformats.org/officeDocument/2006/relationships/hyperlink" Target="https://www.nature.com/articles/s41592-018-0048-5" TargetMode="External"/><Relationship Id="rId4" Type="http://schemas.openxmlformats.org/officeDocument/2006/relationships/numbering" Target="numbering.xml"/><Relationship Id="rId9" Type="http://schemas.openxmlformats.org/officeDocument/2006/relationships/hyperlink" Target="https://www.sciencedirect.com/science/article/abs/pii/S1389034405000110" TargetMode="External"/><Relationship Id="rId14" Type="http://schemas.openxmlformats.org/officeDocument/2006/relationships/hyperlink" Target="https://www.addgene.org/pooled-library/broadgpp-human-crispri-dolcetto/" TargetMode="External"/><Relationship Id="rId22" Type="http://schemas.openxmlformats.org/officeDocument/2006/relationships/hyperlink" Target="https://elifesciences.org/articles/8185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66594EFBB8D2244B554AD35C20D3D1A" ma:contentTypeVersion="11" ma:contentTypeDescription="Create a new document." ma:contentTypeScope="" ma:versionID="df7f3f2dd44ff5f2ab2feabf4db23156">
  <xsd:schema xmlns:xsd="http://www.w3.org/2001/XMLSchema" xmlns:xs="http://www.w3.org/2001/XMLSchema" xmlns:p="http://schemas.microsoft.com/office/2006/metadata/properties" xmlns:ns2="4217fc3e-e639-4999-baa6-e37f258a06e0" xmlns:ns3="ec103432-89cd-4e09-8171-6f08bc8817e3" targetNamespace="http://schemas.microsoft.com/office/2006/metadata/properties" ma:root="true" ma:fieldsID="0da1bcb687b43c2b4e1e016a7295faa0" ns2:_="" ns3:_="">
    <xsd:import namespace="4217fc3e-e639-4999-baa6-e37f258a06e0"/>
    <xsd:import namespace="ec103432-89cd-4e09-8171-6f08bc8817e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17fc3e-e639-4999-baa6-e37f258a06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4fb58666-e629-4e5a-b780-b8dcc15b318b"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c103432-89cd-4e09-8171-6f08bc8817e3"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5ad051b1-5777-429c-87c2-b4468b3330e0}" ma:internalName="TaxCatchAll" ma:showField="CatchAllData" ma:web="ec103432-89cd-4e09-8171-6f08bc8817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217fc3e-e639-4999-baa6-e37f258a06e0">
      <Terms xmlns="http://schemas.microsoft.com/office/infopath/2007/PartnerControls"/>
    </lcf76f155ced4ddcb4097134ff3c332f>
    <TaxCatchAll xmlns="ec103432-89cd-4e09-8171-6f08bc8817e3" xsi:nil="true"/>
  </documentManagement>
</p:properties>
</file>

<file path=customXml/itemProps1.xml><?xml version="1.0" encoding="utf-8"?>
<ds:datastoreItem xmlns:ds="http://schemas.openxmlformats.org/officeDocument/2006/customXml" ds:itemID="{B07049E1-5BDB-4734-9A36-22CF4BACD022}">
  <ds:schemaRefs>
    <ds:schemaRef ds:uri="http://schemas.microsoft.com/sharepoint/v3/contenttype/forms"/>
  </ds:schemaRefs>
</ds:datastoreItem>
</file>

<file path=customXml/itemProps2.xml><?xml version="1.0" encoding="utf-8"?>
<ds:datastoreItem xmlns:ds="http://schemas.openxmlformats.org/officeDocument/2006/customXml" ds:itemID="{61734CA7-3051-4EA3-BEF1-2AE6B311F4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17fc3e-e639-4999-baa6-e37f258a06e0"/>
    <ds:schemaRef ds:uri="ec103432-89cd-4e09-8171-6f08bc8817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C197FEA-3ADB-4E8D-8986-5AC48E71B521}">
  <ds:schemaRefs>
    <ds:schemaRef ds:uri="http://schemas.microsoft.com/office/2006/metadata/properties"/>
    <ds:schemaRef ds:uri="http://schemas.microsoft.com/office/infopath/2007/PartnerControls"/>
    <ds:schemaRef ds:uri="4217fc3e-e639-4999-baa6-e37f258a06e0"/>
    <ds:schemaRef ds:uri="ec103432-89cd-4e09-8171-6f08bc8817e3"/>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33</Pages>
  <Words>12656</Words>
  <Characters>72141</Characters>
  <Application>Microsoft Office Word</Application>
  <DocSecurity>0</DocSecurity>
  <Lines>601</Lines>
  <Paragraphs>169</Paragraphs>
  <ScaleCrop>false</ScaleCrop>
  <Company/>
  <LinksUpToDate>false</LinksUpToDate>
  <CharactersWithSpaces>84628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Claudia Feng</cp:lastModifiedBy>
  <cp:revision>15</cp:revision>
  <dcterms:created xsi:type="dcterms:W3CDTF">2025-05-20T17:20:00Z</dcterms:created>
  <dcterms:modified xsi:type="dcterms:W3CDTF">2025-05-20T17:38:00Z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0x010100166594EFBB8D2244B554AD35C20D3D1A</vt:lpwstr>
  </property>
  <property fmtid="{D5CDD505-2E9C-101B-9397-08002B2CF9AE}" pid="3" name="Order">
    <vt:r8>32200</vt:r8>
  </property>
  <property fmtid="{D5CDD505-2E9C-101B-9397-08002B2CF9AE}" pid="4" name="MediaServiceImageTags">
    <vt:lpwstr/>
  </property>
</Properties>
</file>