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1B556" w14:textId="437D55FF" w:rsidR="0043463B" w:rsidRPr="00D45235" w:rsidRDefault="006371D7" w:rsidP="00D45235">
      <w:pPr>
        <w:spacing w:line="360" w:lineRule="auto"/>
        <w:rPr>
          <w:rFonts w:ascii="Arial" w:hAnsi="Arial" w:cs="Arial"/>
          <w:b/>
          <w:bCs/>
        </w:rPr>
      </w:pPr>
      <w:r w:rsidRPr="00D45235">
        <w:rPr>
          <w:rFonts w:ascii="Arial" w:hAnsi="Arial" w:cs="Arial"/>
          <w:b/>
          <w:bCs/>
        </w:rPr>
        <w:t>Supplementary method</w:t>
      </w:r>
      <w:r w:rsidR="0092379C" w:rsidRPr="00D45235">
        <w:rPr>
          <w:rFonts w:ascii="Arial" w:hAnsi="Arial" w:cs="Arial"/>
          <w:b/>
          <w:bCs/>
        </w:rPr>
        <w:t xml:space="preserve"> </w:t>
      </w:r>
    </w:p>
    <w:p w14:paraId="6477CA63" w14:textId="7665D979" w:rsidR="006371D7" w:rsidRPr="00D45235" w:rsidRDefault="00C62878" w:rsidP="00D45235">
      <w:pPr>
        <w:spacing w:line="360" w:lineRule="auto"/>
        <w:rPr>
          <w:rFonts w:ascii="Arial" w:hAnsi="Arial" w:cs="Arial"/>
        </w:rPr>
      </w:pPr>
      <w:r w:rsidRPr="00D45235">
        <w:rPr>
          <w:rFonts w:ascii="Arial" w:hAnsi="Arial" w:cs="Arial"/>
        </w:rPr>
        <w:t xml:space="preserve">Estimate genetic interactions with a Bayesian model </w:t>
      </w:r>
      <w:r w:rsidR="00260E3B" w:rsidRPr="00D45235">
        <w:rPr>
          <w:rFonts w:ascii="Arial" w:hAnsi="Arial" w:cs="Arial"/>
        </w:rPr>
        <w:t>–</w:t>
      </w:r>
      <w:r w:rsidRPr="00D45235">
        <w:rPr>
          <w:rFonts w:ascii="Arial" w:hAnsi="Arial" w:cs="Arial"/>
        </w:rPr>
        <w:t xml:space="preserve"> </w:t>
      </w:r>
      <w:proofErr w:type="spellStart"/>
      <w:r w:rsidRPr="00D45235">
        <w:rPr>
          <w:rFonts w:ascii="Arial" w:hAnsi="Arial" w:cs="Arial"/>
        </w:rPr>
        <w:t>ParaBAGEL</w:t>
      </w:r>
      <w:proofErr w:type="spellEnd"/>
    </w:p>
    <w:p w14:paraId="2B2FD87E" w14:textId="7AB9BB42" w:rsidR="00C20ECD" w:rsidRDefault="00C20ECD" w:rsidP="00D45235">
      <w:pPr>
        <w:spacing w:line="360" w:lineRule="auto"/>
        <w:rPr>
          <w:rFonts w:ascii="Arial" w:hAnsi="Arial" w:cs="Arial"/>
        </w:rPr>
      </w:pPr>
      <w:proofErr w:type="spellStart"/>
      <w:r w:rsidRPr="00C20ECD">
        <w:rPr>
          <w:rFonts w:ascii="Arial" w:hAnsi="Arial" w:cs="Arial"/>
        </w:rPr>
        <w:t>ParaBAGEL</w:t>
      </w:r>
      <w:proofErr w:type="spellEnd"/>
      <w:r w:rsidRPr="00C20ECD">
        <w:rPr>
          <w:rFonts w:ascii="Arial" w:hAnsi="Arial" w:cs="Arial"/>
        </w:rPr>
        <w:t xml:space="preserve"> is a </w:t>
      </w:r>
      <w:r w:rsidR="007B1A38">
        <w:rPr>
          <w:rFonts w:ascii="Arial" w:hAnsi="Arial" w:cs="Arial"/>
        </w:rPr>
        <w:t xml:space="preserve">supervised </w:t>
      </w:r>
      <w:r w:rsidRPr="00C20ECD">
        <w:rPr>
          <w:rFonts w:ascii="Arial" w:hAnsi="Arial" w:cs="Arial"/>
        </w:rPr>
        <w:t xml:space="preserve">Bayesian model developed to estimate genetic interactions </w:t>
      </w:r>
      <w:r>
        <w:rPr>
          <w:rFonts w:ascii="Arial" w:hAnsi="Arial" w:cs="Arial"/>
        </w:rPr>
        <w:t xml:space="preserve">(GI) </w:t>
      </w:r>
      <w:r w:rsidRPr="00C20ECD">
        <w:rPr>
          <w:rFonts w:ascii="Arial" w:hAnsi="Arial" w:cs="Arial"/>
        </w:rPr>
        <w:t>by utilizing delta log fold change (</w:t>
      </w:r>
      <w:proofErr w:type="spellStart"/>
      <w:r w:rsidRPr="00C20ECD">
        <w:rPr>
          <w:rFonts w:ascii="Arial" w:hAnsi="Arial" w:cs="Arial"/>
        </w:rPr>
        <w:t>dLFC</w:t>
      </w:r>
      <w:proofErr w:type="spellEnd"/>
      <w:r w:rsidRPr="00C20ECD">
        <w:rPr>
          <w:rFonts w:ascii="Arial" w:hAnsi="Arial" w:cs="Arial"/>
        </w:rPr>
        <w:t xml:space="preserve">) metrics. </w:t>
      </w:r>
      <w:r w:rsidR="00663AC4">
        <w:rPr>
          <w:rFonts w:ascii="Arial" w:hAnsi="Arial" w:cs="Arial"/>
        </w:rPr>
        <w:t>is an extension of the BAGEL algorithm</w:t>
      </w:r>
      <w:r w:rsidR="00C712C1">
        <w:rPr>
          <w:rFonts w:ascii="Arial" w:hAnsi="Arial" w:cs="Arial"/>
        </w:rPr>
        <w:fldChar w:fldCharType="begin"/>
      </w:r>
      <w:r w:rsidR="0092645B">
        <w:rPr>
          <w:rFonts w:ascii="Arial" w:hAnsi="Arial" w:cs="Arial"/>
        </w:rPr>
        <w:instrText xml:space="preserve"> ADDIN ZOTERO_ITEM CSL_CITATION {"citationID":"gpUH8d50","properties":{"formattedCitation":"\\super 1,2\\nosupersub{}","plainCitation":"1,2","noteIndex":0},"citationItems":[{"id":19,"uris":["http://zotero.org/users/13000678/items/RXIXSFSD"],"itemData":{"id":19,"type":"article-journal","abstract":"BACKGROUND: The adaptation of the CRISPR-Cas9 system to pooled library gene knockout screens in mammalian cells represents a major technological leap over RNA interference, the prior state of the art. New methods for analyzing the data and evaluating results are needed. RESULTS: We offer BAGEL (Bayesian Analysis of Gene EssentiaLity), a supervised learning method for analyzing gene knockout screens. Coupled with gold-standard reference sets of essential and nonessential genes, BAGEL offers significantly greater sensitivity than current methods, while computational optimizations reduce runtime by an order of magnitude. CONCLUSIONS: Using BAGEL, we identify ~2000 fitness genes in pooled library knockout screens in human cell lines at 5 % FDR, a major advance over competing platforms. BAGEL shows high sensitivity and specificity even across screens performed by different labs using different libraries and reagents.","archive_location":"27083490","container-title":"BMC Bioinformatics","DOI":"10.1186/s12859-016-1015-8","ISSN":"1471-2105","language":"eng","note":"edition: 20160416","page":"164","source":"NLM","title":"BAGEL: a computational framework for identifying essential genes from pooled library screens","volume":"17","author":[{"family":"Hart","given":"T."},{"family":"Moffat","given":"J."}],"issued":{"date-parts":[["2016",4,16]]}}},{"id":29,"uris":["http://zotero.org/users/13000678/items/MYBKJAD9"],"itemData":{"id":29,"type":"article-journal","abstract":"BACKGROUND: Identifying essential genes in genome-wide loss-of-function screens is a critical step in functional genomics and cancer target finding. We previously described the Bayesian Analysis of Gene Essentiality (BAGEL) algorithm for accurate classification of gene essentiality from short hairpin RNA and CRISPR/Cas9 genome-wide genetic screens. RESULTS: We introduce an updated version, BAGEL2, which employs an improved model that offers a greater dynamic range of Bayes Factors, enabling detection of tumor suppressor genes; a multi-target correction that reduces false positives from off-target CRISPR guide RNA; and the implementation of a cross-validation strategy that improves performance ~ 10× over the prior bootstrap resampling approach. We also describe a metric for screen quality at the replicate level and demonstrate how different algorithms handle lower quality data in substantially different ways. CONCLUSIONS: BAGEL2 substantially improves the sensitivity, specificity, and performance over BAGEL and establishes the new state of the art in the analysis of CRISPR knockout fitness screens. BAGEL2 is written in Python 3 and source code, along with all supporting files, are available on github ( https://github.com/hart-lab/bagel ).","archive_location":"33407829","container-title":"Genome Med","DOI":"10.1186/s13073-020-00809-3","ISSN":"1756-994x","issue":"1","language":"eng","note":"edition: 20210106","page":"2","source":"NLM","title":"Improved analysis of CRISPR fitness screens and reduced off-target effects with the BAGEL2 gene essentiality classifier","volume":"13","author":[{"family":"Kim","given":"E."},{"family":"Hart","given":"T."}],"issued":{"date-parts":[["2021",1,6]]}}}],"schema":"https://github.com/citation-style-language/schema/raw/master/csl-citation.json"} </w:instrText>
      </w:r>
      <w:r w:rsidR="00C712C1">
        <w:rPr>
          <w:rFonts w:ascii="Arial" w:hAnsi="Arial" w:cs="Arial"/>
        </w:rPr>
        <w:fldChar w:fldCharType="separate"/>
      </w:r>
      <w:r w:rsidR="0092645B" w:rsidRPr="0092645B">
        <w:rPr>
          <w:rFonts w:ascii="Arial" w:hAnsi="Arial" w:cs="Arial"/>
          <w:kern w:val="0"/>
          <w:vertAlign w:val="superscript"/>
        </w:rPr>
        <w:t>1,2</w:t>
      </w:r>
      <w:r w:rsidR="00C712C1">
        <w:rPr>
          <w:rFonts w:ascii="Arial" w:hAnsi="Arial" w:cs="Arial"/>
        </w:rPr>
        <w:fldChar w:fldCharType="end"/>
      </w:r>
      <w:r w:rsidR="00663AC4">
        <w:rPr>
          <w:rFonts w:ascii="Arial" w:hAnsi="Arial" w:cs="Arial"/>
        </w:rPr>
        <w:t>, updated to handle dual knockout multiplex CRISPR perturbation screens. As with BAGEL, the method employs positive and negative training sets. In this case, we</w:t>
      </w:r>
      <w:r w:rsidR="00C703F5" w:rsidRPr="00C703F5">
        <w:rPr>
          <w:rFonts w:ascii="Arial" w:hAnsi="Arial" w:cs="Arial"/>
        </w:rPr>
        <w:t xml:space="preserve"> employ</w:t>
      </w:r>
      <w:r w:rsidR="00B935DE">
        <w:rPr>
          <w:rFonts w:ascii="Arial" w:hAnsi="Arial" w:cs="Arial"/>
        </w:rPr>
        <w:t>ed</w:t>
      </w:r>
      <w:r w:rsidR="00C703F5" w:rsidRPr="00C703F5">
        <w:rPr>
          <w:rFonts w:ascii="Arial" w:hAnsi="Arial" w:cs="Arial"/>
        </w:rPr>
        <w:t xml:space="preserve"> </w:t>
      </w:r>
      <w:r w:rsidR="00663AC4">
        <w:rPr>
          <w:rFonts w:ascii="Arial" w:hAnsi="Arial" w:cs="Arial"/>
        </w:rPr>
        <w:t xml:space="preserve">the </w:t>
      </w:r>
      <w:r w:rsidR="00C703F5" w:rsidRPr="00C703F5">
        <w:rPr>
          <w:rFonts w:ascii="Arial" w:hAnsi="Arial" w:cs="Arial"/>
        </w:rPr>
        <w:t>13</w:t>
      </w:r>
      <w:r w:rsidR="00CC3DFD">
        <w:rPr>
          <w:rFonts w:ascii="Arial" w:hAnsi="Arial" w:cs="Arial"/>
        </w:rPr>
        <w:t xml:space="preserve"> </w:t>
      </w:r>
      <w:r w:rsidR="00C703F5" w:rsidRPr="00C703F5">
        <w:rPr>
          <w:rFonts w:ascii="Arial" w:hAnsi="Arial" w:cs="Arial"/>
        </w:rPr>
        <w:t xml:space="preserve">paralog synthetic lethal (SL) gold standards </w:t>
      </w:r>
      <w:r w:rsidR="00663AC4">
        <w:rPr>
          <w:rFonts w:ascii="Arial" w:hAnsi="Arial" w:cs="Arial"/>
        </w:rPr>
        <w:t xml:space="preserve">from </w:t>
      </w:r>
      <w:proofErr w:type="spellStart"/>
      <w:r w:rsidR="00663AC4">
        <w:rPr>
          <w:rFonts w:ascii="Arial" w:hAnsi="Arial" w:cs="Arial"/>
        </w:rPr>
        <w:t>Esmaeili</w:t>
      </w:r>
      <w:proofErr w:type="spellEnd"/>
      <w:r w:rsidR="00663AC4">
        <w:rPr>
          <w:rFonts w:ascii="Arial" w:hAnsi="Arial" w:cs="Arial"/>
        </w:rPr>
        <w:t xml:space="preserve"> </w:t>
      </w:r>
      <w:proofErr w:type="spellStart"/>
      <w:r w:rsidR="00663AC4">
        <w:rPr>
          <w:rFonts w:ascii="Arial" w:hAnsi="Arial" w:cs="Arial"/>
        </w:rPr>
        <w:t>Anvar</w:t>
      </w:r>
      <w:proofErr w:type="spellEnd"/>
      <w:r w:rsidR="00663AC4">
        <w:rPr>
          <w:rFonts w:ascii="Arial" w:hAnsi="Arial" w:cs="Arial"/>
        </w:rPr>
        <w:t xml:space="preserve"> et al</w:t>
      </w:r>
      <w:r w:rsidR="0092645B">
        <w:rPr>
          <w:rFonts w:ascii="Arial" w:hAnsi="Arial" w:cs="Arial"/>
        </w:rPr>
        <w:fldChar w:fldCharType="begin"/>
      </w:r>
      <w:r w:rsidR="0092645B">
        <w:rPr>
          <w:rFonts w:ascii="Arial" w:hAnsi="Arial" w:cs="Arial"/>
        </w:rPr>
        <w:instrText xml:space="preserve"> ADDIN ZOTERO_ITEM CSL_CITATION {"citationID":"wRf9PJAq","properties":{"formattedCitation":"\\super 3\\nosupersub{}","plainCitation":"3","noteIndex":0},"citationItems":[{"id":210,"uris":["http://zotero.org/users/13000678/items/L3JH7KKP"],"itemData":{"id":210,"type":"article-journal","abstract":"Abstract\n            Genetic interactions mediate the emergence of phenotype from genotype, but technologies for combinatorial genetic perturbation in mammalian cells are challenging to scale. Here, we identify background-independent paralog synthetic lethals from previous CRISPR genetic interaction screens, and find that the Cas12a platform provides superior sensitivity and assay replicability. We develop the in4mer Cas12a platform that uses arrays of four independent guide RNAs targeting the same or different genes. We construct a genome-scale library, Inzolia, that is ~30% smaller than a typical CRISPR/Cas9 library while also targeting ~4000 paralog pairs. Screens in cancer cells demonstrate discrimination of core and context-dependent essential genes similar to that of CRISPR/Cas9 libraries, as well as detection of synthetic lethal and masking/buffering genetic interactions between paralogs of various family sizes. Importantly, the in4mer platform offers a fivefold reduction in library size compared to other genetic interaction methods, substantially reducing the cost and effort required for these assays.","container-title":"Nature Communications","DOI":"10.1038/s41467-024-47795-3","ISSN":"2041-1723","issue":"1","journalAbbreviation":"Nat Commun","language":"en","page":"3577","source":"DOI.org (Crossref)","title":"Efficient gene knockout and genetic interaction screening using the in4mer CRISPR/Cas12a multiplex knockout platform","volume":"15","author":[{"family":"Esmaeili Anvar","given":"Nazanin"},{"family":"Lin","given":"Chenchu"},{"family":"Ma","given":"Xingdi"},{"family":"Wilson","given":"Lori L."},{"family":"Steger","given":"Ryan"},{"family":"Sangree","given":"Annabel K."},{"family":"Colic","given":"Medina"},{"family":"Wang","given":"Sidney H."},{"family":"Doench","given":"John G."},{"family":"Hart","given":"Traver"}],"issued":{"date-parts":[["2024",4,27]]}}}],"schema":"https://github.com/citation-style-language/schema/raw/master/csl-citation.json"} </w:instrText>
      </w:r>
      <w:r w:rsidR="0092645B">
        <w:rPr>
          <w:rFonts w:ascii="Arial" w:hAnsi="Arial" w:cs="Arial"/>
        </w:rPr>
        <w:fldChar w:fldCharType="separate"/>
      </w:r>
      <w:r w:rsidR="0092645B" w:rsidRPr="0092645B">
        <w:rPr>
          <w:rFonts w:ascii="Arial" w:hAnsi="Arial" w:cs="Arial"/>
          <w:kern w:val="0"/>
          <w:vertAlign w:val="superscript"/>
        </w:rPr>
        <w:t>3</w:t>
      </w:r>
      <w:r w:rsidR="0092645B">
        <w:rPr>
          <w:rFonts w:ascii="Arial" w:hAnsi="Arial" w:cs="Arial"/>
        </w:rPr>
        <w:fldChar w:fldCharType="end"/>
      </w:r>
      <w:r w:rsidR="00663AC4">
        <w:rPr>
          <w:rFonts w:ascii="Arial" w:hAnsi="Arial" w:cs="Arial"/>
        </w:rPr>
        <w:t xml:space="preserve"> </w:t>
      </w:r>
      <w:r w:rsidR="00C703F5" w:rsidRPr="00C703F5">
        <w:rPr>
          <w:rFonts w:ascii="Arial" w:hAnsi="Arial" w:cs="Arial"/>
        </w:rPr>
        <w:t xml:space="preserve">as positive controls and empirically derived negative controls from the </w:t>
      </w:r>
      <w:proofErr w:type="spellStart"/>
      <w:r w:rsidR="00C703F5" w:rsidRPr="00C703F5">
        <w:rPr>
          <w:rFonts w:ascii="Arial" w:hAnsi="Arial" w:cs="Arial"/>
        </w:rPr>
        <w:t>dLFC</w:t>
      </w:r>
      <w:proofErr w:type="spellEnd"/>
      <w:r w:rsidR="00C703F5" w:rsidRPr="00C703F5">
        <w:rPr>
          <w:rFonts w:ascii="Arial" w:hAnsi="Arial" w:cs="Arial"/>
        </w:rPr>
        <w:t xml:space="preserve"> distribution.</w:t>
      </w:r>
    </w:p>
    <w:p w14:paraId="5519587A" w14:textId="51213458" w:rsidR="00F97EBC" w:rsidRDefault="006472A5" w:rsidP="00D45235">
      <w:pPr>
        <w:spacing w:line="360" w:lineRule="auto"/>
        <w:rPr>
          <w:rFonts w:ascii="Arial" w:hAnsi="Arial" w:cs="Arial"/>
        </w:rPr>
      </w:pPr>
      <w:r w:rsidRPr="006472A5">
        <w:rPr>
          <w:rFonts w:ascii="Arial" w:hAnsi="Arial" w:cs="Arial"/>
        </w:rPr>
        <w:t xml:space="preserve">Initial quality control procedures for gene-level LFC and </w:t>
      </w:r>
      <w:proofErr w:type="spellStart"/>
      <w:r w:rsidRPr="006472A5">
        <w:rPr>
          <w:rFonts w:ascii="Arial" w:hAnsi="Arial" w:cs="Arial"/>
        </w:rPr>
        <w:t>dLFC</w:t>
      </w:r>
      <w:proofErr w:type="spellEnd"/>
      <w:r w:rsidRPr="006472A5">
        <w:rPr>
          <w:rFonts w:ascii="Arial" w:hAnsi="Arial" w:cs="Arial"/>
        </w:rPr>
        <w:t xml:space="preserve"> </w:t>
      </w:r>
      <w:r w:rsidR="00914677">
        <w:rPr>
          <w:rFonts w:ascii="Arial" w:hAnsi="Arial" w:cs="Arial"/>
        </w:rPr>
        <w:t>were</w:t>
      </w:r>
      <w:r w:rsidRPr="006472A5">
        <w:rPr>
          <w:rFonts w:ascii="Arial" w:hAnsi="Arial" w:cs="Arial"/>
        </w:rPr>
        <w:t xml:space="preserve"> identical to those described in </w:t>
      </w:r>
      <w:r w:rsidR="00EE61FD">
        <w:rPr>
          <w:rFonts w:ascii="Arial" w:hAnsi="Arial" w:cs="Arial"/>
        </w:rPr>
        <w:t>M</w:t>
      </w:r>
      <w:r w:rsidRPr="006472A5">
        <w:rPr>
          <w:rFonts w:ascii="Arial" w:hAnsi="Arial" w:cs="Arial"/>
        </w:rPr>
        <w:t xml:space="preserve">ethods. Positive controls </w:t>
      </w:r>
      <w:r w:rsidR="008D0967">
        <w:rPr>
          <w:rFonts w:ascii="Arial" w:hAnsi="Arial" w:cs="Arial"/>
        </w:rPr>
        <w:t xml:space="preserve">(GI) </w:t>
      </w:r>
      <w:r w:rsidR="004D141B">
        <w:rPr>
          <w:rFonts w:ascii="Arial" w:hAnsi="Arial" w:cs="Arial"/>
        </w:rPr>
        <w:t>were</w:t>
      </w:r>
      <w:r w:rsidRPr="006472A5">
        <w:rPr>
          <w:rFonts w:ascii="Arial" w:hAnsi="Arial" w:cs="Arial"/>
        </w:rPr>
        <w:t xml:space="preserve"> defined based on the 13-paralog synthetic lethal gold standards from </w:t>
      </w:r>
      <w:proofErr w:type="spellStart"/>
      <w:r w:rsidRPr="006472A5">
        <w:rPr>
          <w:rFonts w:ascii="Arial" w:hAnsi="Arial" w:cs="Arial"/>
        </w:rPr>
        <w:t>Esmaeili</w:t>
      </w:r>
      <w:proofErr w:type="spellEnd"/>
      <w:r w:rsidRPr="006472A5">
        <w:rPr>
          <w:rFonts w:ascii="Arial" w:hAnsi="Arial" w:cs="Arial"/>
        </w:rPr>
        <w:t xml:space="preserve"> </w:t>
      </w:r>
      <w:proofErr w:type="spellStart"/>
      <w:r w:rsidRPr="006472A5">
        <w:rPr>
          <w:rFonts w:ascii="Arial" w:hAnsi="Arial" w:cs="Arial"/>
        </w:rPr>
        <w:t>Anvar</w:t>
      </w:r>
      <w:proofErr w:type="spellEnd"/>
      <w:r w:rsidRPr="006472A5">
        <w:rPr>
          <w:rFonts w:ascii="Arial" w:hAnsi="Arial" w:cs="Arial"/>
        </w:rPr>
        <w:t xml:space="preserve"> et al. while negative controls </w:t>
      </w:r>
      <w:r w:rsidR="008D0967">
        <w:rPr>
          <w:rFonts w:ascii="Arial" w:hAnsi="Arial" w:cs="Arial"/>
        </w:rPr>
        <w:t>(</w:t>
      </w:r>
      <w:proofErr w:type="spellStart"/>
      <w:r w:rsidR="008D0967">
        <w:rPr>
          <w:rFonts w:ascii="Arial" w:hAnsi="Arial" w:cs="Arial"/>
        </w:rPr>
        <w:t>noGI</w:t>
      </w:r>
      <w:proofErr w:type="spellEnd"/>
      <w:r w:rsidR="008D0967">
        <w:rPr>
          <w:rFonts w:ascii="Arial" w:hAnsi="Arial" w:cs="Arial"/>
        </w:rPr>
        <w:t xml:space="preserve">) </w:t>
      </w:r>
      <w:r w:rsidR="004D141B">
        <w:rPr>
          <w:rFonts w:ascii="Arial" w:hAnsi="Arial" w:cs="Arial"/>
        </w:rPr>
        <w:t>were</w:t>
      </w:r>
      <w:r w:rsidRPr="006472A5">
        <w:rPr>
          <w:rFonts w:ascii="Arial" w:hAnsi="Arial" w:cs="Arial"/>
        </w:rPr>
        <w:t xml:space="preserve"> </w:t>
      </w:r>
      <w:r w:rsidR="001E1F52">
        <w:rPr>
          <w:rFonts w:ascii="Arial" w:hAnsi="Arial" w:cs="Arial"/>
        </w:rPr>
        <w:t>derived from</w:t>
      </w:r>
      <w:r w:rsidR="002E4BD8">
        <w:rPr>
          <w:rFonts w:ascii="Arial" w:hAnsi="Arial" w:cs="Arial"/>
        </w:rPr>
        <w:t xml:space="preserve"> the</w:t>
      </w:r>
      <w:r w:rsidR="002E0808">
        <w:rPr>
          <w:rFonts w:ascii="Arial" w:hAnsi="Arial" w:cs="Arial"/>
        </w:rPr>
        <w:t xml:space="preserve"> null model des</w:t>
      </w:r>
      <w:r w:rsidR="00825062">
        <w:rPr>
          <w:rFonts w:ascii="Arial" w:hAnsi="Arial" w:cs="Arial"/>
        </w:rPr>
        <w:t>cribed in Methods</w:t>
      </w:r>
      <w:r w:rsidR="008D0967">
        <w:rPr>
          <w:rFonts w:ascii="Arial" w:hAnsi="Arial" w:cs="Arial"/>
        </w:rPr>
        <w:t xml:space="preserve"> </w:t>
      </w:r>
      <w:r w:rsidRPr="006472A5">
        <w:rPr>
          <w:rFonts w:ascii="Arial" w:hAnsi="Arial" w:cs="Arial"/>
        </w:rPr>
        <w:t>(Figure A).</w:t>
      </w:r>
      <w:r>
        <w:rPr>
          <w:rFonts w:ascii="Arial" w:hAnsi="Arial" w:cs="Arial"/>
        </w:rPr>
        <w:t xml:space="preserve"> </w:t>
      </w:r>
    </w:p>
    <w:p w14:paraId="124F9092" w14:textId="6AC02AFC" w:rsidR="006F34CB" w:rsidRDefault="0010777F" w:rsidP="00D45235">
      <w:pPr>
        <w:spacing w:line="360" w:lineRule="auto"/>
        <w:rPr>
          <w:rFonts w:ascii="Arial" w:hAnsi="Arial" w:cs="Arial"/>
        </w:rPr>
      </w:pPr>
      <w:r w:rsidRPr="0010777F">
        <w:rPr>
          <w:rFonts w:ascii="Arial" w:hAnsi="Arial" w:cs="Arial"/>
        </w:rPr>
        <w:t xml:space="preserve">The </w:t>
      </w:r>
      <w:proofErr w:type="spellStart"/>
      <w:r w:rsidRPr="0010777F">
        <w:rPr>
          <w:rFonts w:ascii="Arial" w:hAnsi="Arial" w:cs="Arial"/>
        </w:rPr>
        <w:t>dLFC</w:t>
      </w:r>
      <w:proofErr w:type="spellEnd"/>
      <w:r w:rsidRPr="0010777F">
        <w:rPr>
          <w:rFonts w:ascii="Arial" w:hAnsi="Arial" w:cs="Arial"/>
        </w:rPr>
        <w:t xml:space="preserve"> distribution</w:t>
      </w:r>
      <w:r w:rsidR="00F97EBC">
        <w:rPr>
          <w:rFonts w:ascii="Arial" w:hAnsi="Arial" w:cs="Arial"/>
        </w:rPr>
        <w:t>s</w:t>
      </w:r>
      <w:r w:rsidRPr="0010777F">
        <w:rPr>
          <w:rFonts w:ascii="Arial" w:hAnsi="Arial" w:cs="Arial"/>
        </w:rPr>
        <w:t xml:space="preserve"> of positive </w:t>
      </w:r>
      <w:r w:rsidR="008608CF">
        <w:rPr>
          <w:rFonts w:ascii="Arial" w:hAnsi="Arial" w:cs="Arial"/>
        </w:rPr>
        <w:t xml:space="preserve">(GI) </w:t>
      </w:r>
      <w:r w:rsidRPr="0010777F">
        <w:rPr>
          <w:rFonts w:ascii="Arial" w:hAnsi="Arial" w:cs="Arial"/>
        </w:rPr>
        <w:t xml:space="preserve">and negative </w:t>
      </w:r>
      <w:r w:rsidR="008608CF">
        <w:rPr>
          <w:rFonts w:ascii="Arial" w:hAnsi="Arial" w:cs="Arial"/>
        </w:rPr>
        <w:t>(</w:t>
      </w:r>
      <w:proofErr w:type="spellStart"/>
      <w:r w:rsidR="008608CF">
        <w:rPr>
          <w:rFonts w:ascii="Arial" w:hAnsi="Arial" w:cs="Arial"/>
        </w:rPr>
        <w:t>noGI</w:t>
      </w:r>
      <w:proofErr w:type="spellEnd"/>
      <w:r w:rsidR="008608CF">
        <w:rPr>
          <w:rFonts w:ascii="Arial" w:hAnsi="Arial" w:cs="Arial"/>
        </w:rPr>
        <w:t xml:space="preserve">) </w:t>
      </w:r>
      <w:r w:rsidRPr="0010777F">
        <w:rPr>
          <w:rFonts w:ascii="Arial" w:hAnsi="Arial" w:cs="Arial"/>
        </w:rPr>
        <w:t xml:space="preserve">control gene pairs </w:t>
      </w:r>
      <w:r w:rsidR="008608CF">
        <w:rPr>
          <w:rFonts w:ascii="Arial" w:hAnsi="Arial" w:cs="Arial"/>
        </w:rPr>
        <w:t>served</w:t>
      </w:r>
      <w:r w:rsidRPr="0010777F">
        <w:rPr>
          <w:rFonts w:ascii="Arial" w:hAnsi="Arial" w:cs="Arial"/>
        </w:rPr>
        <w:t xml:space="preserve"> as reference standards to label the deviation between having </w:t>
      </w:r>
      <w:r w:rsidR="008608CF">
        <w:rPr>
          <w:rFonts w:ascii="Arial" w:hAnsi="Arial" w:cs="Arial"/>
        </w:rPr>
        <w:t>GI</w:t>
      </w:r>
      <w:r w:rsidRPr="0010777F">
        <w:rPr>
          <w:rFonts w:ascii="Arial" w:hAnsi="Arial" w:cs="Arial"/>
        </w:rPr>
        <w:t xml:space="preserve"> or not.</w:t>
      </w:r>
      <w:r w:rsidR="006918B1">
        <w:rPr>
          <w:rFonts w:ascii="Arial" w:hAnsi="Arial" w:cs="Arial"/>
        </w:rPr>
        <w:t xml:space="preserve"> </w:t>
      </w:r>
      <w:r w:rsidR="00E52300" w:rsidRPr="00E52300">
        <w:rPr>
          <w:rFonts w:ascii="Arial" w:hAnsi="Arial" w:cs="Arial"/>
        </w:rPr>
        <w:t xml:space="preserve">Kernel density estimation </w:t>
      </w:r>
      <w:r w:rsidR="00E52300">
        <w:rPr>
          <w:rFonts w:ascii="Arial" w:hAnsi="Arial" w:cs="Arial"/>
        </w:rPr>
        <w:t>was</w:t>
      </w:r>
      <w:r w:rsidR="00E52300" w:rsidRPr="00E52300">
        <w:rPr>
          <w:rFonts w:ascii="Arial" w:hAnsi="Arial" w:cs="Arial"/>
        </w:rPr>
        <w:t xml:space="preserve"> employed to model these distributions in the training sets. </w:t>
      </w:r>
      <w:r w:rsidR="00E52300">
        <w:rPr>
          <w:rFonts w:ascii="Arial" w:hAnsi="Arial" w:cs="Arial"/>
        </w:rPr>
        <w:t>F</w:t>
      </w:r>
      <w:r w:rsidR="006918B1" w:rsidRPr="006918B1">
        <w:rPr>
          <w:rFonts w:ascii="Arial" w:hAnsi="Arial" w:cs="Arial"/>
        </w:rPr>
        <w:t xml:space="preserve">or each test pair, </w:t>
      </w:r>
      <w:r w:rsidR="00500CC1">
        <w:rPr>
          <w:rFonts w:ascii="Arial" w:hAnsi="Arial" w:cs="Arial"/>
        </w:rPr>
        <w:t xml:space="preserve">we </w:t>
      </w:r>
      <w:r w:rsidR="006918B1" w:rsidRPr="006918B1">
        <w:rPr>
          <w:rFonts w:ascii="Arial" w:hAnsi="Arial" w:cs="Arial"/>
        </w:rPr>
        <w:t>calculate</w:t>
      </w:r>
      <w:r w:rsidR="00500CC1">
        <w:rPr>
          <w:rFonts w:ascii="Arial" w:hAnsi="Arial" w:cs="Arial"/>
        </w:rPr>
        <w:t>d</w:t>
      </w:r>
      <w:r w:rsidR="006918B1" w:rsidRPr="006918B1">
        <w:rPr>
          <w:rFonts w:ascii="Arial" w:hAnsi="Arial" w:cs="Arial"/>
        </w:rPr>
        <w:t xml:space="preserve"> the likelihood that the observed </w:t>
      </w:r>
      <w:proofErr w:type="spellStart"/>
      <w:r w:rsidR="006918B1" w:rsidRPr="006918B1">
        <w:rPr>
          <w:rFonts w:ascii="Arial" w:hAnsi="Arial" w:cs="Arial"/>
        </w:rPr>
        <w:t>dLFC</w:t>
      </w:r>
      <w:proofErr w:type="spellEnd"/>
      <w:r w:rsidR="006918B1" w:rsidRPr="006918B1">
        <w:rPr>
          <w:rFonts w:ascii="Arial" w:hAnsi="Arial" w:cs="Arial"/>
        </w:rPr>
        <w:t xml:space="preserve"> </w:t>
      </w:r>
      <w:r w:rsidR="00500CC1">
        <w:rPr>
          <w:rFonts w:ascii="Arial" w:hAnsi="Arial" w:cs="Arial"/>
        </w:rPr>
        <w:t>originated from</w:t>
      </w:r>
      <w:r w:rsidR="006918B1" w:rsidRPr="006918B1">
        <w:rPr>
          <w:rFonts w:ascii="Arial" w:hAnsi="Arial" w:cs="Arial"/>
        </w:rPr>
        <w:t xml:space="preserve"> either the </w:t>
      </w:r>
      <w:r w:rsidR="00D24C60">
        <w:rPr>
          <w:rFonts w:ascii="Arial" w:hAnsi="Arial" w:cs="Arial"/>
        </w:rPr>
        <w:t>GI</w:t>
      </w:r>
      <w:r w:rsidR="006918B1" w:rsidRPr="006918B1">
        <w:rPr>
          <w:rFonts w:ascii="Arial" w:hAnsi="Arial" w:cs="Arial"/>
        </w:rPr>
        <w:t xml:space="preserve"> (red curve) or </w:t>
      </w:r>
      <w:proofErr w:type="spellStart"/>
      <w:r w:rsidR="006918B1" w:rsidRPr="006918B1">
        <w:rPr>
          <w:rFonts w:ascii="Arial" w:hAnsi="Arial" w:cs="Arial"/>
        </w:rPr>
        <w:t>no</w:t>
      </w:r>
      <w:r w:rsidR="00D24C60">
        <w:rPr>
          <w:rFonts w:ascii="Arial" w:hAnsi="Arial" w:cs="Arial"/>
        </w:rPr>
        <w:t>GI</w:t>
      </w:r>
      <w:proofErr w:type="spellEnd"/>
      <w:r w:rsidR="006918B1" w:rsidRPr="006918B1">
        <w:rPr>
          <w:rFonts w:ascii="Arial" w:hAnsi="Arial" w:cs="Arial"/>
        </w:rPr>
        <w:t xml:space="preserve"> (blue curve) training distributions (Figure </w:t>
      </w:r>
      <w:r w:rsidR="00056C2B">
        <w:rPr>
          <w:rFonts w:ascii="Arial" w:hAnsi="Arial" w:cs="Arial"/>
        </w:rPr>
        <w:t>A</w:t>
      </w:r>
      <w:r w:rsidR="006918B1" w:rsidRPr="006918B1">
        <w:rPr>
          <w:rFonts w:ascii="Arial" w:hAnsi="Arial" w:cs="Arial"/>
        </w:rPr>
        <w:t xml:space="preserve">). </w:t>
      </w:r>
      <w:r w:rsidR="005D23F2" w:rsidRPr="005D23F2">
        <w:rPr>
          <w:rFonts w:ascii="Arial" w:hAnsi="Arial" w:cs="Arial"/>
        </w:rPr>
        <w:t>Using a Bayesian supervised learning approach, we calculate</w:t>
      </w:r>
      <w:r w:rsidR="007E51AA">
        <w:rPr>
          <w:rFonts w:ascii="Arial" w:hAnsi="Arial" w:cs="Arial"/>
        </w:rPr>
        <w:t>d</w:t>
      </w:r>
      <w:r w:rsidR="005D23F2" w:rsidRPr="005D23F2">
        <w:rPr>
          <w:rFonts w:ascii="Arial" w:hAnsi="Arial" w:cs="Arial"/>
        </w:rPr>
        <w:t xml:space="preserve"> a Bayes Factor (BF) score for each gene pair:</w:t>
      </w:r>
    </w:p>
    <w:p w14:paraId="265C4E88" w14:textId="4F3A4FE4" w:rsidR="006F34CB" w:rsidRDefault="00645EE4" w:rsidP="00D45235">
      <w:pPr>
        <w:spacing w:line="360" w:lineRule="auto"/>
        <w:rPr>
          <w:rFonts w:ascii="Arial" w:hAnsi="Arial" w:cs="Arial"/>
        </w:rPr>
      </w:pPr>
      <m:oMathPara>
        <m:oMath>
          <m:r>
            <w:rPr>
              <w:rFonts w:ascii="Cambria Math" w:hAnsi="Cambria Math" w:cs="Arial"/>
            </w:rPr>
            <m:t xml:space="preserve">BF for GI= </m:t>
          </m:r>
          <m:f>
            <m:fPr>
              <m:ctrlPr>
                <w:rPr>
                  <w:rFonts w:ascii="Cambria Math" w:hAnsi="Cambria Math" w:cs="Arial"/>
                  <w:i/>
                </w:rPr>
              </m:ctrlPr>
            </m:fPr>
            <m:num>
              <m:r>
                <m:rPr>
                  <m:sty m:val="p"/>
                </m:rPr>
                <w:rPr>
                  <w:rFonts w:ascii="Cambria Math" w:hAnsi="Cambria Math" w:cs="Arial"/>
                </w:rPr>
                <m:t>Pr⁡</m:t>
              </m:r>
              <m:r>
                <w:rPr>
                  <w:rFonts w:ascii="Cambria Math" w:hAnsi="Cambria Math" w:cs="Arial"/>
                </w:rPr>
                <m:t>(D|</m:t>
              </m:r>
              <m:sSub>
                <m:sSubPr>
                  <m:ctrlPr>
                    <w:rPr>
                      <w:rFonts w:ascii="Cambria Math" w:hAnsi="Cambria Math" w:cs="Arial"/>
                      <w:i/>
                    </w:rPr>
                  </m:ctrlPr>
                </m:sSubPr>
                <m:e>
                  <m:r>
                    <w:rPr>
                      <w:rFonts w:ascii="Cambria Math" w:hAnsi="Cambria Math" w:cs="Arial"/>
                    </w:rPr>
                    <m:t>k</m:t>
                  </m:r>
                </m:e>
                <m:sub>
                  <m:r>
                    <w:rPr>
                      <w:rFonts w:ascii="Cambria Math" w:hAnsi="Cambria Math" w:cs="Arial"/>
                    </w:rPr>
                    <m:t>GI</m:t>
                  </m:r>
                </m:sub>
              </m:sSub>
              <m:r>
                <w:rPr>
                  <w:rFonts w:ascii="Cambria Math" w:hAnsi="Cambria Math" w:cs="Arial"/>
                </w:rPr>
                <m:t>)</m:t>
              </m:r>
            </m:num>
            <m:den>
              <m:r>
                <m:rPr>
                  <m:sty m:val="p"/>
                </m:rPr>
                <w:rPr>
                  <w:rFonts w:ascii="Cambria Math" w:hAnsi="Cambria Math" w:cs="Arial"/>
                </w:rPr>
                <m:t>Pr⁡</m:t>
              </m:r>
              <m:r>
                <w:rPr>
                  <w:rFonts w:ascii="Cambria Math" w:hAnsi="Cambria Math" w:cs="Arial"/>
                </w:rPr>
                <m:t>(D|</m:t>
              </m:r>
              <m:sSub>
                <m:sSubPr>
                  <m:ctrlPr>
                    <w:rPr>
                      <w:rFonts w:ascii="Cambria Math" w:hAnsi="Cambria Math" w:cs="Arial"/>
                      <w:i/>
                    </w:rPr>
                  </m:ctrlPr>
                </m:sSubPr>
                <m:e>
                  <m:r>
                    <w:rPr>
                      <w:rFonts w:ascii="Cambria Math" w:hAnsi="Cambria Math" w:cs="Arial"/>
                    </w:rPr>
                    <m:t>k</m:t>
                  </m:r>
                </m:e>
                <m:sub>
                  <m:r>
                    <w:rPr>
                      <w:rFonts w:ascii="Cambria Math" w:hAnsi="Cambria Math" w:cs="Arial"/>
                    </w:rPr>
                    <m:t>noGI</m:t>
                  </m:r>
                </m:sub>
              </m:sSub>
              <m:r>
                <w:rPr>
                  <w:rFonts w:ascii="Cambria Math" w:hAnsi="Cambria Math" w:cs="Arial"/>
                </w:rPr>
                <m:t>)</m:t>
              </m:r>
            </m:den>
          </m:f>
          <m:r>
            <w:rPr>
              <w:rFonts w:ascii="Cambria Math" w:hAnsi="Cambria Math" w:cs="Arial"/>
            </w:rPr>
            <m:t>=</m:t>
          </m:r>
          <m:f>
            <m:fPr>
              <m:ctrlPr>
                <w:rPr>
                  <w:rFonts w:ascii="Cambria Math" w:hAnsi="Cambria Math" w:cs="Arial"/>
                  <w:i/>
                </w:rPr>
              </m:ctrlPr>
            </m:fPr>
            <m:num>
              <m:nary>
                <m:naryPr>
                  <m:limLoc m:val="undOvr"/>
                  <m:subHide m:val="1"/>
                  <m:supHide m:val="1"/>
                  <m:ctrlPr>
                    <w:rPr>
                      <w:rFonts w:ascii="Cambria Math" w:hAnsi="Cambria Math" w:cs="Arial"/>
                      <w:i/>
                    </w:rPr>
                  </m:ctrlPr>
                </m:naryPr>
                <m:sub/>
                <m:sup/>
                <m:e>
                  <m:r>
                    <m:rPr>
                      <m:sty m:val="p"/>
                    </m:rPr>
                    <w:rPr>
                      <w:rFonts w:ascii="Cambria Math" w:hAnsi="Cambria Math" w:cs="Arial"/>
                    </w:rPr>
                    <m:t>Pr⁡</m:t>
                  </m:r>
                  <m:r>
                    <w:rPr>
                      <w:rFonts w:ascii="Cambria Math" w:hAnsi="Cambria Math" w:cs="Arial"/>
                    </w:rPr>
                    <m:t>(D|k</m:t>
                  </m:r>
                </m:e>
              </m:nary>
              <m:r>
                <w:rPr>
                  <w:rFonts w:ascii="Cambria Math" w:hAnsi="Cambria Math" w:cs="Arial"/>
                </w:rPr>
                <m:t>, GI)</m:t>
              </m:r>
              <m:func>
                <m:funcPr>
                  <m:ctrlPr>
                    <w:rPr>
                      <w:rFonts w:ascii="Cambria Math" w:hAnsi="Cambria Math" w:cs="Arial"/>
                    </w:rPr>
                  </m:ctrlPr>
                </m:funcPr>
                <m:fName>
                  <m:r>
                    <m:rPr>
                      <m:sty m:val="p"/>
                    </m:rPr>
                    <w:rPr>
                      <w:rFonts w:ascii="Cambria Math" w:hAnsi="Cambria Math" w:cs="Arial"/>
                    </w:rPr>
                    <m:t>Pr</m:t>
                  </m:r>
                </m:fName>
                <m:e>
                  <m:d>
                    <m:dPr>
                      <m:ctrlPr>
                        <w:rPr>
                          <w:rFonts w:ascii="Cambria Math" w:hAnsi="Cambria Math" w:cs="Arial"/>
                          <w:i/>
                        </w:rPr>
                      </m:ctrlPr>
                    </m:dPr>
                    <m:e>
                      <m:r>
                        <w:rPr>
                          <w:rFonts w:ascii="Cambria Math" w:hAnsi="Cambria Math" w:cs="Arial"/>
                        </w:rPr>
                        <m:t>k</m:t>
                      </m:r>
                    </m:e>
                    <m:e>
                      <m:r>
                        <w:rPr>
                          <w:rFonts w:ascii="Cambria Math" w:hAnsi="Cambria Math" w:cs="Arial"/>
                        </w:rPr>
                        <m:t>GI</m:t>
                      </m:r>
                    </m:e>
                  </m:d>
                </m:e>
              </m:func>
              <m:r>
                <w:rPr>
                  <w:rFonts w:ascii="Cambria Math" w:hAnsi="Cambria Math" w:cs="Arial"/>
                </w:rPr>
                <m:t>dk</m:t>
              </m:r>
            </m:num>
            <m:den>
              <m:nary>
                <m:naryPr>
                  <m:limLoc m:val="undOvr"/>
                  <m:subHide m:val="1"/>
                  <m:supHide m:val="1"/>
                  <m:ctrlPr>
                    <w:rPr>
                      <w:rFonts w:ascii="Cambria Math" w:hAnsi="Cambria Math" w:cs="Arial"/>
                      <w:i/>
                    </w:rPr>
                  </m:ctrlPr>
                </m:naryPr>
                <m:sub/>
                <m:sup/>
                <m:e>
                  <m:func>
                    <m:funcPr>
                      <m:ctrlPr>
                        <w:rPr>
                          <w:rFonts w:ascii="Cambria Math" w:hAnsi="Cambria Math" w:cs="Arial"/>
                        </w:rPr>
                      </m:ctrlPr>
                    </m:funcPr>
                    <m:fName>
                      <m:r>
                        <m:rPr>
                          <m:sty m:val="p"/>
                        </m:rPr>
                        <w:rPr>
                          <w:rFonts w:ascii="Cambria Math" w:hAnsi="Cambria Math" w:cs="Arial"/>
                        </w:rPr>
                        <m:t>Pr</m:t>
                      </m:r>
                    </m:fName>
                    <m:e>
                      <m:d>
                        <m:dPr>
                          <m:ctrlPr>
                            <w:rPr>
                              <w:rFonts w:ascii="Cambria Math" w:hAnsi="Cambria Math" w:cs="Arial"/>
                              <w:i/>
                            </w:rPr>
                          </m:ctrlPr>
                        </m:dPr>
                        <m:e>
                          <m:r>
                            <w:rPr>
                              <w:rFonts w:ascii="Cambria Math" w:hAnsi="Cambria Math" w:cs="Arial"/>
                            </w:rPr>
                            <m:t>D</m:t>
                          </m:r>
                        </m:e>
                        <m:e>
                          <m:r>
                            <w:rPr>
                              <w:rFonts w:ascii="Cambria Math" w:hAnsi="Cambria Math" w:cs="Arial"/>
                            </w:rPr>
                            <m:t>k, noGI</m:t>
                          </m:r>
                        </m:e>
                      </m:d>
                    </m:e>
                  </m:func>
                  <m:r>
                    <m:rPr>
                      <m:sty m:val="p"/>
                    </m:rPr>
                    <w:rPr>
                      <w:rFonts w:ascii="Cambria Math" w:hAnsi="Cambria Math" w:cs="Arial"/>
                    </w:rPr>
                    <m:t>Pr⁡</m:t>
                  </m:r>
                  <m:r>
                    <w:rPr>
                      <w:rFonts w:ascii="Cambria Math" w:hAnsi="Cambria Math" w:cs="Arial"/>
                    </w:rPr>
                    <m:t>(k|noGI</m:t>
                  </m:r>
                </m:e>
              </m:nary>
              <m:r>
                <w:rPr>
                  <w:rFonts w:ascii="Cambria Math" w:hAnsi="Cambria Math" w:cs="Arial"/>
                </w:rPr>
                <m:t>)dk</m:t>
              </m:r>
            </m:den>
          </m:f>
        </m:oMath>
      </m:oMathPara>
    </w:p>
    <w:p w14:paraId="75B56CBA" w14:textId="30D4A1DB" w:rsidR="00260E3B" w:rsidRDefault="005D23F2" w:rsidP="00D45235">
      <w:pPr>
        <w:spacing w:line="360" w:lineRule="auto"/>
        <w:rPr>
          <w:rFonts w:ascii="Arial" w:hAnsi="Arial" w:cs="Arial"/>
        </w:rPr>
      </w:pPr>
      <w:r>
        <w:rPr>
          <w:rFonts w:ascii="Arial" w:hAnsi="Arial" w:cs="Arial"/>
        </w:rPr>
        <w:t>w</w:t>
      </w:r>
      <w:r w:rsidR="006918B1" w:rsidRPr="006918B1">
        <w:rPr>
          <w:rFonts w:ascii="Arial" w:hAnsi="Arial" w:cs="Arial"/>
        </w:rPr>
        <w:t xml:space="preserve">here D </w:t>
      </w:r>
      <w:r w:rsidR="00B87A5A">
        <w:rPr>
          <w:rFonts w:ascii="Arial" w:hAnsi="Arial" w:cs="Arial"/>
        </w:rPr>
        <w:t>represents</w:t>
      </w:r>
      <w:r w:rsidR="006918B1" w:rsidRPr="006918B1">
        <w:rPr>
          <w:rFonts w:ascii="Arial" w:hAnsi="Arial" w:cs="Arial"/>
        </w:rPr>
        <w:t xml:space="preserve"> the observed </w:t>
      </w:r>
      <w:proofErr w:type="spellStart"/>
      <w:r w:rsidR="006918B1" w:rsidRPr="006918B1">
        <w:rPr>
          <w:rFonts w:ascii="Arial" w:hAnsi="Arial" w:cs="Arial"/>
        </w:rPr>
        <w:t>dLFC</w:t>
      </w:r>
      <w:proofErr w:type="spellEnd"/>
      <w:r w:rsidR="006918B1" w:rsidRPr="006918B1">
        <w:rPr>
          <w:rFonts w:ascii="Arial" w:hAnsi="Arial" w:cs="Arial"/>
        </w:rPr>
        <w:t xml:space="preserve"> for a given gene pair and k </w:t>
      </w:r>
      <w:r w:rsidR="00B87A5A">
        <w:rPr>
          <w:rFonts w:ascii="Arial" w:hAnsi="Arial" w:cs="Arial"/>
        </w:rPr>
        <w:t>denotes</w:t>
      </w:r>
      <w:r w:rsidR="006918B1" w:rsidRPr="006918B1">
        <w:rPr>
          <w:rFonts w:ascii="Arial" w:hAnsi="Arial" w:cs="Arial"/>
        </w:rPr>
        <w:t xml:space="preserve"> the </w:t>
      </w:r>
      <w:proofErr w:type="spellStart"/>
      <w:r w:rsidR="006918B1" w:rsidRPr="006918B1">
        <w:rPr>
          <w:rFonts w:ascii="Arial" w:hAnsi="Arial" w:cs="Arial"/>
        </w:rPr>
        <w:t>dLFC</w:t>
      </w:r>
      <w:proofErr w:type="spellEnd"/>
      <w:r w:rsidR="006918B1" w:rsidRPr="006918B1">
        <w:rPr>
          <w:rFonts w:ascii="Arial" w:hAnsi="Arial" w:cs="Arial"/>
        </w:rPr>
        <w:t xml:space="preserve"> distribution </w:t>
      </w:r>
      <w:r w:rsidR="00B87A5A">
        <w:rPr>
          <w:rFonts w:ascii="Arial" w:hAnsi="Arial" w:cs="Arial"/>
        </w:rPr>
        <w:t>in</w:t>
      </w:r>
      <w:r w:rsidR="006918B1" w:rsidRPr="006918B1">
        <w:rPr>
          <w:rFonts w:ascii="Arial" w:hAnsi="Arial" w:cs="Arial"/>
        </w:rPr>
        <w:t xml:space="preserve"> the training set. A bootstrap resampling approach </w:t>
      </w:r>
      <w:r w:rsidR="001F1C6F">
        <w:rPr>
          <w:rFonts w:ascii="Arial" w:hAnsi="Arial" w:cs="Arial"/>
        </w:rPr>
        <w:t>was</w:t>
      </w:r>
      <w:r w:rsidR="006918B1" w:rsidRPr="006918B1">
        <w:rPr>
          <w:rFonts w:ascii="Arial" w:hAnsi="Arial" w:cs="Arial"/>
        </w:rPr>
        <w:t xml:space="preserve"> used to randomly select gene pairs as the training sets. Considering the small sample size of the GI (n=13) control groups, </w:t>
      </w:r>
      <w:r w:rsidR="007C7D04">
        <w:rPr>
          <w:rFonts w:ascii="Arial" w:hAnsi="Arial" w:cs="Arial"/>
        </w:rPr>
        <w:t>w</w:t>
      </w:r>
      <w:r w:rsidR="007C7D04" w:rsidRPr="007C7D04">
        <w:rPr>
          <w:rFonts w:ascii="Arial" w:hAnsi="Arial" w:cs="Arial"/>
        </w:rPr>
        <w:t>e perform</w:t>
      </w:r>
      <w:r w:rsidR="001F1C6F">
        <w:rPr>
          <w:rFonts w:ascii="Arial" w:hAnsi="Arial" w:cs="Arial"/>
        </w:rPr>
        <w:t>ed</w:t>
      </w:r>
      <w:r w:rsidR="007C7D04" w:rsidRPr="007C7D04">
        <w:rPr>
          <w:rFonts w:ascii="Arial" w:hAnsi="Arial" w:cs="Arial"/>
        </w:rPr>
        <w:t xml:space="preserve"> under-sampling for the no-GI group to balance the sample sizes. </w:t>
      </w:r>
      <w:r w:rsidR="006918B1" w:rsidRPr="006918B1">
        <w:rPr>
          <w:rFonts w:ascii="Arial" w:hAnsi="Arial" w:cs="Arial"/>
        </w:rPr>
        <w:t xml:space="preserve">During each iteration, the k distributions </w:t>
      </w:r>
      <w:r w:rsidR="00242543">
        <w:rPr>
          <w:rFonts w:ascii="Arial" w:hAnsi="Arial" w:cs="Arial"/>
        </w:rPr>
        <w:t>were</w:t>
      </w:r>
      <w:r w:rsidR="006918B1" w:rsidRPr="006918B1">
        <w:rPr>
          <w:rFonts w:ascii="Arial" w:hAnsi="Arial" w:cs="Arial"/>
        </w:rPr>
        <w:t xml:space="preserve"> computed, and a BF for GI </w:t>
      </w:r>
      <w:r w:rsidR="00242543">
        <w:rPr>
          <w:rFonts w:ascii="Arial" w:hAnsi="Arial" w:cs="Arial"/>
        </w:rPr>
        <w:t>was</w:t>
      </w:r>
      <w:r w:rsidR="006918B1" w:rsidRPr="006918B1">
        <w:rPr>
          <w:rFonts w:ascii="Arial" w:hAnsi="Arial" w:cs="Arial"/>
        </w:rPr>
        <w:t xml:space="preserve"> calculated for each gene pair in the test set. The final score </w:t>
      </w:r>
      <w:r w:rsidR="00B95091">
        <w:rPr>
          <w:rFonts w:ascii="Arial" w:hAnsi="Arial" w:cs="Arial"/>
        </w:rPr>
        <w:t>is</w:t>
      </w:r>
      <w:r w:rsidR="006918B1" w:rsidRPr="006918B1">
        <w:rPr>
          <w:rFonts w:ascii="Arial" w:hAnsi="Arial" w:cs="Arial"/>
        </w:rPr>
        <w:t xml:space="preserve"> the mean BF </w:t>
      </w:r>
      <w:r w:rsidR="00B95091">
        <w:rPr>
          <w:rFonts w:ascii="Arial" w:hAnsi="Arial" w:cs="Arial"/>
        </w:rPr>
        <w:t>across</w:t>
      </w:r>
      <w:r w:rsidR="006918B1" w:rsidRPr="006918B1">
        <w:rPr>
          <w:rFonts w:ascii="Arial" w:hAnsi="Arial" w:cs="Arial"/>
        </w:rPr>
        <w:t xml:space="preserve"> all iterations.  </w:t>
      </w:r>
    </w:p>
    <w:p w14:paraId="32E8445C" w14:textId="6562FCD3" w:rsidR="002B5C62" w:rsidRDefault="002B5C62" w:rsidP="00D45235">
      <w:pPr>
        <w:spacing w:line="360" w:lineRule="auto"/>
        <w:rPr>
          <w:rFonts w:ascii="Arial" w:hAnsi="Arial" w:cs="Arial"/>
        </w:rPr>
      </w:pPr>
      <w:r w:rsidRPr="002B5C62">
        <w:rPr>
          <w:rFonts w:ascii="Arial" w:hAnsi="Arial" w:cs="Arial"/>
        </w:rPr>
        <w:t xml:space="preserve">The separation of GI and </w:t>
      </w:r>
      <w:proofErr w:type="spellStart"/>
      <w:r w:rsidRPr="002B5C62">
        <w:rPr>
          <w:rFonts w:ascii="Arial" w:hAnsi="Arial" w:cs="Arial"/>
        </w:rPr>
        <w:t>noGI</w:t>
      </w:r>
      <w:proofErr w:type="spellEnd"/>
      <w:r w:rsidRPr="002B5C62">
        <w:rPr>
          <w:rFonts w:ascii="Arial" w:hAnsi="Arial" w:cs="Arial"/>
        </w:rPr>
        <w:t xml:space="preserve"> distributions cause</w:t>
      </w:r>
      <w:r w:rsidR="00162961">
        <w:rPr>
          <w:rFonts w:ascii="Arial" w:hAnsi="Arial" w:cs="Arial"/>
        </w:rPr>
        <w:t>d</w:t>
      </w:r>
      <w:r w:rsidRPr="002B5C62">
        <w:rPr>
          <w:rFonts w:ascii="Arial" w:hAnsi="Arial" w:cs="Arial"/>
        </w:rPr>
        <w:t xml:space="preserve"> instability in the </w:t>
      </w:r>
      <w:r w:rsidR="00392F79">
        <w:rPr>
          <w:rFonts w:ascii="Arial" w:hAnsi="Arial" w:cs="Arial"/>
        </w:rPr>
        <w:t>log ratio</w:t>
      </w:r>
      <w:r w:rsidRPr="002B5C62">
        <w:rPr>
          <w:rFonts w:ascii="Arial" w:hAnsi="Arial" w:cs="Arial"/>
        </w:rPr>
        <w:t xml:space="preserve"> calculation (Figure </w:t>
      </w:r>
      <w:r w:rsidR="00461119">
        <w:rPr>
          <w:rFonts w:ascii="Arial" w:hAnsi="Arial" w:cs="Arial"/>
        </w:rPr>
        <w:t>B</w:t>
      </w:r>
      <w:r w:rsidRPr="002B5C62">
        <w:rPr>
          <w:rFonts w:ascii="Arial" w:hAnsi="Arial" w:cs="Arial"/>
        </w:rPr>
        <w:t xml:space="preserve">, </w:t>
      </w:r>
      <w:r w:rsidR="00056C2B">
        <w:rPr>
          <w:rFonts w:ascii="Arial" w:hAnsi="Arial" w:cs="Arial"/>
        </w:rPr>
        <w:t>green</w:t>
      </w:r>
      <w:r w:rsidRPr="002B5C62">
        <w:rPr>
          <w:rFonts w:ascii="Arial" w:hAnsi="Arial" w:cs="Arial"/>
        </w:rPr>
        <w:t xml:space="preserve"> line). To mitigate this, we introduce</w:t>
      </w:r>
      <w:r w:rsidR="001F1C6F">
        <w:rPr>
          <w:rFonts w:ascii="Arial" w:hAnsi="Arial" w:cs="Arial"/>
        </w:rPr>
        <w:t>d</w:t>
      </w:r>
      <w:r w:rsidRPr="002B5C62">
        <w:rPr>
          <w:rFonts w:ascii="Arial" w:hAnsi="Arial" w:cs="Arial"/>
        </w:rPr>
        <w:t xml:space="preserve"> overlapped normal distributions with smaller weights as pseudo-distributions</w:t>
      </w:r>
      <w:r w:rsidR="00087361">
        <w:rPr>
          <w:rFonts w:ascii="Arial" w:hAnsi="Arial" w:cs="Arial"/>
        </w:rPr>
        <w:t xml:space="preserve"> on</w:t>
      </w:r>
      <w:r w:rsidR="00007ADD">
        <w:rPr>
          <w:rFonts w:ascii="Arial" w:hAnsi="Arial" w:cs="Arial"/>
        </w:rPr>
        <w:t xml:space="preserve"> both the GI and </w:t>
      </w:r>
      <w:proofErr w:type="spellStart"/>
      <w:r w:rsidR="00007ADD">
        <w:rPr>
          <w:rFonts w:ascii="Arial" w:hAnsi="Arial" w:cs="Arial"/>
        </w:rPr>
        <w:t>noGI</w:t>
      </w:r>
      <w:proofErr w:type="spellEnd"/>
      <w:r w:rsidR="00007ADD">
        <w:rPr>
          <w:rFonts w:ascii="Arial" w:hAnsi="Arial" w:cs="Arial"/>
        </w:rPr>
        <w:t xml:space="preserve"> reference </w:t>
      </w:r>
      <w:r w:rsidR="00B81148">
        <w:rPr>
          <w:rFonts w:ascii="Arial" w:hAnsi="Arial" w:cs="Arial"/>
        </w:rPr>
        <w:t>distributions</w:t>
      </w:r>
      <w:r w:rsidRPr="002B5C62">
        <w:rPr>
          <w:rFonts w:ascii="Arial" w:hAnsi="Arial" w:cs="Arial"/>
        </w:rPr>
        <w:t>. This adjustment aim</w:t>
      </w:r>
      <w:r w:rsidR="00D47655">
        <w:rPr>
          <w:rFonts w:ascii="Arial" w:hAnsi="Arial" w:cs="Arial"/>
        </w:rPr>
        <w:t>ed</w:t>
      </w:r>
      <w:r w:rsidRPr="002B5C62">
        <w:rPr>
          <w:rFonts w:ascii="Arial" w:hAnsi="Arial" w:cs="Arial"/>
        </w:rPr>
        <w:t xml:space="preserve"> to enlarge the stable region for B</w:t>
      </w:r>
      <w:r w:rsidR="00392F79">
        <w:rPr>
          <w:rFonts w:ascii="Arial" w:hAnsi="Arial" w:cs="Arial"/>
        </w:rPr>
        <w:t>ayes Factor</w:t>
      </w:r>
      <w:r w:rsidRPr="002B5C62">
        <w:rPr>
          <w:rFonts w:ascii="Arial" w:hAnsi="Arial" w:cs="Arial"/>
        </w:rPr>
        <w:t xml:space="preserve"> calculation, optimizing four parameters: weights and standard deviations of the pseudo-distributions. The means of the </w:t>
      </w:r>
      <w:r w:rsidRPr="002B5C62">
        <w:rPr>
          <w:rFonts w:ascii="Arial" w:hAnsi="Arial" w:cs="Arial"/>
        </w:rPr>
        <w:lastRenderedPageBreak/>
        <w:t xml:space="preserve">pseudo-distributions </w:t>
      </w:r>
      <w:r w:rsidR="00356909">
        <w:rPr>
          <w:rFonts w:ascii="Arial" w:hAnsi="Arial" w:cs="Arial"/>
        </w:rPr>
        <w:t>were</w:t>
      </w:r>
      <w:r w:rsidRPr="002B5C62">
        <w:rPr>
          <w:rFonts w:ascii="Arial" w:hAnsi="Arial" w:cs="Arial"/>
        </w:rPr>
        <w:t xml:space="preserve"> aligned with those of the GI and </w:t>
      </w:r>
      <w:proofErr w:type="spellStart"/>
      <w:r w:rsidRPr="002B5C62">
        <w:rPr>
          <w:rFonts w:ascii="Arial" w:hAnsi="Arial" w:cs="Arial"/>
        </w:rPr>
        <w:t>noGI</w:t>
      </w:r>
      <w:proofErr w:type="spellEnd"/>
      <w:r w:rsidRPr="002B5C62">
        <w:rPr>
          <w:rFonts w:ascii="Arial" w:hAnsi="Arial" w:cs="Arial"/>
        </w:rPr>
        <w:t xml:space="preserve"> distributions. Despite this, excessive reliance on pseudo-distributions compromise</w:t>
      </w:r>
      <w:r w:rsidR="003264C0">
        <w:rPr>
          <w:rFonts w:ascii="Arial" w:hAnsi="Arial" w:cs="Arial"/>
        </w:rPr>
        <w:t>d</w:t>
      </w:r>
      <w:r w:rsidRPr="002B5C62">
        <w:rPr>
          <w:rFonts w:ascii="Arial" w:hAnsi="Arial" w:cs="Arial"/>
        </w:rPr>
        <w:t xml:space="preserve"> model performance.</w:t>
      </w:r>
    </w:p>
    <w:p w14:paraId="72AF65C0" w14:textId="413A1855" w:rsidR="00293471" w:rsidRDefault="00484CF5" w:rsidP="00D45235">
      <w:pPr>
        <w:spacing w:line="360" w:lineRule="auto"/>
        <w:rPr>
          <w:rFonts w:ascii="Arial" w:hAnsi="Arial" w:cs="Arial"/>
        </w:rPr>
      </w:pPr>
      <w:r w:rsidRPr="00484CF5">
        <w:rPr>
          <w:rFonts w:ascii="Arial" w:hAnsi="Arial" w:cs="Arial"/>
        </w:rPr>
        <w:t xml:space="preserve">Given the clear separation between GI and </w:t>
      </w:r>
      <w:proofErr w:type="spellStart"/>
      <w:r w:rsidRPr="00484CF5">
        <w:rPr>
          <w:rFonts w:ascii="Arial" w:hAnsi="Arial" w:cs="Arial"/>
        </w:rPr>
        <w:t>noGI</w:t>
      </w:r>
      <w:proofErr w:type="spellEnd"/>
      <w:r w:rsidRPr="00484CF5">
        <w:rPr>
          <w:rFonts w:ascii="Arial" w:hAnsi="Arial" w:cs="Arial"/>
        </w:rPr>
        <w:t xml:space="preserve"> distributions, simpler methods can effectively identify synthetic lethal pairs.</w:t>
      </w:r>
      <w:r>
        <w:rPr>
          <w:rFonts w:ascii="Arial" w:hAnsi="Arial" w:cs="Arial"/>
        </w:rPr>
        <w:t xml:space="preserve"> </w:t>
      </w:r>
      <w:r w:rsidR="00293471" w:rsidRPr="00293471">
        <w:rPr>
          <w:rFonts w:ascii="Arial" w:hAnsi="Arial" w:cs="Arial"/>
        </w:rPr>
        <w:t xml:space="preserve">Consequently, the Bayesian approach with pseudo-distributions </w:t>
      </w:r>
      <w:r w:rsidR="003264C0">
        <w:rPr>
          <w:rFonts w:ascii="Arial" w:hAnsi="Arial" w:cs="Arial"/>
        </w:rPr>
        <w:t>w</w:t>
      </w:r>
      <w:r w:rsidR="001D0ED5">
        <w:rPr>
          <w:rFonts w:ascii="Arial" w:hAnsi="Arial" w:cs="Arial"/>
        </w:rPr>
        <w:t>as</w:t>
      </w:r>
      <w:r w:rsidR="00293471" w:rsidRPr="00293471">
        <w:rPr>
          <w:rFonts w:ascii="Arial" w:hAnsi="Arial" w:cs="Arial"/>
        </w:rPr>
        <w:t xml:space="preserve"> deemed unsuitable for this data set.</w:t>
      </w:r>
    </w:p>
    <w:p w14:paraId="2CF866CA" w14:textId="77777777" w:rsidR="003F13A7" w:rsidRDefault="003F13A7" w:rsidP="00D45235">
      <w:pPr>
        <w:spacing w:line="360" w:lineRule="auto"/>
        <w:rPr>
          <w:rFonts w:ascii="Arial" w:hAnsi="Arial" w:cs="Arial"/>
        </w:rPr>
      </w:pPr>
    </w:p>
    <w:p w14:paraId="2AB00C67" w14:textId="7781620C" w:rsidR="003F13A7" w:rsidRDefault="003F13A7" w:rsidP="00D45235">
      <w:pPr>
        <w:spacing w:line="360" w:lineRule="auto"/>
        <w:rPr>
          <w:rFonts w:ascii="Arial" w:hAnsi="Arial" w:cs="Arial"/>
        </w:rPr>
      </w:pPr>
      <w:r>
        <w:rPr>
          <w:rFonts w:ascii="Arial" w:hAnsi="Arial" w:cs="Arial"/>
        </w:rPr>
        <w:t>Supplementary method figure</w:t>
      </w:r>
      <w:r w:rsidR="00A4337C">
        <w:rPr>
          <w:rFonts w:ascii="Arial" w:hAnsi="Arial" w:cs="Arial"/>
        </w:rPr>
        <w:t>s</w:t>
      </w:r>
      <w:r>
        <w:rPr>
          <w:rFonts w:ascii="Arial" w:hAnsi="Arial" w:cs="Arial"/>
        </w:rPr>
        <w:t xml:space="preserve"> </w:t>
      </w:r>
    </w:p>
    <w:p w14:paraId="3D8C4128" w14:textId="4101DA39" w:rsidR="000E1B9D" w:rsidRDefault="000E1B9D" w:rsidP="00D45235">
      <w:pPr>
        <w:spacing w:line="360" w:lineRule="auto"/>
        <w:rPr>
          <w:rFonts w:ascii="Arial" w:hAnsi="Arial" w:cs="Arial"/>
        </w:rPr>
      </w:pPr>
      <w:r>
        <w:rPr>
          <w:rFonts w:ascii="Arial" w:hAnsi="Arial" w:cs="Arial"/>
          <w:noProof/>
        </w:rPr>
        <w:drawing>
          <wp:inline distT="0" distB="0" distL="0" distR="0" wp14:anchorId="7F1D8F20" wp14:editId="66B5DE87">
            <wp:extent cx="5896103" cy="2667000"/>
            <wp:effectExtent l="0" t="0" r="9525" b="0"/>
            <wp:docPr id="2" name="Picture 2" descr="A comparison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omparison of a graph&#10;&#10;Description automatically generated with medium confidence"/>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03135" cy="2670181"/>
                    </a:xfrm>
                    <a:prstGeom prst="rect">
                      <a:avLst/>
                    </a:prstGeom>
                  </pic:spPr>
                </pic:pic>
              </a:graphicData>
            </a:graphic>
          </wp:inline>
        </w:drawing>
      </w:r>
    </w:p>
    <w:p w14:paraId="0493B6B9" w14:textId="6583517F" w:rsidR="0092645B" w:rsidRDefault="006F25DD" w:rsidP="00D45235">
      <w:pPr>
        <w:spacing w:line="360" w:lineRule="auto"/>
        <w:rPr>
          <w:rFonts w:ascii="Arial" w:hAnsi="Arial" w:cs="Arial"/>
        </w:rPr>
      </w:pPr>
      <w:r>
        <w:rPr>
          <w:rFonts w:ascii="Arial" w:hAnsi="Arial" w:cs="Arial"/>
        </w:rPr>
        <w:t xml:space="preserve">(A) </w:t>
      </w:r>
      <w:r w:rsidR="0010569F">
        <w:rPr>
          <w:rFonts w:ascii="Arial" w:hAnsi="Arial" w:cs="Arial"/>
        </w:rPr>
        <w:t xml:space="preserve">The </w:t>
      </w:r>
      <w:r w:rsidR="004D3ACB">
        <w:rPr>
          <w:rFonts w:ascii="Arial" w:hAnsi="Arial" w:cs="Arial"/>
        </w:rPr>
        <w:t>d</w:t>
      </w:r>
      <w:r w:rsidR="00044304">
        <w:rPr>
          <w:rFonts w:ascii="Arial" w:hAnsi="Arial" w:cs="Arial"/>
        </w:rPr>
        <w:t xml:space="preserve">elta log fold change </w:t>
      </w:r>
      <w:r w:rsidR="00EE3E71">
        <w:rPr>
          <w:rFonts w:ascii="Arial" w:hAnsi="Arial" w:cs="Arial"/>
        </w:rPr>
        <w:t>(</w:t>
      </w:r>
      <w:proofErr w:type="spellStart"/>
      <w:r w:rsidR="00EE3E71">
        <w:rPr>
          <w:rFonts w:ascii="Arial" w:hAnsi="Arial" w:cs="Arial"/>
        </w:rPr>
        <w:t>dLFC</w:t>
      </w:r>
      <w:proofErr w:type="spellEnd"/>
      <w:r w:rsidR="00EE3E71">
        <w:rPr>
          <w:rFonts w:ascii="Arial" w:hAnsi="Arial" w:cs="Arial"/>
        </w:rPr>
        <w:t xml:space="preserve">) </w:t>
      </w:r>
      <w:r w:rsidR="005C09A8">
        <w:rPr>
          <w:rFonts w:ascii="Arial" w:hAnsi="Arial" w:cs="Arial"/>
        </w:rPr>
        <w:t xml:space="preserve">distributions </w:t>
      </w:r>
      <w:r w:rsidR="0010569F">
        <w:rPr>
          <w:rFonts w:ascii="Arial" w:hAnsi="Arial" w:cs="Arial"/>
        </w:rPr>
        <w:t xml:space="preserve">from </w:t>
      </w:r>
      <w:r w:rsidR="004D3ACB">
        <w:rPr>
          <w:rFonts w:ascii="Arial" w:hAnsi="Arial" w:cs="Arial"/>
        </w:rPr>
        <w:t>a single</w:t>
      </w:r>
      <w:r w:rsidR="0010569F">
        <w:rPr>
          <w:rFonts w:ascii="Arial" w:hAnsi="Arial" w:cs="Arial"/>
        </w:rPr>
        <w:t xml:space="preserve"> cell line. </w:t>
      </w:r>
      <w:r w:rsidR="00F41E01" w:rsidRPr="00F41E01">
        <w:rPr>
          <w:rFonts w:ascii="Arial" w:hAnsi="Arial" w:cs="Arial"/>
        </w:rPr>
        <w:t xml:space="preserve">The red curve represents the kernel density plot of the 13-reference paralog synthetic lethal pairs (positive control), while the blue curve shows the kernel density plot of the null model (negative control). The </w:t>
      </w:r>
      <w:proofErr w:type="spellStart"/>
      <w:r w:rsidR="00F41E01" w:rsidRPr="00F41E01">
        <w:rPr>
          <w:rFonts w:ascii="Arial" w:hAnsi="Arial" w:cs="Arial"/>
        </w:rPr>
        <w:t>dLFC</w:t>
      </w:r>
      <w:proofErr w:type="spellEnd"/>
      <w:r w:rsidR="00F41E01" w:rsidRPr="00F41E01">
        <w:rPr>
          <w:rFonts w:ascii="Arial" w:hAnsi="Arial" w:cs="Arial"/>
        </w:rPr>
        <w:t xml:space="preserve"> values for all gene pairs are </w:t>
      </w:r>
      <w:r w:rsidR="00F41E01">
        <w:rPr>
          <w:rFonts w:ascii="Arial" w:hAnsi="Arial" w:cs="Arial"/>
        </w:rPr>
        <w:t>shown</w:t>
      </w:r>
      <w:r w:rsidR="00F41E01" w:rsidRPr="00F41E01">
        <w:rPr>
          <w:rFonts w:ascii="Arial" w:hAnsi="Arial" w:cs="Arial"/>
        </w:rPr>
        <w:t xml:space="preserve"> in black for reference.</w:t>
      </w:r>
      <w:r w:rsidR="007446C9">
        <w:rPr>
          <w:rFonts w:ascii="Arial" w:hAnsi="Arial" w:cs="Arial"/>
        </w:rPr>
        <w:t xml:space="preserve"> (B) The log likelihood </w:t>
      </w:r>
      <w:r w:rsidR="00AF21F3">
        <w:rPr>
          <w:rFonts w:ascii="Arial" w:hAnsi="Arial" w:cs="Arial"/>
        </w:rPr>
        <w:t xml:space="preserve">functions </w:t>
      </w:r>
      <w:r w:rsidR="00F41E01">
        <w:rPr>
          <w:rFonts w:ascii="Arial" w:hAnsi="Arial" w:cs="Arial"/>
        </w:rPr>
        <w:t>for</w:t>
      </w:r>
      <w:r w:rsidR="00AF21F3">
        <w:rPr>
          <w:rFonts w:ascii="Arial" w:hAnsi="Arial" w:cs="Arial"/>
        </w:rPr>
        <w:t xml:space="preserve"> the red and blue curves from </w:t>
      </w:r>
      <w:r w:rsidR="00F41E01">
        <w:rPr>
          <w:rFonts w:ascii="Arial" w:hAnsi="Arial" w:cs="Arial"/>
        </w:rPr>
        <w:t>figure A</w:t>
      </w:r>
      <w:r w:rsidR="00D43A59">
        <w:rPr>
          <w:rFonts w:ascii="Arial" w:hAnsi="Arial" w:cs="Arial"/>
        </w:rPr>
        <w:t xml:space="preserve"> </w:t>
      </w:r>
      <w:r w:rsidR="00671CE9">
        <w:rPr>
          <w:rFonts w:ascii="Arial" w:hAnsi="Arial" w:cs="Arial"/>
        </w:rPr>
        <w:t>are displayed</w:t>
      </w:r>
      <w:r w:rsidR="00D43A59">
        <w:rPr>
          <w:rFonts w:ascii="Arial" w:hAnsi="Arial" w:cs="Arial"/>
        </w:rPr>
        <w:t xml:space="preserve"> on the </w:t>
      </w:r>
      <w:r w:rsidR="00496EFB">
        <w:rPr>
          <w:rFonts w:ascii="Arial" w:hAnsi="Arial" w:cs="Arial"/>
        </w:rPr>
        <w:t xml:space="preserve">left </w:t>
      </w:r>
      <w:r w:rsidR="00D43A59">
        <w:rPr>
          <w:rFonts w:ascii="Arial" w:hAnsi="Arial" w:cs="Arial"/>
        </w:rPr>
        <w:t>Y-axis</w:t>
      </w:r>
      <w:r w:rsidR="000D0FA6">
        <w:rPr>
          <w:rFonts w:ascii="Arial" w:hAnsi="Arial" w:cs="Arial"/>
        </w:rPr>
        <w:t xml:space="preserve">. </w:t>
      </w:r>
      <w:proofErr w:type="spellStart"/>
      <w:r w:rsidR="00671CE9" w:rsidRPr="00671CE9">
        <w:rPr>
          <w:rFonts w:ascii="Arial" w:hAnsi="Arial" w:cs="Arial"/>
        </w:rPr>
        <w:t>ParaBAGEL</w:t>
      </w:r>
      <w:proofErr w:type="spellEnd"/>
      <w:r w:rsidR="00671CE9" w:rsidRPr="00671CE9">
        <w:rPr>
          <w:rFonts w:ascii="Arial" w:hAnsi="Arial" w:cs="Arial"/>
        </w:rPr>
        <w:t xml:space="preserve"> calculates the log likelihood ratio (green, right Y-axis) of these two curves. The green curve indicates that the stable region of the log ratio is narrow.</w:t>
      </w:r>
    </w:p>
    <w:p w14:paraId="79DA6154" w14:textId="77777777" w:rsidR="0092645B" w:rsidRDefault="0092645B">
      <w:pPr>
        <w:rPr>
          <w:rFonts w:ascii="Arial" w:hAnsi="Arial" w:cs="Arial"/>
        </w:rPr>
      </w:pPr>
      <w:r>
        <w:rPr>
          <w:rFonts w:ascii="Arial" w:hAnsi="Arial" w:cs="Arial"/>
        </w:rPr>
        <w:br w:type="page"/>
      </w:r>
    </w:p>
    <w:p w14:paraId="1822466D" w14:textId="57ADADF9" w:rsidR="00A4337C" w:rsidRDefault="00A4337C">
      <w:pPr>
        <w:rPr>
          <w:rFonts w:ascii="Arial" w:hAnsi="Arial" w:cs="Arial"/>
        </w:rPr>
      </w:pPr>
      <w:r>
        <w:rPr>
          <w:rFonts w:ascii="Arial" w:hAnsi="Arial" w:cs="Arial"/>
        </w:rPr>
        <w:lastRenderedPageBreak/>
        <w:t>Reference</w:t>
      </w:r>
      <w:r w:rsidR="002E7B45">
        <w:rPr>
          <w:rFonts w:ascii="Arial" w:hAnsi="Arial" w:cs="Arial"/>
        </w:rPr>
        <w:t>s</w:t>
      </w:r>
    </w:p>
    <w:p w14:paraId="5D54174C" w14:textId="77777777" w:rsidR="0092645B" w:rsidRPr="0092645B" w:rsidRDefault="0092645B" w:rsidP="0092645B">
      <w:pPr>
        <w:pStyle w:val="Bibliography"/>
        <w:rPr>
          <w:rFonts w:ascii="Arial" w:hAnsi="Arial" w:cs="Arial"/>
        </w:rPr>
      </w:pPr>
      <w:r>
        <w:rPr>
          <w:rFonts w:ascii="Arial" w:hAnsi="Arial" w:cs="Arial"/>
        </w:rPr>
        <w:fldChar w:fldCharType="begin"/>
      </w:r>
      <w:r>
        <w:rPr>
          <w:rFonts w:ascii="Arial" w:hAnsi="Arial" w:cs="Arial"/>
        </w:rPr>
        <w:instrText xml:space="preserve"> ADDIN ZOTERO_BIBL {"uncited":[],"omitted":[],"custom":[]} CSL_BIBLIOGRAPHY </w:instrText>
      </w:r>
      <w:r>
        <w:rPr>
          <w:rFonts w:ascii="Arial" w:hAnsi="Arial" w:cs="Arial"/>
        </w:rPr>
        <w:fldChar w:fldCharType="separate"/>
      </w:r>
      <w:r w:rsidRPr="0092645B">
        <w:rPr>
          <w:rFonts w:ascii="Arial" w:hAnsi="Arial" w:cs="Arial"/>
        </w:rPr>
        <w:t>1.</w:t>
      </w:r>
      <w:r w:rsidRPr="0092645B">
        <w:rPr>
          <w:rFonts w:ascii="Arial" w:hAnsi="Arial" w:cs="Arial"/>
        </w:rPr>
        <w:tab/>
        <w:t xml:space="preserve">Hart, T. &amp; Moffat, J. BAGEL: a computational framework for identifying essential genes from pooled library screens. </w:t>
      </w:r>
      <w:r w:rsidRPr="0092645B">
        <w:rPr>
          <w:rFonts w:ascii="Arial" w:hAnsi="Arial" w:cs="Arial"/>
          <w:i/>
          <w:iCs/>
        </w:rPr>
        <w:t>BMC Bioinformatics</w:t>
      </w:r>
      <w:r w:rsidRPr="0092645B">
        <w:rPr>
          <w:rFonts w:ascii="Arial" w:hAnsi="Arial" w:cs="Arial"/>
        </w:rPr>
        <w:t xml:space="preserve"> </w:t>
      </w:r>
      <w:r w:rsidRPr="0092645B">
        <w:rPr>
          <w:rFonts w:ascii="Arial" w:hAnsi="Arial" w:cs="Arial"/>
          <w:b/>
          <w:bCs/>
        </w:rPr>
        <w:t>17</w:t>
      </w:r>
      <w:r w:rsidRPr="0092645B">
        <w:rPr>
          <w:rFonts w:ascii="Arial" w:hAnsi="Arial" w:cs="Arial"/>
        </w:rPr>
        <w:t>, 164 (2016).</w:t>
      </w:r>
    </w:p>
    <w:p w14:paraId="7E0E9932" w14:textId="77777777" w:rsidR="0092645B" w:rsidRPr="0092645B" w:rsidRDefault="0092645B" w:rsidP="0092645B">
      <w:pPr>
        <w:pStyle w:val="Bibliography"/>
        <w:rPr>
          <w:rFonts w:ascii="Arial" w:hAnsi="Arial" w:cs="Arial"/>
        </w:rPr>
      </w:pPr>
      <w:r w:rsidRPr="0092645B">
        <w:rPr>
          <w:rFonts w:ascii="Arial" w:hAnsi="Arial" w:cs="Arial"/>
        </w:rPr>
        <w:t>2.</w:t>
      </w:r>
      <w:r w:rsidRPr="0092645B">
        <w:rPr>
          <w:rFonts w:ascii="Arial" w:hAnsi="Arial" w:cs="Arial"/>
        </w:rPr>
        <w:tab/>
        <w:t xml:space="preserve">Kim, E. &amp; Hart, T. Improved analysis of CRISPR fitness screens and reduced off-target effects with the BAGEL2 gene essentiality classifier. </w:t>
      </w:r>
      <w:r w:rsidRPr="0092645B">
        <w:rPr>
          <w:rFonts w:ascii="Arial" w:hAnsi="Arial" w:cs="Arial"/>
          <w:i/>
          <w:iCs/>
        </w:rPr>
        <w:t>Genome Med</w:t>
      </w:r>
      <w:r w:rsidRPr="0092645B">
        <w:rPr>
          <w:rFonts w:ascii="Arial" w:hAnsi="Arial" w:cs="Arial"/>
        </w:rPr>
        <w:t xml:space="preserve"> </w:t>
      </w:r>
      <w:r w:rsidRPr="0092645B">
        <w:rPr>
          <w:rFonts w:ascii="Arial" w:hAnsi="Arial" w:cs="Arial"/>
          <w:b/>
          <w:bCs/>
        </w:rPr>
        <w:t>13</w:t>
      </w:r>
      <w:r w:rsidRPr="0092645B">
        <w:rPr>
          <w:rFonts w:ascii="Arial" w:hAnsi="Arial" w:cs="Arial"/>
        </w:rPr>
        <w:t>, 2 (2021).</w:t>
      </w:r>
    </w:p>
    <w:p w14:paraId="11180429" w14:textId="77777777" w:rsidR="0092645B" w:rsidRPr="0092645B" w:rsidRDefault="0092645B" w:rsidP="0092645B">
      <w:pPr>
        <w:pStyle w:val="Bibliography"/>
        <w:rPr>
          <w:rFonts w:ascii="Arial" w:hAnsi="Arial" w:cs="Arial"/>
        </w:rPr>
      </w:pPr>
      <w:r w:rsidRPr="0092645B">
        <w:rPr>
          <w:rFonts w:ascii="Arial" w:hAnsi="Arial" w:cs="Arial"/>
        </w:rPr>
        <w:t>3.</w:t>
      </w:r>
      <w:r w:rsidRPr="0092645B">
        <w:rPr>
          <w:rFonts w:ascii="Arial" w:hAnsi="Arial" w:cs="Arial"/>
        </w:rPr>
        <w:tab/>
        <w:t xml:space="preserve">Esmaeili Anvar, N. </w:t>
      </w:r>
      <w:r w:rsidRPr="0092645B">
        <w:rPr>
          <w:rFonts w:ascii="Arial" w:hAnsi="Arial" w:cs="Arial"/>
          <w:i/>
          <w:iCs/>
        </w:rPr>
        <w:t>et al.</w:t>
      </w:r>
      <w:r w:rsidRPr="0092645B">
        <w:rPr>
          <w:rFonts w:ascii="Arial" w:hAnsi="Arial" w:cs="Arial"/>
        </w:rPr>
        <w:t xml:space="preserve"> Efficient gene knockout and genetic interaction screening using the in4mer CRISPR/Cas12a multiplex knockout platform. </w:t>
      </w:r>
      <w:r w:rsidRPr="0092645B">
        <w:rPr>
          <w:rFonts w:ascii="Arial" w:hAnsi="Arial" w:cs="Arial"/>
          <w:i/>
          <w:iCs/>
        </w:rPr>
        <w:t>Nat Commun</w:t>
      </w:r>
      <w:r w:rsidRPr="0092645B">
        <w:rPr>
          <w:rFonts w:ascii="Arial" w:hAnsi="Arial" w:cs="Arial"/>
        </w:rPr>
        <w:t xml:space="preserve"> </w:t>
      </w:r>
      <w:r w:rsidRPr="0092645B">
        <w:rPr>
          <w:rFonts w:ascii="Arial" w:hAnsi="Arial" w:cs="Arial"/>
          <w:b/>
          <w:bCs/>
        </w:rPr>
        <w:t>15</w:t>
      </w:r>
      <w:r w:rsidRPr="0092645B">
        <w:rPr>
          <w:rFonts w:ascii="Arial" w:hAnsi="Arial" w:cs="Arial"/>
        </w:rPr>
        <w:t>, 3577 (2024).</w:t>
      </w:r>
    </w:p>
    <w:p w14:paraId="4B53B63E" w14:textId="38D35358" w:rsidR="00714575" w:rsidRPr="00D45235" w:rsidRDefault="0092645B" w:rsidP="00D45235">
      <w:pPr>
        <w:spacing w:line="360" w:lineRule="auto"/>
        <w:rPr>
          <w:rFonts w:ascii="Arial" w:hAnsi="Arial" w:cs="Arial"/>
        </w:rPr>
      </w:pPr>
      <w:r>
        <w:rPr>
          <w:rFonts w:ascii="Arial" w:hAnsi="Arial" w:cs="Arial"/>
        </w:rPr>
        <w:fldChar w:fldCharType="end"/>
      </w:r>
    </w:p>
    <w:sectPr w:rsidR="00714575" w:rsidRPr="00D452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2CD"/>
    <w:rsid w:val="00007ADD"/>
    <w:rsid w:val="00014A66"/>
    <w:rsid w:val="00021AA5"/>
    <w:rsid w:val="00025AF6"/>
    <w:rsid w:val="0003283D"/>
    <w:rsid w:val="000402C4"/>
    <w:rsid w:val="00044304"/>
    <w:rsid w:val="00056C2B"/>
    <w:rsid w:val="0006033E"/>
    <w:rsid w:val="00087361"/>
    <w:rsid w:val="00093B33"/>
    <w:rsid w:val="000B02CD"/>
    <w:rsid w:val="000D0B8A"/>
    <w:rsid w:val="000D0FA6"/>
    <w:rsid w:val="000D2963"/>
    <w:rsid w:val="000E1B9D"/>
    <w:rsid w:val="0010569F"/>
    <w:rsid w:val="0010777F"/>
    <w:rsid w:val="00107B3C"/>
    <w:rsid w:val="00110B68"/>
    <w:rsid w:val="00142975"/>
    <w:rsid w:val="00162961"/>
    <w:rsid w:val="001649E1"/>
    <w:rsid w:val="001715EB"/>
    <w:rsid w:val="00197F45"/>
    <w:rsid w:val="001B5964"/>
    <w:rsid w:val="001D0ED5"/>
    <w:rsid w:val="001E1F52"/>
    <w:rsid w:val="001E233C"/>
    <w:rsid w:val="001F1C6F"/>
    <w:rsid w:val="00227BBC"/>
    <w:rsid w:val="00231A25"/>
    <w:rsid w:val="00233014"/>
    <w:rsid w:val="00242543"/>
    <w:rsid w:val="00260E3B"/>
    <w:rsid w:val="002721B2"/>
    <w:rsid w:val="002736A2"/>
    <w:rsid w:val="0028348D"/>
    <w:rsid w:val="00287385"/>
    <w:rsid w:val="00293471"/>
    <w:rsid w:val="002B0AB3"/>
    <w:rsid w:val="002B5C62"/>
    <w:rsid w:val="002D1EBF"/>
    <w:rsid w:val="002E0808"/>
    <w:rsid w:val="002E4BD8"/>
    <w:rsid w:val="002E7B45"/>
    <w:rsid w:val="003264C0"/>
    <w:rsid w:val="00356909"/>
    <w:rsid w:val="00392F79"/>
    <w:rsid w:val="003F13A7"/>
    <w:rsid w:val="0043463B"/>
    <w:rsid w:val="00444EBC"/>
    <w:rsid w:val="00461119"/>
    <w:rsid w:val="00467C69"/>
    <w:rsid w:val="00484CF5"/>
    <w:rsid w:val="004879C8"/>
    <w:rsid w:val="00496EFB"/>
    <w:rsid w:val="004D141B"/>
    <w:rsid w:val="004D3ACB"/>
    <w:rsid w:val="0050054C"/>
    <w:rsid w:val="00500CC1"/>
    <w:rsid w:val="005435AB"/>
    <w:rsid w:val="00565658"/>
    <w:rsid w:val="005919DA"/>
    <w:rsid w:val="005A6707"/>
    <w:rsid w:val="005C09A8"/>
    <w:rsid w:val="005D23F2"/>
    <w:rsid w:val="00614EB8"/>
    <w:rsid w:val="006371D7"/>
    <w:rsid w:val="00645EE4"/>
    <w:rsid w:val="006472A5"/>
    <w:rsid w:val="00660D1B"/>
    <w:rsid w:val="00663AC4"/>
    <w:rsid w:val="00671CE9"/>
    <w:rsid w:val="006801FE"/>
    <w:rsid w:val="006918B1"/>
    <w:rsid w:val="006C03BD"/>
    <w:rsid w:val="006C6E82"/>
    <w:rsid w:val="006F25DD"/>
    <w:rsid w:val="006F34CB"/>
    <w:rsid w:val="00707C15"/>
    <w:rsid w:val="00714575"/>
    <w:rsid w:val="00740026"/>
    <w:rsid w:val="007446C9"/>
    <w:rsid w:val="00760834"/>
    <w:rsid w:val="00766DEF"/>
    <w:rsid w:val="00775361"/>
    <w:rsid w:val="007A6CB3"/>
    <w:rsid w:val="007B1A38"/>
    <w:rsid w:val="007C7D04"/>
    <w:rsid w:val="007E51AA"/>
    <w:rsid w:val="007F1DA6"/>
    <w:rsid w:val="00825062"/>
    <w:rsid w:val="00844D6A"/>
    <w:rsid w:val="0085268B"/>
    <w:rsid w:val="008608CF"/>
    <w:rsid w:val="008D0967"/>
    <w:rsid w:val="00900A5A"/>
    <w:rsid w:val="00914677"/>
    <w:rsid w:val="0092379C"/>
    <w:rsid w:val="0092645B"/>
    <w:rsid w:val="009D7614"/>
    <w:rsid w:val="00A378C1"/>
    <w:rsid w:val="00A4337C"/>
    <w:rsid w:val="00A50D28"/>
    <w:rsid w:val="00AB22AD"/>
    <w:rsid w:val="00AD39C2"/>
    <w:rsid w:val="00AD5398"/>
    <w:rsid w:val="00AF21F3"/>
    <w:rsid w:val="00B13636"/>
    <w:rsid w:val="00B63F07"/>
    <w:rsid w:val="00B81148"/>
    <w:rsid w:val="00B824BE"/>
    <w:rsid w:val="00B87A5A"/>
    <w:rsid w:val="00B90369"/>
    <w:rsid w:val="00B935DE"/>
    <w:rsid w:val="00B95091"/>
    <w:rsid w:val="00B96135"/>
    <w:rsid w:val="00B97B28"/>
    <w:rsid w:val="00BA04E8"/>
    <w:rsid w:val="00BC6CF4"/>
    <w:rsid w:val="00C048BC"/>
    <w:rsid w:val="00C12183"/>
    <w:rsid w:val="00C136B6"/>
    <w:rsid w:val="00C16144"/>
    <w:rsid w:val="00C20ECD"/>
    <w:rsid w:val="00C2527C"/>
    <w:rsid w:val="00C53CE5"/>
    <w:rsid w:val="00C62878"/>
    <w:rsid w:val="00C66E2D"/>
    <w:rsid w:val="00C703F5"/>
    <w:rsid w:val="00C712C1"/>
    <w:rsid w:val="00CC3DFD"/>
    <w:rsid w:val="00CE4D51"/>
    <w:rsid w:val="00D24C60"/>
    <w:rsid w:val="00D31A86"/>
    <w:rsid w:val="00D43A59"/>
    <w:rsid w:val="00D45235"/>
    <w:rsid w:val="00D47655"/>
    <w:rsid w:val="00D9231A"/>
    <w:rsid w:val="00DA135A"/>
    <w:rsid w:val="00DA21F6"/>
    <w:rsid w:val="00DA6CAF"/>
    <w:rsid w:val="00E107FE"/>
    <w:rsid w:val="00E2748C"/>
    <w:rsid w:val="00E52300"/>
    <w:rsid w:val="00E7183D"/>
    <w:rsid w:val="00EA2B4A"/>
    <w:rsid w:val="00EE3E71"/>
    <w:rsid w:val="00EE5C55"/>
    <w:rsid w:val="00EE61FD"/>
    <w:rsid w:val="00F41E01"/>
    <w:rsid w:val="00F65263"/>
    <w:rsid w:val="00F85194"/>
    <w:rsid w:val="00F97EBC"/>
    <w:rsid w:val="00FC39E9"/>
    <w:rsid w:val="00FC78E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44839"/>
  <w15:chartTrackingRefBased/>
  <w15:docId w15:val="{A2D54E56-1956-4003-9F4D-450A98AAD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F34CB"/>
    <w:rPr>
      <w:color w:val="666666"/>
    </w:rPr>
  </w:style>
  <w:style w:type="paragraph" w:styleId="ListParagraph">
    <w:name w:val="List Paragraph"/>
    <w:basedOn w:val="Normal"/>
    <w:uiPriority w:val="34"/>
    <w:qFormat/>
    <w:rsid w:val="006F25DD"/>
    <w:pPr>
      <w:ind w:left="720"/>
      <w:contextualSpacing/>
    </w:pPr>
  </w:style>
  <w:style w:type="character" w:styleId="CommentReference">
    <w:name w:val="annotation reference"/>
    <w:basedOn w:val="DefaultParagraphFont"/>
    <w:uiPriority w:val="99"/>
    <w:semiHidden/>
    <w:unhideWhenUsed/>
    <w:rsid w:val="009D7614"/>
    <w:rPr>
      <w:sz w:val="16"/>
      <w:szCs w:val="16"/>
    </w:rPr>
  </w:style>
  <w:style w:type="paragraph" w:styleId="CommentText">
    <w:name w:val="annotation text"/>
    <w:basedOn w:val="Normal"/>
    <w:link w:val="CommentTextChar"/>
    <w:uiPriority w:val="99"/>
    <w:unhideWhenUsed/>
    <w:rsid w:val="009D7614"/>
    <w:pPr>
      <w:spacing w:line="240" w:lineRule="auto"/>
    </w:pPr>
    <w:rPr>
      <w:sz w:val="20"/>
      <w:szCs w:val="20"/>
    </w:rPr>
  </w:style>
  <w:style w:type="character" w:customStyle="1" w:styleId="CommentTextChar">
    <w:name w:val="Comment Text Char"/>
    <w:basedOn w:val="DefaultParagraphFont"/>
    <w:link w:val="CommentText"/>
    <w:uiPriority w:val="99"/>
    <w:rsid w:val="009D7614"/>
    <w:rPr>
      <w:sz w:val="20"/>
      <w:szCs w:val="20"/>
    </w:rPr>
  </w:style>
  <w:style w:type="paragraph" w:styleId="CommentSubject">
    <w:name w:val="annotation subject"/>
    <w:basedOn w:val="CommentText"/>
    <w:next w:val="CommentText"/>
    <w:link w:val="CommentSubjectChar"/>
    <w:uiPriority w:val="99"/>
    <w:semiHidden/>
    <w:unhideWhenUsed/>
    <w:rsid w:val="009D7614"/>
    <w:rPr>
      <w:b/>
      <w:bCs/>
    </w:rPr>
  </w:style>
  <w:style w:type="character" w:customStyle="1" w:styleId="CommentSubjectChar">
    <w:name w:val="Comment Subject Char"/>
    <w:basedOn w:val="CommentTextChar"/>
    <w:link w:val="CommentSubject"/>
    <w:uiPriority w:val="99"/>
    <w:semiHidden/>
    <w:rsid w:val="009D7614"/>
    <w:rPr>
      <w:b/>
      <w:bCs/>
      <w:sz w:val="20"/>
      <w:szCs w:val="20"/>
    </w:rPr>
  </w:style>
  <w:style w:type="paragraph" w:styleId="Revision">
    <w:name w:val="Revision"/>
    <w:hidden/>
    <w:uiPriority w:val="99"/>
    <w:semiHidden/>
    <w:rsid w:val="00663AC4"/>
    <w:pPr>
      <w:spacing w:after="0" w:line="240" w:lineRule="auto"/>
    </w:pPr>
  </w:style>
  <w:style w:type="paragraph" w:styleId="Bibliography">
    <w:name w:val="Bibliography"/>
    <w:basedOn w:val="Normal"/>
    <w:next w:val="Normal"/>
    <w:uiPriority w:val="37"/>
    <w:unhideWhenUsed/>
    <w:rsid w:val="0092645B"/>
    <w:pPr>
      <w:tabs>
        <w:tab w:val="left" w:pos="260"/>
      </w:tabs>
      <w:spacing w:after="0" w:line="480" w:lineRule="auto"/>
      <w:ind w:left="264" w:hanging="26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1511</Words>
  <Characters>8618</Characters>
  <Application>Microsoft Office Word</Application>
  <DocSecurity>0</DocSecurity>
  <Lines>71</Lines>
  <Paragraphs>20</Paragraphs>
  <ScaleCrop>false</ScaleCrop>
  <Company>M.D. Anderson Cancer Center</Company>
  <LinksUpToDate>false</LinksUpToDate>
  <CharactersWithSpaces>10109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Chou,Jui Hsuan</dc:creator>
  <cp:keywords/>
  <dc:description/>
  <cp:lastModifiedBy>周芮亘</cp:lastModifiedBy>
  <cp:revision>3</cp:revision>
  <dcterms:created xsi:type="dcterms:W3CDTF">2025-03-25T14:57:00Z</dcterms:created>
  <dcterms:modified xsi:type="dcterms:W3CDTF">2025-03-25T14:57:00Z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id="XzTllw6f"/&gt;&lt;style id="http://www.zotero.org/styles/nature" hasBibliography="1" bibliographyStyleHasBeenSet="1"/&gt;&lt;prefs&gt;&lt;pref name="fieldType" value="Field"/&gt;&lt;/prefs&gt;&lt;/data&gt;</vt:lpwstr>
  </property>
</Properties>
</file>