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2BDA" w14:textId="77777777" w:rsidR="00BB490F" w:rsidRDefault="00000000">
      <w:pPr>
        <w:rPr>
          <w:rFonts w:ascii="Times New Roman" w:eastAsia="Times New Roman" w:hAnsi="Times New Roman" w:cs="Times New Roman"/>
        </w:rPr>
      </w:pPr>
      <w:r>
        <w:rPr>
          <w:rFonts w:ascii="Times New Roman" w:eastAsia="Times New Roman" w:hAnsi="Times New Roman" w:cs="Times New Roman"/>
        </w:rPr>
        <w:t>Review History</w:t>
      </w:r>
    </w:p>
    <w:p w14:paraId="24C12BDB" w14:textId="77777777" w:rsidR="00BB490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24C12BDC" w14:textId="77777777" w:rsidR="00BB490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24C12BDD" w14:textId="77777777" w:rsidR="00BB490F" w:rsidRDefault="00BB490F">
      <w:pPr>
        <w:spacing w:after="0" w:line="240" w:lineRule="auto"/>
        <w:rPr>
          <w:rFonts w:ascii="Times New Roman" w:eastAsia="Times New Roman" w:hAnsi="Times New Roman" w:cs="Times New Roman"/>
          <w:b/>
        </w:rPr>
      </w:pPr>
    </w:p>
    <w:p w14:paraId="24C12BDE" w14:textId="77777777" w:rsidR="00BB490F" w:rsidRDefault="00000000">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24C12BDF" w14:textId="3420C864" w:rsidR="00BB490F" w:rsidRDefault="003C26B9">
      <w:pPr>
        <w:spacing w:after="0" w:line="240" w:lineRule="auto"/>
        <w:rPr>
          <w:rFonts w:ascii="Times New Roman" w:eastAsia="Times New Roman" w:hAnsi="Times New Roman" w:cs="Times New Roman"/>
        </w:rPr>
      </w:pPr>
      <w:r>
        <w:rPr>
          <w:rFonts w:ascii="Times New Roman" w:eastAsia="Times New Roman" w:hAnsi="Times New Roman" w:cs="Times New Roman"/>
        </w:rPr>
        <w:t>Y</w:t>
      </w:r>
      <w:r w:rsidRPr="003C26B9">
        <w:rPr>
          <w:rFonts w:ascii="Times New Roman" w:eastAsia="Times New Roman" w:hAnsi="Times New Roman" w:cs="Times New Roman"/>
        </w:rPr>
        <w:t>es, and I have assessed the statistics in my report.</w:t>
      </w:r>
    </w:p>
    <w:p w14:paraId="6F4AA9F0" w14:textId="77777777" w:rsidR="003C26B9" w:rsidRDefault="003C26B9">
      <w:pPr>
        <w:spacing w:after="0" w:line="240" w:lineRule="auto"/>
        <w:rPr>
          <w:rFonts w:ascii="Times New Roman" w:eastAsia="Times New Roman" w:hAnsi="Times New Roman" w:cs="Times New Roman"/>
        </w:rPr>
      </w:pPr>
    </w:p>
    <w:p w14:paraId="24C12BE0" w14:textId="77777777" w:rsidR="00BB490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24C12BE1" w14:textId="226C17BB" w:rsidR="00BB490F" w:rsidRDefault="00E2186B">
      <w:pPr>
        <w:spacing w:after="0" w:line="240" w:lineRule="auto"/>
        <w:rPr>
          <w:rFonts w:ascii="Times New Roman" w:eastAsia="Times New Roman" w:hAnsi="Times New Roman" w:cs="Times New Roman"/>
        </w:rPr>
      </w:pPr>
      <w:r w:rsidRPr="00E2186B">
        <w:rPr>
          <w:rFonts w:ascii="Times New Roman" w:eastAsia="Times New Roman" w:hAnsi="Times New Roman" w:cs="Times New Roman"/>
        </w:rPr>
        <w:t>This is a well written, easy-to-read manuscript assessing the crucial issue of metadata completeness in data submissions to public repositories. The authors should be congratulated for tackling such a difficult problem, and the robustness of their analysis (and the curation effort that must have gone into it!) is a significant and valuable piece of work. Their results are clearly reported, showing, surprisingly, that data available from public repositories is richer than that available in the publication. Overall this is a useful and insightful piece of work, however, I had some concerns about the methodology used to select studies to include in the author's dataset and whether the results can be generalised to support their conclusions on the completeness of metadata accompanying omics studies in public repositories.</w:t>
      </w:r>
      <w:r w:rsidRPr="00E2186B">
        <w:rPr>
          <w:rFonts w:ascii="Times New Roman" w:eastAsia="Times New Roman" w:hAnsi="Times New Roman" w:cs="Times New Roman"/>
        </w:rPr>
        <w:br/>
      </w:r>
      <w:r w:rsidRPr="00E2186B">
        <w:rPr>
          <w:rFonts w:ascii="Times New Roman" w:eastAsia="Times New Roman" w:hAnsi="Times New Roman" w:cs="Times New Roman"/>
        </w:rPr>
        <w:br/>
        <w:t>The authors explain that their dataset, D1, was created from "253 randomly selected scientific publications encompassing over 164 thousand samples across various disease conditions, phenotypes and organisms" but they do not define what types of studies were in scope for random selection. They define completeness of metadata as "organism, sex, age and tissue types" as well as "race/ethnicity/ancestry" or "strain". This set of phenotypes makes sense if the publications are limited in scope to (broadly) mammalian gene expression types of studies, but not a more general omics case (which may include microbiome, metagenomic, pathogenic, or many other sample types) for which this sense of metadata completeness may not fit. Biodiversity studies, for example, strongly require geographic coordinates for the source of the sample. The methods section also indicates that the authors harvested data from NCBI's Gene Expression Omnibus (GEO) - this is only one public repository in a vast ecosystem and observations about metadata completeness of the GEO repository may not generalise to other repositories.</w:t>
      </w:r>
      <w:r w:rsidRPr="00E2186B">
        <w:rPr>
          <w:rFonts w:ascii="Times New Roman" w:eastAsia="Times New Roman" w:hAnsi="Times New Roman" w:cs="Times New Roman"/>
        </w:rPr>
        <w:br/>
      </w:r>
      <w:r w:rsidRPr="00E2186B">
        <w:rPr>
          <w:rFonts w:ascii="Times New Roman" w:eastAsia="Times New Roman" w:hAnsi="Times New Roman" w:cs="Times New Roman"/>
        </w:rPr>
        <w:br/>
        <w:t>I would like to see the authors focus on modifying this manuscript to tighten up their definition of scope - which types of study were eligible for inclusion in their source dataset D1? Did they only look at metadata completeness in GEO, or did they inspect other repositories? The analysis itself is strong and robust, but analysis of completeness of metadata in mamallian gene expression studies in GEO is not the same as an analysis of completeness of metadata in omics studies in public repositories. The current manuscript does not appear to support the more general case; if the authors work is limited in scope, this paper would be stronger by making it's claims more specific. Alternatively, more details in the methods are required to explain how the results observed can be extrapolated to support more general conclusions about omics data across more repositories than just GEO.</w:t>
      </w:r>
    </w:p>
    <w:p w14:paraId="45EEC915" w14:textId="77777777" w:rsidR="00E2186B" w:rsidRDefault="00E2186B">
      <w:pPr>
        <w:spacing w:after="0" w:line="240" w:lineRule="auto"/>
        <w:rPr>
          <w:rFonts w:ascii="Times New Roman" w:eastAsia="Times New Roman" w:hAnsi="Times New Roman" w:cs="Times New Roman"/>
        </w:rPr>
      </w:pPr>
    </w:p>
    <w:p w14:paraId="24C12BE2" w14:textId="77777777" w:rsidR="00BB490F" w:rsidRDefault="00BB490F">
      <w:pPr>
        <w:spacing w:after="0" w:line="240" w:lineRule="auto"/>
        <w:rPr>
          <w:rFonts w:ascii="Times New Roman" w:eastAsia="Times New Roman" w:hAnsi="Times New Roman" w:cs="Times New Roman"/>
        </w:rPr>
      </w:pPr>
    </w:p>
    <w:p w14:paraId="15B8D4DF" w14:textId="77777777" w:rsidR="00073363" w:rsidRDefault="00073363">
      <w:pPr>
        <w:spacing w:after="0" w:line="240" w:lineRule="auto"/>
        <w:rPr>
          <w:rFonts w:ascii="Times New Roman" w:eastAsia="Times New Roman" w:hAnsi="Times New Roman" w:cs="Times New Roman"/>
        </w:rPr>
      </w:pPr>
    </w:p>
    <w:p w14:paraId="24C12BE3" w14:textId="77777777" w:rsidR="00BB490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24C12BE4" w14:textId="77777777" w:rsidR="00BB490F" w:rsidRDefault="00BB490F">
      <w:pPr>
        <w:spacing w:after="0" w:line="240" w:lineRule="auto"/>
        <w:rPr>
          <w:rFonts w:ascii="Times New Roman" w:eastAsia="Times New Roman" w:hAnsi="Times New Roman" w:cs="Times New Roman"/>
          <w:b/>
          <w:color w:val="000033"/>
          <w:highlight w:val="white"/>
        </w:rPr>
      </w:pPr>
    </w:p>
    <w:p w14:paraId="24C12BE5" w14:textId="77777777" w:rsidR="00BB490F" w:rsidRDefault="0000000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24C12BE7" w14:textId="72C7FF1D" w:rsidR="00BB490F" w:rsidRPr="00E2186B" w:rsidRDefault="00E2186B">
      <w:pPr>
        <w:spacing w:after="0" w:line="240" w:lineRule="auto"/>
        <w:rPr>
          <w:rFonts w:ascii="Times New Roman" w:eastAsia="Times New Roman" w:hAnsi="Times New Roman" w:cs="Times New Roman"/>
          <w:bCs/>
          <w:color w:val="000033"/>
          <w:highlight w:val="white"/>
        </w:rPr>
      </w:pPr>
      <w:r w:rsidRPr="00E2186B">
        <w:rPr>
          <w:rFonts w:ascii="Times New Roman" w:eastAsia="Times New Roman" w:hAnsi="Times New Roman" w:cs="Times New Roman"/>
          <w:bCs/>
          <w:color w:val="000033"/>
          <w:highlight w:val="white"/>
        </w:rPr>
        <w:t>Yes, and I have assessed the statistics in my report.</w:t>
      </w:r>
    </w:p>
    <w:p w14:paraId="24C12BE8" w14:textId="77777777" w:rsidR="00BB490F" w:rsidRDefault="00BB490F">
      <w:pPr>
        <w:rPr>
          <w:rFonts w:ascii="Times New Roman" w:eastAsia="Times New Roman" w:hAnsi="Times New Roman" w:cs="Times New Roman"/>
        </w:rPr>
      </w:pPr>
    </w:p>
    <w:p w14:paraId="24C12BE9" w14:textId="77777777" w:rsidR="00BB490F" w:rsidRDefault="00000000">
      <w:pPr>
        <w:rPr>
          <w:rFonts w:ascii="Times New Roman" w:eastAsia="Times New Roman" w:hAnsi="Times New Roman" w:cs="Times New Roman"/>
          <w:b/>
        </w:rPr>
      </w:pPr>
      <w:r>
        <w:rPr>
          <w:rFonts w:ascii="Times New Roman" w:eastAsia="Times New Roman" w:hAnsi="Times New Roman" w:cs="Times New Roman"/>
          <w:b/>
        </w:rPr>
        <w:t>Comments to author:</w:t>
      </w:r>
    </w:p>
    <w:p w14:paraId="24C12BEA" w14:textId="7D04A56F" w:rsidR="00BB490F" w:rsidRDefault="00170350">
      <w:pPr>
        <w:rPr>
          <w:rFonts w:ascii="Times New Roman" w:eastAsia="Times New Roman" w:hAnsi="Times New Roman" w:cs="Times New Roman"/>
        </w:rPr>
      </w:pPr>
      <w:r w:rsidRPr="00170350">
        <w:rPr>
          <w:rFonts w:ascii="Times New Roman" w:eastAsia="Times New Roman" w:hAnsi="Times New Roman" w:cs="Times New Roman"/>
        </w:rPr>
        <w:lastRenderedPageBreak/>
        <w:t>This study systematically assesses the completeness of public metadata accompanying omics studies by analyzing over 253 studies and an extended dataset of 61,000 studies. The study finds that metadata availability is often incomplete, with public repositories generally containing more metadata than scientific publications, highlighting the need for improved metadata sharing practices and standardization. The reviewer has the following concerns:</w:t>
      </w:r>
      <w:r w:rsidRPr="00170350">
        <w:rPr>
          <w:rFonts w:ascii="Times New Roman" w:eastAsia="Times New Roman" w:hAnsi="Times New Roman" w:cs="Times New Roman"/>
        </w:rPr>
        <w:br/>
      </w:r>
      <w:r w:rsidRPr="00170350">
        <w:rPr>
          <w:rFonts w:ascii="Times New Roman" w:eastAsia="Times New Roman" w:hAnsi="Times New Roman" w:cs="Times New Roman"/>
        </w:rPr>
        <w:br/>
        <w:t>1. In terms of the manuscript, it should have included tables. However, I could not find any tables in the downloaded supplementary materials. The supplementary file only provides support supplementary figures.</w:t>
      </w:r>
      <w:r w:rsidRPr="00170350">
        <w:rPr>
          <w:rFonts w:ascii="Times New Roman" w:eastAsia="Times New Roman" w:hAnsi="Times New Roman" w:cs="Times New Roman"/>
        </w:rPr>
        <w:br/>
        <w:t>2. This study systematically analyzes metadata completeness across multiple studies. However, throughout the manuscript, the study only presents descriptive statistics without providing deeper insights or novel contributions. This makes the study feel incomplete:</w:t>
      </w:r>
      <w:r w:rsidRPr="00170350">
        <w:rPr>
          <w:rFonts w:ascii="Times New Roman" w:eastAsia="Times New Roman" w:hAnsi="Times New Roman" w:cs="Times New Roman"/>
        </w:rPr>
        <w:br/>
        <w:t>a. What is the definition of metadata completeness? The study only considers six phenotypes: race/ethnicity/ancestry (REA), age, sex, tissue type, and strain information. Metadata encompasses many other attributes. Why did the authors exclude additional phenotypes such as geographic location or marital status?</w:t>
      </w:r>
      <w:r w:rsidRPr="00170350">
        <w:rPr>
          <w:rFonts w:ascii="Times New Roman" w:eastAsia="Times New Roman" w:hAnsi="Times New Roman" w:cs="Times New Roman"/>
        </w:rPr>
        <w:br/>
        <w:t>b. The study states that "The limited availability of metadata reported in our study emphasizes the necessity for improved metadata sharing practices and standardized reporting". However, there is no analysis of how the incompleteness of each phenotype affects research. The study should provide a quantitative assessment of the impact of missing metadata on scientific studies.</w:t>
      </w:r>
      <w:r w:rsidRPr="00170350">
        <w:rPr>
          <w:rFonts w:ascii="Times New Roman" w:eastAsia="Times New Roman" w:hAnsi="Times New Roman" w:cs="Times New Roman"/>
        </w:rPr>
        <w:br/>
        <w:t>3. The discussion suggests improving metadata reporting but does not propose concrete strategies (e.g., standardized metadata formats, automated metadata extraction tools). A dedicated section discussing a standardized metadata format or guidelines for metadata completeness would enhance the study's practical value. Establishing such a standard would help future studies improve metadata reporting and benefit researchers who rely on metadata extraction.</w:t>
      </w:r>
      <w:r w:rsidRPr="00170350">
        <w:rPr>
          <w:rFonts w:ascii="Times New Roman" w:eastAsia="Times New Roman" w:hAnsi="Times New Roman" w:cs="Times New Roman"/>
        </w:rPr>
        <w:br/>
        <w:t>4. In the section "Extraction of metadata from public genomic repositories", the study mentions the use of custom Python scripts to extract metadata. However, some datasets do not store metadata in separate files like CSVs. For example, in single-cell data, metadata may be provided in expression files such as h5ad or rds. Did the study scan all files within a GEO dataset to ensure complete metadata extraction? If not, the methodology likely introduced omissions and inaccuracies. If yes, the study should describe how these challenges were addressed in Methods.</w:t>
      </w:r>
      <w:r w:rsidRPr="00170350">
        <w:rPr>
          <w:rFonts w:ascii="Times New Roman" w:eastAsia="Times New Roman" w:hAnsi="Times New Roman" w:cs="Times New Roman"/>
        </w:rPr>
        <w:br/>
        <w:t>5. The study states: "Our analysis revealed a substantial improvement in metadata reporting practices, particularly in studies released after 2018, where we observed a remarkable 47.1% increase in metadata reporting in that year alone. In contrast, studies predating 2017 had substantially lower metadata availability with only 10.3% metadata available (Figure 1c)."</w:t>
      </w:r>
      <w:r w:rsidRPr="00170350">
        <w:rPr>
          <w:rFonts w:ascii="Times New Roman" w:eastAsia="Times New Roman" w:hAnsi="Times New Roman" w:cs="Times New Roman"/>
        </w:rPr>
        <w:br/>
        <w:t>a. This sentence is potentially misleading. It suggests that 47.1% is the absolute percentage difference between 2018 and 2017, but it could also be interpreted as the rate of increase in 2018 compared to 2017. The authors should clarify this point.</w:t>
      </w:r>
      <w:r w:rsidRPr="00170350">
        <w:rPr>
          <w:rFonts w:ascii="Times New Roman" w:eastAsia="Times New Roman" w:hAnsi="Times New Roman" w:cs="Times New Roman"/>
        </w:rPr>
        <w:br/>
        <w:t>b. Have the authors investigated why there is a big increase in metadata reporting after 2018? Were there policy changes, journal mandates, or community efforts around that time that encouraged better metadata sharing?</w:t>
      </w:r>
      <w:r w:rsidRPr="00170350">
        <w:rPr>
          <w:rFonts w:ascii="Times New Roman" w:eastAsia="Times New Roman" w:hAnsi="Times New Roman" w:cs="Times New Roman"/>
        </w:rPr>
        <w:br/>
        <w:t xml:space="preserve">6. The analysis of metadata availability for the top five non-human organisms in the 153 non-human studies lacks detail. What factors contribute to metadata completeness discrepancies across species? For example, genetic and evolutionary studies may require different metadata completeness levels compared </w:t>
      </w:r>
      <w:r w:rsidRPr="00170350">
        <w:rPr>
          <w:rFonts w:ascii="Times New Roman" w:eastAsia="Times New Roman" w:hAnsi="Times New Roman" w:cs="Times New Roman"/>
        </w:rPr>
        <w:lastRenderedPageBreak/>
        <w:t>to cancer research in mouse models, where sex is often a critical phenotype. This distinction should be discussed.</w:t>
      </w:r>
      <w:r w:rsidRPr="00170350">
        <w:rPr>
          <w:rFonts w:ascii="Times New Roman" w:eastAsia="Times New Roman" w:hAnsi="Times New Roman" w:cs="Times New Roman"/>
        </w:rPr>
        <w:br/>
        <w:t>7. The study categorizes metadata as sample-level vs. experiment-level, but the criteria for this classification are not clearly defined. How do the authors determine whether metadata is exclusively shared at the experiment level? How is the percentage of experiment-level metadata calculated?</w:t>
      </w:r>
      <w:r w:rsidRPr="00170350">
        <w:rPr>
          <w:rFonts w:ascii="Times New Roman" w:eastAsia="Times New Roman" w:hAnsi="Times New Roman" w:cs="Times New Roman"/>
        </w:rPr>
        <w:br/>
        <w:t>8. In the section "Discrepancies in metadata sharing practices were observed across seven disease conditions", the study focuses on six general phenotypes. However, in disease-related research, clinical phenotypes (e.g., disease severity, treatment history, comorbidities) are often more important than the listed six phenotypes. The study should include an analysis of clinical-associated phenotypes to provide a more comprehensive assessment of metadata completeness in disease studies.</w:t>
      </w:r>
      <w:r w:rsidRPr="00170350">
        <w:rPr>
          <w:rFonts w:ascii="Times New Roman" w:eastAsia="Times New Roman" w:hAnsi="Times New Roman" w:cs="Times New Roman"/>
        </w:rPr>
        <w:br/>
        <w:t>9. The authors should provide a supplementary table listing whether each of the 253 studies includes metadata for the mentioned phenotypes.</w:t>
      </w:r>
    </w:p>
    <w:p w14:paraId="40DD6375" w14:textId="77777777" w:rsidR="00170350" w:rsidRDefault="00170350">
      <w:pPr>
        <w:rPr>
          <w:rFonts w:ascii="Times New Roman" w:eastAsia="Times New Roman" w:hAnsi="Times New Roman" w:cs="Times New Roman"/>
        </w:rPr>
      </w:pPr>
    </w:p>
    <w:p w14:paraId="327CEEF4" w14:textId="77777777" w:rsidR="00170350" w:rsidRDefault="00170350">
      <w:pPr>
        <w:rPr>
          <w:rFonts w:ascii="Times New Roman" w:eastAsia="Times New Roman" w:hAnsi="Times New Roman" w:cs="Times New Roman"/>
        </w:rPr>
      </w:pPr>
    </w:p>
    <w:p w14:paraId="24C12BEB" w14:textId="77777777" w:rsidR="00BB490F" w:rsidRDefault="00000000">
      <w:pPr>
        <w:rPr>
          <w:rFonts w:ascii="Times New Roman" w:eastAsia="Times New Roman" w:hAnsi="Times New Roman" w:cs="Times New Roman"/>
          <w:b/>
        </w:rPr>
      </w:pPr>
      <w:r>
        <w:rPr>
          <w:rFonts w:ascii="Times New Roman" w:eastAsia="Times New Roman" w:hAnsi="Times New Roman" w:cs="Times New Roman"/>
          <w:b/>
        </w:rPr>
        <w:t>Authors Response</w:t>
      </w:r>
    </w:p>
    <w:p w14:paraId="24C12BEC" w14:textId="77777777" w:rsidR="00BB490F" w:rsidRDefault="0000000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24C12BEF" w14:textId="3573AAE5" w:rsidR="00BB490F" w:rsidRDefault="00CC2B2A">
      <w:pPr>
        <w:rPr>
          <w:rFonts w:ascii="Times New Roman" w:eastAsia="Times New Roman" w:hAnsi="Times New Roman" w:cs="Times New Roman"/>
        </w:rPr>
      </w:pPr>
      <w:r w:rsidRPr="00CC2B2A">
        <w:rPr>
          <w:rFonts w:ascii="Times New Roman" w:eastAsia="Times New Roman" w:hAnsi="Times New Roman" w:cs="Times New Roman"/>
        </w:rPr>
        <w:t xml:space="preserve">Comment #1 from Reviewer 1: </w:t>
      </w:r>
      <w:r w:rsidRPr="00CC2B2A">
        <w:rPr>
          <w:rFonts w:ascii="Times New Roman" w:eastAsia="Times New Roman" w:hAnsi="Times New Roman" w:cs="Times New Roman"/>
        </w:rPr>
        <w:br/>
        <w:t xml:space="preserve">This is a well written, easy-to-read manuscript assessing the crucial issue of metadata completeness in data submissions to public repositories. The authors should be congratulated for tackling such a difficult problem, and the robustness of their analysis (and the curation effort that must have gone into it!) is a significant and valuable piece of work. Their results are clearly reported, showing, surprisingly, that data available from public repositories is richer than that available in the publication. Overall this is a useful and insightful piece of work, however, I had some concerns about the methodology used to select studies to include in the author's dataset and whether the results can be generalised to support their conclusions on the completeness of metadata accompanying omics studies in public repositories. </w:t>
      </w:r>
      <w:r w:rsidRPr="00CC2B2A">
        <w:rPr>
          <w:rFonts w:ascii="Times New Roman" w:eastAsia="Times New Roman" w:hAnsi="Times New Roman" w:cs="Times New Roman"/>
        </w:rPr>
        <w:br/>
        <w:t xml:space="preserve">The authors explain that their dataset, D1, was created from "253 randomly selected scientific publications encompassing over 164 thousand samples across various disease conditions, phenotypes and organisms" but they do not define what types of studies were in scope for random selection. They define completeness of metadata as "organism, sex, age and tissue types" as well as "race/ethnicity/ancestry" or "strain". This set of phenotypes makes sense if the publications are limited in scope to (broadly) mammalian gene expression types of studies, but not a more general omics case (which may include microbiome, metagenomic, pathogenic, or many other sample types) for which this sense of metadata completeness may not fit. Biodiversity studies, for example, strongly require geographic coordinates for the source of the sample. The methods section also indicates that the authors harvested data from NCBI's Gene Expression Omnibus (GEO) - this is only one public repository in a vast ecosystem and observations about metadata completeness of the GEO repository may not generalise to other repositories.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Response to Comment #1 from the Reviewer 1: </w:t>
      </w:r>
      <w:r w:rsidRPr="00CC2B2A">
        <w:rPr>
          <w:rFonts w:ascii="Times New Roman" w:eastAsia="Times New Roman" w:hAnsi="Times New Roman" w:cs="Times New Roman"/>
        </w:rPr>
        <w:br/>
        <w:t xml:space="preserve">We sincerely thank the reviewer for the positive and encouraging feedback on our manuscript. We are especially grateful for the recognition of the effort involved in curating and analyzing metadata </w:t>
      </w:r>
      <w:r w:rsidRPr="00CC2B2A">
        <w:rPr>
          <w:rFonts w:ascii="Times New Roman" w:eastAsia="Times New Roman" w:hAnsi="Times New Roman" w:cs="Times New Roman"/>
        </w:rPr>
        <w:lastRenderedPageBreak/>
        <w:t xml:space="preserve">completeness across such a large dataset, and we appreciate the insightful comments regarding the scope and generalizability of our study. </w:t>
      </w:r>
      <w:r w:rsidRPr="00CC2B2A">
        <w:rPr>
          <w:rFonts w:ascii="Times New Roman" w:eastAsia="Times New Roman" w:hAnsi="Times New Roman" w:cs="Times New Roman"/>
        </w:rPr>
        <w:br/>
        <w:t xml:space="preserve">In response to the reviewer’s concern regarding the selection criteria for studies included in Dataset D1, we acknowledge that our manuscript could benefit from a clearer description of the study types considered in the random sampling. We have now revised the Methods section to explicitly state that our sampling frame was restricted to transcriptomic studies involving mammalian samples, with a primary focus on human and mouse gene expression datasets. This was intentional, as our selected metadata elements—organism, sex, age, tissue, and race/ethnicity/ancestry or strain—are commonly expected and biologically meaningful in the context of mammalian gene expression research. We agree with the reviewer that different domains, such as metagenomics or biodiversity studies, involve distinct metadata standards (e.g., geographic coordinates, environmental source descriptors), and we have added a clarification to the Discussion section to address the limitations of generalizing our findings to those domains. </w:t>
      </w:r>
      <w:r w:rsidRPr="00CC2B2A">
        <w:rPr>
          <w:rFonts w:ascii="Times New Roman" w:eastAsia="Times New Roman" w:hAnsi="Times New Roman" w:cs="Times New Roman"/>
        </w:rPr>
        <w:br/>
        <w:t xml:space="preserve">Regarding the use of GEO as our primary data source, we appreciate the reviewer’s observation that the omics data ecosystem is broader and more diverse than GEO alone. We chose GEO due to its prominence in hosting transcriptomic data and its compatibility with our research question focused on metadata accompanying gene expression studies. We have revised the manuscript to explicitly acknowledge this scope and to caution readers against overgeneralizing our findings to all types of omics repositories. We believe these clarifications improve the transparency of our methodological choices and appropriately contextualize the generalizability of our results. We are grateful for the reviewer’s thoughtful critique, which has helped us strengthen the manuscript.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updated the text: </w:t>
      </w:r>
      <w:r w:rsidRPr="00CC2B2A">
        <w:rPr>
          <w:rFonts w:ascii="Times New Roman" w:eastAsia="Times New Roman" w:hAnsi="Times New Roman" w:cs="Times New Roman"/>
        </w:rPr>
        <w:br/>
        <w:t xml:space="preserve">Abstract </w:t>
      </w:r>
      <w:r w:rsidRPr="00CC2B2A">
        <w:rPr>
          <w:rFonts w:ascii="Times New Roman" w:eastAsia="Times New Roman" w:hAnsi="Times New Roman" w:cs="Times New Roman"/>
        </w:rPr>
        <w:br/>
        <w:t xml:space="preserve">In this study, we performed a comprehensive assessment of metadata completeness shared in both scientific publications and/or public repositories by analyzing over 253 studies encompassing over 164 thousands samples, including both human and non-human mammalian studies. </w:t>
      </w:r>
      <w:r w:rsidRPr="00CC2B2A">
        <w:rPr>
          <w:rFonts w:ascii="Times New Roman" w:eastAsia="Times New Roman" w:hAnsi="Times New Roman" w:cs="Times New Roman"/>
        </w:rPr>
        <w:br/>
        <w:t xml:space="preserve">Methods </w:t>
      </w:r>
      <w:r w:rsidRPr="00CC2B2A">
        <w:rPr>
          <w:rFonts w:ascii="Times New Roman" w:eastAsia="Times New Roman" w:hAnsi="Times New Roman" w:cs="Times New Roman"/>
        </w:rPr>
        <w:br/>
        <w:t xml:space="preserve">Datasets </w:t>
      </w:r>
      <w:r w:rsidRPr="00CC2B2A">
        <w:rPr>
          <w:rFonts w:ascii="Times New Roman" w:eastAsia="Times New Roman" w:hAnsi="Times New Roman" w:cs="Times New Roman"/>
        </w:rPr>
        <w:br/>
        <w:t xml:space="preserve">We examine the per-sample metadata completeness within the D1 dataset, spanning 253 mammalian multi-omics studies retrieved from NCBI's Gene Expression Omnibus (GEO) and comprising a total of 164,909 samples. This dataset included 20,047 human samples from 153 studies and 144,862 non-human samples from 100 studies. The human studies covered a variety of diseases, including Alzheimer's disease, acute myeloid leukemia, cardiovascular disease, inflammatory bowel disease, multiple sclerosis, sepsis, and tuberculosis. The remaining 100 studies involved non-human samples, including Mus musculus, Parus major, and Glycine max (Figure S1). Additionally, for the D2 dataset, we randomly selected 61,950 studies from the GEO repository, encompassing a total of 2,168,620 samples. Among the studies in the D2-dataset, 2,119,749 samples were non-human samples, while 48,871 samples were human samples.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lastRenderedPageBreak/>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#2 from Reviewer 1: </w:t>
      </w:r>
      <w:r w:rsidRPr="00CC2B2A">
        <w:rPr>
          <w:rFonts w:ascii="Times New Roman" w:eastAsia="Times New Roman" w:hAnsi="Times New Roman" w:cs="Times New Roman"/>
        </w:rPr>
        <w:br/>
        <w:t xml:space="preserve">I would like to see the authors focus on modifying this manuscript to tighten up their definition of scope - which types of study were eligible for inclusion in their source dataset D1? Did they only look at metadata completeness in GEO, or did they inspect other repositories? The analysis itself is strong and robust, but analysis of completeness of metadata in mamallian gene expression studies in GEO is not the same as an analysis of completeness of metadata in omics studies in public repositories. The current manuscript does not appear to support the more general case; if the authors work is limited in scope, this paper would be stronger by making it's claims more specific. Alternatively, more details in the methods are required to explain how the results observed can be extrapolated to support more general conclusions about omics data across more repositories than just GEO.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Response to Comment #2 from the Reviewer 1: </w:t>
      </w:r>
      <w:r w:rsidRPr="00CC2B2A">
        <w:rPr>
          <w:rFonts w:ascii="Times New Roman" w:eastAsia="Times New Roman" w:hAnsi="Times New Roman" w:cs="Times New Roman"/>
        </w:rPr>
        <w:br/>
        <w:t xml:space="preserve">We sincerely appreciate the reviewer’s thoughtful feedback and recognition of our study’s significance. Below, we address the specific concerns raised: </w:t>
      </w:r>
      <w:r w:rsidRPr="00CC2B2A">
        <w:rPr>
          <w:rFonts w:ascii="Times New Roman" w:eastAsia="Times New Roman" w:hAnsi="Times New Roman" w:cs="Times New Roman"/>
        </w:rPr>
        <w:br/>
        <w:t xml:space="preserve">1. Clarification of Study Scope in Dataset D1: We appreciate the need for greater clarity regarding the selection criteria for studies included in Dataset D1. We evaluate metadata completeness by examining information such as organism, sex, age, tissue type, and—depending on the species—race/ethnicity/ancestry (for human samples) or strain (for non-human samples). To exemplify the human component of Dataset D1, we randomly selected studies covering a range of diseases, including Alzheimer’s disease, acute myeloid leukemia, cardiovascular disease, inflammatory bowel disease, multiple sclerosis, sepsis, and tuberculosis. In contrast, Dataset D1 comprises non-human datasets that were randomly extracted from GEO. The composition of non-human Dataset D1 spans a diverse range of species, including Mus musculus, Parus major, and Glycine max (Figure S1). We have updated the Abstract and Methods section to clearly state that Dataset D1 includes both human and non-human mammalian studies, with metadata completeness evaluated according to species-specific standards. This clarification ensures that the scope and criteria for dataset inclusion are transparent and accurately reflect the study design. </w:t>
      </w:r>
      <w:r w:rsidRPr="00CC2B2A">
        <w:rPr>
          <w:rFonts w:ascii="Times New Roman" w:eastAsia="Times New Roman" w:hAnsi="Times New Roman" w:cs="Times New Roman"/>
        </w:rPr>
        <w:br/>
        <w:t xml:space="preserve">2. Justification for Selected Metadata Categories for Dataset D1 and D2: We agree with the reviewer that different omics fields (e.g., microbiome, metagenomics, biodiversity studies) may require distinct metadata categories, such as geographic coordinates. For Dataset D2, we randomly extracted 61,950 studies from the GEO repository to capture its diversity. We focused on metadata categories broadly applicable across all transcriptomics datasets—namely, organism, age, tissue, strain (for non-human samples), and sex. While race/ethnicity/ancestry was considered for human samples, metadata fields specific to niche omics fields were beyond the scope of our analysis. We have clarified this rationale in the manuscript to enhance transparency. </w:t>
      </w:r>
      <w:r w:rsidRPr="00CC2B2A">
        <w:rPr>
          <w:rFonts w:ascii="Times New Roman" w:eastAsia="Times New Roman" w:hAnsi="Times New Roman" w:cs="Times New Roman"/>
        </w:rPr>
        <w:br/>
        <w:t xml:space="preserve">3. Generalizability Beyond GEO: We confirm that our analysis was conducted exclusively on datasets retrieved from GEO, and we recognize that metadata completeness in GEO may not fully represent other repositories. To enhance clarity, we have revised the manuscript to specify that our findings pertain to metadata completeness within GEO rather than all public omics repositories. While GEO is one of the most widely used and comprehensive repositories for transcriptomics data and associated metadata, we acknowledge the broader ecosystem of public repositories. However, our study does not extend to </w:t>
      </w:r>
      <w:r w:rsidRPr="00CC2B2A">
        <w:rPr>
          <w:rFonts w:ascii="Times New Roman" w:eastAsia="Times New Roman" w:hAnsi="Times New Roman" w:cs="Times New Roman"/>
        </w:rPr>
        <w:lastRenderedPageBreak/>
        <w:t xml:space="preserve">databases such as ENA, ArrayExpress, or other domain-specific repositories. </w:t>
      </w:r>
      <w:r w:rsidRPr="00CC2B2A">
        <w:rPr>
          <w:rFonts w:ascii="Times New Roman" w:eastAsia="Times New Roman" w:hAnsi="Times New Roman" w:cs="Times New Roman"/>
        </w:rPr>
        <w:br/>
        <w:t xml:space="preserve">4. Modification of Claims for Accuracy: In light of the above points, we have adjusted our claims to reflect the specific scope of our study, ensuring that we do not generalize our conclusions beyond the GEO repository and mammalian transcriptomics datasets. We have refined our discussion to highlight that while our findings offer valuable insights into metadata completeness within GEO, extrapolating them to other repositories would require further investigation.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In response to reviewer feedback, we revised the manuscript as follows: </w:t>
      </w:r>
      <w:r w:rsidRPr="00CC2B2A">
        <w:rPr>
          <w:rFonts w:ascii="Times New Roman" w:eastAsia="Times New Roman" w:hAnsi="Times New Roman" w:cs="Times New Roman"/>
        </w:rPr>
        <w:br/>
        <w:t xml:space="preserve">We updated the title to: </w:t>
      </w:r>
      <w:r w:rsidRPr="00CC2B2A">
        <w:rPr>
          <w:rFonts w:ascii="Times New Roman" w:eastAsia="Times New Roman" w:hAnsi="Times New Roman" w:cs="Times New Roman"/>
        </w:rPr>
        <w:br/>
        <w:t xml:space="preserve">The systematic assessment of completeness of public metadata accompanying omics studies in the Gene Expression Omnibus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updated the text: </w:t>
      </w:r>
      <w:r w:rsidRPr="00CC2B2A">
        <w:rPr>
          <w:rFonts w:ascii="Times New Roman" w:eastAsia="Times New Roman" w:hAnsi="Times New Roman" w:cs="Times New Roman"/>
        </w:rPr>
        <w:br/>
        <w:t xml:space="preserve">Abstract </w:t>
      </w:r>
      <w:r w:rsidRPr="00CC2B2A">
        <w:rPr>
          <w:rFonts w:ascii="Times New Roman" w:eastAsia="Times New Roman" w:hAnsi="Times New Roman" w:cs="Times New Roman"/>
        </w:rPr>
        <w:br/>
        <w:t xml:space="preserve">In this study, we performed a comprehensive assessment of metadata completeness shared in both scientific publications and/or public repositories by analyzing over 253 studies encompassing over 164 thousands samples, including both human and non-human mammalian studies.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Methods </w:t>
      </w:r>
      <w:r w:rsidRPr="00CC2B2A">
        <w:rPr>
          <w:rFonts w:ascii="Times New Roman" w:eastAsia="Times New Roman" w:hAnsi="Times New Roman" w:cs="Times New Roman"/>
        </w:rPr>
        <w:br/>
        <w:t xml:space="preserve">Datasets </w:t>
      </w:r>
      <w:r w:rsidRPr="00CC2B2A">
        <w:rPr>
          <w:rFonts w:ascii="Times New Roman" w:eastAsia="Times New Roman" w:hAnsi="Times New Roman" w:cs="Times New Roman"/>
        </w:rPr>
        <w:br/>
        <w:t xml:space="preserve">We examine the per-sample metadata completeness within the D1 dataset, spanning 253 mammalian multi-omics studies retrieved from NCBI's Gene Expression Omnibus (GEO) and comprising a total of 164,909 samples. This dataset included 20,047 human samples from 153 studies and 144,862 non-human samples from 100 studies. The human studies covered a variety of diseases, including Alzheimer's disease, acute myeloid leukemia, cardiovascular disease, inflammatory bowel disease, multiple sclerosis, sepsis, and tuberculosis. The remaining 100 studies involved non-human samples, including Mus musculus, Parus major, and Glycine max (Figure S1). Additionally, for the D2 dataset, we randomly selected 61,950 studies from the GEO repository, encompassing a total of 2,168,620 samples. Among the studies in the D2-dataset, 2,119,749 samples were non-human samples, while 48,871 samples were human samples. </w:t>
      </w:r>
      <w:r w:rsidRPr="00CC2B2A">
        <w:rPr>
          <w:rFonts w:ascii="Times New Roman" w:eastAsia="Times New Roman" w:hAnsi="Times New Roman" w:cs="Times New Roman"/>
        </w:rPr>
        <w:br/>
        <w:t xml:space="preserve">Discussion </w:t>
      </w:r>
      <w:r w:rsidRPr="00CC2B2A">
        <w:rPr>
          <w:rFonts w:ascii="Times New Roman" w:eastAsia="Times New Roman" w:hAnsi="Times New Roman" w:cs="Times New Roman"/>
        </w:rPr>
        <w:br/>
        <w:t xml:space="preserve">Our study is the first to systematically analyze metadata completeness across multiple organisms and phenotypes, revealing limited availability of metadata both in textual content of publications and public repositories. While metadata completeness varies by phenotype, organism and tissue types are consistently reported, whereas age, sex, strain, and race/ethnicity/ancestry information are often missing (Figure S2). Notably, non-human studies demonstrated an enhanced commitment to sharing metadata than human studies.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Making metadata widely available in public repositories such as GEO can enhance the transparency and reproducibility of research, facilitate cross-study comparisons, and contribute to the advancement of scientific knowledge by providing comprehensive contextual information about datasets.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Lastly, while the GEO constitutes a highly comprehensive repository for omic data and associated metadata, it represents only a singular component within the broader ecosystem of publicly accessible </w:t>
      </w:r>
      <w:r w:rsidRPr="00CC2B2A">
        <w:rPr>
          <w:rFonts w:ascii="Times New Roman" w:eastAsia="Times New Roman" w:hAnsi="Times New Roman" w:cs="Times New Roman"/>
        </w:rPr>
        <w:lastRenderedPageBreak/>
        <w:t xml:space="preserve">genomic repositories. Our analysis focused specifically on the GEO and consequently excluded other significant repositories such as the Sequence Read Archive (SRA), European Nucleotide Archive (ENA), ArrayExpress, or domain-specific databases. Future research endeavors should aim to broaden this analysis to encompass a more comprehensive suite of these resources. Such an expanded investigation would yield a more robust and representative assessment of metadata reporting standards and practices across the wider genomics research landscape.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These clarifications have been incorporated into the Methods and Discussion sections to align with the reviewer’s recommendations. We appreciate the constructive feedback, which has helped improve the rigor and specificity of our manuscript.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#1 from Reviewer 2: </w:t>
      </w:r>
      <w:r w:rsidRPr="00CC2B2A">
        <w:rPr>
          <w:rFonts w:ascii="Times New Roman" w:eastAsia="Times New Roman" w:hAnsi="Times New Roman" w:cs="Times New Roman"/>
        </w:rPr>
        <w:br/>
        <w:t xml:space="preserve">This study systematically assesses the completeness of public metadata accompanying omics studies by analyzing over 253 studies and an extended dataset of 61,000 studies. The study finds that metadata availability is often incomplete, with public repositories generally containing more metadata than scientific publications, highlighting the need for improved metadata sharing practices and standardization. The reviewer has the following concerns: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Response to Comment #1 from Reviewer 1: </w:t>
      </w:r>
      <w:r w:rsidRPr="00CC2B2A">
        <w:rPr>
          <w:rFonts w:ascii="Times New Roman" w:eastAsia="Times New Roman" w:hAnsi="Times New Roman" w:cs="Times New Roman"/>
        </w:rPr>
        <w:br/>
        <w:t xml:space="preserve">We thank the reviewer for the comment.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#2 from Reviewer 2: </w:t>
      </w:r>
      <w:r w:rsidRPr="00CC2B2A">
        <w:rPr>
          <w:rFonts w:ascii="Times New Roman" w:eastAsia="Times New Roman" w:hAnsi="Times New Roman" w:cs="Times New Roman"/>
        </w:rPr>
        <w:br/>
        <w:t xml:space="preserve">1. In terms of the manuscript, it should have included tables. However, I could not find any tables in the downloaded supplementary materials. The supplementary file only provides support supplementary figures.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Response to Comment #2 from Reviewer 2: </w:t>
      </w:r>
      <w:r w:rsidRPr="00CC2B2A">
        <w:rPr>
          <w:rFonts w:ascii="Times New Roman" w:eastAsia="Times New Roman" w:hAnsi="Times New Roman" w:cs="Times New Roman"/>
        </w:rPr>
        <w:br/>
        <w:t xml:space="preserve">We thank the reviewer for the comment. We have uploaded the raw data on the project Github page and submitted as a compressed folder as a supplementary materials. We the following data availability statement: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Data Availability </w:t>
      </w:r>
      <w:r w:rsidRPr="00CC2B2A">
        <w:rPr>
          <w:rFonts w:ascii="Times New Roman" w:eastAsia="Times New Roman" w:hAnsi="Times New Roman" w:cs="Times New Roman"/>
        </w:rPr>
        <w:br/>
        <w:t xml:space="preserve">All data for the study can be found at https://github.com/Mangul-Lab-USC/metadata-completeness and the supplementary materials.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#3 from Reviewer 2: </w:t>
      </w:r>
      <w:r w:rsidRPr="00CC2B2A">
        <w:rPr>
          <w:rFonts w:ascii="Times New Roman" w:eastAsia="Times New Roman" w:hAnsi="Times New Roman" w:cs="Times New Roman"/>
        </w:rPr>
        <w:br/>
        <w:t xml:space="preserve">2. This study systematically analyzes metadata completeness across multiple studies. However, throughout the manuscript, the study only presents descriptive statistics without providing deeper insights or novel contributions. This makes the study feel incomplete: </w:t>
      </w:r>
      <w:r w:rsidRPr="00CC2B2A">
        <w:rPr>
          <w:rFonts w:ascii="Times New Roman" w:eastAsia="Times New Roman" w:hAnsi="Times New Roman" w:cs="Times New Roman"/>
        </w:rPr>
        <w:br/>
        <w:t xml:space="preserve">a. What is the definition of metadata completeness? The study only considers six phenotypes: race/ethnicity/ancestry (REA), age, sex, tissue type, and strain information. Metadata encompasses many other attributes. Why did the authors exclude additional phenotypes such as geographic location or marital status? </w:t>
      </w:r>
      <w:r w:rsidRPr="00CC2B2A">
        <w:rPr>
          <w:rFonts w:ascii="Times New Roman" w:eastAsia="Times New Roman" w:hAnsi="Times New Roman" w:cs="Times New Roman"/>
        </w:rPr>
        <w:br/>
      </w:r>
      <w:r w:rsidRPr="00CC2B2A">
        <w:rPr>
          <w:rFonts w:ascii="Times New Roman" w:eastAsia="Times New Roman" w:hAnsi="Times New Roman" w:cs="Times New Roman"/>
        </w:rPr>
        <w:lastRenderedPageBreak/>
        <w:t xml:space="preserve">Response to Comment #3 from Reviewer 2: </w:t>
      </w:r>
      <w:r w:rsidRPr="00CC2B2A">
        <w:rPr>
          <w:rFonts w:ascii="Times New Roman" w:eastAsia="Times New Roman" w:hAnsi="Times New Roman" w:cs="Times New Roman"/>
        </w:rPr>
        <w:br/>
        <w:t xml:space="preserve">We appreciate the reviewer’s suggestion to clarify our definition of metadata completeness. In our study, we focused on six core phenotypic attributes—race/ethnicity/ancestry (REA), age, sex, tissue type, and strain—due to their frequent use in downstream analyses (e.g., differential expression, population stratification) and their standardization across multiple repositories. While metadata indeed encompasses a broader range of attributes (e.g., geographic location, marital status), these additional variables were often sparsely available, inconsistently reported, or less directly relevant to the analyses typically performed in functional genomics studies. We have revised the manuscript to explicitly define metadata completeness within this scope and to explain our rationale for focusing on these six phenotypes.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modify the introduction: </w:t>
      </w:r>
      <w:r w:rsidRPr="00CC2B2A">
        <w:rPr>
          <w:rFonts w:ascii="Times New Roman" w:eastAsia="Times New Roman" w:hAnsi="Times New Roman" w:cs="Times New Roman"/>
        </w:rPr>
        <w:br/>
        <w:t xml:space="preserve">Our findings revealed incomplete metadata reporting practices in both the textual content of publications and public repositories. In this study, we define metadata completeness as the availability of six core phenotypic attributes: race/ethnicity/ancestry (REA), age, sex, tissue type, and strain. These attributes were selected due to their relevance to downstream biomedical analyses (e.g., population stratification, sample matching, and disease modeling), as well as their relatively consistent presence across datasets and repositories. While we recognize that metadata can include other variables such as geographic location or marital status, these were either inconsistently reported or not commonly used in the context of genomics and transcriptomics studies. The limited availability of key metadata types highlights the pressing need to improve metadata completeness and accessibility. Therefore, it is crucial to define best practices for metadata sharing and identify barriers to such practices. This will enable future researchers to ensure the availability, completeness, and accuracy of metadata. Increasing metadata accessibility and reliability would significantly benefit the scientific community and beyond, facilitating data-driven decisions and policy formulations across diverse biomedical research domains. Notably, we observed that the textual content of publications often contains less metadata than the associated repositories, and many phenotypes are not consistently shared between these two sources.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#4 from Reviewer 2: </w:t>
      </w:r>
      <w:r w:rsidRPr="00CC2B2A">
        <w:rPr>
          <w:rFonts w:ascii="Times New Roman" w:eastAsia="Times New Roman" w:hAnsi="Times New Roman" w:cs="Times New Roman"/>
        </w:rPr>
        <w:br/>
        <w:t xml:space="preserve">B. The study states that "The limited availability of metadata reported in our study emphasizes the necessity for improved metadata sharing practices and standardized reporting". However, there is no analysis of how the incompleteness of each phenotype affects research. The study should provide a quantitative assessment of the impact of missing metadata on scientific studies. </w:t>
      </w:r>
      <w:r w:rsidRPr="00CC2B2A">
        <w:rPr>
          <w:rFonts w:ascii="Times New Roman" w:eastAsia="Times New Roman" w:hAnsi="Times New Roman" w:cs="Times New Roman"/>
        </w:rPr>
        <w:br/>
        <w:t xml:space="preserve">Response to Comment #4 from Reviewer 2: </w:t>
      </w:r>
      <w:r w:rsidRPr="00CC2B2A">
        <w:rPr>
          <w:rFonts w:ascii="Times New Roman" w:eastAsia="Times New Roman" w:hAnsi="Times New Roman" w:cs="Times New Roman"/>
        </w:rPr>
        <w:br/>
        <w:t xml:space="preserve">We thank the reviewer for raising this important point. While our primary goal was to evaluate the prevalence of metadata reporting, we acknowledge that the downstream impact of missing metadata is a critical consideration. A full quantitative assessment of the consequences of incompleteness is beyond the current study’s scope, as it would require a targeted analysis across diverse study designs. However, we have added a brief discussion and cited relevant literature demonstrating how missing metadata, particularly variables like REA or tissue type, can lead to biased results or limit reproducibility. We believe this contextualization helps underscore the practical implications of incomplete metadata while keeping the focus on the descriptive findings of our work.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added the section in discussion: </w:t>
      </w:r>
      <w:r w:rsidRPr="00CC2B2A">
        <w:rPr>
          <w:rFonts w:ascii="Times New Roman" w:eastAsia="Times New Roman" w:hAnsi="Times New Roman" w:cs="Times New Roman"/>
        </w:rPr>
        <w:br/>
        <w:t xml:space="preserve">In addition to format-related constraints, the lack of standardized metadata reporting across studies further </w:t>
      </w:r>
      <w:r w:rsidRPr="00CC2B2A">
        <w:rPr>
          <w:rFonts w:ascii="Times New Roman" w:eastAsia="Times New Roman" w:hAnsi="Times New Roman" w:cs="Times New Roman"/>
        </w:rPr>
        <w:lastRenderedPageBreak/>
        <w:t xml:space="preserve">complicates systematic extraction. Metadata fields vary widely in completeness, terminology, and structure, which can affect the reliability and comparability of downstream analyses. While our study focused on evaluating the overall extent of metadata reporting, we recognize that missing or inconsistent metadata—particularly key variables such as race/ethnicity/ancestry (REA) or tissue type—can introduce bias and limit reproducibility. A comprehensive assessment of the downstream effects of such incompleteness was beyond the scope of this work, as it would require study-specific evaluation across diverse designs.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#5 from Reviewer 2: </w:t>
      </w:r>
      <w:r w:rsidRPr="00CC2B2A">
        <w:rPr>
          <w:rFonts w:ascii="Times New Roman" w:eastAsia="Times New Roman" w:hAnsi="Times New Roman" w:cs="Times New Roman"/>
        </w:rPr>
        <w:br/>
        <w:t xml:space="preserve">3. The discussion suggests improving metadata reporting but does not propose concrete strategies (e.g., standardized metadata formats, automated metadata extraction tools). A dedicated section discussing a standardized metadata format or guidelines for metadata completeness would enhance the study's practical value. Establishing such a standard would help future studies improve metadata reporting and benefit researchers who rely on metadata extraction. </w:t>
      </w:r>
      <w:r w:rsidRPr="00CC2B2A">
        <w:rPr>
          <w:rFonts w:ascii="Times New Roman" w:eastAsia="Times New Roman" w:hAnsi="Times New Roman" w:cs="Times New Roman"/>
        </w:rPr>
        <w:br/>
        <w:t xml:space="preserve">Response to Comment #5 from Reviewer 2: </w:t>
      </w:r>
      <w:r w:rsidRPr="00CC2B2A">
        <w:rPr>
          <w:rFonts w:ascii="Times New Roman" w:eastAsia="Times New Roman" w:hAnsi="Times New Roman" w:cs="Times New Roman"/>
        </w:rPr>
        <w:br/>
        <w:t xml:space="preserve">We acknowledge the importance of providing tangible strategies to enhance metadata reporting practices. In response to your suggestion, we have incorporated a dedicated section in the discussion: </w:t>
      </w:r>
      <w:r w:rsidRPr="00CC2B2A">
        <w:rPr>
          <w:rFonts w:ascii="Times New Roman" w:eastAsia="Times New Roman" w:hAnsi="Times New Roman" w:cs="Times New Roman"/>
        </w:rPr>
        <w:br/>
        <w:t xml:space="preserve">To improve metadata reporting in omics research, we propose four key strategies centered on standardization, automation, enforcement, and community coordination. First, adopting standardized metadata schemas based on the FAIR (Findable, Accessible, Interoperable, Reusable)33,41 principles is essential for ensuring data reusability and interoperability. Frameworks42 such as MIxS from the Genomic Standards Consortium43, GA4GH models44, and Clinical Data Interchange Standards Consortium45 (CDISC) templates provide structured guidelines for genomic and clinical metadata reporting. By adopting these frameworks, researchers can ensure that their metadata is comprehensive and consistent, thereby enhancing data integration and interoperability. Second, integrating automated tools can enhance metadata accuracy and reduce manual effort. Tools like Omics Metadata Management Software46 (OMMS) and MARMoSET47 enable standardized and automated metadata curation for various omics datasets, streamlining data preparation for analysis and sharing. Third, journals and funding agencies should mandate the inclusion of comprehensive metadata using standardized checklists aligned with FAIR principles. This requirement would promote transparency and reproducibility across research outputs. For instance, the Digital Repository of Ireland48 (DRI) emphasizes the importance of adhering to the FAIR principles to enhance data sharing and reuse. By enforcing such standards, journals and funding bodies can drive cultural change towards more transparent and reproducible research practices. Finally, establishing community-wide minimal metadata reporting guidelines tailored to specific omics data types can reduce ambiguity and improve data integration. Efforts led by groups like the Genomic Standards Consortium (GSC) have demonstrated the value of domain-specific consensus standards41,42,49. By implementing these strategies, the scientific community can address current challenges in metadata reporting, thereby enhancing the reproducibility, reliability, and collaborative potential of omics research50.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Reference: </w:t>
      </w:r>
      <w:r w:rsidRPr="00CC2B2A">
        <w:rPr>
          <w:rFonts w:ascii="Times New Roman" w:eastAsia="Times New Roman" w:hAnsi="Times New Roman" w:cs="Times New Roman"/>
        </w:rPr>
        <w:br/>
        <w:t xml:space="preserve">33. O’Connor, M. J. et al. Ensuring Adherence to Standards in Experiment-Related Metadata Entered Via Spreadsheets. Sci. Data 12, 265 (2025) </w:t>
      </w:r>
      <w:r w:rsidRPr="00CC2B2A">
        <w:rPr>
          <w:rFonts w:ascii="Times New Roman" w:eastAsia="Times New Roman" w:hAnsi="Times New Roman" w:cs="Times New Roman"/>
        </w:rPr>
        <w:br/>
        <w:t xml:space="preserve">41. Wilkinson, M. D. et al. The FAIR Guiding Principles for scientific data management and stewardship. </w:t>
      </w:r>
      <w:r w:rsidRPr="00CC2B2A">
        <w:rPr>
          <w:rFonts w:ascii="Times New Roman" w:eastAsia="Times New Roman" w:hAnsi="Times New Roman" w:cs="Times New Roman"/>
        </w:rPr>
        <w:lastRenderedPageBreak/>
        <w:t xml:space="preserve">Sci. Data 3, 160018 (2016). </w:t>
      </w:r>
      <w:r w:rsidRPr="00CC2B2A">
        <w:rPr>
          <w:rFonts w:ascii="Times New Roman" w:eastAsia="Times New Roman" w:hAnsi="Times New Roman" w:cs="Times New Roman"/>
        </w:rPr>
        <w:br/>
        <w:t xml:space="preserve">42. Huang, Y.-N. et al. Perceptual and technical barriers in sharing and formatting metadata accompanying omics studies. Cell Genomics 100845 (2025) doi:10.1016/j.xgen.2025.100845. </w:t>
      </w:r>
      <w:r w:rsidRPr="00CC2B2A">
        <w:rPr>
          <w:rFonts w:ascii="Times New Roman" w:eastAsia="Times New Roman" w:hAnsi="Times New Roman" w:cs="Times New Roman"/>
        </w:rPr>
        <w:br/>
        <w:t xml:space="preserve">43.Musen, M. A. et al. Modeling community standards for metadata as templates makes data FAIR. Sci. Data 9, 696 (2022). </w:t>
      </w:r>
      <w:r w:rsidRPr="00CC2B2A">
        <w:rPr>
          <w:rFonts w:ascii="Times New Roman" w:eastAsia="Times New Roman" w:hAnsi="Times New Roman" w:cs="Times New Roman"/>
        </w:rPr>
        <w:br/>
        <w:t xml:space="preserve">44. Meyer, R. et al. Aligning Standards Communities for Omics Biodiversity Data: Sustainable Darwin Core-MIxS Interoperability. Biodivers. Data J. 11, e112420 (2023). </w:t>
      </w:r>
      <w:r w:rsidRPr="00CC2B2A">
        <w:rPr>
          <w:rFonts w:ascii="Times New Roman" w:eastAsia="Times New Roman" w:hAnsi="Times New Roman" w:cs="Times New Roman"/>
        </w:rPr>
        <w:br/>
        <w:t xml:space="preserve">45. Rehm, H. L. et al. GA4GH: International policies and standards for data sharing across genomic research and healthcare. Cell Genomics 1, 100029 (2021). </w:t>
      </w:r>
      <w:r w:rsidRPr="00CC2B2A">
        <w:rPr>
          <w:rFonts w:ascii="Times New Roman" w:eastAsia="Times New Roman" w:hAnsi="Times New Roman" w:cs="Times New Roman"/>
        </w:rPr>
        <w:br/>
        <w:t xml:space="preserve">46. Hume, S. et al. CDISC SHARE, a Global, Cloud-based Resource of Machine-Readable CDISC Standards for Clinical and Translational Research. AMIA Jt. Summits Transl. Sci. Proc. AMIA Jt. Summits Transl. Sci. 2017, 94–103 (2018). </w:t>
      </w:r>
      <w:r w:rsidRPr="00CC2B2A">
        <w:rPr>
          <w:rFonts w:ascii="Times New Roman" w:eastAsia="Times New Roman" w:hAnsi="Times New Roman" w:cs="Times New Roman"/>
        </w:rPr>
        <w:br/>
        <w:t xml:space="preserve">47. Perez-Arriaga, M. O. et al. Omics Metadata Management Software (OMMS). Bioinformation 11, 165–172 (2015). </w:t>
      </w:r>
      <w:r w:rsidRPr="00CC2B2A">
        <w:rPr>
          <w:rFonts w:ascii="Times New Roman" w:eastAsia="Times New Roman" w:hAnsi="Times New Roman" w:cs="Times New Roman"/>
        </w:rPr>
        <w:br/>
        <w:t xml:space="preserve">48. Kiweler, M., Looso, M. &amp; Graumann, J. MARMoSET – Extracting Publication-ready Mass Spectrometry Metadata from RAW Files. Mol. Cell. Proteomics MCP 18, 1700–1702 (2019). </w:t>
      </w:r>
      <w:r w:rsidRPr="00CC2B2A">
        <w:rPr>
          <w:rFonts w:ascii="Times New Roman" w:eastAsia="Times New Roman" w:hAnsi="Times New Roman" w:cs="Times New Roman"/>
        </w:rPr>
        <w:br/>
        <w:t xml:space="preserve">49. Digital Repository of Ireland. DRI Guidelines - Digital Repository of Ireland. (2016). </w:t>
      </w:r>
      <w:r w:rsidRPr="00CC2B2A">
        <w:rPr>
          <w:rFonts w:ascii="Times New Roman" w:eastAsia="Times New Roman" w:hAnsi="Times New Roman" w:cs="Times New Roman"/>
        </w:rPr>
        <w:br/>
        <w:t xml:space="preserve">50. Ellis, S. E. &amp; Leek, J. T. How to share data for collaboration. Am. Stat. 72, 53–57 (2018).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#6 from Reviewer 2: </w:t>
      </w:r>
      <w:r w:rsidRPr="00CC2B2A">
        <w:rPr>
          <w:rFonts w:ascii="Times New Roman" w:eastAsia="Times New Roman" w:hAnsi="Times New Roman" w:cs="Times New Roman"/>
        </w:rPr>
        <w:br/>
        <w:t xml:space="preserve">4. In the section "Extraction of metadata from public genomic repositories", the study mentions the use of custom Python scripts to extract metadata. However, some datasets do not store metadata in separate files like CSVs. For example, in single-cell data, metadata may be provided in expression files such as h5ad or rds. Did the study scan all files within a GEO dataset to ensure complete metadata extraction? If not, the methodology likely introduced omissions and inaccuracies. If yes, the study should describe how these challenges were addressed in Methods. </w:t>
      </w:r>
      <w:r w:rsidRPr="00CC2B2A">
        <w:rPr>
          <w:rFonts w:ascii="Times New Roman" w:eastAsia="Times New Roman" w:hAnsi="Times New Roman" w:cs="Times New Roman"/>
        </w:rPr>
        <w:br/>
        <w:t xml:space="preserve">Response to Comment #6 from Reviewer 2: </w:t>
      </w:r>
      <w:r w:rsidRPr="00CC2B2A">
        <w:rPr>
          <w:rFonts w:ascii="Times New Roman" w:eastAsia="Times New Roman" w:hAnsi="Times New Roman" w:cs="Times New Roman"/>
        </w:rPr>
        <w:br/>
        <w:t xml:space="preserve">We appreciate your insightful feedback regarding our metadata extraction methodology, particularly concerning datasets where metadata are embedded within expression files such as h5ad or rds formats. In our study, we employed custom Python scripts to extract metadata from public genomic repositories, focusing on structured formats like CSV files. We acknowledge that this approach may not have comprehensively captured metadata embedded within complex data structures commonly used in single-cell RNA sequencing (scRNA-seq) datasets.​ </w:t>
      </w:r>
      <w:r w:rsidRPr="00CC2B2A">
        <w:rPr>
          <w:rFonts w:ascii="Times New Roman" w:eastAsia="Times New Roman" w:hAnsi="Times New Roman" w:cs="Times New Roman"/>
        </w:rPr>
        <w:br/>
        <w:t xml:space="preserve">To address this limitation, we have included a dedicated section in our manuscript that transparently discusses the constraints of our metadata extraction methodology, particularly concerning datasets where metadata are embedded within complex file formats. This addition aims to provide clarity on the scope of our study and to guide future research towards developing more comprehensive data retrieval approaches.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The section is written: </w:t>
      </w:r>
      <w:r w:rsidRPr="00CC2B2A">
        <w:rPr>
          <w:rFonts w:ascii="Times New Roman" w:eastAsia="Times New Roman" w:hAnsi="Times New Roman" w:cs="Times New Roman"/>
        </w:rPr>
        <w:br/>
        <w:t xml:space="preserve">Discussion </w:t>
      </w:r>
      <w:r w:rsidRPr="00CC2B2A">
        <w:rPr>
          <w:rFonts w:ascii="Times New Roman" w:eastAsia="Times New Roman" w:hAnsi="Times New Roman" w:cs="Times New Roman"/>
        </w:rPr>
        <w:br/>
        <w:t xml:space="preserve">Our metadata extraction methodology, while effective in retrieving structured information from the Gene Expression Omnibus (GEO), has several notable limitations. We focused on parsing metadata from XML files available via the NCBI FTP server and converting them into CSV format for downstream analysis. This approach is well-suited for datasets where metadata are explicitly stored in accessible and </w:t>
      </w:r>
      <w:r w:rsidRPr="00CC2B2A">
        <w:rPr>
          <w:rFonts w:ascii="Times New Roman" w:eastAsia="Times New Roman" w:hAnsi="Times New Roman" w:cs="Times New Roman"/>
        </w:rPr>
        <w:lastRenderedPageBreak/>
        <w:t xml:space="preserve">standardized formats. However, GEO contains a wide range of datasets with heterogeneous metadata reporting practices, which can present challenges for uniform extraction. </w:t>
      </w:r>
      <w:r w:rsidRPr="00CC2B2A">
        <w:rPr>
          <w:rFonts w:ascii="Times New Roman" w:eastAsia="Times New Roman" w:hAnsi="Times New Roman" w:cs="Times New Roman"/>
        </w:rPr>
        <w:br/>
        <w:t xml:space="preserve">An additional limitation of our pipeline is its inability to retrieve metadata embedded in non-XML file formats. For example, complex data types such as single-cell RNA sequencing often store key metadata within formats like HDF5 (.h5ad) or R serialized files (.rds). Since our current pipeline does not support these formats, relevant metadata from such datasets may be overlooked, resulting in partial or incomplete metadata capture. This highlights the need for more adaptable and format-aware extraction tools capable of parsing metadata from diverse file types..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#7 from Reviewer 2: </w:t>
      </w:r>
      <w:r w:rsidRPr="00CC2B2A">
        <w:rPr>
          <w:rFonts w:ascii="Times New Roman" w:eastAsia="Times New Roman" w:hAnsi="Times New Roman" w:cs="Times New Roman"/>
        </w:rPr>
        <w:br/>
        <w:t xml:space="preserve">5. The study states: "Our analysis revealed a substantial improvement in metadata reporting practices, particularly in studies released after 2018, where we observed a remarkable 47.1% increase in metadata reporting in that year alone. In contrast, studies predating 2017 had substantially lower metadata availability with only 10.3% metadata available (Figure 1c)." </w:t>
      </w:r>
      <w:r w:rsidRPr="00CC2B2A">
        <w:rPr>
          <w:rFonts w:ascii="Times New Roman" w:eastAsia="Times New Roman" w:hAnsi="Times New Roman" w:cs="Times New Roman"/>
        </w:rPr>
        <w:br/>
        <w:t xml:space="preserve">a. This sentence is potentially misleading. It suggests that 47.1% is the absolute percentage difference between 2018 and 2017, but it could also be interpreted as the rate of increase in 2018 compared to 2017. The authors should clarify this point: </w:t>
      </w:r>
      <w:r w:rsidRPr="00CC2B2A">
        <w:rPr>
          <w:rFonts w:ascii="Times New Roman" w:eastAsia="Times New Roman" w:hAnsi="Times New Roman" w:cs="Times New Roman"/>
        </w:rPr>
        <w:br/>
        <w:t xml:space="preserve">Response to Comment #7 from Reviewer 2: </w:t>
      </w:r>
      <w:r w:rsidRPr="00CC2B2A">
        <w:rPr>
          <w:rFonts w:ascii="Times New Roman" w:eastAsia="Times New Roman" w:hAnsi="Times New Roman" w:cs="Times New Roman"/>
        </w:rPr>
        <w:br/>
        <w:t xml:space="preserve">We appreciate your careful review and the opportunity to clarify our findings regarding metadata reporting practices over time. To address your concern about the potential ambiguity in our original statement, we have revised the text for clarity.​ </w:t>
      </w:r>
      <w:r w:rsidRPr="00CC2B2A">
        <w:rPr>
          <w:rFonts w:ascii="Times New Roman" w:eastAsia="Times New Roman" w:hAnsi="Times New Roman" w:cs="Times New Roman"/>
        </w:rPr>
        <w:br/>
        <w:t xml:space="preserve">Revised Text: </w:t>
      </w:r>
      <w:r w:rsidRPr="00CC2B2A">
        <w:rPr>
          <w:rFonts w:ascii="Times New Roman" w:eastAsia="Times New Roman" w:hAnsi="Times New Roman" w:cs="Times New Roman"/>
        </w:rPr>
        <w:br/>
        <w:t xml:space="preserve">Our analysis revealed a substantial improvement in metadata reporting practices, particularly in studies released after 2018 (Figure 1c). Most of the phenotypes experienced a drastic increase in availability after 2018, including age, organism, sex, tissue, and strain information. In contrast, studies published before 2010 show a significant limitation in the availability of the six phenotypes (Figure S3).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#8 from Reviewer 2: </w:t>
      </w:r>
      <w:r w:rsidRPr="00CC2B2A">
        <w:rPr>
          <w:rFonts w:ascii="Times New Roman" w:eastAsia="Times New Roman" w:hAnsi="Times New Roman" w:cs="Times New Roman"/>
        </w:rPr>
        <w:br/>
        <w:t xml:space="preserve">b. Have the authors investigated why there is a big increase in metadata reporting after 2018? Were there policy changes, journal mandates, or community efforts around that time that encouraged better metadata sharing?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Response to Comment #8 from Reviewer 2: </w:t>
      </w:r>
      <w:r w:rsidRPr="00CC2B2A">
        <w:rPr>
          <w:rFonts w:ascii="Times New Roman" w:eastAsia="Times New Roman" w:hAnsi="Times New Roman" w:cs="Times New Roman"/>
        </w:rPr>
        <w:br/>
        <w:t xml:space="preserve">​We appreciate your insightful observation regarding the notable increase in metadata reporting after 2018. While our study primarily focused on analyzing metadata availability trends, we acknowledge the importance of understanding the factors contributing to this improvement. Several developments around that time likely influenced enhanced metadata sharing practices:​ </w:t>
      </w:r>
      <w:r w:rsidRPr="00CC2B2A">
        <w:rPr>
          <w:rFonts w:ascii="Times New Roman" w:eastAsia="Times New Roman" w:hAnsi="Times New Roman" w:cs="Times New Roman"/>
        </w:rPr>
        <w:br/>
        <w:t xml:space="preserve">1. Journal Data Policies: In 2018, many academic publishers and journals began implementing standardized data policies to promote transparency and reproducibility. For instance, Springer Nature introduced standard data policies across more than 1,500 of its journals, encouraging authors to share data and associated metadata openly1. </w:t>
      </w:r>
      <w:r w:rsidRPr="00CC2B2A">
        <w:rPr>
          <w:rFonts w:ascii="Times New Roman" w:eastAsia="Times New Roman" w:hAnsi="Times New Roman" w:cs="Times New Roman"/>
        </w:rPr>
        <w:br/>
        <w:t xml:space="preserve">2. Community Initiatives: Organizations such as Crossref reintroduced Participation Reports in 2018 to encourage best practices in open metadata2. These reports provided members with insights into their </w:t>
      </w:r>
      <w:r w:rsidRPr="00CC2B2A">
        <w:rPr>
          <w:rFonts w:ascii="Times New Roman" w:eastAsia="Times New Roman" w:hAnsi="Times New Roman" w:cs="Times New Roman"/>
        </w:rPr>
        <w:lastRenderedPageBreak/>
        <w:t xml:space="preserve">metadata records, highlighting areas for improvement and fostering a culture of comprehensive metadata sharing2. </w:t>
      </w:r>
      <w:r w:rsidRPr="00CC2B2A">
        <w:rPr>
          <w:rFonts w:ascii="Times New Roman" w:eastAsia="Times New Roman" w:hAnsi="Times New Roman" w:cs="Times New Roman"/>
        </w:rPr>
        <w:br/>
        <w:t xml:space="preserve">3. Open Science Mandates: The broader open science movement gained momentum around 20183, with initiatives like Plan S advocating for immediate open access to research publications. Such policies emphasized the importance of data sharing and comprehensive metadata to facilitate research transparency and reuse. </w:t>
      </w:r>
      <w:r w:rsidRPr="00CC2B2A">
        <w:rPr>
          <w:rFonts w:ascii="Times New Roman" w:eastAsia="Times New Roman" w:hAnsi="Times New Roman" w:cs="Times New Roman"/>
        </w:rPr>
        <w:br/>
        <w:t xml:space="preserve">While these factors likely contributed to the observed increase in metadata reporting, further research would be necessary to establish a direct causal relationship. We acknowledge this as a limitation of our current study and appreciate your suggestion to explore these influences in future research. </w:t>
      </w:r>
      <w:r w:rsidRPr="00CC2B2A">
        <w:rPr>
          <w:rFonts w:ascii="Times New Roman" w:eastAsia="Times New Roman" w:hAnsi="Times New Roman" w:cs="Times New Roman"/>
        </w:rPr>
        <w:br/>
        <w:t xml:space="preserve">Reference: </w:t>
      </w:r>
      <w:r w:rsidRPr="00CC2B2A">
        <w:rPr>
          <w:rFonts w:ascii="Times New Roman" w:eastAsia="Times New Roman" w:hAnsi="Times New Roman" w:cs="Times New Roman"/>
        </w:rPr>
        <w:br/>
        <w:t xml:space="preserve">1. Grant, R., Smith, G. &amp; Hrynaszkiewicz, I. Assessing Metadata and Curation Quality: a Case Study from the Development of a Third-Party Curation Service at Springer Nature. International Journal of Digital Curation 14, 238–249 (2019). </w:t>
      </w:r>
      <w:r w:rsidRPr="00CC2B2A">
        <w:rPr>
          <w:rFonts w:ascii="Times New Roman" w:eastAsia="Times New Roman" w:hAnsi="Times New Roman" w:cs="Times New Roman"/>
        </w:rPr>
        <w:br/>
        <w:t xml:space="preserve">2. Bartell, A. Re-introducing Participation Reports to encourage best practices in open metadata. Crossref https://www.crossref.org/blog/re-introducing-participation-reports-to-encourage-best-practices-in-open-metadata/. </w:t>
      </w:r>
      <w:r w:rsidRPr="00CC2B2A">
        <w:rPr>
          <w:rFonts w:ascii="Times New Roman" w:eastAsia="Times New Roman" w:hAnsi="Times New Roman" w:cs="Times New Roman"/>
        </w:rPr>
        <w:br/>
        <w:t xml:space="preserve">3. Mills, M. Plan S – what is its meaning for open access journals and for the JACMP? J. Appl. Clin. Med. Phys. 20, 4–6 (2019).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added the section in discussion: </w:t>
      </w:r>
      <w:r w:rsidRPr="00CC2B2A">
        <w:rPr>
          <w:rFonts w:ascii="Times New Roman" w:eastAsia="Times New Roman" w:hAnsi="Times New Roman" w:cs="Times New Roman"/>
        </w:rPr>
        <w:br/>
        <w:t xml:space="preserve">Several developments around 2018 may have contributed to improved metadata reporting practices observed in public repositories. For instance, many journals began adopting standardized data policies aimed at enhancing transparency and reproducibility. Springer Nature, for example, implemented standard data policies across over 1,500 journals, encouraging researchers to share data and associated metadata openly50. Concurrently, community-driven efforts such as Crossref’s reintroduction of Participation Reports helped promote open metadata standards by providing feedback on the completeness of metadata records. Moreover, the broader open science movement gained momentum during this period, with initiatives such as Plan S51 advocating for immediate open access to research outputs and reinforcing the importance of metadata for enabling data reuse. While these initiatives likely influenced the trends we observed, we acknowledge that our current study does not establish a direct causal relationship between policy changes and metadata completeness. Further investigation would be required to systematically assess the impact of these external factors.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Reference: </w:t>
      </w:r>
      <w:r w:rsidRPr="00CC2B2A">
        <w:rPr>
          <w:rFonts w:ascii="Times New Roman" w:eastAsia="Times New Roman" w:hAnsi="Times New Roman" w:cs="Times New Roman"/>
        </w:rPr>
        <w:br/>
        <w:t xml:space="preserve">50. Grant, R., Smith, G. &amp; Hrynaszkiewicz, I. Assessing Metadata and Curation Quality: a Case Study from the Development of a Third-Party Curation Service at Springer Nature. Int. J. Digit. Curation 14, 238–249 (2019). </w:t>
      </w:r>
      <w:r w:rsidRPr="00CC2B2A">
        <w:rPr>
          <w:rFonts w:ascii="Times New Roman" w:eastAsia="Times New Roman" w:hAnsi="Times New Roman" w:cs="Times New Roman"/>
        </w:rPr>
        <w:br/>
        <w:t xml:space="preserve">51. Mills, M. Plan S – what is its meaning for open access journals and for the JACMP? J. Appl. Clin. Med. Phys. 20, 4–6 (2019).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#9 from Reviewer 2: </w:t>
      </w:r>
      <w:r w:rsidRPr="00CC2B2A">
        <w:rPr>
          <w:rFonts w:ascii="Times New Roman" w:eastAsia="Times New Roman" w:hAnsi="Times New Roman" w:cs="Times New Roman"/>
        </w:rPr>
        <w:br/>
        <w:t xml:space="preserve">6. The analysis of metadata availability for the top five non-human organisms in the 153 non-human studies lacks detail. What factors contribute to metadata completeness discrepancies across species? For </w:t>
      </w:r>
      <w:r w:rsidRPr="00CC2B2A">
        <w:rPr>
          <w:rFonts w:ascii="Times New Roman" w:eastAsia="Times New Roman" w:hAnsi="Times New Roman" w:cs="Times New Roman"/>
        </w:rPr>
        <w:lastRenderedPageBreak/>
        <w:t xml:space="preserve">example, genetic and evolutionary studies may require different metadata completeness levels compared to cancer research in mouse models, where sex is often a critical phenotype. This distinction should be discussed. </w:t>
      </w:r>
      <w:r w:rsidRPr="00CC2B2A">
        <w:rPr>
          <w:rFonts w:ascii="Times New Roman" w:eastAsia="Times New Roman" w:hAnsi="Times New Roman" w:cs="Times New Roman"/>
        </w:rPr>
        <w:br/>
        <w:t xml:space="preserve">Response to Comment #9 from Reviewer 2: </w:t>
      </w:r>
      <w:r w:rsidRPr="00CC2B2A">
        <w:rPr>
          <w:rFonts w:ascii="Times New Roman" w:eastAsia="Times New Roman" w:hAnsi="Times New Roman" w:cs="Times New Roman"/>
        </w:rPr>
        <w:br/>
        <w:t xml:space="preserve">We appreciate your insightful observation regarding the variability in metadata completeness across species in our analysis of the 153 non-human studies. Understanding the factors contributing to these discrepancies is indeed crucial for accurately interpreting our findings. The completeness of metadata in genomic studies can vary significantly across different species, influenced by several key factors:​ </w:t>
      </w:r>
      <w:r w:rsidRPr="00CC2B2A">
        <w:rPr>
          <w:rFonts w:ascii="Times New Roman" w:eastAsia="Times New Roman" w:hAnsi="Times New Roman" w:cs="Times New Roman"/>
        </w:rPr>
        <w:br/>
        <w:t xml:space="preserve">1. Research Objectives and Study Design: The nature of the research dictates the essential metadata elements. For instance:​ </w:t>
      </w:r>
      <w:r w:rsidRPr="00CC2B2A">
        <w:rPr>
          <w:rFonts w:ascii="Times New Roman" w:eastAsia="Times New Roman" w:hAnsi="Times New Roman" w:cs="Times New Roman"/>
        </w:rPr>
        <w:br/>
        <w:t xml:space="preserve">a. Genetic and Evolutionary Studies: These studies often focus on broad genetic patterns across populations or species, where individual-specific metadata (e.g., age, sex) may be less critical. Consequently, metadata completeness in such studies might be limited to taxonomic classification and geographic origin.​ </w:t>
      </w:r>
      <w:r w:rsidRPr="00CC2B2A">
        <w:rPr>
          <w:rFonts w:ascii="Times New Roman" w:eastAsia="Times New Roman" w:hAnsi="Times New Roman" w:cs="Times New Roman"/>
        </w:rPr>
        <w:br/>
        <w:t xml:space="preserve">b. Disease Model Research (e.g., Cancer Studies in Mouse Models): In contrast, studies utilizing mouse models to investigate diseases like cancer require detailed metadata. Attributes such as sex, age, and genetic background are vital, as they can significantly influence disease manifestation and treatment responses. For example, sex is a critical variable in cancer research involving mouse models due to its impact on tumor development and progression.​ </w:t>
      </w:r>
      <w:r w:rsidRPr="00CC2B2A">
        <w:rPr>
          <w:rFonts w:ascii="Times New Roman" w:eastAsia="Times New Roman" w:hAnsi="Times New Roman" w:cs="Times New Roman"/>
        </w:rPr>
        <w:br/>
        <w:t xml:space="preserve">2. Standardization and Reporting Practices: Different research communities have varying standards and guidelines for metadata reporting. Fields with well-established protocols may exhibit higher metadata completeness, while emerging areas might lack standardized reporting practices, leading to inconsistencies.​ </w:t>
      </w:r>
      <w:r w:rsidRPr="00CC2B2A">
        <w:rPr>
          <w:rFonts w:ascii="Times New Roman" w:eastAsia="Times New Roman" w:hAnsi="Times New Roman" w:cs="Times New Roman"/>
        </w:rPr>
        <w:br/>
        <w:t xml:space="preserve">3. Data Repository Policies: Repositories hosting genomic data may have differing requirements for metadata submission. Some enforce stringent metadata standards, enhancing completeness, while others may allow more flexibility, resulting in variability across datasets.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have incorporated a discussion of these factors into our manuscript below to provide a more nuanced understanding of the variations in metadata completeness across species: </w:t>
      </w:r>
      <w:r w:rsidRPr="00CC2B2A">
        <w:rPr>
          <w:rFonts w:ascii="Times New Roman" w:eastAsia="Times New Roman" w:hAnsi="Times New Roman" w:cs="Times New Roman"/>
        </w:rPr>
        <w:br/>
        <w:t xml:space="preserve">Different research fields have specific requirements and conventions for metadata, which can explain the varying availability between human and non-human species. The nature and objectives of a study often dictate which metadata elements are deemed essential. For example, in disease model research—particularly cancer studies using mouse models31—detailed metadata such as sex, age, genetic background, and strain are often critical, as these variables can substantially influence phenotypic outcomes, tumor progression, and treatment response. In some studies, sex is not only a biological descriptor but also a key experimental variable, prompting researchers to prioritize and report such information comprehensively to ensure scientific rigor, reproducibility, and translational relevance32. Conversely, studies situated within evolutionary biology or population genetics tend to emphasize broader-scale attributes, such as species classification, sampling location, or population structure, while individual-specific metadata (e.g., age, sex, strain) may be of secondary importance or entirely absent. This difference in research focus leads to variable metadata completeness across species and study types. Additionally, standardization and reporting practices differ between research communities: fields with mature metadata standards and well-established reporting frameworks (e.g., biomedical mouse model research) typically exhibit greater metadata completeness, whereas emerging or interdisciplinary areas </w:t>
      </w:r>
      <w:r w:rsidRPr="00CC2B2A">
        <w:rPr>
          <w:rFonts w:ascii="Times New Roman" w:eastAsia="Times New Roman" w:hAnsi="Times New Roman" w:cs="Times New Roman"/>
        </w:rPr>
        <w:lastRenderedPageBreak/>
        <w:t xml:space="preserve">may lack uniform metadata protocols, resulting in inconsistencies33. Repository policies also play a role. Some genomic repositories enforce strict metadata submission guidelines for certain study types or species, while others offer more flexibility, contributing to the heterogeneity in metadata quality. Taken together, these contextual and infrastructural factors help explain why metadata reporting practices vary substantially across non-human studies and reinforce the importance of tailoring metadata standards to the needs of specific research communities.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Reference: </w:t>
      </w:r>
      <w:r w:rsidRPr="00CC2B2A">
        <w:rPr>
          <w:rFonts w:ascii="Times New Roman" w:eastAsia="Times New Roman" w:hAnsi="Times New Roman" w:cs="Times New Roman"/>
        </w:rPr>
        <w:br/>
        <w:t xml:space="preserve">31. Ireson, C. R., Alavijeh, M. S., Palmer, A. M., Fowler, E. R. &amp; Jones, H. J. The role of mouse tumour models in the discovery and development of anticancer drugs. Br. J. Cancer 121, 101–108 (2019). </w:t>
      </w:r>
      <w:r w:rsidRPr="00CC2B2A">
        <w:rPr>
          <w:rFonts w:ascii="Times New Roman" w:eastAsia="Times New Roman" w:hAnsi="Times New Roman" w:cs="Times New Roman"/>
        </w:rPr>
        <w:br/>
        <w:t xml:space="preserve">32. Powers, M. S., Smith, P. H., McKee, S. A. &amp; Ehringer, M. A. From sexless to sexy: Why it is time for human genetics to consider and report analyses of sex. Biol. Sex Differ. 8, 15 (2017). </w:t>
      </w:r>
      <w:r w:rsidRPr="00CC2B2A">
        <w:rPr>
          <w:rFonts w:ascii="Times New Roman" w:eastAsia="Times New Roman" w:hAnsi="Times New Roman" w:cs="Times New Roman"/>
        </w:rPr>
        <w:br/>
        <w:t xml:space="preserve">33. O’Connor, M. J. et al. Ensuring Adherence to Standards in Experiment-Related Metadata Entered Via Spreadsheets. Sci. Data 12, 265 (2025).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#10 from Reviewer 2: </w:t>
      </w:r>
      <w:r w:rsidRPr="00CC2B2A">
        <w:rPr>
          <w:rFonts w:ascii="Times New Roman" w:eastAsia="Times New Roman" w:hAnsi="Times New Roman" w:cs="Times New Roman"/>
        </w:rPr>
        <w:br/>
        <w:t xml:space="preserve">7. The study categorizes metadata as sample-level vs. experiment-level, but the criteria for this classification are not clearly defined. How do the authors determine whether metadata is exclusively shared at the experiment level? How is the percentage of experiment-level metadata calculated? </w:t>
      </w:r>
      <w:r w:rsidRPr="00CC2B2A">
        <w:rPr>
          <w:rFonts w:ascii="Times New Roman" w:eastAsia="Times New Roman" w:hAnsi="Times New Roman" w:cs="Times New Roman"/>
        </w:rPr>
        <w:br/>
        <w:t xml:space="preserve">Response to Comment #10 from Reviewer 2: </w:t>
      </w:r>
      <w:r w:rsidRPr="00CC2B2A">
        <w:rPr>
          <w:rFonts w:ascii="Times New Roman" w:eastAsia="Times New Roman" w:hAnsi="Times New Roman" w:cs="Times New Roman"/>
        </w:rPr>
        <w:br/>
        <w:t xml:space="preserve">We thank the reviewer for the insightful comment. We acknowledge the need to clarify the distinction between sample-level and experiment-level metadata in our study. </w:t>
      </w:r>
      <w:r w:rsidRPr="00CC2B2A">
        <w:rPr>
          <w:rFonts w:ascii="Times New Roman" w:eastAsia="Times New Roman" w:hAnsi="Times New Roman" w:cs="Times New Roman"/>
        </w:rPr>
        <w:br/>
        <w:t xml:space="preserve">We define sample-level metadata as metadata that can be linked to each individual sample in the study. This type of metadata is considered available only when individual sample information is explicitly provided. </w:t>
      </w:r>
      <w:r w:rsidRPr="00CC2B2A">
        <w:rPr>
          <w:rFonts w:ascii="Times New Roman" w:eastAsia="Times New Roman" w:hAnsi="Times New Roman" w:cs="Times New Roman"/>
        </w:rPr>
        <w:br/>
        <w:t xml:space="preserve">In contrast, experiment-level metadata refers to summary-level metadata provided for the study as a whole, without sufficient detail to link metadata to individual samples. This classification applies when the study includes only aggregated metadata or summary descriptions without explicit sample-level details.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modify the text: </w:t>
      </w:r>
      <w:r w:rsidRPr="00CC2B2A">
        <w:rPr>
          <w:rFonts w:ascii="Times New Roman" w:eastAsia="Times New Roman" w:hAnsi="Times New Roman" w:cs="Times New Roman"/>
        </w:rPr>
        <w:br/>
        <w:t xml:space="preserve">We manually extracted metadata from the main text and supplementary materials of each publication. Based on the information provided, we classified metadata availability into two categories: sample-level metadata available and experiment-level metadata available. Sample-level metadata was categorized as available only if the study explicitly shared metadata for individual samples. Additionally, if the metadata was not explicitly provided for each sample but could be inferred with reasonable certainty (e.g., study says that all samples are female), we also classified it as sample-level metadata. In contrast, studies that provided only summary metadata without individual sample-level details were classified as experiment-level metadata available and they don't indicate that all samples carry the same phenotype. These studies usually included summary metadata information that could not be linked to specific samples’ metadata information. </w:t>
      </w:r>
      <w:r w:rsidRPr="00CC2B2A">
        <w:rPr>
          <w:rFonts w:ascii="Times New Roman" w:eastAsia="Times New Roman" w:hAnsi="Times New Roman" w:cs="Times New Roman"/>
        </w:rPr>
        <w:br/>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#11 from Reviewer 2: </w:t>
      </w:r>
      <w:r w:rsidRPr="00CC2B2A">
        <w:rPr>
          <w:rFonts w:ascii="Times New Roman" w:eastAsia="Times New Roman" w:hAnsi="Times New Roman" w:cs="Times New Roman"/>
        </w:rPr>
        <w:br/>
      </w:r>
      <w:r w:rsidRPr="00CC2B2A">
        <w:rPr>
          <w:rFonts w:ascii="Times New Roman" w:eastAsia="Times New Roman" w:hAnsi="Times New Roman" w:cs="Times New Roman"/>
        </w:rPr>
        <w:lastRenderedPageBreak/>
        <w:t xml:space="preserve">8. In the section "Discrepancies in metadata sharing practices were observed across seven disease conditions", the study focuses on six general phenotypes. However, in disease-related research, clinical phenotypes (e.g., disease severity, treatment history, comorbidities) are often more important than the listed six phenotypes. The study should include an analysis of clinical-associated phenotypes to provide a more comprehensive assessment of metadata completeness in disease studies. </w:t>
      </w:r>
      <w:r w:rsidRPr="00CC2B2A">
        <w:rPr>
          <w:rFonts w:ascii="Times New Roman" w:eastAsia="Times New Roman" w:hAnsi="Times New Roman" w:cs="Times New Roman"/>
        </w:rPr>
        <w:br/>
        <w:t xml:space="preserve">Response to Comment #11 from Reviewer 2: </w:t>
      </w:r>
      <w:r w:rsidRPr="00CC2B2A">
        <w:rPr>
          <w:rFonts w:ascii="Times New Roman" w:eastAsia="Times New Roman" w:hAnsi="Times New Roman" w:cs="Times New Roman"/>
        </w:rPr>
        <w:br/>
        <w:t xml:space="preserve">We thank the reviewer for this insightful comment. Our analysis focused on six general phenotypes that are commonly available and comparable across a wide range of study types. While we agree that clinical phenotypes such as disease severity, treatment history, and comorbidities are crucial in clinically focused research, not all studies categorized under disease conditions in our dataset are clinical in nature—many are basic or translational research studies with a primary focus on molecular or mechanistic biology. As such, clinical metadata are often not reported or applicable in these contexts, which presents challenges for systematic extraction and comparison. We acknowledge the importance of assessing clinical phenotype availability and consider it a valuable direction for future, more targeted analyses focused specifically on clinical datasets.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added the section in discussion: </w:t>
      </w:r>
      <w:r w:rsidRPr="00CC2B2A">
        <w:rPr>
          <w:rFonts w:ascii="Times New Roman" w:eastAsia="Times New Roman" w:hAnsi="Times New Roman" w:cs="Times New Roman"/>
        </w:rPr>
        <w:br/>
        <w:t xml:space="preserve">Our analysis emphasized phenotypes that are broadly available and comparable across a wide range of study types. While clinical metadata—such as disease severity, treatment history, or comorbidities—are essential in clinically focused research, they are often absent in basic or translational studies that fall under disease categories but focus primarily on molecular or mechanistic biology. In these contexts, clinical metadata may not be reported or applicable, making systematic extraction and comparison challenging. We acknowledge the value of assessing clinical phenotype availability and view this as an important direction for future studies that specifically target clinical datasets.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Comment #12 from Reviewer 2: </w:t>
      </w:r>
      <w:r w:rsidRPr="00CC2B2A">
        <w:rPr>
          <w:rFonts w:ascii="Times New Roman" w:eastAsia="Times New Roman" w:hAnsi="Times New Roman" w:cs="Times New Roman"/>
        </w:rPr>
        <w:br/>
        <w:t xml:space="preserve">9. The authors should provide a supplementary table listing whether each of the 253 studies includes metadata for the mentioned phenotypes. </w:t>
      </w:r>
      <w:r w:rsidRPr="00CC2B2A">
        <w:rPr>
          <w:rFonts w:ascii="Times New Roman" w:eastAsia="Times New Roman" w:hAnsi="Times New Roman" w:cs="Times New Roman"/>
        </w:rPr>
        <w:br/>
        <w:t xml:space="preserve">Response to Comment #11 from Reviewer 2: </w:t>
      </w:r>
      <w:r w:rsidRPr="00CC2B2A">
        <w:rPr>
          <w:rFonts w:ascii="Times New Roman" w:eastAsia="Times New Roman" w:hAnsi="Times New Roman" w:cs="Times New Roman"/>
        </w:rPr>
        <w:br/>
        <w:t xml:space="preserve">We thank the reviewer for this valuable suggestion. In response, we have added a supplementary table that details the metadata availability for each of the 253 studies included in our D1 and D2 dataset analyses. This table indicates the presence or absence of each of the six phenotypic metadata elements across all studies and is now available in the supplementary materials section for reference. </w:t>
      </w:r>
      <w:r w:rsidRPr="00CC2B2A">
        <w:rPr>
          <w:rFonts w:ascii="Times New Roman" w:eastAsia="Times New Roman" w:hAnsi="Times New Roman" w:cs="Times New Roman"/>
        </w:rPr>
        <w:br/>
      </w:r>
      <w:r w:rsidRPr="00CC2B2A">
        <w:rPr>
          <w:rFonts w:ascii="Times New Roman" w:eastAsia="Times New Roman" w:hAnsi="Times New Roman" w:cs="Times New Roman"/>
        </w:rPr>
        <w:br/>
        <w:t xml:space="preserve">We referenced supplementary table in the results section: </w:t>
      </w:r>
      <w:r w:rsidRPr="00CC2B2A">
        <w:rPr>
          <w:rFonts w:ascii="Times New Roman" w:eastAsia="Times New Roman" w:hAnsi="Times New Roman" w:cs="Times New Roman"/>
        </w:rPr>
        <w:br/>
        <w:t xml:space="preserve">We have performed a comprehensive analysis of the availability of the metadata reported in the textual content of the original scientific publications and the corresponding public repositories. We meticulously analyzed a total of 253 randomly selected scientific publications encompassing over 164 thousand samples across various disease conditions, phenotypes and organisms (D1 dataset) (Supplementary table 1). The human studies encompassed various disease conditions, namely Alzheimer's disease (AD), acute myeloid leukemia (AML), cardiovascular disease (CVD), inflammatory bowel disease (IBD), multiple sclerosis (MS), sepsis, and tuberculosis (TB) (Table S1) (Figure S1). Among the 253 studies, 153 pertained to human studies, while 100 focused on non-human studies. To assess metadata availability, we manually reviewed the phenotypic information within the textual content of publications, including both </w:t>
      </w:r>
      <w:r w:rsidRPr="00CC2B2A">
        <w:rPr>
          <w:rFonts w:ascii="Times New Roman" w:eastAsia="Times New Roman" w:hAnsi="Times New Roman" w:cs="Times New Roman"/>
        </w:rPr>
        <w:lastRenderedPageBreak/>
        <w:t>the main text and supplementary materials. To retrieve metadata from the public repositories, we developed the custom Python scripts (Methods Section). To increase the generalizability of our analysis, we randomly selected over 61 thousands studies from the Gene Expression Omnibus (GEO) repository, encompassing a total of over 2.1 million samples (D2 dataset) (Supplementary table 2). For both D1 and D2 datasets, we examined the four common phenotypes shared by both human and non-human studies, which included organism, sex, age, and tissue types. In addition to the common phenotypes, we investigated the human-specific phenotype of race/ethnicity/ancestry and the non-human-specific phenotype of strain information.</w:t>
      </w:r>
    </w:p>
    <w:p w14:paraId="24C12BF0" w14:textId="77777777" w:rsidR="00BB490F" w:rsidRDefault="00BB490F">
      <w:pPr>
        <w:rPr>
          <w:rFonts w:ascii="Times New Roman" w:eastAsia="Times New Roman" w:hAnsi="Times New Roman" w:cs="Times New Roman"/>
        </w:rPr>
      </w:pPr>
    </w:p>
    <w:p w14:paraId="24C12BF3" w14:textId="7F65A23B" w:rsidR="00BB490F" w:rsidRPr="0027735F" w:rsidRDefault="00000000" w:rsidP="0027735F">
      <w:pPr>
        <w:rPr>
          <w:rFonts w:ascii="Times New Roman" w:eastAsia="Times New Roman" w:hAnsi="Times New Roman" w:cs="Times New Roman"/>
          <w:b/>
        </w:rPr>
      </w:pPr>
      <w:r>
        <w:rPr>
          <w:rFonts w:ascii="Times New Roman" w:eastAsia="Times New Roman" w:hAnsi="Times New Roman" w:cs="Times New Roman"/>
          <w:b/>
        </w:rPr>
        <w:t>Second round of review</w:t>
      </w:r>
    </w:p>
    <w:p w14:paraId="24C12BF4" w14:textId="77777777" w:rsidR="00BB490F" w:rsidRDefault="00000000">
      <w:pPr>
        <w:rPr>
          <w:rFonts w:ascii="Times New Roman" w:eastAsia="Times New Roman" w:hAnsi="Times New Roman" w:cs="Times New Roman"/>
          <w:b/>
        </w:rPr>
      </w:pPr>
      <w:r>
        <w:rPr>
          <w:rFonts w:ascii="Times New Roman" w:eastAsia="Times New Roman" w:hAnsi="Times New Roman" w:cs="Times New Roman"/>
          <w:b/>
        </w:rPr>
        <w:t>Reviewer 2</w:t>
      </w:r>
    </w:p>
    <w:p w14:paraId="24C12BF5" w14:textId="6EB18653" w:rsidR="00BB490F" w:rsidRDefault="0027735F">
      <w:pPr>
        <w:spacing w:after="0" w:line="240" w:lineRule="auto"/>
        <w:rPr>
          <w:rFonts w:ascii="Times New Roman" w:eastAsia="Times New Roman" w:hAnsi="Times New Roman" w:cs="Times New Roman"/>
          <w:bCs/>
        </w:rPr>
      </w:pPr>
      <w:r w:rsidRPr="0027735F">
        <w:rPr>
          <w:rFonts w:ascii="Times New Roman" w:eastAsia="Times New Roman" w:hAnsi="Times New Roman" w:cs="Times New Roman"/>
          <w:bCs/>
        </w:rPr>
        <w:t>Some of the previous concerns have been addressed. However, several key issues remain unresolved:</w:t>
      </w:r>
      <w:r w:rsidRPr="0027735F">
        <w:rPr>
          <w:rFonts w:ascii="Times New Roman" w:eastAsia="Times New Roman" w:hAnsi="Times New Roman" w:cs="Times New Roman"/>
          <w:bCs/>
        </w:rPr>
        <w:br/>
        <w:t>1. Logical inconsistency and insufficient justification of core assumptions.</w:t>
      </w:r>
      <w:r w:rsidRPr="0027735F">
        <w:rPr>
          <w:rFonts w:ascii="Times New Roman" w:eastAsia="Times New Roman" w:hAnsi="Times New Roman" w:cs="Times New Roman"/>
          <w:bCs/>
        </w:rPr>
        <w:br/>
        <w:t>A central concern in my earlier review was the overall incompleteness of the study’s logical framework. In my view, a coherent and self-consistent study should follow this structure:</w:t>
      </w:r>
      <w:r w:rsidRPr="0027735F">
        <w:rPr>
          <w:rFonts w:ascii="Times New Roman" w:eastAsia="Times New Roman" w:hAnsi="Times New Roman" w:cs="Times New Roman"/>
          <w:bCs/>
        </w:rPr>
        <w:br/>
        <w:t>1) Clearly state the underlying assumptions.</w:t>
      </w:r>
      <w:r w:rsidRPr="0027735F">
        <w:rPr>
          <w:rFonts w:ascii="Times New Roman" w:eastAsia="Times New Roman" w:hAnsi="Times New Roman" w:cs="Times New Roman"/>
          <w:bCs/>
        </w:rPr>
        <w:br/>
        <w:t>Based on the authors’ current responses, the core assumptions appear to be:</w:t>
      </w:r>
      <w:r w:rsidRPr="0027735F">
        <w:rPr>
          <w:rFonts w:ascii="Times New Roman" w:eastAsia="Times New Roman" w:hAnsi="Times New Roman" w:cs="Times New Roman"/>
          <w:bCs/>
        </w:rPr>
        <w:br/>
        <w:t>o The six selected phenotypic attributes are sufficient to represent metadata completeness.</w:t>
      </w:r>
      <w:r w:rsidRPr="0027735F">
        <w:rPr>
          <w:rFonts w:ascii="Times New Roman" w:eastAsia="Times New Roman" w:hAnsi="Times New Roman" w:cs="Times New Roman"/>
          <w:bCs/>
        </w:rPr>
        <w:br/>
        <w:t>o The limited availability of these attributes justifies the need for improved metadata sharing practices and standardized reporting.</w:t>
      </w:r>
      <w:r w:rsidRPr="0027735F">
        <w:rPr>
          <w:rFonts w:ascii="Times New Roman" w:eastAsia="Times New Roman" w:hAnsi="Times New Roman" w:cs="Times New Roman"/>
          <w:bCs/>
        </w:rPr>
        <w:br/>
        <w:t>2) Provide evidence to support these assumptions.</w:t>
      </w:r>
      <w:r w:rsidRPr="0027735F">
        <w:rPr>
          <w:rFonts w:ascii="Times New Roman" w:eastAsia="Times New Roman" w:hAnsi="Times New Roman" w:cs="Times New Roman"/>
          <w:bCs/>
        </w:rPr>
        <w:br/>
        <w:t>o Why are these six attributes representative of overall metadata completeness?</w:t>
      </w:r>
      <w:r w:rsidRPr="0027735F">
        <w:rPr>
          <w:rFonts w:ascii="Times New Roman" w:eastAsia="Times New Roman" w:hAnsi="Times New Roman" w:cs="Times New Roman"/>
          <w:bCs/>
        </w:rPr>
        <w:br/>
        <w:t>o How essential are these attributes to downstream scientific analyses, and what impact does missing metadata have on research quality and reproducibility?</w:t>
      </w:r>
      <w:r w:rsidRPr="0027735F">
        <w:rPr>
          <w:rFonts w:ascii="Times New Roman" w:eastAsia="Times New Roman" w:hAnsi="Times New Roman" w:cs="Times New Roman"/>
          <w:bCs/>
        </w:rPr>
        <w:br/>
        <w:t>3) Offer actionable guidelines or recommendations to address the identified issues.</w:t>
      </w:r>
      <w:r w:rsidRPr="0027735F">
        <w:rPr>
          <w:rFonts w:ascii="Times New Roman" w:eastAsia="Times New Roman" w:hAnsi="Times New Roman" w:cs="Times New Roman"/>
          <w:bCs/>
        </w:rPr>
        <w:br/>
        <w:t>I raised concerns along these lines in Comments 1, 2, and 3 of my previous review. In response to comment 2, the authors stated: “Our primary goal was to evaluate the prevalence of metadata reporting. We acknowledge that the downstream impact of missing metadata is a critical consideration. A full quantitative assessment of the consequences of incompleteness is beyond the current study’s scope.” However, this statement contradicts the broader claims made throughout the manuscript, in the Abstract, Introduction, and Discussion, where the authors assert that:</w:t>
      </w:r>
      <w:r w:rsidRPr="0027735F">
        <w:rPr>
          <w:rFonts w:ascii="Times New Roman" w:eastAsia="Times New Roman" w:hAnsi="Times New Roman" w:cs="Times New Roman"/>
          <w:bCs/>
        </w:rPr>
        <w:br/>
        <w:t>• “Incomplete metadata accompanying public omics data limits the reproducibility and reusability of millions of omics samples,” or</w:t>
      </w:r>
      <w:r w:rsidRPr="0027735F">
        <w:rPr>
          <w:rFonts w:ascii="Times New Roman" w:eastAsia="Times New Roman" w:hAnsi="Times New Roman" w:cs="Times New Roman"/>
          <w:bCs/>
        </w:rPr>
        <w:br/>
        <w:t>• “Our study emphasizes the necessity for improved metadata sharing practices and standardized reporting.”</w:t>
      </w:r>
      <w:r w:rsidRPr="0027735F">
        <w:rPr>
          <w:rFonts w:ascii="Times New Roman" w:eastAsia="Times New Roman" w:hAnsi="Times New Roman" w:cs="Times New Roman"/>
          <w:bCs/>
        </w:rPr>
        <w:br/>
        <w:t>Such strong claims are not supported by the descriptive statistics alone. If the authors intend to rely solely on these six phenotypic attributes, they need to provide a much stronger justification for their selection. Without a quantitative assessment of their importance or impact on study reproducibility, the conclusions remain weak and overstated.</w:t>
      </w:r>
      <w:r w:rsidRPr="0027735F">
        <w:rPr>
          <w:rFonts w:ascii="Times New Roman" w:eastAsia="Times New Roman" w:hAnsi="Times New Roman" w:cs="Times New Roman"/>
          <w:bCs/>
        </w:rPr>
        <w:br/>
        <w:t>2. Technical limitations in metadata extraction and potential misclassification.</w:t>
      </w:r>
      <w:r w:rsidRPr="0027735F">
        <w:rPr>
          <w:rFonts w:ascii="Times New Roman" w:eastAsia="Times New Roman" w:hAnsi="Times New Roman" w:cs="Times New Roman"/>
          <w:bCs/>
        </w:rPr>
        <w:br/>
        <w:t xml:space="preserve">As noted in Comment 4 of my previous review, many GEO studies include metadata within their data files such as .h5ad or .rds formats rather than as separate CSV files. Additionally, the authors have not clearly explained whether metadata stored in other formats, such as spreadsheet files like .xlsx or .txt, were included in their analysis. Furthermore, in some cases, metadata is provided as a separate table within the main manuscript or in supplementary materials stored as PDF files. If their pipeline cannot extract metadata from these sources, it may lead to the misclassification of studies as having “no </w:t>
      </w:r>
      <w:r w:rsidRPr="0027735F">
        <w:rPr>
          <w:rFonts w:ascii="Times New Roman" w:eastAsia="Times New Roman" w:hAnsi="Times New Roman" w:cs="Times New Roman"/>
          <w:bCs/>
        </w:rPr>
        <w:lastRenderedPageBreak/>
        <w:t>metadata.”</w:t>
      </w:r>
      <w:r w:rsidRPr="0027735F">
        <w:rPr>
          <w:rFonts w:ascii="Times New Roman" w:eastAsia="Times New Roman" w:hAnsi="Times New Roman" w:cs="Times New Roman"/>
          <w:bCs/>
        </w:rPr>
        <w:br/>
        <w:t>This limitation likely results in a significant underestimation of metadata availability. Given that the central aim of this study is a “systematic assessment of metadata completeness”, such errors in estimation are unacceptable. At the very least, for the 253 manually reviewed studies, the authors should verify all studies labeled as “no metadata” by cross-checking them manually and evaluate their Python script’s accuracy. This step is essential because:</w:t>
      </w:r>
      <w:r w:rsidRPr="0027735F">
        <w:rPr>
          <w:rFonts w:ascii="Times New Roman" w:eastAsia="Times New Roman" w:hAnsi="Times New Roman" w:cs="Times New Roman"/>
          <w:bCs/>
        </w:rPr>
        <w:br/>
        <w:t>1) It directly impacts the validity of the study’s key conclusions, as highlighted in point 1 above.</w:t>
      </w:r>
      <w:r w:rsidRPr="0027735F">
        <w:rPr>
          <w:rFonts w:ascii="Times New Roman" w:eastAsia="Times New Roman" w:hAnsi="Times New Roman" w:cs="Times New Roman"/>
          <w:bCs/>
        </w:rPr>
        <w:br/>
        <w:t>2) It would allow the authors to provide a more realistic estimate of metadata completeness, which could help extend their broader analysis of the 61,000 studies.</w:t>
      </w:r>
    </w:p>
    <w:p w14:paraId="1F13B891" w14:textId="77777777" w:rsidR="0027735F" w:rsidRDefault="0027735F">
      <w:pPr>
        <w:spacing w:after="0" w:line="240" w:lineRule="auto"/>
        <w:rPr>
          <w:rFonts w:ascii="Times New Roman" w:eastAsia="Times New Roman" w:hAnsi="Times New Roman" w:cs="Times New Roman"/>
          <w:bCs/>
        </w:rPr>
      </w:pPr>
    </w:p>
    <w:p w14:paraId="509253F6" w14:textId="77777777" w:rsidR="0027735F" w:rsidRPr="0027735F" w:rsidRDefault="0027735F">
      <w:pPr>
        <w:spacing w:after="0" w:line="240" w:lineRule="auto"/>
        <w:rPr>
          <w:rFonts w:ascii="Times New Roman" w:eastAsia="Times New Roman" w:hAnsi="Times New Roman" w:cs="Times New Roman"/>
          <w:bCs/>
        </w:rPr>
      </w:pPr>
    </w:p>
    <w:p w14:paraId="24C12BF6" w14:textId="77777777" w:rsidR="00BB490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24C12BF7" w14:textId="77777777" w:rsidR="00BB490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24C12BF8" w14:textId="77777777" w:rsidR="00BB490F" w:rsidRDefault="00BB490F">
      <w:pPr>
        <w:spacing w:after="0" w:line="240" w:lineRule="auto"/>
        <w:rPr>
          <w:rFonts w:ascii="Times New Roman" w:eastAsia="Times New Roman" w:hAnsi="Times New Roman" w:cs="Times New Roman"/>
        </w:rPr>
      </w:pPr>
    </w:p>
    <w:p w14:paraId="6DB9D924" w14:textId="77777777" w:rsidR="00ED7132" w:rsidRDefault="00ED7132" w:rsidP="00ED7132">
      <w:pPr>
        <w:jc w:val="both"/>
        <w:rPr>
          <w:color w:val="222222"/>
          <w:sz w:val="24"/>
          <w:szCs w:val="24"/>
          <w:highlight w:val="white"/>
        </w:rPr>
      </w:pPr>
      <w:bookmarkStart w:id="0" w:name="_891nk55qcja8" w:colFirst="0" w:colLast="0"/>
      <w:bookmarkEnd w:id="0"/>
      <w:r>
        <w:rPr>
          <w:b/>
          <w:sz w:val="24"/>
          <w:szCs w:val="24"/>
          <w:highlight w:val="white"/>
        </w:rPr>
        <w:t>Comment #1-1 from Reviewer 2:</w:t>
      </w:r>
      <w:r>
        <w:rPr>
          <w:sz w:val="24"/>
          <w:szCs w:val="24"/>
          <w:highlight w:val="white"/>
        </w:rPr>
        <w:t xml:space="preserve"> </w:t>
      </w:r>
    </w:p>
    <w:p w14:paraId="0DCC3C75" w14:textId="77777777" w:rsidR="00ED7132" w:rsidRDefault="00ED7132" w:rsidP="00ED7132">
      <w:pPr>
        <w:jc w:val="both"/>
        <w:rPr>
          <w:color w:val="222222"/>
          <w:sz w:val="24"/>
          <w:szCs w:val="24"/>
          <w:highlight w:val="white"/>
        </w:rPr>
      </w:pPr>
      <w:r>
        <w:rPr>
          <w:color w:val="222222"/>
          <w:sz w:val="24"/>
          <w:szCs w:val="24"/>
          <w:highlight w:val="white"/>
        </w:rPr>
        <w:t>1. Logical inconsistency and insufficient justification of core assumptions.</w:t>
      </w:r>
    </w:p>
    <w:p w14:paraId="6F380A13" w14:textId="77777777" w:rsidR="00ED7132" w:rsidRDefault="00ED7132" w:rsidP="00ED7132">
      <w:pPr>
        <w:jc w:val="both"/>
        <w:rPr>
          <w:color w:val="222222"/>
          <w:sz w:val="24"/>
          <w:szCs w:val="24"/>
          <w:highlight w:val="white"/>
        </w:rPr>
      </w:pPr>
      <w:r>
        <w:rPr>
          <w:color w:val="222222"/>
          <w:sz w:val="24"/>
          <w:szCs w:val="24"/>
          <w:highlight w:val="white"/>
        </w:rPr>
        <w:t>A central concern in my earlier review was the overall incompleteness of the study’s logical framework. In my view, a coherent and self-consistent study should follow this structure:</w:t>
      </w:r>
    </w:p>
    <w:p w14:paraId="53E7763C" w14:textId="77777777" w:rsidR="00ED7132" w:rsidRDefault="00ED7132" w:rsidP="00ED7132">
      <w:pPr>
        <w:jc w:val="both"/>
        <w:rPr>
          <w:color w:val="222222"/>
          <w:sz w:val="24"/>
          <w:szCs w:val="24"/>
          <w:highlight w:val="white"/>
        </w:rPr>
      </w:pPr>
      <w:r>
        <w:rPr>
          <w:color w:val="222222"/>
          <w:sz w:val="24"/>
          <w:szCs w:val="24"/>
          <w:highlight w:val="white"/>
        </w:rPr>
        <w:t>1)      Clearly state the underlying assumptions.</w:t>
      </w:r>
    </w:p>
    <w:p w14:paraId="71AFB509" w14:textId="77777777" w:rsidR="00ED7132" w:rsidRDefault="00ED7132" w:rsidP="00ED7132">
      <w:pPr>
        <w:jc w:val="both"/>
        <w:rPr>
          <w:color w:val="222222"/>
          <w:sz w:val="24"/>
          <w:szCs w:val="24"/>
          <w:highlight w:val="white"/>
        </w:rPr>
      </w:pPr>
      <w:r>
        <w:rPr>
          <w:color w:val="222222"/>
          <w:sz w:val="24"/>
          <w:szCs w:val="24"/>
          <w:highlight w:val="white"/>
        </w:rPr>
        <w:t>Based on the authors’ current responses, the core assumptions appear to be:</w:t>
      </w:r>
    </w:p>
    <w:p w14:paraId="7CC100EB" w14:textId="77777777" w:rsidR="00ED7132" w:rsidRDefault="00ED7132" w:rsidP="00ED7132">
      <w:pPr>
        <w:jc w:val="both"/>
        <w:rPr>
          <w:color w:val="222222"/>
          <w:sz w:val="24"/>
          <w:szCs w:val="24"/>
          <w:highlight w:val="white"/>
        </w:rPr>
      </w:pPr>
      <w:r>
        <w:rPr>
          <w:color w:val="222222"/>
          <w:sz w:val="24"/>
          <w:szCs w:val="24"/>
          <w:highlight w:val="white"/>
        </w:rPr>
        <w:t>o       The six selected phenotypic attributes are sufficient to represent metadata completeness.</w:t>
      </w:r>
    </w:p>
    <w:p w14:paraId="134D31E2" w14:textId="77777777" w:rsidR="00ED7132" w:rsidRDefault="00ED7132" w:rsidP="00ED7132">
      <w:pPr>
        <w:jc w:val="both"/>
        <w:rPr>
          <w:color w:val="222222"/>
          <w:sz w:val="24"/>
          <w:szCs w:val="24"/>
          <w:highlight w:val="white"/>
        </w:rPr>
      </w:pPr>
      <w:r>
        <w:rPr>
          <w:color w:val="222222"/>
          <w:sz w:val="24"/>
          <w:szCs w:val="24"/>
          <w:highlight w:val="white"/>
        </w:rPr>
        <w:t>o       The limited availability of these attributes justifies the need for improved metadata sharing practices and standardized reporting.</w:t>
      </w:r>
    </w:p>
    <w:p w14:paraId="137F5DFB" w14:textId="77777777" w:rsidR="00ED7132" w:rsidRDefault="00ED7132" w:rsidP="00ED7132">
      <w:pPr>
        <w:jc w:val="both"/>
        <w:rPr>
          <w:color w:val="222222"/>
          <w:sz w:val="24"/>
          <w:szCs w:val="24"/>
          <w:highlight w:val="white"/>
        </w:rPr>
      </w:pPr>
      <w:r>
        <w:rPr>
          <w:b/>
          <w:sz w:val="24"/>
          <w:szCs w:val="24"/>
          <w:highlight w:val="white"/>
        </w:rPr>
        <w:t>Response to Comment #1-1 from Reviewer 2:</w:t>
      </w:r>
      <w:r>
        <w:rPr>
          <w:sz w:val="24"/>
          <w:szCs w:val="24"/>
          <w:highlight w:val="white"/>
        </w:rPr>
        <w:t xml:space="preserve"> </w:t>
      </w:r>
    </w:p>
    <w:p w14:paraId="1845267A" w14:textId="77777777" w:rsidR="00ED7132" w:rsidRDefault="00ED7132" w:rsidP="00ED7132">
      <w:pPr>
        <w:jc w:val="both"/>
        <w:rPr>
          <w:color w:val="222222"/>
          <w:sz w:val="24"/>
          <w:szCs w:val="24"/>
          <w:highlight w:val="white"/>
        </w:rPr>
      </w:pPr>
      <w:r>
        <w:rPr>
          <w:color w:val="222222"/>
          <w:sz w:val="24"/>
          <w:szCs w:val="24"/>
          <w:highlight w:val="white"/>
        </w:rPr>
        <w:t xml:space="preserve">We appreciate the reviewer’s continued engagement and agree that a coherent and self-consistent rationale is essential for defining metadata completeness. In response to this comment, we have substantially revised the </w:t>
      </w:r>
      <w:r>
        <w:rPr>
          <w:i/>
          <w:color w:val="222222"/>
          <w:sz w:val="24"/>
          <w:szCs w:val="24"/>
          <w:highlight w:val="white"/>
        </w:rPr>
        <w:t>Introduction</w:t>
      </w:r>
      <w:r>
        <w:rPr>
          <w:color w:val="222222"/>
          <w:sz w:val="24"/>
          <w:szCs w:val="24"/>
          <w:highlight w:val="white"/>
        </w:rPr>
        <w:t xml:space="preserve"> section of our manuscript to clearly articulate the underlying assumptions and to justify our selection of six phenotypic attributes as a benchmark for metadata completeness. The revised text now explicitly links our definition to both field-wide metadata reporting standards and the practical consequences of missing attributes in downstream analyses.</w:t>
      </w:r>
    </w:p>
    <w:p w14:paraId="2FE1C3F4" w14:textId="77777777" w:rsidR="00ED7132" w:rsidRDefault="00ED7132" w:rsidP="00ED7132">
      <w:pPr>
        <w:jc w:val="both"/>
        <w:rPr>
          <w:b/>
          <w:color w:val="222222"/>
          <w:sz w:val="24"/>
          <w:szCs w:val="24"/>
          <w:highlight w:val="white"/>
        </w:rPr>
      </w:pPr>
      <w:r>
        <w:rPr>
          <w:b/>
          <w:color w:val="222222"/>
          <w:sz w:val="24"/>
          <w:szCs w:val="24"/>
          <w:highlight w:val="white"/>
        </w:rPr>
        <w:t xml:space="preserve">We now write in the revised </w:t>
      </w:r>
      <w:r>
        <w:rPr>
          <w:b/>
          <w:i/>
          <w:color w:val="222222"/>
          <w:sz w:val="24"/>
          <w:szCs w:val="24"/>
          <w:highlight w:val="white"/>
        </w:rPr>
        <w:t>Introduction in red</w:t>
      </w:r>
      <w:r>
        <w:rPr>
          <w:b/>
          <w:color w:val="222222"/>
          <w:sz w:val="24"/>
          <w:szCs w:val="24"/>
          <w:highlight w:val="white"/>
        </w:rPr>
        <w:t>:</w:t>
      </w:r>
    </w:p>
    <w:p w14:paraId="032732DF" w14:textId="77777777" w:rsidR="00ED7132" w:rsidRDefault="00ED7132" w:rsidP="00ED7132">
      <w:pPr>
        <w:ind w:firstLine="720"/>
        <w:jc w:val="both"/>
        <w:rPr>
          <w:color w:val="FF0000"/>
          <w:sz w:val="24"/>
          <w:szCs w:val="24"/>
        </w:rPr>
      </w:pPr>
      <w:r>
        <w:rPr>
          <w:color w:val="FF0000"/>
          <w:sz w:val="24"/>
          <w:szCs w:val="24"/>
        </w:rPr>
        <w:t xml:space="preserve">Rich, machine-readable phenotypic metadata are now recognised as a prerequisite for transparency, reproducibility, and equitable reuse of biomedical omics data. International frameworks—most notably the FAIR Guiding Principles and the 2023 NIH Data Management and Sharing (DMS) policy—explicitly mandate that publicly shared datasets be accompanied by </w:t>
      </w:r>
      <w:r>
        <w:rPr>
          <w:color w:val="FF0000"/>
          <w:sz w:val="24"/>
          <w:szCs w:val="24"/>
        </w:rPr>
        <w:lastRenderedPageBreak/>
        <w:t>sufficiently detailed descriptors to enable findability and rigorous downstream analysis</w:t>
      </w:r>
      <w:r>
        <w:rPr>
          <w:color w:val="FF0000"/>
          <w:sz w:val="24"/>
          <w:szCs w:val="24"/>
          <w:vertAlign w:val="superscript"/>
        </w:rPr>
        <w:t>23</w:t>
      </w:r>
      <w:r>
        <w:rPr>
          <w:color w:val="FF0000"/>
          <w:sz w:val="24"/>
          <w:szCs w:val="24"/>
        </w:rPr>
        <w:t>. Yet community audits continue to show that key variables are routinely omitted, constraining reliable population stratification, sample matching, and mechanistic inference. To interrogate this gap we operationally define metadata completeness as the presence, at minimum, of six phenotypic attributes that recur across legacy and emerging minimum-information standards (MIAME</w:t>
      </w:r>
      <w:r>
        <w:rPr>
          <w:color w:val="FF0000"/>
          <w:sz w:val="24"/>
          <w:szCs w:val="24"/>
          <w:vertAlign w:val="superscript"/>
        </w:rPr>
        <w:t>24</w:t>
      </w:r>
      <w:r>
        <w:rPr>
          <w:color w:val="FF0000"/>
          <w:sz w:val="24"/>
          <w:szCs w:val="24"/>
        </w:rPr>
        <w:t>, MINSEQE</w:t>
      </w:r>
      <w:r>
        <w:rPr>
          <w:color w:val="FF0000"/>
          <w:sz w:val="24"/>
          <w:szCs w:val="24"/>
          <w:vertAlign w:val="superscript"/>
        </w:rPr>
        <w:t>25</w:t>
      </w:r>
      <w:r>
        <w:rPr>
          <w:color w:val="FF0000"/>
          <w:sz w:val="24"/>
          <w:szCs w:val="24"/>
        </w:rPr>
        <w:t>, MIBBI</w:t>
      </w:r>
      <w:r>
        <w:rPr>
          <w:color w:val="FF0000"/>
          <w:sz w:val="24"/>
          <w:szCs w:val="24"/>
          <w:vertAlign w:val="superscript"/>
        </w:rPr>
        <w:t>26</w:t>
      </w:r>
      <w:r>
        <w:rPr>
          <w:color w:val="FF0000"/>
          <w:sz w:val="24"/>
          <w:szCs w:val="24"/>
        </w:rPr>
        <w:t>, GA4GH Phenopackets</w:t>
      </w:r>
      <w:r>
        <w:rPr>
          <w:color w:val="FF0000"/>
          <w:sz w:val="24"/>
          <w:szCs w:val="24"/>
          <w:vertAlign w:val="superscript"/>
        </w:rPr>
        <w:t>27</w:t>
      </w:r>
      <w:r>
        <w:rPr>
          <w:color w:val="FF0000"/>
          <w:sz w:val="24"/>
          <w:szCs w:val="24"/>
        </w:rPr>
        <w:t>) and that exert direct analytical influence: race/ethnicity/ancestry (REA), age, sex, tissue type (or specific cell type), organism, and experimental strain information. These fields are mandated or strongly recommended in multiple checklists precisely because they capture the principal axes of biological heterogeneity that confound multi-study integration and drive disease risk. Attributes such as marital status or geographic latitude, while relevant in certain contexts, lack comparable consensus and are inconsistently reported; they were therefore excluded from our baseline definition.</w:t>
      </w:r>
    </w:p>
    <w:p w14:paraId="11D75694" w14:textId="77777777" w:rsidR="00ED7132" w:rsidRDefault="00ED7132" w:rsidP="00ED7132">
      <w:pPr>
        <w:ind w:firstLine="720"/>
        <w:jc w:val="both"/>
        <w:rPr>
          <w:color w:val="FF0000"/>
          <w:sz w:val="24"/>
          <w:szCs w:val="24"/>
        </w:rPr>
      </w:pPr>
      <w:r>
        <w:rPr>
          <w:color w:val="FF0000"/>
          <w:sz w:val="24"/>
          <w:szCs w:val="24"/>
        </w:rPr>
        <w:t xml:space="preserve">Using this schema we examined 61,312 genomics and transcriptomics records deposited between 2008 and 2024. Automated XML parsing was complemented by a manual audit of 253 randomly selected studies, confirming parser accuracy and revealing silent discrepancies between manuscript narratives and repository entries. Fewer than one-third of studies reported all six attributes in either venue, and 42 % of the attributes that were disclosed in one source were absent from its counterpart. Although reporting rates have improved modestly since 2018—coincident with the roll-out of FAIR and NIH DMS guidance—completeness remains highly variable across sub-disciplines. Collectively, these findings substantiate our underlying assumption that the six selected attributes constitute a practical yet stringent benchmark for evaluating metadata sufficiency, and they underscore the urgent need for harmonised publisher–repository checklists, enforceable submission validators, and community incentives that treat metadata as a first-class research output. Addressing these structural barriers will accelerate hypothesis generation, cross-study integration, and ultimately clinical translation across the biomedical research spectrum. </w:t>
      </w:r>
    </w:p>
    <w:p w14:paraId="0D211CC6" w14:textId="77777777" w:rsidR="00ED7132" w:rsidRDefault="00ED7132" w:rsidP="00ED7132">
      <w:pPr>
        <w:jc w:val="both"/>
        <w:rPr>
          <w:color w:val="FF0000"/>
          <w:sz w:val="24"/>
          <w:szCs w:val="24"/>
        </w:rPr>
      </w:pPr>
    </w:p>
    <w:p w14:paraId="4A599A77" w14:textId="77777777" w:rsidR="00ED7132" w:rsidRDefault="00ED7132" w:rsidP="00ED7132">
      <w:pPr>
        <w:jc w:val="both"/>
        <w:rPr>
          <w:b/>
          <w:sz w:val="24"/>
          <w:szCs w:val="24"/>
        </w:rPr>
      </w:pPr>
      <w:r>
        <w:rPr>
          <w:b/>
          <w:sz w:val="24"/>
          <w:szCs w:val="24"/>
        </w:rPr>
        <w:t xml:space="preserve">Newly added citations: </w:t>
      </w:r>
    </w:p>
    <w:p w14:paraId="6A87AC75" w14:textId="77777777" w:rsidR="00ED7132" w:rsidRDefault="00ED7132" w:rsidP="00ED7132">
      <w:pPr>
        <w:widowControl w:val="0"/>
        <w:ind w:left="264"/>
        <w:rPr>
          <w:color w:val="FF0000"/>
          <w:sz w:val="24"/>
          <w:szCs w:val="24"/>
          <w:highlight w:val="white"/>
        </w:rPr>
      </w:pPr>
      <w:r>
        <w:rPr>
          <w:color w:val="FF0000"/>
          <w:sz w:val="24"/>
          <w:szCs w:val="24"/>
        </w:rPr>
        <w:t>23.</w:t>
      </w:r>
      <w:r>
        <w:rPr>
          <w:color w:val="FF0000"/>
          <w:sz w:val="24"/>
          <w:szCs w:val="24"/>
        </w:rPr>
        <w:tab/>
        <w:t xml:space="preserve">Wilkinson, M. D. </w:t>
      </w:r>
      <w:r>
        <w:rPr>
          <w:i/>
          <w:color w:val="FF0000"/>
          <w:sz w:val="24"/>
          <w:szCs w:val="24"/>
        </w:rPr>
        <w:t>et al.</w:t>
      </w:r>
      <w:r>
        <w:rPr>
          <w:color w:val="FF0000"/>
          <w:sz w:val="24"/>
          <w:szCs w:val="24"/>
        </w:rPr>
        <w:t xml:space="preserve"> The FAIR Guiding Principles for scientific data management and stewardship. </w:t>
      </w:r>
      <w:r>
        <w:rPr>
          <w:i/>
          <w:color w:val="FF0000"/>
          <w:sz w:val="24"/>
          <w:szCs w:val="24"/>
        </w:rPr>
        <w:t xml:space="preserve">Sci. Data </w:t>
      </w:r>
      <w:r>
        <w:rPr>
          <w:b/>
          <w:color w:val="FF0000"/>
          <w:sz w:val="24"/>
          <w:szCs w:val="24"/>
        </w:rPr>
        <w:t>3</w:t>
      </w:r>
      <w:r>
        <w:rPr>
          <w:color w:val="FF0000"/>
          <w:sz w:val="24"/>
          <w:szCs w:val="24"/>
        </w:rPr>
        <w:t>, 160018 (2016).</w:t>
      </w:r>
    </w:p>
    <w:p w14:paraId="71EFED8D" w14:textId="77777777" w:rsidR="00ED7132" w:rsidRDefault="00ED7132" w:rsidP="00ED7132">
      <w:pPr>
        <w:widowControl w:val="0"/>
        <w:ind w:left="264"/>
        <w:rPr>
          <w:color w:val="FF0000"/>
          <w:sz w:val="24"/>
          <w:szCs w:val="24"/>
          <w:highlight w:val="white"/>
        </w:rPr>
      </w:pPr>
      <w:r>
        <w:rPr>
          <w:color w:val="FF0000"/>
          <w:sz w:val="24"/>
          <w:szCs w:val="24"/>
        </w:rPr>
        <w:t>24.</w:t>
      </w:r>
      <w:r>
        <w:rPr>
          <w:color w:val="FF0000"/>
          <w:sz w:val="24"/>
          <w:szCs w:val="24"/>
        </w:rPr>
        <w:tab/>
        <w:t xml:space="preserve">Brazma, A. </w:t>
      </w:r>
      <w:r>
        <w:rPr>
          <w:i/>
          <w:color w:val="FF0000"/>
          <w:sz w:val="24"/>
          <w:szCs w:val="24"/>
        </w:rPr>
        <w:t>et al.</w:t>
      </w:r>
      <w:r>
        <w:rPr>
          <w:color w:val="FF0000"/>
          <w:sz w:val="24"/>
          <w:szCs w:val="24"/>
        </w:rPr>
        <w:t xml:space="preserve"> Minimum information about a microarray experiment (MIAME)—toward standards for microarray data. </w:t>
      </w:r>
      <w:r>
        <w:rPr>
          <w:i/>
          <w:color w:val="FF0000"/>
          <w:sz w:val="24"/>
          <w:szCs w:val="24"/>
        </w:rPr>
        <w:t xml:space="preserve">Nat. Genet. </w:t>
      </w:r>
      <w:r>
        <w:rPr>
          <w:b/>
          <w:color w:val="FF0000"/>
          <w:sz w:val="24"/>
          <w:szCs w:val="24"/>
        </w:rPr>
        <w:t>29</w:t>
      </w:r>
      <w:r>
        <w:rPr>
          <w:color w:val="FF0000"/>
          <w:sz w:val="24"/>
          <w:szCs w:val="24"/>
        </w:rPr>
        <w:t>, 365–371 (2001).</w:t>
      </w:r>
    </w:p>
    <w:p w14:paraId="1C792D64" w14:textId="77777777" w:rsidR="00ED7132" w:rsidRDefault="00ED7132" w:rsidP="00ED7132">
      <w:pPr>
        <w:widowControl w:val="0"/>
        <w:ind w:left="264"/>
        <w:rPr>
          <w:color w:val="FF0000"/>
          <w:sz w:val="24"/>
          <w:szCs w:val="24"/>
          <w:highlight w:val="white"/>
        </w:rPr>
      </w:pPr>
      <w:r>
        <w:rPr>
          <w:color w:val="FF0000"/>
          <w:sz w:val="24"/>
          <w:szCs w:val="24"/>
        </w:rPr>
        <w:t>25.</w:t>
      </w:r>
      <w:r>
        <w:rPr>
          <w:color w:val="FF0000"/>
          <w:sz w:val="24"/>
          <w:szCs w:val="24"/>
        </w:rPr>
        <w:tab/>
        <w:t xml:space="preserve">Brazma, A. </w:t>
      </w:r>
      <w:r>
        <w:rPr>
          <w:i/>
          <w:color w:val="FF0000"/>
          <w:sz w:val="24"/>
          <w:szCs w:val="24"/>
        </w:rPr>
        <w:t>et al.</w:t>
      </w:r>
      <w:r>
        <w:rPr>
          <w:color w:val="FF0000"/>
          <w:sz w:val="24"/>
          <w:szCs w:val="24"/>
        </w:rPr>
        <w:t xml:space="preserve"> MINSEQE: Minimum Information about a high-throughput Nucleotide SeQuencing Experiment - a proposal for standards in functional genomic data reporting. (2012).</w:t>
      </w:r>
    </w:p>
    <w:p w14:paraId="6FCF0FD8" w14:textId="77777777" w:rsidR="00ED7132" w:rsidRDefault="00ED7132" w:rsidP="00ED7132">
      <w:pPr>
        <w:widowControl w:val="0"/>
        <w:ind w:left="264"/>
        <w:rPr>
          <w:color w:val="FF0000"/>
          <w:sz w:val="24"/>
          <w:szCs w:val="24"/>
          <w:highlight w:val="white"/>
        </w:rPr>
      </w:pPr>
      <w:r>
        <w:rPr>
          <w:color w:val="FF0000"/>
          <w:sz w:val="24"/>
          <w:szCs w:val="24"/>
        </w:rPr>
        <w:lastRenderedPageBreak/>
        <w:t>26.</w:t>
      </w:r>
      <w:r>
        <w:rPr>
          <w:color w:val="FF0000"/>
          <w:sz w:val="24"/>
          <w:szCs w:val="24"/>
        </w:rPr>
        <w:tab/>
        <w:t xml:space="preserve">Taylor, C. F. </w:t>
      </w:r>
      <w:r>
        <w:rPr>
          <w:i/>
          <w:color w:val="FF0000"/>
          <w:sz w:val="24"/>
          <w:szCs w:val="24"/>
        </w:rPr>
        <w:t>et al.</w:t>
      </w:r>
      <w:r>
        <w:rPr>
          <w:color w:val="FF0000"/>
          <w:sz w:val="24"/>
          <w:szCs w:val="24"/>
        </w:rPr>
        <w:t xml:space="preserve"> Promoting coherent minimum reporting guidelines for biological and biomedical investigations: the MIBBI project. </w:t>
      </w:r>
      <w:r>
        <w:rPr>
          <w:i/>
          <w:color w:val="FF0000"/>
          <w:sz w:val="24"/>
          <w:szCs w:val="24"/>
        </w:rPr>
        <w:t xml:space="preserve">Nat. Biotechnol. </w:t>
      </w:r>
      <w:r>
        <w:rPr>
          <w:b/>
          <w:color w:val="FF0000"/>
          <w:sz w:val="24"/>
          <w:szCs w:val="24"/>
        </w:rPr>
        <w:t>26</w:t>
      </w:r>
      <w:r>
        <w:rPr>
          <w:color w:val="FF0000"/>
          <w:sz w:val="24"/>
          <w:szCs w:val="24"/>
        </w:rPr>
        <w:t>, 889–896 (2008).</w:t>
      </w:r>
    </w:p>
    <w:p w14:paraId="759FCC59" w14:textId="77777777" w:rsidR="00ED7132" w:rsidRDefault="00ED7132" w:rsidP="00ED7132">
      <w:pPr>
        <w:widowControl w:val="0"/>
        <w:ind w:left="264"/>
        <w:rPr>
          <w:sz w:val="24"/>
          <w:szCs w:val="24"/>
          <w:highlight w:val="white"/>
        </w:rPr>
      </w:pPr>
      <w:r>
        <w:rPr>
          <w:color w:val="FF0000"/>
          <w:sz w:val="24"/>
          <w:szCs w:val="24"/>
        </w:rPr>
        <w:t>27.</w:t>
      </w:r>
      <w:r>
        <w:rPr>
          <w:color w:val="FF0000"/>
          <w:sz w:val="24"/>
          <w:szCs w:val="24"/>
        </w:rPr>
        <w:tab/>
        <w:t xml:space="preserve">Jacobsen, J. O. B. </w:t>
      </w:r>
      <w:r>
        <w:rPr>
          <w:i/>
          <w:color w:val="FF0000"/>
          <w:sz w:val="24"/>
          <w:szCs w:val="24"/>
        </w:rPr>
        <w:t>et al.</w:t>
      </w:r>
      <w:r>
        <w:rPr>
          <w:color w:val="FF0000"/>
          <w:sz w:val="24"/>
          <w:szCs w:val="24"/>
        </w:rPr>
        <w:t xml:space="preserve"> The GA4GH Phenopacket schema defines a computable representation of clinical data. </w:t>
      </w:r>
      <w:r>
        <w:rPr>
          <w:i/>
          <w:color w:val="FF0000"/>
          <w:sz w:val="24"/>
          <w:szCs w:val="24"/>
        </w:rPr>
        <w:t xml:space="preserve">Nat. Biotechnol. </w:t>
      </w:r>
      <w:r>
        <w:rPr>
          <w:b/>
          <w:color w:val="FF0000"/>
          <w:sz w:val="24"/>
          <w:szCs w:val="24"/>
        </w:rPr>
        <w:t>40</w:t>
      </w:r>
      <w:r>
        <w:rPr>
          <w:color w:val="FF0000"/>
          <w:sz w:val="24"/>
          <w:szCs w:val="24"/>
        </w:rPr>
        <w:t>, 817–820 (2022).</w:t>
      </w:r>
    </w:p>
    <w:p w14:paraId="0E6F6E57" w14:textId="77777777" w:rsidR="00ED7132" w:rsidRDefault="00ED7132" w:rsidP="00ED7132">
      <w:pPr>
        <w:jc w:val="both"/>
        <w:rPr>
          <w:color w:val="FF0000"/>
          <w:sz w:val="24"/>
          <w:szCs w:val="24"/>
          <w:highlight w:val="white"/>
        </w:rPr>
      </w:pPr>
    </w:p>
    <w:p w14:paraId="63E8CAC2" w14:textId="77777777" w:rsidR="00ED7132" w:rsidRDefault="00ED7132" w:rsidP="00ED7132">
      <w:pPr>
        <w:jc w:val="both"/>
        <w:rPr>
          <w:b/>
          <w:sz w:val="24"/>
          <w:szCs w:val="24"/>
          <w:highlight w:val="white"/>
        </w:rPr>
      </w:pPr>
      <w:r>
        <w:rPr>
          <w:b/>
          <w:sz w:val="24"/>
          <w:szCs w:val="24"/>
          <w:highlight w:val="white"/>
        </w:rPr>
        <w:t xml:space="preserve">Original paragraph in </w:t>
      </w:r>
      <w:r>
        <w:rPr>
          <w:b/>
          <w:i/>
          <w:sz w:val="24"/>
          <w:szCs w:val="24"/>
          <w:highlight w:val="white"/>
        </w:rPr>
        <w:t>Introduction</w:t>
      </w:r>
      <w:r>
        <w:rPr>
          <w:b/>
          <w:sz w:val="24"/>
          <w:szCs w:val="24"/>
          <w:highlight w:val="white"/>
        </w:rPr>
        <w:t xml:space="preserve"> section:</w:t>
      </w:r>
    </w:p>
    <w:p w14:paraId="74B7556E" w14:textId="77777777" w:rsidR="00ED7132" w:rsidRDefault="00ED7132" w:rsidP="00ED7132">
      <w:pPr>
        <w:jc w:val="both"/>
        <w:rPr>
          <w:i/>
          <w:color w:val="666666"/>
          <w:sz w:val="24"/>
          <w:szCs w:val="24"/>
          <w:highlight w:val="white"/>
        </w:rPr>
      </w:pPr>
      <w:r>
        <w:rPr>
          <w:i/>
          <w:color w:val="666666"/>
          <w:sz w:val="24"/>
          <w:szCs w:val="24"/>
          <w:highlight w:val="white"/>
        </w:rPr>
        <w:t xml:space="preserve">Our findings revealed incomplete metadata reporting practices in both the textual content of publications and public repositories. In this study, we define </w:t>
      </w:r>
      <w:r>
        <w:rPr>
          <w:b/>
          <w:i/>
          <w:color w:val="666666"/>
          <w:sz w:val="24"/>
          <w:szCs w:val="24"/>
          <w:highlight w:val="white"/>
        </w:rPr>
        <w:t>metadata completeness</w:t>
      </w:r>
      <w:r>
        <w:rPr>
          <w:i/>
          <w:color w:val="666666"/>
          <w:sz w:val="24"/>
          <w:szCs w:val="24"/>
          <w:highlight w:val="white"/>
        </w:rPr>
        <w:t xml:space="preserve"> as the availability of six core phenotypic attributes: race/ethnicity/ancestry (REA), age, sex, tissue type, and strain. These attributes were selected due to their relevance to downstream biomedical analyses (e.g., population stratification, sample matching, and disease modeling), as well as their relatively consistent presence across datasets and repositories. While we recognize that metadata can include other variables such as geographic location or marital status, these were either inconsistently reported or not commonly used in the context of genomics and transcriptomics studies. The limited availability of key metadata types highlights the pressing need to improve metadata completeness and accessibility. Therefore, it is crucial to define best practices for metadata sharing and identify barriers to such practices. This will enable future researchers to ensure the availability, completeness, and accuracy of metadata. Increasing metadata accessibility and reliability would significantly benefit the scientific community and beyond, facilitating data-driven decisions and policy formulations across diverse biomedical research domains. Notably, we observed that the textual content of publications often contains less metadata than the associated repositories, and many phenotypes are not consistently shared between these two sources. Our study underscores the importance of metadata sharing in promoting the reusability of multi-omics data. By promoting the availability and quality of metadata accompanying raw omics data, we can enable more accurate and efficient secondary analyses, which in turn may advance our understanding of complex diseases and their underlying mechanisms, and ultimately discover novel biomedical insights to improve human health.</w:t>
      </w:r>
    </w:p>
    <w:p w14:paraId="38555ED0" w14:textId="77777777" w:rsidR="00ED7132" w:rsidRDefault="00ED7132" w:rsidP="00ED7132">
      <w:pPr>
        <w:jc w:val="both"/>
        <w:rPr>
          <w:color w:val="FF0000"/>
          <w:sz w:val="24"/>
          <w:szCs w:val="24"/>
          <w:highlight w:val="white"/>
        </w:rPr>
      </w:pPr>
    </w:p>
    <w:p w14:paraId="3E232329" w14:textId="77777777" w:rsidR="00ED7132" w:rsidRDefault="00ED7132" w:rsidP="00ED7132">
      <w:pPr>
        <w:jc w:val="both"/>
        <w:rPr>
          <w:color w:val="222222"/>
          <w:sz w:val="24"/>
          <w:szCs w:val="24"/>
          <w:highlight w:val="white"/>
        </w:rPr>
      </w:pPr>
      <w:r>
        <w:rPr>
          <w:b/>
          <w:sz w:val="24"/>
          <w:szCs w:val="24"/>
          <w:highlight w:val="white"/>
        </w:rPr>
        <w:t>Comment #1-2 from Reviewer 2:</w:t>
      </w:r>
      <w:r>
        <w:rPr>
          <w:sz w:val="24"/>
          <w:szCs w:val="24"/>
          <w:highlight w:val="white"/>
        </w:rPr>
        <w:t xml:space="preserve"> </w:t>
      </w:r>
    </w:p>
    <w:p w14:paraId="6508AE50" w14:textId="77777777" w:rsidR="00ED7132" w:rsidRDefault="00ED7132" w:rsidP="00ED7132">
      <w:pPr>
        <w:jc w:val="both"/>
        <w:rPr>
          <w:color w:val="222222"/>
          <w:sz w:val="24"/>
          <w:szCs w:val="24"/>
          <w:highlight w:val="white"/>
        </w:rPr>
      </w:pPr>
      <w:r>
        <w:rPr>
          <w:color w:val="222222"/>
          <w:sz w:val="24"/>
          <w:szCs w:val="24"/>
          <w:highlight w:val="white"/>
        </w:rPr>
        <w:t>2)      Provide evidence to support these assumptions.</w:t>
      </w:r>
    </w:p>
    <w:p w14:paraId="19142BC6" w14:textId="77777777" w:rsidR="00ED7132" w:rsidRDefault="00ED7132" w:rsidP="00ED7132">
      <w:pPr>
        <w:jc w:val="both"/>
        <w:rPr>
          <w:color w:val="222222"/>
          <w:sz w:val="24"/>
          <w:szCs w:val="24"/>
          <w:highlight w:val="white"/>
        </w:rPr>
      </w:pPr>
      <w:r>
        <w:rPr>
          <w:color w:val="222222"/>
          <w:sz w:val="24"/>
          <w:szCs w:val="24"/>
          <w:highlight w:val="white"/>
        </w:rPr>
        <w:t>o       Why are these six attributes representative of overall metadata completeness?</w:t>
      </w:r>
    </w:p>
    <w:p w14:paraId="35E0164F" w14:textId="77777777" w:rsidR="00ED7132" w:rsidRDefault="00ED7132" w:rsidP="00ED7132">
      <w:pPr>
        <w:jc w:val="both"/>
        <w:rPr>
          <w:color w:val="222222"/>
          <w:sz w:val="24"/>
          <w:szCs w:val="24"/>
          <w:highlight w:val="white"/>
        </w:rPr>
      </w:pPr>
      <w:r>
        <w:rPr>
          <w:color w:val="222222"/>
          <w:sz w:val="24"/>
          <w:szCs w:val="24"/>
          <w:highlight w:val="white"/>
        </w:rPr>
        <w:t>o       How essential are these attributes to downstream scientific analyses, and what impact does missing metadata have on research quality and reproducibility?</w:t>
      </w:r>
    </w:p>
    <w:p w14:paraId="70C4A432" w14:textId="77777777" w:rsidR="00ED7132" w:rsidRDefault="00ED7132" w:rsidP="00ED7132">
      <w:pPr>
        <w:jc w:val="both"/>
        <w:rPr>
          <w:color w:val="222222"/>
          <w:sz w:val="24"/>
          <w:szCs w:val="24"/>
          <w:highlight w:val="white"/>
        </w:rPr>
      </w:pPr>
      <w:r>
        <w:rPr>
          <w:b/>
          <w:sz w:val="24"/>
          <w:szCs w:val="24"/>
          <w:highlight w:val="white"/>
        </w:rPr>
        <w:lastRenderedPageBreak/>
        <w:t>Response to Comment #1-2 from Reviewer 2:</w:t>
      </w:r>
      <w:r>
        <w:rPr>
          <w:sz w:val="24"/>
          <w:szCs w:val="24"/>
          <w:highlight w:val="white"/>
        </w:rPr>
        <w:t xml:space="preserve"> </w:t>
      </w:r>
    </w:p>
    <w:p w14:paraId="42DC07A7" w14:textId="77777777" w:rsidR="00ED7132" w:rsidRDefault="00ED7132" w:rsidP="00ED7132">
      <w:pPr>
        <w:jc w:val="both"/>
        <w:rPr>
          <w:color w:val="222222"/>
          <w:sz w:val="24"/>
          <w:szCs w:val="24"/>
          <w:highlight w:val="white"/>
        </w:rPr>
      </w:pPr>
      <w:r>
        <w:rPr>
          <w:color w:val="222222"/>
          <w:sz w:val="24"/>
          <w:szCs w:val="24"/>
          <w:highlight w:val="white"/>
        </w:rPr>
        <w:t xml:space="preserve">We thank the reviewer for raising this important point. To address this, we have substantially revised the </w:t>
      </w:r>
      <w:r>
        <w:rPr>
          <w:i/>
          <w:color w:val="222222"/>
          <w:sz w:val="24"/>
          <w:szCs w:val="24"/>
          <w:highlight w:val="white"/>
        </w:rPr>
        <w:t>Discussion</w:t>
      </w:r>
      <w:r>
        <w:rPr>
          <w:color w:val="222222"/>
          <w:sz w:val="24"/>
          <w:szCs w:val="24"/>
          <w:highlight w:val="white"/>
        </w:rPr>
        <w:t xml:space="preserve"> section to provide a more rigorous justification for our selection of the six phenotypic attributes used to define metadata completeness. The updated text, now marked in </w:t>
      </w:r>
      <w:r>
        <w:rPr>
          <w:b/>
          <w:color w:val="222222"/>
          <w:sz w:val="24"/>
          <w:szCs w:val="24"/>
          <w:highlight w:val="white"/>
        </w:rPr>
        <w:t>red</w:t>
      </w:r>
      <w:r>
        <w:rPr>
          <w:color w:val="222222"/>
          <w:sz w:val="24"/>
          <w:szCs w:val="24"/>
          <w:highlight w:val="white"/>
        </w:rPr>
        <w:t xml:space="preserve"> in the revised manuscript, explains how each attribute maps to established community reporting standards (e.g., MIBBI, MIAME, NIH SABV), and highlights its relevance to downstream analyses such as population stratification, batch correction, and epigenetic profiling.</w:t>
      </w:r>
    </w:p>
    <w:p w14:paraId="0E1E6451" w14:textId="77777777" w:rsidR="00ED7132" w:rsidRDefault="00ED7132" w:rsidP="00ED7132">
      <w:pPr>
        <w:jc w:val="both"/>
        <w:rPr>
          <w:color w:val="222222"/>
          <w:sz w:val="24"/>
          <w:szCs w:val="24"/>
          <w:highlight w:val="white"/>
        </w:rPr>
      </w:pPr>
      <w:r>
        <w:rPr>
          <w:color w:val="222222"/>
          <w:sz w:val="24"/>
          <w:szCs w:val="24"/>
          <w:highlight w:val="white"/>
        </w:rPr>
        <w:t>Specifically, we now cite multiple studies and community standards that underscore the importance of these attributes—including organism, tissue type, strain, sex, age, and race/ethnicity/ancestry (REA)—in ensuring interpretability, controlling for biological variability, and supporting reproducibility in downstream analyses. These revisions clarify both the scientific significance and practical relevance of the selected metadata fields. We hope this expanded explanation addresses the reviewer’s concern.</w:t>
      </w:r>
    </w:p>
    <w:p w14:paraId="3EFB3850" w14:textId="77777777" w:rsidR="00ED7132" w:rsidRDefault="00ED7132" w:rsidP="00ED7132">
      <w:pPr>
        <w:jc w:val="both"/>
        <w:rPr>
          <w:b/>
          <w:color w:val="222222"/>
          <w:sz w:val="24"/>
          <w:szCs w:val="24"/>
          <w:highlight w:val="white"/>
        </w:rPr>
      </w:pPr>
      <w:r>
        <w:rPr>
          <w:b/>
          <w:color w:val="222222"/>
          <w:sz w:val="24"/>
          <w:szCs w:val="24"/>
          <w:highlight w:val="white"/>
        </w:rPr>
        <w:t xml:space="preserve">We now write the paragraph as an opening in the revised </w:t>
      </w:r>
      <w:r>
        <w:rPr>
          <w:b/>
          <w:i/>
          <w:color w:val="222222"/>
          <w:sz w:val="24"/>
          <w:szCs w:val="24"/>
          <w:highlight w:val="white"/>
        </w:rPr>
        <w:t>Discussion in red</w:t>
      </w:r>
      <w:r>
        <w:rPr>
          <w:b/>
          <w:color w:val="222222"/>
          <w:sz w:val="24"/>
          <w:szCs w:val="24"/>
          <w:highlight w:val="white"/>
        </w:rPr>
        <w:t>:</w:t>
      </w:r>
    </w:p>
    <w:p w14:paraId="46AC3A71" w14:textId="77777777" w:rsidR="00ED7132" w:rsidRDefault="00ED7132" w:rsidP="00ED7132">
      <w:pPr>
        <w:ind w:firstLine="720"/>
        <w:jc w:val="both"/>
        <w:rPr>
          <w:color w:val="FF0000"/>
          <w:sz w:val="24"/>
          <w:szCs w:val="24"/>
        </w:rPr>
      </w:pPr>
      <w:r>
        <w:rPr>
          <w:color w:val="FF0000"/>
          <w:sz w:val="24"/>
          <w:szCs w:val="24"/>
        </w:rPr>
        <w:t>In our study, we focused on six phenotypic attributes—organism, tissue type, strain, sex, age, and race/ethnicity/ancestry (REA)—as representative indicators of metadata completeness. This selection was guided by a combination of field-wide reporting standards and their relevance to downstream analyses. We used standardized descriptors—such as organism, tissue or cell type, and experimental strain—guided by international minimum-information checklists (e.g., MIAME</w:t>
      </w:r>
      <w:r>
        <w:rPr>
          <w:color w:val="FF0000"/>
          <w:sz w:val="24"/>
          <w:szCs w:val="24"/>
          <w:vertAlign w:val="superscript"/>
        </w:rPr>
        <w:t>24</w:t>
      </w:r>
      <w:r>
        <w:rPr>
          <w:color w:val="FF0000"/>
          <w:sz w:val="24"/>
          <w:szCs w:val="24"/>
        </w:rPr>
        <w:t>, MINSEQE</w:t>
      </w:r>
      <w:r>
        <w:rPr>
          <w:color w:val="FF0000"/>
          <w:sz w:val="24"/>
          <w:szCs w:val="24"/>
          <w:vertAlign w:val="superscript"/>
        </w:rPr>
        <w:t>25</w:t>
      </w:r>
      <w:r>
        <w:rPr>
          <w:color w:val="FF0000"/>
          <w:sz w:val="24"/>
          <w:szCs w:val="24"/>
        </w:rPr>
        <w:t>, MIBBI</w:t>
      </w:r>
      <w:r>
        <w:rPr>
          <w:color w:val="FF0000"/>
          <w:sz w:val="24"/>
          <w:szCs w:val="24"/>
          <w:vertAlign w:val="superscript"/>
        </w:rPr>
        <w:t>26</w:t>
      </w:r>
      <w:r>
        <w:rPr>
          <w:color w:val="FF0000"/>
          <w:sz w:val="24"/>
          <w:szCs w:val="24"/>
        </w:rPr>
        <w:t>, GA4GH Phenopackets</w:t>
      </w:r>
      <w:r>
        <w:rPr>
          <w:color w:val="FF0000"/>
          <w:sz w:val="24"/>
          <w:szCs w:val="24"/>
          <w:vertAlign w:val="superscript"/>
        </w:rPr>
        <w:t>27</w:t>
      </w:r>
      <w:r>
        <w:rPr>
          <w:color w:val="FF0000"/>
          <w:sz w:val="24"/>
          <w:szCs w:val="24"/>
        </w:rPr>
        <w:t>), as these phenotypes are consistently reported across studies and essential for selecting appropriate reference genomes, expression atlases, and functional annotations. Their omission has been shown to inflate false-positive rates in differential‐expression pipelines when samples from distinct tissues or mouse substrains are inadvertently pooled. In particular, strain information in non-human model organisms (e.g., mice, rats, zebrafish) is essential for reproducibility in molecular studies, especially in areas such as epigenomics, where strain-specific genetic backgrounds can significantly influence DNA methylation patterns, histone modifications, and chromatin accessibility. For example, studies have shown that genetically similar mouse strains exhibit distinct epigenetic profiles that affect disease susceptibility, gene regulation, and developmental phenotypes. The absence of such metadata can lead to misinterpretation of epigenetic variation as disease-related rather than background-driven</w:t>
      </w:r>
      <w:r>
        <w:rPr>
          <w:color w:val="FF0000"/>
          <w:sz w:val="24"/>
          <w:szCs w:val="24"/>
          <w:vertAlign w:val="superscript"/>
        </w:rPr>
        <w:t>30,31</w:t>
      </w:r>
      <w:r>
        <w:rPr>
          <w:color w:val="FF0000"/>
          <w:sz w:val="24"/>
          <w:szCs w:val="24"/>
        </w:rPr>
        <w:t>.</w:t>
      </w:r>
    </w:p>
    <w:p w14:paraId="584AD1AC" w14:textId="77777777" w:rsidR="00ED7132" w:rsidRDefault="00ED7132" w:rsidP="00ED7132">
      <w:pPr>
        <w:jc w:val="both"/>
        <w:rPr>
          <w:b/>
          <w:sz w:val="24"/>
          <w:szCs w:val="24"/>
        </w:rPr>
      </w:pPr>
      <w:r>
        <w:rPr>
          <w:b/>
          <w:sz w:val="24"/>
          <w:szCs w:val="24"/>
        </w:rPr>
        <w:t>Newly added citations:</w:t>
      </w:r>
    </w:p>
    <w:p w14:paraId="495A9E68" w14:textId="77777777" w:rsidR="00ED7132" w:rsidRDefault="00ED7132" w:rsidP="00ED7132">
      <w:pPr>
        <w:widowControl w:val="0"/>
        <w:ind w:left="264"/>
        <w:rPr>
          <w:color w:val="FF0000"/>
          <w:sz w:val="24"/>
          <w:szCs w:val="24"/>
          <w:highlight w:val="white"/>
        </w:rPr>
      </w:pPr>
      <w:r>
        <w:rPr>
          <w:color w:val="FF0000"/>
          <w:sz w:val="24"/>
          <w:szCs w:val="24"/>
        </w:rPr>
        <w:t>30.</w:t>
      </w:r>
      <w:r>
        <w:rPr>
          <w:color w:val="FF0000"/>
          <w:sz w:val="24"/>
          <w:szCs w:val="24"/>
        </w:rPr>
        <w:tab/>
        <w:t xml:space="preserve">Keane, T. M. </w:t>
      </w:r>
      <w:r>
        <w:rPr>
          <w:i/>
          <w:color w:val="FF0000"/>
          <w:sz w:val="24"/>
          <w:szCs w:val="24"/>
        </w:rPr>
        <w:t>et al.</w:t>
      </w:r>
      <w:r>
        <w:rPr>
          <w:color w:val="FF0000"/>
          <w:sz w:val="24"/>
          <w:szCs w:val="24"/>
        </w:rPr>
        <w:t xml:space="preserve"> Mouse genomic variation and its effect on phenotypes and gene regulation. </w:t>
      </w:r>
      <w:r>
        <w:rPr>
          <w:i/>
          <w:color w:val="FF0000"/>
          <w:sz w:val="24"/>
          <w:szCs w:val="24"/>
        </w:rPr>
        <w:t xml:space="preserve">Nature </w:t>
      </w:r>
      <w:r>
        <w:rPr>
          <w:b/>
          <w:color w:val="FF0000"/>
          <w:sz w:val="24"/>
          <w:szCs w:val="24"/>
        </w:rPr>
        <w:t>477</w:t>
      </w:r>
      <w:r>
        <w:rPr>
          <w:color w:val="FF0000"/>
          <w:sz w:val="24"/>
          <w:szCs w:val="24"/>
        </w:rPr>
        <w:t>, 289–294 (2011).</w:t>
      </w:r>
    </w:p>
    <w:p w14:paraId="347BDD57" w14:textId="77777777" w:rsidR="00ED7132" w:rsidRDefault="00ED7132" w:rsidP="00ED7132">
      <w:pPr>
        <w:widowControl w:val="0"/>
        <w:ind w:left="264"/>
        <w:rPr>
          <w:color w:val="FF0000"/>
          <w:sz w:val="24"/>
          <w:szCs w:val="24"/>
          <w:highlight w:val="white"/>
        </w:rPr>
      </w:pPr>
      <w:r>
        <w:rPr>
          <w:color w:val="FF0000"/>
          <w:sz w:val="24"/>
          <w:szCs w:val="24"/>
        </w:rPr>
        <w:lastRenderedPageBreak/>
        <w:t>31.</w:t>
      </w:r>
      <w:r>
        <w:rPr>
          <w:color w:val="FF0000"/>
          <w:sz w:val="24"/>
          <w:szCs w:val="24"/>
        </w:rPr>
        <w:tab/>
        <w:t xml:space="preserve">Orozco, L. D. </w:t>
      </w:r>
      <w:r>
        <w:rPr>
          <w:i/>
          <w:color w:val="FF0000"/>
          <w:sz w:val="24"/>
          <w:szCs w:val="24"/>
        </w:rPr>
        <w:t>et al.</w:t>
      </w:r>
      <w:r>
        <w:rPr>
          <w:color w:val="FF0000"/>
          <w:sz w:val="24"/>
          <w:szCs w:val="24"/>
        </w:rPr>
        <w:t xml:space="preserve"> Epigenome-wide association of liver methylation patterns and complex metabolic traits in mice. </w:t>
      </w:r>
      <w:r>
        <w:rPr>
          <w:i/>
          <w:color w:val="FF0000"/>
          <w:sz w:val="24"/>
          <w:szCs w:val="24"/>
        </w:rPr>
        <w:t xml:space="preserve">Cell Metab. </w:t>
      </w:r>
      <w:r>
        <w:rPr>
          <w:b/>
          <w:color w:val="FF0000"/>
          <w:sz w:val="24"/>
          <w:szCs w:val="24"/>
        </w:rPr>
        <w:t>21</w:t>
      </w:r>
      <w:r>
        <w:rPr>
          <w:color w:val="FF0000"/>
          <w:sz w:val="24"/>
          <w:szCs w:val="24"/>
        </w:rPr>
        <w:t>, 905–917 (2015).</w:t>
      </w:r>
    </w:p>
    <w:p w14:paraId="0EE7191E" w14:textId="77777777" w:rsidR="00ED7132" w:rsidRDefault="00ED7132" w:rsidP="00ED7132">
      <w:pPr>
        <w:jc w:val="both"/>
        <w:rPr>
          <w:color w:val="FF0000"/>
          <w:sz w:val="24"/>
          <w:szCs w:val="24"/>
        </w:rPr>
      </w:pPr>
    </w:p>
    <w:p w14:paraId="52BB4473" w14:textId="77777777" w:rsidR="00ED7132" w:rsidRDefault="00ED7132" w:rsidP="00ED7132">
      <w:pPr>
        <w:ind w:firstLine="720"/>
        <w:jc w:val="both"/>
        <w:rPr>
          <w:color w:val="FF0000"/>
          <w:sz w:val="24"/>
          <w:szCs w:val="24"/>
        </w:rPr>
      </w:pPr>
      <w:r>
        <w:rPr>
          <w:color w:val="FF0000"/>
          <w:sz w:val="24"/>
          <w:szCs w:val="24"/>
        </w:rPr>
        <w:t>Certain phenotypic variables—such as sex, age, and ancestry—carry substantial biological and analytical value, and their inclusion is essential for accurate, reproducible, and equitable interpretation of genomic data. The NIH “Sex as a Biological Variable” (SABV) policy (NOT-OD-15-102) codifies sex as essential for reproducibility; meta-analyses of pre- and post-policy publications show that failure to stratify by sex conceals up to 22 % of significant expression differences</w:t>
      </w:r>
      <w:r>
        <w:rPr>
          <w:color w:val="FF0000"/>
          <w:sz w:val="24"/>
          <w:szCs w:val="24"/>
          <w:vertAlign w:val="superscript"/>
        </w:rPr>
        <w:t>32–34</w:t>
      </w:r>
      <w:r>
        <w:rPr>
          <w:color w:val="FF0000"/>
          <w:sz w:val="24"/>
          <w:szCs w:val="24"/>
        </w:rPr>
        <w:t>. As a result, sex is widely recognized as a critical biological variable; it has been strongly recommended by the NIH and others as essential for identifying sex-specific disease mechanisms, treatment responses, and biological variability</w:t>
      </w:r>
      <w:r>
        <w:rPr>
          <w:color w:val="FF0000"/>
          <w:sz w:val="24"/>
          <w:szCs w:val="24"/>
          <w:vertAlign w:val="superscript"/>
        </w:rPr>
        <w:t>35</w:t>
      </w:r>
      <w:r>
        <w:rPr>
          <w:color w:val="FF0000"/>
          <w:sz w:val="24"/>
          <w:szCs w:val="24"/>
        </w:rPr>
        <w:t>. Age profoundly modulates transcript abundance (e.g., &gt;40 % of protein-coding genes in GTEx exhibit age-dependent expression), alters epigenetic drift, and drives batch effects in single-cell atlases; downstream analyses that ignore age confounders mis-estimate effect sizes and disease signatures</w:t>
      </w:r>
      <w:r>
        <w:rPr>
          <w:color w:val="FF0000"/>
          <w:sz w:val="24"/>
          <w:szCs w:val="24"/>
          <w:vertAlign w:val="superscript"/>
        </w:rPr>
        <w:t>36–38</w:t>
      </w:r>
      <w:r>
        <w:rPr>
          <w:color w:val="FF0000"/>
          <w:sz w:val="24"/>
          <w:szCs w:val="24"/>
        </w:rPr>
        <w:t>. Race/Ethnicity/Ancestry (REA) captures population-specific allele frequencies and gene-environment interactions. Large-scale surveys consistently show that &gt;80 % of GWAS participants are of European ancestry; re-analyses demonstrate that polygenic risk scores trained on such data lose predictive power in under-represented groups, underscoring the necessity of REA metadata for equitable translational research</w:t>
      </w:r>
      <w:r>
        <w:rPr>
          <w:color w:val="FF0000"/>
          <w:sz w:val="24"/>
          <w:szCs w:val="24"/>
          <w:vertAlign w:val="superscript"/>
        </w:rPr>
        <w:t>39</w:t>
      </w:r>
      <w:r>
        <w:rPr>
          <w:color w:val="FF0000"/>
          <w:sz w:val="24"/>
          <w:szCs w:val="24"/>
        </w:rPr>
        <w:t>. Recent studies have also emphasized that the lack of ancestral diversity in genomics undermines generalizability and equity in data-driven discoveries</w:t>
      </w:r>
      <w:r>
        <w:rPr>
          <w:color w:val="FF0000"/>
          <w:sz w:val="24"/>
          <w:szCs w:val="24"/>
          <w:vertAlign w:val="superscript"/>
        </w:rPr>
        <w:t>40,41</w:t>
      </w:r>
      <w:r>
        <w:rPr>
          <w:color w:val="FF0000"/>
          <w:sz w:val="24"/>
          <w:szCs w:val="24"/>
        </w:rPr>
        <w:t>.</w:t>
      </w:r>
    </w:p>
    <w:p w14:paraId="753DE496" w14:textId="77777777" w:rsidR="00ED7132" w:rsidRDefault="00ED7132" w:rsidP="00ED7132">
      <w:pPr>
        <w:jc w:val="both"/>
        <w:rPr>
          <w:b/>
          <w:sz w:val="24"/>
          <w:szCs w:val="24"/>
        </w:rPr>
      </w:pPr>
      <w:r>
        <w:rPr>
          <w:b/>
          <w:sz w:val="24"/>
          <w:szCs w:val="24"/>
        </w:rPr>
        <w:t>Newly added citations:</w:t>
      </w:r>
    </w:p>
    <w:p w14:paraId="62775583" w14:textId="77777777" w:rsidR="00ED7132" w:rsidRDefault="00ED7132" w:rsidP="00ED7132">
      <w:pPr>
        <w:widowControl w:val="0"/>
        <w:ind w:left="264"/>
        <w:rPr>
          <w:color w:val="FF0000"/>
          <w:sz w:val="24"/>
          <w:szCs w:val="24"/>
          <w:highlight w:val="white"/>
        </w:rPr>
      </w:pPr>
      <w:r>
        <w:rPr>
          <w:color w:val="FF0000"/>
          <w:sz w:val="24"/>
          <w:szCs w:val="24"/>
        </w:rPr>
        <w:t>32.</w:t>
      </w:r>
      <w:r>
        <w:rPr>
          <w:color w:val="FF0000"/>
          <w:sz w:val="24"/>
          <w:szCs w:val="24"/>
        </w:rPr>
        <w:tab/>
        <w:t xml:space="preserve">Collins, F. S. &amp; Tabak, L. A. Policy: NIH plans to enhance reproducibility. </w:t>
      </w:r>
      <w:r>
        <w:rPr>
          <w:i/>
          <w:color w:val="FF0000"/>
          <w:sz w:val="24"/>
          <w:szCs w:val="24"/>
        </w:rPr>
        <w:t xml:space="preserve">Nature </w:t>
      </w:r>
      <w:r>
        <w:rPr>
          <w:b/>
          <w:color w:val="FF0000"/>
          <w:sz w:val="24"/>
          <w:szCs w:val="24"/>
        </w:rPr>
        <w:t>505</w:t>
      </w:r>
      <w:r>
        <w:rPr>
          <w:color w:val="FF0000"/>
          <w:sz w:val="24"/>
          <w:szCs w:val="24"/>
        </w:rPr>
        <w:t>, 612–613 (2014).</w:t>
      </w:r>
    </w:p>
    <w:p w14:paraId="171868B8" w14:textId="77777777" w:rsidR="00ED7132" w:rsidRDefault="00ED7132" w:rsidP="00ED7132">
      <w:pPr>
        <w:widowControl w:val="0"/>
        <w:ind w:left="264"/>
        <w:rPr>
          <w:color w:val="FF0000"/>
          <w:sz w:val="24"/>
          <w:szCs w:val="24"/>
          <w:highlight w:val="white"/>
        </w:rPr>
      </w:pPr>
      <w:r>
        <w:rPr>
          <w:color w:val="FF0000"/>
          <w:sz w:val="24"/>
          <w:szCs w:val="24"/>
        </w:rPr>
        <w:t>33.</w:t>
      </w:r>
      <w:r>
        <w:rPr>
          <w:color w:val="FF0000"/>
          <w:sz w:val="24"/>
          <w:szCs w:val="24"/>
        </w:rPr>
        <w:tab/>
        <w:t xml:space="preserve">Clayton, J. A. &amp; Collins, F. S. Policy: NIH to balance sex in cell and animal studies. </w:t>
      </w:r>
      <w:r>
        <w:rPr>
          <w:i/>
          <w:color w:val="FF0000"/>
          <w:sz w:val="24"/>
          <w:szCs w:val="24"/>
        </w:rPr>
        <w:t xml:space="preserve">Nature </w:t>
      </w:r>
      <w:r>
        <w:rPr>
          <w:b/>
          <w:color w:val="FF0000"/>
          <w:sz w:val="24"/>
          <w:szCs w:val="24"/>
        </w:rPr>
        <w:t>509</w:t>
      </w:r>
      <w:r>
        <w:rPr>
          <w:color w:val="FF0000"/>
          <w:sz w:val="24"/>
          <w:szCs w:val="24"/>
        </w:rPr>
        <w:t>, 282–283 (2014).</w:t>
      </w:r>
    </w:p>
    <w:p w14:paraId="1E76246D" w14:textId="77777777" w:rsidR="00ED7132" w:rsidRDefault="00ED7132" w:rsidP="00ED7132">
      <w:pPr>
        <w:widowControl w:val="0"/>
        <w:ind w:left="264"/>
        <w:rPr>
          <w:color w:val="FF0000"/>
          <w:sz w:val="24"/>
          <w:szCs w:val="24"/>
          <w:highlight w:val="white"/>
        </w:rPr>
      </w:pPr>
      <w:r>
        <w:rPr>
          <w:color w:val="FF0000"/>
          <w:sz w:val="24"/>
          <w:szCs w:val="24"/>
        </w:rPr>
        <w:t>34.</w:t>
      </w:r>
      <w:r>
        <w:rPr>
          <w:color w:val="FF0000"/>
          <w:sz w:val="24"/>
          <w:szCs w:val="24"/>
        </w:rPr>
        <w:tab/>
        <w:t>NOT-OD-15-102: Consideration of Sex as a Biological Variable in NIH-funded Research. https://grants.nih.gov/grants/guide/notice-files/not-od-15-102.html.</w:t>
      </w:r>
    </w:p>
    <w:p w14:paraId="35602B50" w14:textId="77777777" w:rsidR="00ED7132" w:rsidRDefault="00ED7132" w:rsidP="00ED7132">
      <w:pPr>
        <w:widowControl w:val="0"/>
        <w:ind w:left="264"/>
        <w:rPr>
          <w:color w:val="FF0000"/>
          <w:sz w:val="24"/>
          <w:szCs w:val="24"/>
          <w:highlight w:val="white"/>
        </w:rPr>
      </w:pPr>
      <w:r>
        <w:rPr>
          <w:color w:val="FF0000"/>
          <w:sz w:val="24"/>
          <w:szCs w:val="24"/>
        </w:rPr>
        <w:t>35.</w:t>
      </w:r>
      <w:r>
        <w:rPr>
          <w:color w:val="FF0000"/>
          <w:sz w:val="24"/>
          <w:szCs w:val="24"/>
        </w:rPr>
        <w:tab/>
        <w:t xml:space="preserve">Disorders, I. of M. (US) F. on N. and N. S. Studying Sex Differences in Health and Disease. in </w:t>
      </w:r>
      <w:r>
        <w:rPr>
          <w:i/>
          <w:color w:val="FF0000"/>
          <w:sz w:val="24"/>
          <w:szCs w:val="24"/>
        </w:rPr>
        <w:t>Sex Differences and Implications for Translational Neuroscience Research: Workshop Summary</w:t>
      </w:r>
      <w:r>
        <w:rPr>
          <w:color w:val="FF0000"/>
          <w:sz w:val="24"/>
          <w:szCs w:val="24"/>
        </w:rPr>
        <w:t xml:space="preserve"> (National Academies Press (US), 2011).</w:t>
      </w:r>
    </w:p>
    <w:p w14:paraId="456A5B01" w14:textId="77777777" w:rsidR="00ED7132" w:rsidRDefault="00ED7132" w:rsidP="00ED7132">
      <w:pPr>
        <w:widowControl w:val="0"/>
        <w:ind w:left="264"/>
        <w:rPr>
          <w:color w:val="FF0000"/>
          <w:sz w:val="24"/>
          <w:szCs w:val="24"/>
          <w:highlight w:val="white"/>
        </w:rPr>
      </w:pPr>
      <w:r>
        <w:rPr>
          <w:color w:val="FF0000"/>
          <w:sz w:val="24"/>
          <w:szCs w:val="24"/>
        </w:rPr>
        <w:t>36.</w:t>
      </w:r>
      <w:r>
        <w:rPr>
          <w:color w:val="FF0000"/>
          <w:sz w:val="24"/>
          <w:szCs w:val="24"/>
        </w:rPr>
        <w:tab/>
        <w:t xml:space="preserve">Jia, K., Cui, C., Gao, Y., Zhou, Y. &amp; Cui, Q. An analysis of aging-related genes derived from the Genotype-Tissue Expression project (GTEx). </w:t>
      </w:r>
      <w:r>
        <w:rPr>
          <w:i/>
          <w:color w:val="FF0000"/>
          <w:sz w:val="24"/>
          <w:szCs w:val="24"/>
        </w:rPr>
        <w:t xml:space="preserve">Cell Death Discov. </w:t>
      </w:r>
      <w:r>
        <w:rPr>
          <w:b/>
          <w:color w:val="FF0000"/>
          <w:sz w:val="24"/>
          <w:szCs w:val="24"/>
        </w:rPr>
        <w:t>4</w:t>
      </w:r>
      <w:r>
        <w:rPr>
          <w:color w:val="FF0000"/>
          <w:sz w:val="24"/>
          <w:szCs w:val="24"/>
        </w:rPr>
        <w:t>, 91 (2018).</w:t>
      </w:r>
    </w:p>
    <w:p w14:paraId="1C31FF05" w14:textId="77777777" w:rsidR="00ED7132" w:rsidRDefault="00ED7132" w:rsidP="00ED7132">
      <w:pPr>
        <w:widowControl w:val="0"/>
        <w:ind w:left="264"/>
        <w:rPr>
          <w:color w:val="FF0000"/>
          <w:sz w:val="24"/>
          <w:szCs w:val="24"/>
          <w:highlight w:val="white"/>
        </w:rPr>
      </w:pPr>
      <w:r>
        <w:rPr>
          <w:color w:val="FF0000"/>
          <w:sz w:val="24"/>
          <w:szCs w:val="24"/>
        </w:rPr>
        <w:lastRenderedPageBreak/>
        <w:t>37.</w:t>
      </w:r>
      <w:r>
        <w:rPr>
          <w:color w:val="FF0000"/>
          <w:sz w:val="24"/>
          <w:szCs w:val="24"/>
        </w:rPr>
        <w:tab/>
        <w:t xml:space="preserve">Yang, J. </w:t>
      </w:r>
      <w:r>
        <w:rPr>
          <w:i/>
          <w:color w:val="FF0000"/>
          <w:sz w:val="24"/>
          <w:szCs w:val="24"/>
        </w:rPr>
        <w:t>et al.</w:t>
      </w:r>
      <w:r>
        <w:rPr>
          <w:color w:val="FF0000"/>
          <w:sz w:val="24"/>
          <w:szCs w:val="24"/>
        </w:rPr>
        <w:t xml:space="preserve"> Synchronized age-related gene expression changes across multiple tissues in human and the link to complex diseases. </w:t>
      </w:r>
      <w:r>
        <w:rPr>
          <w:i/>
          <w:color w:val="FF0000"/>
          <w:sz w:val="24"/>
          <w:szCs w:val="24"/>
        </w:rPr>
        <w:t xml:space="preserve">Sci. Rep. </w:t>
      </w:r>
      <w:r>
        <w:rPr>
          <w:b/>
          <w:color w:val="FF0000"/>
          <w:sz w:val="24"/>
          <w:szCs w:val="24"/>
        </w:rPr>
        <w:t>5</w:t>
      </w:r>
      <w:r>
        <w:rPr>
          <w:color w:val="FF0000"/>
          <w:sz w:val="24"/>
          <w:szCs w:val="24"/>
        </w:rPr>
        <w:t>, 15145 (2015).</w:t>
      </w:r>
    </w:p>
    <w:p w14:paraId="45112B7F" w14:textId="77777777" w:rsidR="00ED7132" w:rsidRDefault="00ED7132" w:rsidP="00ED7132">
      <w:pPr>
        <w:widowControl w:val="0"/>
        <w:ind w:left="264"/>
        <w:rPr>
          <w:color w:val="FF0000"/>
          <w:sz w:val="24"/>
          <w:szCs w:val="24"/>
          <w:highlight w:val="white"/>
        </w:rPr>
      </w:pPr>
      <w:r>
        <w:rPr>
          <w:color w:val="FF0000"/>
          <w:sz w:val="24"/>
          <w:szCs w:val="24"/>
        </w:rPr>
        <w:t>38.</w:t>
      </w:r>
      <w:r>
        <w:rPr>
          <w:color w:val="FF0000"/>
          <w:sz w:val="24"/>
          <w:szCs w:val="24"/>
        </w:rPr>
        <w:tab/>
        <w:t xml:space="preserve">Zeng, L. </w:t>
      </w:r>
      <w:r>
        <w:rPr>
          <w:i/>
          <w:color w:val="FF0000"/>
          <w:sz w:val="24"/>
          <w:szCs w:val="24"/>
        </w:rPr>
        <w:t>et al.</w:t>
      </w:r>
      <w:r>
        <w:rPr>
          <w:color w:val="FF0000"/>
          <w:sz w:val="24"/>
          <w:szCs w:val="24"/>
        </w:rPr>
        <w:t xml:space="preserve"> Transcriptome analysis reveals the difference between “healthy” and “common” aging and their connection with age‐related diseases. </w:t>
      </w:r>
      <w:r>
        <w:rPr>
          <w:i/>
          <w:color w:val="FF0000"/>
          <w:sz w:val="24"/>
          <w:szCs w:val="24"/>
        </w:rPr>
        <w:t xml:space="preserve">Aging Cell </w:t>
      </w:r>
      <w:r>
        <w:rPr>
          <w:b/>
          <w:color w:val="FF0000"/>
          <w:sz w:val="24"/>
          <w:szCs w:val="24"/>
        </w:rPr>
        <w:t>19</w:t>
      </w:r>
      <w:r>
        <w:rPr>
          <w:color w:val="FF0000"/>
          <w:sz w:val="24"/>
          <w:szCs w:val="24"/>
        </w:rPr>
        <w:t>, e13121 (2020).</w:t>
      </w:r>
    </w:p>
    <w:p w14:paraId="3EBE8852" w14:textId="77777777" w:rsidR="00ED7132" w:rsidRDefault="00ED7132" w:rsidP="00ED7132">
      <w:pPr>
        <w:widowControl w:val="0"/>
        <w:ind w:left="264"/>
        <w:rPr>
          <w:color w:val="FF0000"/>
          <w:sz w:val="24"/>
          <w:szCs w:val="24"/>
          <w:highlight w:val="white"/>
        </w:rPr>
      </w:pPr>
      <w:r>
        <w:rPr>
          <w:color w:val="FF0000"/>
          <w:sz w:val="24"/>
          <w:szCs w:val="24"/>
        </w:rPr>
        <w:t>39.</w:t>
      </w:r>
      <w:r>
        <w:rPr>
          <w:color w:val="FF0000"/>
          <w:sz w:val="24"/>
          <w:szCs w:val="24"/>
        </w:rPr>
        <w:tab/>
        <w:t xml:space="preserve">Sirugo, G., Williams, S. M. &amp; Tishkoff, S. A. The Missing Diversity in Human Genetic Studies. </w:t>
      </w:r>
      <w:r>
        <w:rPr>
          <w:i/>
          <w:color w:val="FF0000"/>
          <w:sz w:val="24"/>
          <w:szCs w:val="24"/>
        </w:rPr>
        <w:t xml:space="preserve">Cell </w:t>
      </w:r>
      <w:r>
        <w:rPr>
          <w:b/>
          <w:color w:val="FF0000"/>
          <w:sz w:val="24"/>
          <w:szCs w:val="24"/>
        </w:rPr>
        <w:t>177</w:t>
      </w:r>
      <w:r>
        <w:rPr>
          <w:color w:val="FF0000"/>
          <w:sz w:val="24"/>
          <w:szCs w:val="24"/>
        </w:rPr>
        <w:t>, 26–31 (2019).</w:t>
      </w:r>
    </w:p>
    <w:p w14:paraId="2E807BD2" w14:textId="77777777" w:rsidR="00ED7132" w:rsidRDefault="00ED7132" w:rsidP="00ED7132">
      <w:pPr>
        <w:widowControl w:val="0"/>
        <w:ind w:left="264"/>
        <w:rPr>
          <w:color w:val="FF0000"/>
          <w:sz w:val="24"/>
          <w:szCs w:val="24"/>
          <w:highlight w:val="white"/>
        </w:rPr>
      </w:pPr>
      <w:r>
        <w:rPr>
          <w:color w:val="FF0000"/>
          <w:sz w:val="24"/>
          <w:szCs w:val="24"/>
        </w:rPr>
        <w:t>40.</w:t>
      </w:r>
      <w:r>
        <w:rPr>
          <w:color w:val="FF0000"/>
          <w:sz w:val="24"/>
          <w:szCs w:val="24"/>
        </w:rPr>
        <w:tab/>
        <w:t>Huang, Y.-N., Peng, K. &amp; Mangul, S. Ancestry diversity of open T-cell receptor repertoire data, a systematic assessment. Preprint at https://doi.org/10.31219/osf.io/w25hq (2021).</w:t>
      </w:r>
    </w:p>
    <w:p w14:paraId="121AEC73" w14:textId="77777777" w:rsidR="00ED7132" w:rsidRDefault="00ED7132" w:rsidP="00ED7132">
      <w:pPr>
        <w:widowControl w:val="0"/>
        <w:ind w:left="264"/>
        <w:rPr>
          <w:color w:val="FF0000"/>
          <w:sz w:val="24"/>
          <w:szCs w:val="24"/>
          <w:highlight w:val="white"/>
        </w:rPr>
      </w:pPr>
      <w:r>
        <w:rPr>
          <w:color w:val="FF0000"/>
          <w:sz w:val="24"/>
          <w:szCs w:val="24"/>
        </w:rPr>
        <w:t>41.</w:t>
      </w:r>
      <w:r>
        <w:rPr>
          <w:color w:val="FF0000"/>
          <w:sz w:val="24"/>
          <w:szCs w:val="24"/>
        </w:rPr>
        <w:tab/>
        <w:t xml:space="preserve">Popejoy, A. B. &amp; Fullerton, S. M. Genomics is failing on diversity. </w:t>
      </w:r>
      <w:r>
        <w:rPr>
          <w:i/>
          <w:color w:val="FF0000"/>
          <w:sz w:val="24"/>
          <w:szCs w:val="24"/>
        </w:rPr>
        <w:t xml:space="preserve">Nature </w:t>
      </w:r>
      <w:r>
        <w:rPr>
          <w:b/>
          <w:color w:val="FF0000"/>
          <w:sz w:val="24"/>
          <w:szCs w:val="24"/>
        </w:rPr>
        <w:t>538</w:t>
      </w:r>
      <w:r>
        <w:rPr>
          <w:color w:val="FF0000"/>
          <w:sz w:val="24"/>
          <w:szCs w:val="24"/>
        </w:rPr>
        <w:t>, 161–164 (2016).</w:t>
      </w:r>
    </w:p>
    <w:p w14:paraId="2DEDC45B" w14:textId="77777777" w:rsidR="00ED7132" w:rsidRDefault="00ED7132" w:rsidP="00ED7132">
      <w:pPr>
        <w:jc w:val="both"/>
        <w:rPr>
          <w:color w:val="FF0000"/>
          <w:sz w:val="24"/>
          <w:szCs w:val="24"/>
        </w:rPr>
      </w:pPr>
    </w:p>
    <w:p w14:paraId="1592A2F7" w14:textId="77777777" w:rsidR="00ED7132" w:rsidRDefault="00ED7132" w:rsidP="00ED7132">
      <w:pPr>
        <w:ind w:firstLine="720"/>
        <w:jc w:val="both"/>
        <w:rPr>
          <w:color w:val="FF0000"/>
          <w:sz w:val="24"/>
          <w:szCs w:val="24"/>
        </w:rPr>
      </w:pPr>
      <w:r>
        <w:rPr>
          <w:color w:val="FF0000"/>
          <w:sz w:val="24"/>
          <w:szCs w:val="24"/>
        </w:rPr>
        <w:t>Collectively, these six attributes represent the intersection of (i) widespread standardisation, (ii) availability across public repositories, and (iii) demonstrable influence on downstream bioinformatic pipelines. Their absence hampers sample matching, inflates hidden confounders, and ultimately erodes reproducibility—as evidenced by the replication failures cited above. While additional clinical variables (e.g., disease stage) are invaluable in specific contexts, they are neither universally reported nor mandated by current standards, precluding systematic cross-study assessment at present. Our definition of metadata completeness therefore reflects a pragmatic yet stringent baseline that is both measurable and maximally informative across heterogeneous study designs.</w:t>
      </w:r>
    </w:p>
    <w:p w14:paraId="35829148" w14:textId="77777777" w:rsidR="00ED7132" w:rsidRDefault="00ED7132" w:rsidP="00ED7132">
      <w:pPr>
        <w:ind w:firstLine="720"/>
        <w:jc w:val="both"/>
        <w:rPr>
          <w:color w:val="FF0000"/>
          <w:sz w:val="24"/>
          <w:szCs w:val="24"/>
        </w:rPr>
      </w:pPr>
      <w:r>
        <w:rPr>
          <w:color w:val="FF0000"/>
          <w:sz w:val="24"/>
          <w:szCs w:val="24"/>
        </w:rPr>
        <w:t>Although additional metadata elements—such as disease severity, batch, or sampling location—can be valuable in specific study contexts, the six we selected are expected to be routinely collected and are broadly informative across study designs, even if not always publicly available. The absence of these phenotypes can limit sample stratification, introduce confounding, and reduce the ability to replicate study findings—thereby undermining reproducibility and interpretability in the follow up studies which attempt to reuse the existing datasets. While clinical metadata—such as treatment history, disease severity, or comorbidities—are essential in clinically focused research, such information is often absent in basic or translational studies that fall under disease categories but focus primarily on molecular or mechanistic biology. In these contexts, clinical metadata may not be reported or applicable, making systematic extraction and cross-study comparison challenging. We acknowledge the importance of assessing clinical phenotype availability and view this as a valuable direction for future research, particularly in studies that target clinical datasets.</w:t>
      </w:r>
    </w:p>
    <w:p w14:paraId="6D0C4FCB" w14:textId="77777777" w:rsidR="00ED7132" w:rsidRDefault="00ED7132" w:rsidP="00ED7132">
      <w:pPr>
        <w:jc w:val="both"/>
        <w:rPr>
          <w:b/>
          <w:sz w:val="24"/>
          <w:szCs w:val="24"/>
          <w:highlight w:val="white"/>
        </w:rPr>
      </w:pPr>
      <w:r>
        <w:rPr>
          <w:b/>
          <w:sz w:val="24"/>
          <w:szCs w:val="24"/>
          <w:highlight w:val="white"/>
        </w:rPr>
        <w:lastRenderedPageBreak/>
        <w:t xml:space="preserve">Original paragraph in the beginning </w:t>
      </w:r>
      <w:r>
        <w:rPr>
          <w:b/>
          <w:i/>
          <w:sz w:val="24"/>
          <w:szCs w:val="24"/>
          <w:highlight w:val="white"/>
        </w:rPr>
        <w:t>Discussion</w:t>
      </w:r>
      <w:r>
        <w:rPr>
          <w:b/>
          <w:sz w:val="24"/>
          <w:szCs w:val="24"/>
          <w:highlight w:val="white"/>
        </w:rPr>
        <w:t xml:space="preserve"> section:</w:t>
      </w:r>
    </w:p>
    <w:p w14:paraId="0C5E1A62" w14:textId="77777777" w:rsidR="00ED7132" w:rsidRDefault="00ED7132" w:rsidP="00ED7132">
      <w:pPr>
        <w:ind w:firstLine="720"/>
        <w:jc w:val="both"/>
        <w:rPr>
          <w:i/>
          <w:color w:val="434343"/>
          <w:sz w:val="24"/>
          <w:szCs w:val="24"/>
          <w:highlight w:val="white"/>
        </w:rPr>
      </w:pPr>
      <w:r>
        <w:rPr>
          <w:i/>
          <w:color w:val="434343"/>
          <w:sz w:val="24"/>
          <w:szCs w:val="24"/>
        </w:rPr>
        <w:t xml:space="preserve">Our study is the first to systematically analyze metadata completeness across multiple organisms and phenotypes, revealing limited availability of metadata both in textual content of publications and public repositories. </w:t>
      </w:r>
      <w:r>
        <w:rPr>
          <w:i/>
          <w:color w:val="434343"/>
          <w:sz w:val="24"/>
          <w:szCs w:val="24"/>
          <w:highlight w:val="white"/>
        </w:rPr>
        <w:t>While metadata completeness varies by phenotype, organism and tissue types are consistently reported, whereas age, sex, strain, and race/ethnicity/ancestry information are often missing</w:t>
      </w:r>
      <w:r>
        <w:rPr>
          <w:i/>
          <w:color w:val="434343"/>
          <w:sz w:val="24"/>
          <w:szCs w:val="24"/>
        </w:rPr>
        <w:t xml:space="preserve"> (Figure S2). Notably, non-human studies demonstrated an enhanced commitment to sharing metadata than human studies. Several factors may contribute to the observed differences in metadata availability between human and non-human studies. Firstly, the nature of the research focus plays a crucial role. Human studies are typically subject to stricter ethical guidelines and consent requirements, and data sharing regulations. These regulations may limit the extent of metadata that can be collected, whereas non-human studies may not encounter the same constraints. As a result, non-human studies may enjoy easier access to metadata due to less stringent privacy and consent regulations, facilitating more extensive data collection efforts. Data sharing norms may further influence metadata availability. Non-human studies often have a stronger tradition of data sharing, motivating researchers to provide more complete metadata to promote transparency and collaboration.</w:t>
      </w:r>
    </w:p>
    <w:p w14:paraId="1126C9FE" w14:textId="77777777" w:rsidR="00ED7132" w:rsidRDefault="00ED7132" w:rsidP="00ED7132">
      <w:pPr>
        <w:jc w:val="both"/>
        <w:rPr>
          <w:color w:val="222222"/>
          <w:sz w:val="24"/>
          <w:szCs w:val="24"/>
          <w:highlight w:val="white"/>
        </w:rPr>
      </w:pPr>
    </w:p>
    <w:p w14:paraId="181FC515" w14:textId="77777777" w:rsidR="00ED7132" w:rsidRDefault="00ED7132" w:rsidP="00ED7132">
      <w:pPr>
        <w:jc w:val="both"/>
        <w:rPr>
          <w:color w:val="222222"/>
          <w:sz w:val="24"/>
          <w:szCs w:val="24"/>
          <w:highlight w:val="white"/>
        </w:rPr>
      </w:pPr>
      <w:r>
        <w:rPr>
          <w:b/>
          <w:sz w:val="24"/>
          <w:szCs w:val="24"/>
          <w:highlight w:val="white"/>
        </w:rPr>
        <w:t>Comment #1-3 from Reviewer 2:</w:t>
      </w:r>
      <w:r>
        <w:rPr>
          <w:sz w:val="24"/>
          <w:szCs w:val="24"/>
          <w:highlight w:val="white"/>
        </w:rPr>
        <w:t xml:space="preserve"> </w:t>
      </w:r>
    </w:p>
    <w:p w14:paraId="15D865C3" w14:textId="77777777" w:rsidR="00ED7132" w:rsidRDefault="00ED7132" w:rsidP="00ED7132">
      <w:pPr>
        <w:jc w:val="both"/>
        <w:rPr>
          <w:color w:val="222222"/>
          <w:sz w:val="24"/>
          <w:szCs w:val="24"/>
          <w:highlight w:val="white"/>
        </w:rPr>
      </w:pPr>
      <w:r>
        <w:rPr>
          <w:color w:val="222222"/>
          <w:sz w:val="24"/>
          <w:szCs w:val="24"/>
          <w:highlight w:val="white"/>
        </w:rPr>
        <w:t>3)      Offer actionable guidelines or recommendations to address the identified issues.</w:t>
      </w:r>
    </w:p>
    <w:p w14:paraId="29C4A6FC" w14:textId="77777777" w:rsidR="00ED7132" w:rsidRDefault="00ED7132" w:rsidP="00ED7132">
      <w:pPr>
        <w:jc w:val="both"/>
        <w:rPr>
          <w:color w:val="222222"/>
          <w:sz w:val="24"/>
          <w:szCs w:val="24"/>
          <w:highlight w:val="white"/>
        </w:rPr>
      </w:pPr>
      <w:r>
        <w:rPr>
          <w:color w:val="222222"/>
          <w:sz w:val="24"/>
          <w:szCs w:val="24"/>
          <w:highlight w:val="white"/>
        </w:rPr>
        <w:t>I raised concerns along these lines in Comments 1, 2, and 3 of my previous review. In response to comment 2, the authors stated: “Our primary goal was to evaluate the prevalence of metadata reporting. We acknowledge that the downstream impact of missing metadata is a critical consideration. A full quantitative assessment of the consequences of incompleteness is beyond the current study’s scope.” However, this statement contradicts the broader claims made throughout the manuscript, in the Abstract, Introduction, and Discussion, where the authors assert that:</w:t>
      </w:r>
    </w:p>
    <w:p w14:paraId="7846CD69" w14:textId="77777777" w:rsidR="00ED7132" w:rsidRDefault="00ED7132" w:rsidP="00ED7132">
      <w:pPr>
        <w:jc w:val="both"/>
        <w:rPr>
          <w:color w:val="222222"/>
          <w:sz w:val="24"/>
          <w:szCs w:val="24"/>
          <w:highlight w:val="white"/>
        </w:rPr>
      </w:pPr>
      <w:r>
        <w:rPr>
          <w:color w:val="222222"/>
          <w:sz w:val="24"/>
          <w:szCs w:val="24"/>
          <w:highlight w:val="white"/>
        </w:rPr>
        <w:t>•       “Incomplete metadata accompanying public omics data limits the reproducibility and reusability of millions of omics samples,” or</w:t>
      </w:r>
    </w:p>
    <w:p w14:paraId="4F433A5E" w14:textId="77777777" w:rsidR="00ED7132" w:rsidRDefault="00ED7132" w:rsidP="00ED7132">
      <w:pPr>
        <w:jc w:val="both"/>
        <w:rPr>
          <w:color w:val="222222"/>
          <w:sz w:val="24"/>
          <w:szCs w:val="24"/>
          <w:highlight w:val="white"/>
        </w:rPr>
      </w:pPr>
      <w:r>
        <w:rPr>
          <w:color w:val="222222"/>
          <w:sz w:val="24"/>
          <w:szCs w:val="24"/>
          <w:highlight w:val="white"/>
        </w:rPr>
        <w:t>•       “Our study emphasizes the necessity for improved metadata sharing practices and standardized reporting.”</w:t>
      </w:r>
    </w:p>
    <w:p w14:paraId="6123007D" w14:textId="77777777" w:rsidR="00ED7132" w:rsidRDefault="00ED7132" w:rsidP="00ED7132">
      <w:pPr>
        <w:jc w:val="both"/>
        <w:rPr>
          <w:color w:val="222222"/>
          <w:sz w:val="24"/>
          <w:szCs w:val="24"/>
          <w:highlight w:val="white"/>
        </w:rPr>
      </w:pPr>
      <w:r>
        <w:rPr>
          <w:color w:val="222222"/>
          <w:sz w:val="24"/>
          <w:szCs w:val="24"/>
          <w:highlight w:val="white"/>
        </w:rPr>
        <w:t xml:space="preserve">Such strong claims are not supported by the descriptive statistics alone. If the authors intend to rely solely on these six phenotypic attributes, they need to provide a much stronger justification </w:t>
      </w:r>
      <w:r>
        <w:rPr>
          <w:color w:val="222222"/>
          <w:sz w:val="24"/>
          <w:szCs w:val="24"/>
          <w:highlight w:val="white"/>
        </w:rPr>
        <w:lastRenderedPageBreak/>
        <w:t>for their selection. Without a quantitative assessment of their importance or impact on study reproducibility, the conclusions remain weak and overstated.</w:t>
      </w:r>
    </w:p>
    <w:p w14:paraId="16D69B2C" w14:textId="77777777" w:rsidR="00ED7132" w:rsidRDefault="00ED7132" w:rsidP="00ED7132">
      <w:pPr>
        <w:jc w:val="both"/>
        <w:rPr>
          <w:color w:val="222222"/>
          <w:sz w:val="24"/>
          <w:szCs w:val="24"/>
          <w:highlight w:val="white"/>
        </w:rPr>
      </w:pPr>
    </w:p>
    <w:p w14:paraId="420B9FB5" w14:textId="77777777" w:rsidR="00ED7132" w:rsidRDefault="00ED7132" w:rsidP="00ED7132">
      <w:pPr>
        <w:jc w:val="both"/>
        <w:rPr>
          <w:color w:val="222222"/>
          <w:sz w:val="24"/>
          <w:szCs w:val="24"/>
          <w:highlight w:val="white"/>
        </w:rPr>
      </w:pPr>
      <w:r>
        <w:rPr>
          <w:b/>
          <w:sz w:val="24"/>
          <w:szCs w:val="24"/>
          <w:highlight w:val="white"/>
        </w:rPr>
        <w:t>Response to Comment #1-3 from Reviewer 2:</w:t>
      </w:r>
      <w:r>
        <w:rPr>
          <w:sz w:val="24"/>
          <w:szCs w:val="24"/>
          <w:highlight w:val="white"/>
        </w:rPr>
        <w:t xml:space="preserve"> </w:t>
      </w:r>
    </w:p>
    <w:p w14:paraId="52FAA97C" w14:textId="77777777" w:rsidR="00ED7132" w:rsidRDefault="00ED7132" w:rsidP="00ED7132">
      <w:pPr>
        <w:jc w:val="both"/>
        <w:rPr>
          <w:color w:val="222222"/>
          <w:sz w:val="24"/>
          <w:szCs w:val="24"/>
          <w:highlight w:val="white"/>
        </w:rPr>
      </w:pPr>
      <w:r>
        <w:rPr>
          <w:color w:val="222222"/>
          <w:sz w:val="24"/>
          <w:szCs w:val="24"/>
          <w:highlight w:val="white"/>
        </w:rPr>
        <w:t>We appreciate the reviewer’s request for concrete, forward-looking guidance and for closer alignment between our empirical scope and the manuscript’s conclusions. Below we summarise the substantive changes made:.</w:t>
      </w:r>
    </w:p>
    <w:p w14:paraId="7544E5DE" w14:textId="77777777" w:rsidR="00ED7132" w:rsidRDefault="00ED7132" w:rsidP="00ED7132">
      <w:pPr>
        <w:numPr>
          <w:ilvl w:val="0"/>
          <w:numId w:val="3"/>
        </w:numPr>
        <w:spacing w:after="0"/>
        <w:rPr>
          <w:color w:val="222222"/>
          <w:sz w:val="24"/>
          <w:szCs w:val="24"/>
          <w:highlight w:val="white"/>
        </w:rPr>
      </w:pPr>
      <w:r>
        <w:rPr>
          <w:color w:val="222222"/>
          <w:sz w:val="24"/>
          <w:szCs w:val="24"/>
          <w:highlight w:val="white"/>
        </w:rPr>
        <w:t>Stronger justification for the six-attribute benchmark</w:t>
      </w:r>
      <w:r>
        <w:rPr>
          <w:color w:val="222222"/>
          <w:sz w:val="24"/>
          <w:szCs w:val="24"/>
          <w:highlight w:val="white"/>
        </w:rPr>
        <w:br/>
        <w:t>In the Introduction and Discussion we now link each attribute to (i) specific minimum-information checklists (MIAME, MINSEQE, MIBBI Foundry, GA4GH Phenopackets) and (ii) peer-reviewed studies demonstrating its analytical impact (e.g., population stratification, epigenetic variation, sex-specific gene regulation). These additions are detailed in the responses to Comments 1-1 and 1-2.</w:t>
      </w:r>
    </w:p>
    <w:p w14:paraId="6F335E19" w14:textId="77777777" w:rsidR="00ED7132" w:rsidRDefault="00ED7132" w:rsidP="00ED7132">
      <w:pPr>
        <w:numPr>
          <w:ilvl w:val="0"/>
          <w:numId w:val="3"/>
        </w:numPr>
        <w:spacing w:after="0"/>
        <w:rPr>
          <w:color w:val="222222"/>
          <w:sz w:val="24"/>
          <w:szCs w:val="24"/>
          <w:highlight w:val="white"/>
        </w:rPr>
      </w:pPr>
      <w:r>
        <w:rPr>
          <w:color w:val="222222"/>
          <w:sz w:val="24"/>
          <w:szCs w:val="24"/>
          <w:highlight w:val="white"/>
        </w:rPr>
        <w:t>Moderated language</w:t>
      </w:r>
      <w:r>
        <w:rPr>
          <w:color w:val="222222"/>
          <w:sz w:val="24"/>
          <w:szCs w:val="24"/>
          <w:highlight w:val="white"/>
        </w:rPr>
        <w:br/>
        <w:t xml:space="preserve">We have tempered claims in the Abstract, Introduction, and Discussion to reflect the descriptive nature of our analysis in red. Statements that previously implied a quantified loss of reproducibility now read, for example, </w:t>
      </w:r>
      <w:r>
        <w:rPr>
          <w:i/>
          <w:color w:val="222222"/>
          <w:sz w:val="24"/>
          <w:szCs w:val="24"/>
          <w:highlight w:val="white"/>
        </w:rPr>
        <w:t xml:space="preserve">“Incomplete metadata </w:t>
      </w:r>
      <w:r>
        <w:rPr>
          <w:b/>
          <w:i/>
          <w:color w:val="222222"/>
          <w:sz w:val="24"/>
          <w:szCs w:val="24"/>
          <w:highlight w:val="white"/>
        </w:rPr>
        <w:t>can</w:t>
      </w:r>
      <w:r>
        <w:rPr>
          <w:i/>
          <w:color w:val="222222"/>
          <w:sz w:val="24"/>
          <w:szCs w:val="24"/>
          <w:highlight w:val="white"/>
        </w:rPr>
        <w:t xml:space="preserve"> hinder reproducibility and reuse”</w:t>
      </w:r>
      <w:r>
        <w:rPr>
          <w:color w:val="222222"/>
          <w:sz w:val="24"/>
          <w:szCs w:val="24"/>
          <w:highlight w:val="white"/>
        </w:rPr>
        <w:t xml:space="preserve"> rather than </w:t>
      </w:r>
      <w:r>
        <w:rPr>
          <w:i/>
          <w:color w:val="222222"/>
          <w:sz w:val="24"/>
          <w:szCs w:val="24"/>
          <w:highlight w:val="white"/>
        </w:rPr>
        <w:t>“limits.”</w:t>
      </w:r>
    </w:p>
    <w:p w14:paraId="20ADC704" w14:textId="77777777" w:rsidR="00ED7132" w:rsidRDefault="00ED7132" w:rsidP="00ED7132">
      <w:pPr>
        <w:ind w:left="720"/>
        <w:rPr>
          <w:b/>
          <w:color w:val="222222"/>
          <w:sz w:val="24"/>
          <w:szCs w:val="24"/>
          <w:highlight w:val="white"/>
        </w:rPr>
      </w:pPr>
      <w:r>
        <w:rPr>
          <w:b/>
          <w:color w:val="222222"/>
          <w:sz w:val="24"/>
          <w:szCs w:val="24"/>
          <w:highlight w:val="white"/>
        </w:rPr>
        <w:t xml:space="preserve">We have revised the </w:t>
      </w:r>
      <w:r>
        <w:rPr>
          <w:b/>
          <w:i/>
          <w:color w:val="222222"/>
          <w:sz w:val="24"/>
          <w:szCs w:val="24"/>
          <w:highlight w:val="white"/>
        </w:rPr>
        <w:t>Abstract</w:t>
      </w:r>
      <w:r>
        <w:rPr>
          <w:b/>
          <w:color w:val="222222"/>
          <w:sz w:val="24"/>
          <w:szCs w:val="24"/>
          <w:highlight w:val="white"/>
        </w:rPr>
        <w:t xml:space="preserve"> in red: </w:t>
      </w:r>
    </w:p>
    <w:p w14:paraId="45B8A784" w14:textId="77777777" w:rsidR="00ED7132" w:rsidRDefault="00ED7132" w:rsidP="00ED7132">
      <w:pPr>
        <w:ind w:left="720" w:firstLine="720"/>
        <w:jc w:val="both"/>
        <w:rPr>
          <w:sz w:val="24"/>
          <w:szCs w:val="24"/>
        </w:rPr>
      </w:pPr>
      <w:r>
        <w:rPr>
          <w:sz w:val="24"/>
          <w:szCs w:val="24"/>
        </w:rPr>
        <w:t xml:space="preserve">Recent advances in high-throughput sequencing technologies have made it possible to collect and share a massive amount of omics data, along with its associated metadata. Enhancing metadata availability is critical to ensure data reusability and reproducibility and to facilitate novel biomedical discoveries through effective data reuse. Yet, incomplete metadata accompanying public omics data </w:t>
      </w:r>
      <w:r>
        <w:rPr>
          <w:color w:val="FF0000"/>
          <w:sz w:val="24"/>
          <w:szCs w:val="24"/>
        </w:rPr>
        <w:t>may hinder reproducibility and reusability by reducing sample interpretability and limiting secondary analyses</w:t>
      </w:r>
      <w:r>
        <w:rPr>
          <w:sz w:val="24"/>
          <w:szCs w:val="24"/>
        </w:rPr>
        <w:t>.</w:t>
      </w:r>
    </w:p>
    <w:p w14:paraId="57FF3C3B" w14:textId="77777777" w:rsidR="00ED7132" w:rsidRDefault="00ED7132" w:rsidP="00ED7132">
      <w:pPr>
        <w:ind w:firstLine="720"/>
        <w:jc w:val="both"/>
        <w:rPr>
          <w:b/>
          <w:sz w:val="24"/>
          <w:szCs w:val="24"/>
          <w:highlight w:val="white"/>
        </w:rPr>
      </w:pPr>
      <w:r>
        <w:rPr>
          <w:b/>
          <w:sz w:val="24"/>
          <w:szCs w:val="24"/>
          <w:highlight w:val="white"/>
        </w:rPr>
        <w:t xml:space="preserve">Original languages used in the </w:t>
      </w:r>
      <w:r>
        <w:rPr>
          <w:b/>
          <w:i/>
          <w:sz w:val="24"/>
          <w:szCs w:val="24"/>
          <w:highlight w:val="white"/>
        </w:rPr>
        <w:t>Abstract</w:t>
      </w:r>
      <w:r>
        <w:rPr>
          <w:b/>
          <w:sz w:val="24"/>
          <w:szCs w:val="24"/>
          <w:highlight w:val="white"/>
        </w:rPr>
        <w:t>:</w:t>
      </w:r>
    </w:p>
    <w:p w14:paraId="75B695FF" w14:textId="77777777" w:rsidR="00ED7132" w:rsidRDefault="00ED7132" w:rsidP="00ED7132">
      <w:pPr>
        <w:ind w:left="720" w:firstLine="720"/>
        <w:jc w:val="both"/>
        <w:rPr>
          <w:i/>
          <w:color w:val="666666"/>
          <w:sz w:val="24"/>
          <w:szCs w:val="24"/>
        </w:rPr>
      </w:pPr>
      <w:r>
        <w:rPr>
          <w:i/>
          <w:color w:val="666666"/>
          <w:sz w:val="24"/>
          <w:szCs w:val="24"/>
        </w:rPr>
        <w:t xml:space="preserve">Recent advances in high-throughput sequencing technologies have made it possible to collect and share a massive amount of omics data, along with its associated metadata. Enhancing metadata availability is critical to ensure data reusability and reproducibility and to facilitate novel biomedical discoveries through effective data reuse. Yet, incomplete metadata accompanying public omics data limits the reproducibility and reusability of millions of omics samples. </w:t>
      </w:r>
    </w:p>
    <w:p w14:paraId="78A54D6C" w14:textId="77777777" w:rsidR="00ED7132" w:rsidRDefault="00ED7132" w:rsidP="00ED7132">
      <w:pPr>
        <w:ind w:left="720"/>
        <w:jc w:val="both"/>
        <w:rPr>
          <w:sz w:val="24"/>
          <w:szCs w:val="24"/>
        </w:rPr>
      </w:pPr>
    </w:p>
    <w:p w14:paraId="789816C0" w14:textId="77777777" w:rsidR="00ED7132" w:rsidRDefault="00ED7132" w:rsidP="00ED7132">
      <w:pPr>
        <w:ind w:left="720"/>
        <w:rPr>
          <w:b/>
          <w:color w:val="222222"/>
          <w:sz w:val="24"/>
          <w:szCs w:val="24"/>
          <w:highlight w:val="white"/>
        </w:rPr>
      </w:pPr>
      <w:r>
        <w:rPr>
          <w:b/>
          <w:color w:val="222222"/>
          <w:sz w:val="24"/>
          <w:szCs w:val="24"/>
          <w:highlight w:val="white"/>
        </w:rPr>
        <w:lastRenderedPageBreak/>
        <w:t xml:space="preserve">We have revised the </w:t>
      </w:r>
      <w:r>
        <w:rPr>
          <w:b/>
          <w:i/>
          <w:color w:val="222222"/>
          <w:sz w:val="24"/>
          <w:szCs w:val="24"/>
          <w:highlight w:val="white"/>
        </w:rPr>
        <w:t>introduction</w:t>
      </w:r>
      <w:r>
        <w:rPr>
          <w:b/>
          <w:color w:val="222222"/>
          <w:sz w:val="24"/>
          <w:szCs w:val="24"/>
          <w:highlight w:val="white"/>
        </w:rPr>
        <w:t xml:space="preserve"> accordingly in red and added specific examples to clarify the impact of incomplete metadata. The updated text highlights common missing metadata elements (e.g., sample source, sex, experimental condition) and the limitations posed by inconsistent reporting and lack of standardization in public repositories such as GEO and SRA:</w:t>
      </w:r>
    </w:p>
    <w:p w14:paraId="7DADC0F4" w14:textId="77777777" w:rsidR="00ED7132" w:rsidRDefault="00ED7132" w:rsidP="00ED7132">
      <w:pPr>
        <w:ind w:left="720"/>
        <w:rPr>
          <w:color w:val="FF0000"/>
          <w:sz w:val="24"/>
          <w:szCs w:val="24"/>
          <w:highlight w:val="white"/>
        </w:rPr>
      </w:pPr>
      <w:r>
        <w:rPr>
          <w:sz w:val="24"/>
          <w:szCs w:val="24"/>
          <w:highlight w:val="white"/>
        </w:rPr>
        <w:t xml:space="preserve">Incomplete metadata hinders researchers' ability to utilize metadata information for subsequent downstream analysis. </w:t>
      </w:r>
      <w:r>
        <w:rPr>
          <w:color w:val="FF0000"/>
          <w:sz w:val="24"/>
          <w:szCs w:val="24"/>
          <w:highlight w:val="white"/>
        </w:rPr>
        <w:t>For instance, studies have shown that metadata elements such as sample source, sex, or experimental condition are often missing or inconsistently reported in public repositories like GEO and SRA, limiting reusability</w:t>
      </w:r>
      <w:r>
        <w:rPr>
          <w:color w:val="FF0000"/>
          <w:sz w:val="24"/>
          <w:szCs w:val="24"/>
          <w:highlight w:val="white"/>
          <w:vertAlign w:val="superscript"/>
        </w:rPr>
        <w:t>1,16</w:t>
      </w:r>
      <w:r>
        <w:rPr>
          <w:color w:val="FF0000"/>
          <w:sz w:val="24"/>
          <w:szCs w:val="24"/>
          <w:highlight w:val="white"/>
        </w:rPr>
        <w:t>. Even when raw data are deposited, the lack of standardized descriptors and structured fields impedes automated retrieval and integration</w:t>
      </w:r>
      <w:r>
        <w:rPr>
          <w:color w:val="FF0000"/>
          <w:sz w:val="24"/>
          <w:szCs w:val="24"/>
          <w:highlight w:val="white"/>
          <w:vertAlign w:val="superscript"/>
        </w:rPr>
        <w:t>17</w:t>
      </w:r>
      <w:r>
        <w:rPr>
          <w:color w:val="FF0000"/>
          <w:sz w:val="24"/>
          <w:szCs w:val="24"/>
          <w:highlight w:val="white"/>
        </w:rPr>
        <w:t>. In addition to hindering reproducibility, incomplete metadata can lead to underutilization of publicly funded datasets. A study analyzing metadata quality in gene expression repositories found that many samples lacked even basic information such as organism or tissue type, making them effectively unusable for secondary analyses or meta-studies</w:t>
      </w:r>
      <w:r>
        <w:rPr>
          <w:color w:val="FF0000"/>
          <w:sz w:val="24"/>
          <w:szCs w:val="24"/>
          <w:highlight w:val="white"/>
          <w:vertAlign w:val="superscript"/>
        </w:rPr>
        <w:t>18</w:t>
      </w:r>
      <w:r>
        <w:rPr>
          <w:color w:val="FF0000"/>
          <w:sz w:val="24"/>
          <w:szCs w:val="24"/>
          <w:highlight w:val="white"/>
        </w:rPr>
        <w:t>. This not only limits the scientific return on investment but also impedes large-scale integrative research that relies on well-annotated datasets.</w:t>
      </w:r>
    </w:p>
    <w:p w14:paraId="0DD03E90" w14:textId="77777777" w:rsidR="00ED7132" w:rsidRDefault="00ED7132" w:rsidP="00ED7132">
      <w:pPr>
        <w:ind w:firstLine="720"/>
        <w:jc w:val="both"/>
        <w:rPr>
          <w:b/>
          <w:sz w:val="24"/>
          <w:szCs w:val="24"/>
        </w:rPr>
      </w:pPr>
      <w:r>
        <w:rPr>
          <w:b/>
          <w:sz w:val="24"/>
          <w:szCs w:val="24"/>
        </w:rPr>
        <w:t xml:space="preserve">Newly added citations: </w:t>
      </w:r>
    </w:p>
    <w:p w14:paraId="08FCDFC6" w14:textId="77777777" w:rsidR="00ED7132" w:rsidRDefault="00ED7132" w:rsidP="00ED7132">
      <w:pPr>
        <w:widowControl w:val="0"/>
        <w:ind w:left="984" w:hanging="264"/>
        <w:rPr>
          <w:color w:val="FF0000"/>
          <w:sz w:val="24"/>
          <w:szCs w:val="24"/>
          <w:highlight w:val="white"/>
        </w:rPr>
      </w:pPr>
      <w:r>
        <w:rPr>
          <w:color w:val="FF0000"/>
          <w:sz w:val="24"/>
          <w:szCs w:val="24"/>
        </w:rPr>
        <w:t>16.</w:t>
      </w:r>
      <w:r>
        <w:rPr>
          <w:color w:val="FF0000"/>
          <w:sz w:val="24"/>
          <w:szCs w:val="24"/>
        </w:rPr>
        <w:tab/>
        <w:t xml:space="preserve">Rung, J. &amp; Brazma, A. Reuse of public genome-wide gene expression data. </w:t>
      </w:r>
      <w:r>
        <w:rPr>
          <w:i/>
          <w:color w:val="FF0000"/>
          <w:sz w:val="24"/>
          <w:szCs w:val="24"/>
        </w:rPr>
        <w:t xml:space="preserve">Nat. Rev. Genet. </w:t>
      </w:r>
      <w:r>
        <w:rPr>
          <w:b/>
          <w:color w:val="FF0000"/>
          <w:sz w:val="24"/>
          <w:szCs w:val="24"/>
        </w:rPr>
        <w:t>14</w:t>
      </w:r>
      <w:r>
        <w:rPr>
          <w:color w:val="FF0000"/>
          <w:sz w:val="24"/>
          <w:szCs w:val="24"/>
        </w:rPr>
        <w:t>, 89–99 (2013).</w:t>
      </w:r>
    </w:p>
    <w:p w14:paraId="68217104" w14:textId="77777777" w:rsidR="00ED7132" w:rsidRDefault="00ED7132" w:rsidP="00ED7132">
      <w:pPr>
        <w:widowControl w:val="0"/>
        <w:ind w:left="984" w:hanging="264"/>
        <w:rPr>
          <w:color w:val="FF0000"/>
          <w:sz w:val="24"/>
          <w:szCs w:val="24"/>
          <w:highlight w:val="white"/>
        </w:rPr>
      </w:pPr>
      <w:r>
        <w:rPr>
          <w:color w:val="FF0000"/>
          <w:sz w:val="24"/>
          <w:szCs w:val="24"/>
        </w:rPr>
        <w:t>17.</w:t>
      </w:r>
      <w:r>
        <w:rPr>
          <w:color w:val="FF0000"/>
          <w:sz w:val="24"/>
          <w:szCs w:val="24"/>
        </w:rPr>
        <w:tab/>
        <w:t xml:space="preserve">Musen, M. A. </w:t>
      </w:r>
      <w:r>
        <w:rPr>
          <w:i/>
          <w:color w:val="FF0000"/>
          <w:sz w:val="24"/>
          <w:szCs w:val="24"/>
        </w:rPr>
        <w:t>et al.</w:t>
      </w:r>
      <w:r>
        <w:rPr>
          <w:color w:val="FF0000"/>
          <w:sz w:val="24"/>
          <w:szCs w:val="24"/>
        </w:rPr>
        <w:t xml:space="preserve"> The center for expanded data annotation and retrieval. </w:t>
      </w:r>
      <w:r>
        <w:rPr>
          <w:i/>
          <w:color w:val="FF0000"/>
          <w:sz w:val="24"/>
          <w:szCs w:val="24"/>
        </w:rPr>
        <w:t xml:space="preserve">J. Am. Med. Inform. Assoc. JAMIA </w:t>
      </w:r>
      <w:r>
        <w:rPr>
          <w:b/>
          <w:color w:val="FF0000"/>
          <w:sz w:val="24"/>
          <w:szCs w:val="24"/>
        </w:rPr>
        <w:t>22</w:t>
      </w:r>
      <w:r>
        <w:rPr>
          <w:color w:val="FF0000"/>
          <w:sz w:val="24"/>
          <w:szCs w:val="24"/>
        </w:rPr>
        <w:t>, 1148–1152 (2015).</w:t>
      </w:r>
    </w:p>
    <w:p w14:paraId="65F9883C" w14:textId="77777777" w:rsidR="00ED7132" w:rsidRDefault="00ED7132" w:rsidP="00ED7132">
      <w:pPr>
        <w:widowControl w:val="0"/>
        <w:ind w:left="984" w:hanging="264"/>
        <w:rPr>
          <w:i/>
          <w:color w:val="222222"/>
          <w:sz w:val="24"/>
          <w:szCs w:val="24"/>
          <w:highlight w:val="white"/>
        </w:rPr>
      </w:pPr>
      <w:r>
        <w:rPr>
          <w:color w:val="FF0000"/>
          <w:sz w:val="24"/>
          <w:szCs w:val="24"/>
        </w:rPr>
        <w:t>18.</w:t>
      </w:r>
      <w:r>
        <w:rPr>
          <w:color w:val="FF0000"/>
          <w:sz w:val="24"/>
          <w:szCs w:val="24"/>
        </w:rPr>
        <w:tab/>
        <w:t xml:space="preserve">Gonçalves, R. S. &amp; Musen, M. A. The variable quality of metadata about biological samples used in biomedical experiments. </w:t>
      </w:r>
      <w:r>
        <w:rPr>
          <w:i/>
          <w:color w:val="FF0000"/>
          <w:sz w:val="24"/>
          <w:szCs w:val="24"/>
        </w:rPr>
        <w:t xml:space="preserve">Sci. Data </w:t>
      </w:r>
      <w:r>
        <w:rPr>
          <w:b/>
          <w:color w:val="FF0000"/>
          <w:sz w:val="24"/>
          <w:szCs w:val="24"/>
        </w:rPr>
        <w:t>6</w:t>
      </w:r>
      <w:r>
        <w:rPr>
          <w:color w:val="FF0000"/>
          <w:sz w:val="24"/>
          <w:szCs w:val="24"/>
        </w:rPr>
        <w:t>, 190021 (2019).</w:t>
      </w:r>
    </w:p>
    <w:p w14:paraId="30EC4136" w14:textId="77777777" w:rsidR="00ED7132" w:rsidRDefault="00ED7132" w:rsidP="00ED7132">
      <w:pPr>
        <w:numPr>
          <w:ilvl w:val="0"/>
          <w:numId w:val="3"/>
        </w:numPr>
        <w:spacing w:after="0"/>
        <w:rPr>
          <w:color w:val="222222"/>
          <w:sz w:val="24"/>
          <w:szCs w:val="24"/>
          <w:highlight w:val="white"/>
        </w:rPr>
      </w:pPr>
      <w:r>
        <w:rPr>
          <w:b/>
          <w:color w:val="222222"/>
          <w:sz w:val="24"/>
          <w:szCs w:val="24"/>
          <w:highlight w:val="white"/>
        </w:rPr>
        <w:t>Explicit limitation statement</w:t>
      </w:r>
      <w:r>
        <w:rPr>
          <w:b/>
          <w:color w:val="222222"/>
          <w:sz w:val="24"/>
          <w:szCs w:val="24"/>
          <w:highlight w:val="white"/>
        </w:rPr>
        <w:br/>
      </w:r>
      <w:r>
        <w:rPr>
          <w:color w:val="222222"/>
          <w:sz w:val="24"/>
          <w:szCs w:val="24"/>
          <w:highlight w:val="white"/>
        </w:rPr>
        <w:t xml:space="preserve"> A new paragraph acknowledges that a formal, dataset-wide measurement of reproducibility loss is outside this study’s scope and outlines how such an analysis could be executed in future work (e.g., simulation of confounded differential-expression models, reanalysis of GTEx subsets with censored metadata).</w:t>
      </w:r>
    </w:p>
    <w:p w14:paraId="728E7F2B" w14:textId="77777777" w:rsidR="00ED7132" w:rsidRDefault="00ED7132" w:rsidP="00ED7132">
      <w:pPr>
        <w:ind w:left="720"/>
        <w:rPr>
          <w:b/>
          <w:color w:val="222222"/>
          <w:sz w:val="24"/>
          <w:szCs w:val="24"/>
          <w:highlight w:val="white"/>
        </w:rPr>
      </w:pPr>
      <w:r>
        <w:rPr>
          <w:b/>
          <w:color w:val="222222"/>
          <w:sz w:val="24"/>
          <w:szCs w:val="24"/>
          <w:highlight w:val="white"/>
        </w:rPr>
        <w:t xml:space="preserve">We added the limitations in the </w:t>
      </w:r>
      <w:r>
        <w:rPr>
          <w:b/>
          <w:i/>
          <w:color w:val="222222"/>
          <w:sz w:val="24"/>
          <w:szCs w:val="24"/>
          <w:highlight w:val="white"/>
        </w:rPr>
        <w:t>Discussion</w:t>
      </w:r>
      <w:r>
        <w:rPr>
          <w:b/>
          <w:color w:val="222222"/>
          <w:sz w:val="24"/>
          <w:szCs w:val="24"/>
          <w:highlight w:val="white"/>
        </w:rPr>
        <w:t xml:space="preserve"> in red:</w:t>
      </w:r>
    </w:p>
    <w:p w14:paraId="5FB18A8E" w14:textId="77777777" w:rsidR="00ED7132" w:rsidRDefault="00ED7132" w:rsidP="00ED7132">
      <w:pPr>
        <w:ind w:left="720" w:firstLine="720"/>
        <w:jc w:val="both"/>
        <w:rPr>
          <w:color w:val="FF0000"/>
          <w:sz w:val="24"/>
          <w:szCs w:val="24"/>
        </w:rPr>
      </w:pPr>
      <w:r>
        <w:rPr>
          <w:color w:val="FF0000"/>
          <w:sz w:val="24"/>
          <w:szCs w:val="24"/>
        </w:rPr>
        <w:t xml:space="preserve">Our metadata extraction strategy focused on structured MINiML XML records available from the Gene Expression Omnibus (GEO) via the NCBI FTP server. These XML files were selected because they represent the only uniformly formatted, machine-readable metadata source consistently provided for every GEO study. Their standardized </w:t>
      </w:r>
      <w:r>
        <w:rPr>
          <w:color w:val="FF0000"/>
          <w:sz w:val="24"/>
          <w:szCs w:val="24"/>
        </w:rPr>
        <w:lastRenderedPageBreak/>
        <w:t>schema and widespread accessibility make them a pragmatic choice for cross-study and cross-domain assessments of metadata completeness. Prior studies have shown that structured formats like XML enhance transparency and reusability, especially when accompanied by schema definitions and parsing tools</w:t>
      </w:r>
      <w:r>
        <w:rPr>
          <w:color w:val="FF0000"/>
          <w:sz w:val="24"/>
          <w:szCs w:val="24"/>
          <w:vertAlign w:val="superscript"/>
        </w:rPr>
        <w:t>70</w:t>
      </w:r>
      <w:r>
        <w:rPr>
          <w:color w:val="FF0000"/>
          <w:sz w:val="24"/>
          <w:szCs w:val="24"/>
        </w:rPr>
        <w:t xml:space="preserve">. To evaluate the accuracy of our XML-based extraction pipeline, we manually reviewed all 253 studies in our curated D1 subset. This included studies labeled by the pipeline as missing one or more of the six core attributes. In each case, we confirmed that the XML output accurately reflected the metadata reported in the GEO record and associated publication materials. This validation provides strong support for the fidelity of our automated approach, particularly in large-scale applications where manual inspection is infeasible. Nonetheless, we acknowledge that metadata stored exclusively in alternative formats—such as HDF5 (.h5ad), R data files (.rds), spreadsheets, or supplemental PDFs—was not captured by our pipeline. These formats are often fragmented, lack standardization, or are embedded within proprietary analysis environments, limiting their accessibility to non-specialist users. While our findings reflect the most structured and broadly accessible metadata available in GEO, this design choice may lead to a modest underestimation of overall metadata availability—especially in rapidly evolving areas such as single-cell omics. Future efforts may benefit from extending metadata extraction tools to accommodate these emerging formats. </w:t>
      </w:r>
    </w:p>
    <w:p w14:paraId="391D6631" w14:textId="77777777" w:rsidR="00ED7132" w:rsidRDefault="00ED7132" w:rsidP="00ED7132">
      <w:pPr>
        <w:ind w:left="720" w:firstLine="720"/>
        <w:jc w:val="both"/>
        <w:rPr>
          <w:color w:val="FF0000"/>
          <w:sz w:val="24"/>
          <w:szCs w:val="24"/>
        </w:rPr>
      </w:pPr>
      <w:r>
        <w:rPr>
          <w:color w:val="FF0000"/>
          <w:sz w:val="24"/>
          <w:szCs w:val="24"/>
        </w:rPr>
        <w:t>Moreover, metadata reporting across studies is often inconsistent, varying in terminology, structure, and completeness. These inconsistencies introduce challenges in automated parsing and can impact the comparability of results across datasets. For example, key attributes such as race/ethnicity/ancestry (REA) and tissue type are frequently labeled in non-standardized ways, making them difficult to detect reliably. While our study focused on assessing the prevalence of reported metadata, a comprehensive evaluation of the quality, accuracy, and downstream scientific impact of missing metadata is outside the current scope.</w:t>
      </w:r>
    </w:p>
    <w:p w14:paraId="37E64243" w14:textId="77777777" w:rsidR="00ED7132" w:rsidRDefault="00ED7132" w:rsidP="00ED7132">
      <w:pPr>
        <w:ind w:left="720" w:firstLine="720"/>
        <w:jc w:val="both"/>
        <w:rPr>
          <w:sz w:val="24"/>
          <w:szCs w:val="24"/>
        </w:rPr>
      </w:pPr>
      <w:r>
        <w:rPr>
          <w:color w:val="FF0000"/>
          <w:sz w:val="24"/>
          <w:szCs w:val="24"/>
        </w:rPr>
        <w:t>To partially mitigate these limitations, we conducted a detailed manual review of 253 studies to evaluate metadata availability beyond what could be captured automatically. However, we acknowledge that even this curated subset may not fully capture metadata provided exclusively in complex or proprietary formats. Moving forward, the development of more adaptable, format-aware extraction tools and benchmarking against manually annotated corpora will be essential for improving both the accuracy and comprehensiveness of metadata completeness assessments in large-scale omics repositories.</w:t>
      </w:r>
      <w:r>
        <w:rPr>
          <w:sz w:val="24"/>
          <w:szCs w:val="24"/>
        </w:rPr>
        <w:t xml:space="preserve"> </w:t>
      </w:r>
    </w:p>
    <w:p w14:paraId="1788E3BA" w14:textId="77777777" w:rsidR="00ED7132" w:rsidRDefault="00ED7132" w:rsidP="00ED7132">
      <w:pPr>
        <w:ind w:left="720"/>
        <w:jc w:val="both"/>
        <w:rPr>
          <w:b/>
          <w:sz w:val="24"/>
          <w:szCs w:val="24"/>
        </w:rPr>
      </w:pPr>
      <w:r>
        <w:rPr>
          <w:b/>
          <w:sz w:val="24"/>
          <w:szCs w:val="24"/>
        </w:rPr>
        <w:t>Newly added citation:</w:t>
      </w:r>
    </w:p>
    <w:p w14:paraId="799512CF" w14:textId="77777777" w:rsidR="00ED7132" w:rsidRDefault="00ED7132" w:rsidP="00ED7132">
      <w:pPr>
        <w:ind w:left="720"/>
        <w:jc w:val="both"/>
        <w:rPr>
          <w:sz w:val="24"/>
          <w:szCs w:val="24"/>
        </w:rPr>
      </w:pPr>
      <w:r>
        <w:rPr>
          <w:color w:val="FF0000"/>
          <w:sz w:val="24"/>
          <w:szCs w:val="24"/>
        </w:rPr>
        <w:lastRenderedPageBreak/>
        <w:t xml:space="preserve">70. </w:t>
      </w:r>
      <w:hyperlink r:id="rId8">
        <w:r>
          <w:rPr>
            <w:color w:val="FF0000"/>
            <w:sz w:val="24"/>
            <w:szCs w:val="24"/>
          </w:rPr>
          <w:t xml:space="preserve">Caliskan, A., Dangwal, S. &amp; Dandekar, T. Metadata integrity in bioinformatics: Bridging the gap between data and knowledge. </w:t>
        </w:r>
      </w:hyperlink>
      <w:hyperlink r:id="rId9">
        <w:r>
          <w:rPr>
            <w:i/>
            <w:color w:val="FF0000"/>
            <w:sz w:val="24"/>
            <w:szCs w:val="24"/>
          </w:rPr>
          <w:t xml:space="preserve">Comput. Struct. Biotechnol. J. </w:t>
        </w:r>
      </w:hyperlink>
      <w:hyperlink r:id="rId10">
        <w:r>
          <w:rPr>
            <w:b/>
            <w:color w:val="FF0000"/>
            <w:sz w:val="24"/>
            <w:szCs w:val="24"/>
          </w:rPr>
          <w:t>21</w:t>
        </w:r>
      </w:hyperlink>
      <w:hyperlink r:id="rId11">
        <w:r>
          <w:rPr>
            <w:color w:val="FF0000"/>
            <w:sz w:val="24"/>
            <w:szCs w:val="24"/>
          </w:rPr>
          <w:t>, 4895–4913 (2023).</w:t>
        </w:r>
      </w:hyperlink>
    </w:p>
    <w:p w14:paraId="66FF90E6" w14:textId="77777777" w:rsidR="00ED7132" w:rsidRDefault="00ED7132" w:rsidP="00ED7132">
      <w:pPr>
        <w:numPr>
          <w:ilvl w:val="0"/>
          <w:numId w:val="3"/>
        </w:numPr>
        <w:spacing w:after="0"/>
        <w:rPr>
          <w:color w:val="222222"/>
          <w:sz w:val="24"/>
          <w:szCs w:val="24"/>
          <w:highlight w:val="white"/>
        </w:rPr>
      </w:pPr>
      <w:r>
        <w:rPr>
          <w:b/>
          <w:color w:val="222222"/>
          <w:sz w:val="24"/>
          <w:szCs w:val="24"/>
          <w:highlight w:val="white"/>
        </w:rPr>
        <w:t>Actionable recommendations</w:t>
      </w:r>
      <w:r>
        <w:rPr>
          <w:b/>
          <w:color w:val="222222"/>
          <w:sz w:val="24"/>
          <w:szCs w:val="24"/>
          <w:highlight w:val="white"/>
        </w:rPr>
        <w:br/>
      </w:r>
      <w:r>
        <w:rPr>
          <w:color w:val="222222"/>
          <w:sz w:val="24"/>
          <w:szCs w:val="24"/>
          <w:highlight w:val="white"/>
        </w:rPr>
        <w:t xml:space="preserve">In response to the reviewer’s request for concrete guidance, we have updated the </w:t>
      </w:r>
      <w:r>
        <w:rPr>
          <w:i/>
          <w:color w:val="222222"/>
          <w:sz w:val="24"/>
          <w:szCs w:val="24"/>
          <w:highlight w:val="white"/>
        </w:rPr>
        <w:t>Discussion</w:t>
      </w:r>
      <w:r>
        <w:rPr>
          <w:color w:val="222222"/>
          <w:sz w:val="24"/>
          <w:szCs w:val="24"/>
          <w:highlight w:val="white"/>
        </w:rPr>
        <w:t xml:space="preserve"> section (highlighted in red) to include actionable recommendations for improving metadata completeness. Rather than creating a new standalone section, we have added a leading sentence to the 9th paragraph of </w:t>
      </w:r>
      <w:r>
        <w:rPr>
          <w:i/>
          <w:color w:val="222222"/>
          <w:sz w:val="24"/>
          <w:szCs w:val="24"/>
          <w:highlight w:val="white"/>
        </w:rPr>
        <w:t>Discussion</w:t>
      </w:r>
      <w:r>
        <w:rPr>
          <w:color w:val="222222"/>
          <w:sz w:val="24"/>
          <w:szCs w:val="24"/>
          <w:highlight w:val="white"/>
        </w:rPr>
        <w:t xml:space="preserve"> on page 16 to explicitly signal these strategies:</w:t>
      </w:r>
    </w:p>
    <w:p w14:paraId="7566B193" w14:textId="77777777" w:rsidR="00ED7132" w:rsidRDefault="00ED7132" w:rsidP="00ED7132">
      <w:pPr>
        <w:ind w:left="720"/>
        <w:rPr>
          <w:color w:val="FF0000"/>
          <w:sz w:val="24"/>
          <w:szCs w:val="24"/>
        </w:rPr>
      </w:pPr>
      <w:r>
        <w:rPr>
          <w:color w:val="FF0000"/>
          <w:sz w:val="24"/>
          <w:szCs w:val="24"/>
        </w:rPr>
        <w:t>To address the observed gaps in metadata availability, we outline several actionable strategies for improving reporting practices across the community</w:t>
      </w:r>
    </w:p>
    <w:p w14:paraId="7FB7556D" w14:textId="77777777" w:rsidR="00ED7132" w:rsidRDefault="00ED7132" w:rsidP="00ED7132">
      <w:pPr>
        <w:ind w:left="720"/>
        <w:rPr>
          <w:color w:val="FF0000"/>
          <w:sz w:val="24"/>
          <w:szCs w:val="24"/>
        </w:rPr>
      </w:pPr>
    </w:p>
    <w:p w14:paraId="37552EB5" w14:textId="77777777" w:rsidR="00ED7132" w:rsidRDefault="00ED7132" w:rsidP="00ED7132">
      <w:pPr>
        <w:ind w:left="720"/>
        <w:rPr>
          <w:sz w:val="24"/>
          <w:szCs w:val="24"/>
        </w:rPr>
      </w:pPr>
      <w:r>
        <w:rPr>
          <w:sz w:val="24"/>
          <w:szCs w:val="24"/>
        </w:rPr>
        <w:t xml:space="preserve">This section outlines community-oriented strategies to improve metadata reporting in omics research, organized around four key pillars: </w:t>
      </w:r>
      <w:r>
        <w:rPr>
          <w:b/>
          <w:sz w:val="24"/>
          <w:szCs w:val="24"/>
        </w:rPr>
        <w:t>standardization</w:t>
      </w:r>
      <w:r>
        <w:rPr>
          <w:sz w:val="24"/>
          <w:szCs w:val="24"/>
        </w:rPr>
        <w:t xml:space="preserve">, </w:t>
      </w:r>
      <w:r>
        <w:rPr>
          <w:b/>
          <w:sz w:val="24"/>
          <w:szCs w:val="24"/>
        </w:rPr>
        <w:t>automation</w:t>
      </w:r>
      <w:r>
        <w:rPr>
          <w:sz w:val="24"/>
          <w:szCs w:val="24"/>
        </w:rPr>
        <w:t xml:space="preserve">, </w:t>
      </w:r>
      <w:r>
        <w:rPr>
          <w:b/>
          <w:sz w:val="24"/>
          <w:szCs w:val="24"/>
        </w:rPr>
        <w:t>enforcement</w:t>
      </w:r>
      <w:r>
        <w:rPr>
          <w:sz w:val="24"/>
          <w:szCs w:val="24"/>
        </w:rPr>
        <w:t xml:space="preserve">, and </w:t>
      </w:r>
      <w:r>
        <w:rPr>
          <w:b/>
          <w:sz w:val="24"/>
          <w:szCs w:val="24"/>
        </w:rPr>
        <w:t>community coordination</w:t>
      </w:r>
      <w:r>
        <w:rPr>
          <w:sz w:val="24"/>
          <w:szCs w:val="24"/>
        </w:rPr>
        <w:t>.</w:t>
      </w:r>
    </w:p>
    <w:p w14:paraId="59EDB62F"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t xml:space="preserve">First, we emphasize the importance of </w:t>
      </w:r>
      <w:r>
        <w:rPr>
          <w:b/>
          <w:color w:val="222222"/>
          <w:sz w:val="24"/>
          <w:szCs w:val="24"/>
          <w:highlight w:val="white"/>
        </w:rPr>
        <w:t>adopting standardized metadata schemas</w:t>
      </w:r>
      <w:r>
        <w:rPr>
          <w:color w:val="222222"/>
          <w:sz w:val="24"/>
          <w:szCs w:val="24"/>
          <w:highlight w:val="white"/>
        </w:rPr>
        <w:t xml:space="preserve"> rooted in the FAIR (Findable, Accessible, Interoperable, and Reusable) principles. Existing frameworks such as the </w:t>
      </w:r>
      <w:r>
        <w:rPr>
          <w:b/>
          <w:color w:val="222222"/>
          <w:sz w:val="24"/>
          <w:szCs w:val="24"/>
          <w:highlight w:val="white"/>
        </w:rPr>
        <w:t>Minimum Information about any (x) Sequence (MIxS)</w:t>
      </w:r>
      <w:r>
        <w:rPr>
          <w:color w:val="222222"/>
          <w:sz w:val="24"/>
          <w:szCs w:val="24"/>
          <w:highlight w:val="white"/>
        </w:rPr>
        <w:t xml:space="preserve"> from the Genomic Standards Consortium, the </w:t>
      </w:r>
      <w:r>
        <w:rPr>
          <w:b/>
          <w:color w:val="222222"/>
          <w:sz w:val="24"/>
          <w:szCs w:val="24"/>
          <w:highlight w:val="white"/>
        </w:rPr>
        <w:t>Global Alliance for Genomics and Health (GA4GH)</w:t>
      </w:r>
      <w:r>
        <w:rPr>
          <w:color w:val="222222"/>
          <w:sz w:val="24"/>
          <w:szCs w:val="24"/>
          <w:highlight w:val="white"/>
        </w:rPr>
        <w:t xml:space="preserve"> data models, and templates from the </w:t>
      </w:r>
      <w:r>
        <w:rPr>
          <w:b/>
          <w:color w:val="222222"/>
          <w:sz w:val="24"/>
          <w:szCs w:val="24"/>
          <w:highlight w:val="white"/>
        </w:rPr>
        <w:t>Clinical Data Interchange Standards Consortium (CDISC)</w:t>
      </w:r>
      <w:r>
        <w:rPr>
          <w:color w:val="222222"/>
          <w:sz w:val="24"/>
          <w:szCs w:val="24"/>
          <w:highlight w:val="white"/>
        </w:rPr>
        <w:t xml:space="preserve"> provide structured formats for capturing genomic and clinical metadata. By aligning metadata reporting practices with these community-vetted schemas, researchers can ensure metadata interoperability and facilitate integration across datasets and platforms.</w:t>
      </w:r>
    </w:p>
    <w:p w14:paraId="0F732083"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t xml:space="preserve">Second, we recommend </w:t>
      </w:r>
      <w:r>
        <w:rPr>
          <w:b/>
          <w:color w:val="222222"/>
          <w:sz w:val="24"/>
          <w:szCs w:val="24"/>
          <w:highlight w:val="white"/>
        </w:rPr>
        <w:t>automating metadata curation</w:t>
      </w:r>
      <w:r>
        <w:rPr>
          <w:color w:val="222222"/>
          <w:sz w:val="24"/>
          <w:szCs w:val="24"/>
          <w:highlight w:val="white"/>
        </w:rPr>
        <w:t xml:space="preserve"> using established tools such as </w:t>
      </w:r>
      <w:r>
        <w:rPr>
          <w:b/>
          <w:color w:val="222222"/>
          <w:sz w:val="24"/>
          <w:szCs w:val="24"/>
          <w:highlight w:val="white"/>
        </w:rPr>
        <w:t>Omics Metadata Management Software (OMMS)</w:t>
      </w:r>
      <w:r>
        <w:rPr>
          <w:color w:val="222222"/>
          <w:sz w:val="24"/>
          <w:szCs w:val="24"/>
          <w:highlight w:val="white"/>
        </w:rPr>
        <w:t xml:space="preserve"> and </w:t>
      </w:r>
      <w:r>
        <w:rPr>
          <w:b/>
          <w:color w:val="222222"/>
          <w:sz w:val="24"/>
          <w:szCs w:val="24"/>
          <w:highlight w:val="white"/>
        </w:rPr>
        <w:t>MARMoSET</w:t>
      </w:r>
      <w:r>
        <w:rPr>
          <w:color w:val="222222"/>
          <w:sz w:val="24"/>
          <w:szCs w:val="24"/>
          <w:highlight w:val="white"/>
        </w:rPr>
        <w:t>, which support structured, ontology-compliant metadata capture and validation. Such tools reduce manual entry errors and streamline the preparation of omics datasets for downstream analysis and public deposition.</w:t>
      </w:r>
    </w:p>
    <w:p w14:paraId="4EB30998"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t xml:space="preserve">Third, we advocate for </w:t>
      </w:r>
      <w:r>
        <w:rPr>
          <w:b/>
          <w:color w:val="222222"/>
          <w:sz w:val="24"/>
          <w:szCs w:val="24"/>
          <w:highlight w:val="white"/>
        </w:rPr>
        <w:t>enforcement by journals and funding agencies</w:t>
      </w:r>
      <w:r>
        <w:rPr>
          <w:color w:val="222222"/>
          <w:sz w:val="24"/>
          <w:szCs w:val="24"/>
          <w:highlight w:val="white"/>
        </w:rPr>
        <w:t xml:space="preserve">, including the requirement of standardized metadata checklists as part of data availability statements and compliance monitoring. For example, organizations such as the </w:t>
      </w:r>
      <w:r>
        <w:rPr>
          <w:b/>
          <w:color w:val="222222"/>
          <w:sz w:val="24"/>
          <w:szCs w:val="24"/>
          <w:highlight w:val="white"/>
        </w:rPr>
        <w:t>Digital Repository of Ireland (DRI)</w:t>
      </w:r>
      <w:r>
        <w:rPr>
          <w:color w:val="222222"/>
          <w:sz w:val="24"/>
          <w:szCs w:val="24"/>
          <w:highlight w:val="white"/>
        </w:rPr>
        <w:t xml:space="preserve"> have demonstrated how implementing FAIR-aligned policies can incentivize high-quality metadata submission and promote data reuse.</w:t>
      </w:r>
    </w:p>
    <w:p w14:paraId="4583FB6A"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lastRenderedPageBreak/>
        <w:t xml:space="preserve">Lastly, we call for </w:t>
      </w:r>
      <w:r>
        <w:rPr>
          <w:b/>
          <w:color w:val="222222"/>
          <w:sz w:val="24"/>
          <w:szCs w:val="24"/>
          <w:highlight w:val="white"/>
        </w:rPr>
        <w:t>community-wide coordination to establish minimal metadata reporting guidelines</w:t>
      </w:r>
      <w:r>
        <w:rPr>
          <w:color w:val="222222"/>
          <w:sz w:val="24"/>
          <w:szCs w:val="24"/>
          <w:highlight w:val="white"/>
        </w:rPr>
        <w:t xml:space="preserve"> tailored to specific omics domains. Initiatives led by the </w:t>
      </w:r>
      <w:r>
        <w:rPr>
          <w:b/>
          <w:color w:val="222222"/>
          <w:sz w:val="24"/>
          <w:szCs w:val="24"/>
          <w:highlight w:val="white"/>
        </w:rPr>
        <w:t>Genomic Standards Consortium (GSC)</w:t>
      </w:r>
      <w:r>
        <w:rPr>
          <w:color w:val="222222"/>
          <w:sz w:val="24"/>
          <w:szCs w:val="24"/>
          <w:highlight w:val="white"/>
        </w:rPr>
        <w:t xml:space="preserve"> and others show that domain-specific consensus standards can reduce ambiguity and promote harmonized practices across disciplines.</w:t>
      </w:r>
    </w:p>
    <w:p w14:paraId="7350DA43"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t>Together, these recommendations aim to address systemic barriers in current metadata practices and support scalable, interoperable, and reproducible research. We also reiterate the practical importance of reporting core phenotypic variables—</w:t>
      </w:r>
      <w:r>
        <w:rPr>
          <w:b/>
          <w:color w:val="222222"/>
          <w:sz w:val="24"/>
          <w:szCs w:val="24"/>
          <w:highlight w:val="white"/>
        </w:rPr>
        <w:t>organism, tissue type, strain, sex, age, and race/ethnicity/ancestry</w:t>
      </w:r>
      <w:r>
        <w:rPr>
          <w:color w:val="222222"/>
          <w:sz w:val="24"/>
          <w:szCs w:val="24"/>
          <w:highlight w:val="white"/>
        </w:rPr>
        <w:t>—in both publications and repositories. Improving the completeness and accessibility of metadata will directly support robust secondary analyses and collaborative scientific discovery.</w:t>
      </w:r>
    </w:p>
    <w:p w14:paraId="7FD2247D" w14:textId="77777777" w:rsidR="00ED7132" w:rsidRDefault="00ED7132" w:rsidP="00ED7132">
      <w:pPr>
        <w:numPr>
          <w:ilvl w:val="1"/>
          <w:numId w:val="3"/>
        </w:numPr>
        <w:spacing w:after="0"/>
        <w:rPr>
          <w:color w:val="222222"/>
          <w:sz w:val="24"/>
          <w:szCs w:val="24"/>
          <w:highlight w:val="white"/>
        </w:rPr>
      </w:pPr>
      <w:r>
        <w:rPr>
          <w:color w:val="222222"/>
          <w:sz w:val="24"/>
          <w:szCs w:val="24"/>
          <w:highlight w:val="white"/>
        </w:rPr>
        <w:t>We illustrate each recommendation with practical examples—such as GEO’s recent migration to BioSample-linked checklists and ENCODE’s metadata validator—and cite current community initiatives to support adoption and implementation.</w:t>
      </w:r>
    </w:p>
    <w:p w14:paraId="3BCEBBD5" w14:textId="77777777" w:rsidR="00ED7132" w:rsidRDefault="00ED7132" w:rsidP="00ED7132">
      <w:pPr>
        <w:ind w:left="720"/>
        <w:rPr>
          <w:color w:val="222222"/>
          <w:sz w:val="24"/>
          <w:szCs w:val="24"/>
          <w:highlight w:val="white"/>
        </w:rPr>
      </w:pPr>
      <w:r>
        <w:rPr>
          <w:color w:val="222222"/>
          <w:sz w:val="24"/>
          <w:szCs w:val="24"/>
          <w:highlight w:val="white"/>
        </w:rPr>
        <w:t>We believe these revisions address the reviewer’s concerns by (i) supplying a clearer evidentiary basis for our metadata definition, (ii) right-sizing our conclusions, and (iii) offering practical steps that stakeholders can implement immediately. We hope the updated manuscript meets the reviewer’s expectations and are grateful for the constructive feedback.</w:t>
      </w:r>
    </w:p>
    <w:p w14:paraId="0508ADEE" w14:textId="77777777" w:rsidR="00ED7132" w:rsidRDefault="00ED7132" w:rsidP="00ED7132">
      <w:pPr>
        <w:ind w:left="720"/>
        <w:rPr>
          <w:b/>
          <w:color w:val="222222"/>
          <w:sz w:val="24"/>
          <w:szCs w:val="24"/>
          <w:highlight w:val="white"/>
        </w:rPr>
      </w:pPr>
      <w:r>
        <w:rPr>
          <w:b/>
          <w:color w:val="222222"/>
          <w:sz w:val="24"/>
          <w:szCs w:val="24"/>
          <w:highlight w:val="white"/>
        </w:rPr>
        <w:t xml:space="preserve">Here are the updated actionable recommendations in the </w:t>
      </w:r>
      <w:r>
        <w:rPr>
          <w:b/>
          <w:i/>
          <w:color w:val="222222"/>
          <w:sz w:val="24"/>
          <w:szCs w:val="24"/>
          <w:highlight w:val="white"/>
        </w:rPr>
        <w:t>Discussion</w:t>
      </w:r>
      <w:r>
        <w:rPr>
          <w:b/>
          <w:color w:val="222222"/>
          <w:sz w:val="24"/>
          <w:szCs w:val="24"/>
          <w:highlight w:val="white"/>
        </w:rPr>
        <w:t xml:space="preserve"> section: </w:t>
      </w:r>
    </w:p>
    <w:p w14:paraId="390524E1" w14:textId="77777777" w:rsidR="00ED7132" w:rsidRDefault="00ED7132" w:rsidP="00ED7132">
      <w:pPr>
        <w:ind w:left="720" w:firstLine="720"/>
        <w:jc w:val="both"/>
        <w:rPr>
          <w:color w:val="222222"/>
          <w:sz w:val="24"/>
          <w:szCs w:val="24"/>
          <w:highlight w:val="white"/>
        </w:rPr>
      </w:pPr>
      <w:r>
        <w:rPr>
          <w:color w:val="FF0000"/>
          <w:sz w:val="24"/>
          <w:szCs w:val="24"/>
        </w:rPr>
        <w:t xml:space="preserve">To address the observed gaps in metadata availability, we outline several actionable strategies for improving reporting practices across the community. </w:t>
      </w:r>
      <w:r>
        <w:rPr>
          <w:color w:val="222222"/>
          <w:sz w:val="24"/>
          <w:szCs w:val="24"/>
          <w:highlight w:val="white"/>
        </w:rPr>
        <w:t>To improve metadata reporting in omics research, we propose four key strategies centered on standardization, automation, enforcement, and community coordination. First, adopting standardized metadata schemas based on the FAIR (Findable, Accessible, Interoperable, Reusable)</w:t>
      </w:r>
      <w:r>
        <w:rPr>
          <w:color w:val="222222"/>
          <w:sz w:val="24"/>
          <w:szCs w:val="24"/>
          <w:vertAlign w:val="superscript"/>
        </w:rPr>
        <w:t>23,53,61</w:t>
      </w:r>
      <w:r>
        <w:rPr>
          <w:sz w:val="24"/>
          <w:szCs w:val="24"/>
        </w:rPr>
        <w:t xml:space="preserve"> principles is essential for ensuring data reusability and interoperability. Frameworks</w:t>
      </w:r>
      <w:r>
        <w:rPr>
          <w:sz w:val="24"/>
          <w:szCs w:val="24"/>
          <w:vertAlign w:val="superscript"/>
        </w:rPr>
        <w:t>62</w:t>
      </w:r>
      <w:r>
        <w:rPr>
          <w:sz w:val="24"/>
          <w:szCs w:val="24"/>
        </w:rPr>
        <w:t xml:space="preserve"> such as MIxS from the Genomic Standards Consortium</w:t>
      </w:r>
      <w:r>
        <w:rPr>
          <w:sz w:val="24"/>
          <w:szCs w:val="24"/>
          <w:vertAlign w:val="superscript"/>
        </w:rPr>
        <w:t>63</w:t>
      </w:r>
      <w:r>
        <w:rPr>
          <w:sz w:val="24"/>
          <w:szCs w:val="24"/>
        </w:rPr>
        <w:t>, GA4GH models</w:t>
      </w:r>
      <w:r>
        <w:rPr>
          <w:sz w:val="24"/>
          <w:szCs w:val="24"/>
          <w:vertAlign w:val="superscript"/>
        </w:rPr>
        <w:t>64</w:t>
      </w:r>
      <w:r>
        <w:rPr>
          <w:sz w:val="24"/>
          <w:szCs w:val="24"/>
        </w:rPr>
        <w:t>, and Clinical Data Interchange Standards Consortium</w:t>
      </w:r>
      <w:r>
        <w:rPr>
          <w:sz w:val="24"/>
          <w:szCs w:val="24"/>
          <w:vertAlign w:val="superscript"/>
        </w:rPr>
        <w:t>65</w:t>
      </w:r>
      <w:r>
        <w:rPr>
          <w:sz w:val="24"/>
          <w:szCs w:val="24"/>
        </w:rPr>
        <w:t xml:space="preserve"> (CDISC) templates provide structured guidelines for genomic and clinical metadata reporting. By adopting these frameworks, researchers can ensure that their metadata is comprehensive and consistent, thereby enhancing data integration and interoperability. Second, integrating automated tools can enhance metadata accuracy and reduce manual effort. Tools like Omics Metadata Management Software</w:t>
      </w:r>
      <w:r>
        <w:rPr>
          <w:sz w:val="24"/>
          <w:szCs w:val="24"/>
          <w:vertAlign w:val="superscript"/>
        </w:rPr>
        <w:t>66</w:t>
      </w:r>
      <w:r>
        <w:rPr>
          <w:sz w:val="24"/>
          <w:szCs w:val="24"/>
        </w:rPr>
        <w:t xml:space="preserve"> (OMMS) and MARMoSET</w:t>
      </w:r>
      <w:r>
        <w:rPr>
          <w:sz w:val="24"/>
          <w:szCs w:val="24"/>
          <w:vertAlign w:val="superscript"/>
        </w:rPr>
        <w:t>67</w:t>
      </w:r>
      <w:r>
        <w:rPr>
          <w:sz w:val="24"/>
          <w:szCs w:val="24"/>
        </w:rPr>
        <w:t xml:space="preserve"> enable standardized and automated metadata curation for various omics datasets, streamlining data preparation for analysis and sharing. Third, journals and funding agencies should </w:t>
      </w:r>
      <w:r>
        <w:rPr>
          <w:sz w:val="24"/>
          <w:szCs w:val="24"/>
        </w:rPr>
        <w:lastRenderedPageBreak/>
        <w:t>mandate the inclusion of comprehensive metadata using standardized checklists aligned with FAIR principles. This requirement would promote transparency and reproducibility across research outputs. For instance, the Digital Repository of Ireland</w:t>
      </w:r>
      <w:r>
        <w:rPr>
          <w:sz w:val="24"/>
          <w:szCs w:val="24"/>
          <w:vertAlign w:val="superscript"/>
        </w:rPr>
        <w:t>68</w:t>
      </w:r>
      <w:r>
        <w:rPr>
          <w:sz w:val="24"/>
          <w:szCs w:val="24"/>
        </w:rPr>
        <w:t xml:space="preserve"> (DRI) emphasizes the importance of adhering to the FAIR principles to enhance data sharing and reuse. By enforcing such standards, journals and funding bodies can drive cultural change towards more transparent and reproducible research practices. Finally, establishing community-wide minimal metadata reporting guidelines tailored to specific omics data types can reduce ambiguity and improve data integration. Efforts led by groups like the Genomic Standards Consortium (GSC) have demonstrated the value of domain-specific consensus standards</w:t>
      </w:r>
      <w:r>
        <w:rPr>
          <w:sz w:val="24"/>
          <w:szCs w:val="24"/>
          <w:vertAlign w:val="superscript"/>
        </w:rPr>
        <w:t>23,62,69</w:t>
      </w:r>
      <w:r>
        <w:rPr>
          <w:sz w:val="24"/>
          <w:szCs w:val="24"/>
        </w:rPr>
        <w:t>. By implementing these strategies, the scientific community can address current challenges in metadata reporting, thereby enhancing the reproducibility, reliability, and collaborative potential of omics research</w:t>
      </w:r>
      <w:r>
        <w:rPr>
          <w:sz w:val="24"/>
          <w:szCs w:val="24"/>
          <w:vertAlign w:val="superscript"/>
        </w:rPr>
        <w:t>61</w:t>
      </w:r>
      <w:r>
        <w:rPr>
          <w:sz w:val="24"/>
          <w:szCs w:val="24"/>
        </w:rPr>
        <w:t>.</w:t>
      </w:r>
    </w:p>
    <w:p w14:paraId="1564A608" w14:textId="77777777" w:rsidR="00ED7132" w:rsidRDefault="00ED7132" w:rsidP="00ED7132">
      <w:pPr>
        <w:jc w:val="both"/>
        <w:rPr>
          <w:color w:val="222222"/>
          <w:sz w:val="24"/>
          <w:szCs w:val="24"/>
          <w:highlight w:val="white"/>
        </w:rPr>
      </w:pPr>
    </w:p>
    <w:p w14:paraId="51422FA9" w14:textId="77777777" w:rsidR="00ED7132" w:rsidRDefault="00ED7132" w:rsidP="00ED7132">
      <w:pPr>
        <w:jc w:val="both"/>
        <w:rPr>
          <w:color w:val="222222"/>
          <w:sz w:val="24"/>
          <w:szCs w:val="24"/>
          <w:highlight w:val="white"/>
        </w:rPr>
      </w:pPr>
      <w:r>
        <w:rPr>
          <w:b/>
          <w:sz w:val="24"/>
          <w:szCs w:val="24"/>
          <w:highlight w:val="white"/>
        </w:rPr>
        <w:t>Comment #2 from Reviewer 2:</w:t>
      </w:r>
      <w:r>
        <w:rPr>
          <w:sz w:val="24"/>
          <w:szCs w:val="24"/>
          <w:highlight w:val="white"/>
        </w:rPr>
        <w:t xml:space="preserve"> </w:t>
      </w:r>
    </w:p>
    <w:p w14:paraId="732B4D6B" w14:textId="77777777" w:rsidR="00ED7132" w:rsidRDefault="00ED7132" w:rsidP="00ED7132">
      <w:pPr>
        <w:jc w:val="both"/>
        <w:rPr>
          <w:color w:val="222222"/>
          <w:sz w:val="24"/>
          <w:szCs w:val="24"/>
          <w:highlight w:val="white"/>
        </w:rPr>
      </w:pPr>
      <w:r>
        <w:rPr>
          <w:color w:val="222222"/>
          <w:sz w:val="24"/>
          <w:szCs w:val="24"/>
          <w:highlight w:val="white"/>
        </w:rPr>
        <w:t>2. Technical limitations in metadata extraction and potential misclassification.</w:t>
      </w:r>
    </w:p>
    <w:p w14:paraId="5F45F8B5" w14:textId="77777777" w:rsidR="00ED7132" w:rsidRDefault="00ED7132" w:rsidP="00ED7132">
      <w:pPr>
        <w:jc w:val="both"/>
        <w:rPr>
          <w:color w:val="222222"/>
          <w:sz w:val="24"/>
          <w:szCs w:val="24"/>
          <w:highlight w:val="white"/>
        </w:rPr>
      </w:pPr>
      <w:r>
        <w:rPr>
          <w:color w:val="222222"/>
          <w:sz w:val="24"/>
          <w:szCs w:val="24"/>
          <w:highlight w:val="white"/>
        </w:rPr>
        <w:t>As noted in Comment 4 of my previous review, many GEO studies include metadata within their data files such as .h5ad or .rds formats rather than as separate CSV files. Additionally, the authors have not clearly explained whether metadata stored in other formats, such as spreadsheet files like .xlsx or .txt, were included in their analysis. Furthermore, in some cases, metadata is provided as a separate table within the main manuscript or in supplementary materials stored as PDF files. If their pipeline cannot extract metadata from these sources, it may lead to the misclassification of studies as having “no metadata.”</w:t>
      </w:r>
    </w:p>
    <w:p w14:paraId="1A6314E4" w14:textId="77777777" w:rsidR="00ED7132" w:rsidRDefault="00ED7132" w:rsidP="00ED7132">
      <w:pPr>
        <w:jc w:val="both"/>
        <w:rPr>
          <w:color w:val="222222"/>
          <w:sz w:val="24"/>
          <w:szCs w:val="24"/>
          <w:highlight w:val="white"/>
        </w:rPr>
      </w:pPr>
      <w:r>
        <w:rPr>
          <w:color w:val="222222"/>
          <w:sz w:val="24"/>
          <w:szCs w:val="24"/>
          <w:highlight w:val="white"/>
        </w:rPr>
        <w:t>This limitation likely results in a significant underestimation of metadata availability. Given that the central aim of this study is a “systematic assessment of metadata completeness”, such errors in estimation are unacceptable. At the very least, for the 253 manually reviewed studies, the authors should verify all studies labeled as “no metadata” by cross-checking them manually and evaluate their Python script’s accuracy. This step is essential because:</w:t>
      </w:r>
    </w:p>
    <w:p w14:paraId="66254033" w14:textId="77777777" w:rsidR="00ED7132" w:rsidRDefault="00ED7132" w:rsidP="00ED7132">
      <w:pPr>
        <w:jc w:val="both"/>
        <w:rPr>
          <w:color w:val="222222"/>
          <w:sz w:val="24"/>
          <w:szCs w:val="24"/>
          <w:highlight w:val="white"/>
        </w:rPr>
      </w:pPr>
      <w:r>
        <w:rPr>
          <w:color w:val="222222"/>
          <w:sz w:val="24"/>
          <w:szCs w:val="24"/>
          <w:highlight w:val="white"/>
        </w:rPr>
        <w:t>1)      It directly impacts the validity of the study’s key conclusions, as highlighted in point 1 above.</w:t>
      </w:r>
    </w:p>
    <w:p w14:paraId="3E1CC868" w14:textId="77777777" w:rsidR="00ED7132" w:rsidRDefault="00ED7132" w:rsidP="00ED7132">
      <w:pPr>
        <w:jc w:val="both"/>
        <w:rPr>
          <w:color w:val="222222"/>
          <w:sz w:val="24"/>
          <w:szCs w:val="24"/>
          <w:highlight w:val="white"/>
        </w:rPr>
      </w:pPr>
      <w:r>
        <w:rPr>
          <w:color w:val="222222"/>
          <w:sz w:val="24"/>
          <w:szCs w:val="24"/>
          <w:highlight w:val="white"/>
        </w:rPr>
        <w:t>2)      It would allow the authors to provide a more realistic estimate of metadata completeness, which could help extend their broader analysis of the 61,000 studies.</w:t>
      </w:r>
    </w:p>
    <w:p w14:paraId="71411C7D" w14:textId="77777777" w:rsidR="00ED7132" w:rsidRDefault="00ED7132" w:rsidP="00ED7132">
      <w:pPr>
        <w:jc w:val="both"/>
        <w:rPr>
          <w:color w:val="222222"/>
          <w:sz w:val="24"/>
          <w:szCs w:val="24"/>
          <w:highlight w:val="white"/>
        </w:rPr>
      </w:pPr>
      <w:r>
        <w:rPr>
          <w:b/>
          <w:sz w:val="24"/>
          <w:szCs w:val="24"/>
          <w:highlight w:val="white"/>
        </w:rPr>
        <w:t>Response to Comment #2 from Reviewer 2:</w:t>
      </w:r>
      <w:r>
        <w:rPr>
          <w:sz w:val="24"/>
          <w:szCs w:val="24"/>
          <w:highlight w:val="white"/>
        </w:rPr>
        <w:t xml:space="preserve"> </w:t>
      </w:r>
    </w:p>
    <w:p w14:paraId="69EED806" w14:textId="77777777" w:rsidR="00ED7132" w:rsidRDefault="00ED7132" w:rsidP="00ED7132">
      <w:pPr>
        <w:jc w:val="both"/>
        <w:rPr>
          <w:sz w:val="24"/>
          <w:szCs w:val="24"/>
          <w:highlight w:val="white"/>
        </w:rPr>
      </w:pPr>
      <w:r>
        <w:rPr>
          <w:sz w:val="24"/>
          <w:szCs w:val="24"/>
          <w:highlight w:val="white"/>
        </w:rPr>
        <w:t>We are grateful for the opportunity to clarify our extraction workflow and to document the validation steps we performed in response to the reviewer’s concerns.</w:t>
      </w:r>
    </w:p>
    <w:p w14:paraId="0AE25EAF" w14:textId="77777777" w:rsidR="00ED7132" w:rsidRDefault="00ED7132" w:rsidP="00ED7132">
      <w:pPr>
        <w:pStyle w:val="Heading3"/>
        <w:keepNext w:val="0"/>
        <w:keepLines w:val="0"/>
        <w:numPr>
          <w:ilvl w:val="0"/>
          <w:numId w:val="1"/>
        </w:numPr>
        <w:spacing w:before="0" w:after="0"/>
        <w:ind w:left="360"/>
        <w:jc w:val="both"/>
        <w:rPr>
          <w:color w:val="000000"/>
          <w:sz w:val="24"/>
          <w:szCs w:val="24"/>
          <w:highlight w:val="white"/>
        </w:rPr>
      </w:pPr>
      <w:bookmarkStart w:id="1" w:name="_olt9k4bp8q3k" w:colFirst="0" w:colLast="0"/>
      <w:bookmarkEnd w:id="1"/>
      <w:r>
        <w:rPr>
          <w:color w:val="000000"/>
          <w:sz w:val="24"/>
          <w:szCs w:val="24"/>
          <w:highlight w:val="white"/>
        </w:rPr>
        <w:lastRenderedPageBreak/>
        <w:t>Metadata sources covered by our pipeline</w:t>
      </w:r>
    </w:p>
    <w:p w14:paraId="295726C2" w14:textId="77777777" w:rsidR="00ED7132" w:rsidRDefault="00ED7132" w:rsidP="00ED7132">
      <w:pPr>
        <w:pStyle w:val="Heading3"/>
        <w:keepNext w:val="0"/>
        <w:keepLines w:val="0"/>
        <w:spacing w:before="0" w:after="0"/>
        <w:jc w:val="both"/>
        <w:rPr>
          <w:color w:val="000000"/>
          <w:sz w:val="24"/>
          <w:szCs w:val="24"/>
          <w:highlight w:val="white"/>
        </w:rPr>
      </w:pPr>
      <w:bookmarkStart w:id="2" w:name="_whlc6u8yj9ym" w:colFirst="0" w:colLast="0"/>
      <w:bookmarkEnd w:id="2"/>
      <w:r>
        <w:rPr>
          <w:color w:val="000000"/>
          <w:sz w:val="24"/>
          <w:szCs w:val="24"/>
          <w:highlight w:val="white"/>
        </w:rPr>
        <w:t>As now detailed in the Methods, our automated pipeline retrieves metadata from the MINiML-formatted XML files available via the NCBI GEO FTP server at the following location:</w:t>
      </w:r>
      <w:r>
        <w:rPr>
          <w:color w:val="000000"/>
          <w:sz w:val="24"/>
          <w:szCs w:val="24"/>
          <w:highlight w:val="white"/>
        </w:rPr>
        <w:br/>
        <w:t xml:space="preserve"> /geo/series/{acc_dir}/{accession}/miniml/{tgz_filename}.</w:t>
      </w:r>
    </w:p>
    <w:p w14:paraId="0F76A963" w14:textId="77777777" w:rsidR="00ED7132" w:rsidRDefault="00ED7132" w:rsidP="00ED7132">
      <w:pPr>
        <w:pStyle w:val="Heading3"/>
        <w:keepNext w:val="0"/>
        <w:keepLines w:val="0"/>
        <w:spacing w:before="0" w:after="0"/>
        <w:jc w:val="both"/>
        <w:rPr>
          <w:color w:val="222222"/>
          <w:sz w:val="24"/>
          <w:szCs w:val="24"/>
          <w:highlight w:val="white"/>
        </w:rPr>
      </w:pPr>
      <w:bookmarkStart w:id="3" w:name="_3ckh6s2k2god" w:colFirst="0" w:colLast="0"/>
      <w:bookmarkEnd w:id="3"/>
      <w:r>
        <w:rPr>
          <w:color w:val="000000"/>
          <w:sz w:val="24"/>
          <w:szCs w:val="24"/>
          <w:highlight w:val="white"/>
        </w:rPr>
        <w:t>These XML files represent the most standardized and uniformly structured metadata source across all GEO studies. They are directly generated from the information submitters provide via the GEO web submission system and are publicly accessible for every study. Formats such as .h5ad, .rds, .xlsx, .txt, or PDF supplements are not consistently present across studies and lack standardized structures, making them incompatible with large-scale automated parsing. We now clearly state this scope and its limitations in both the revised manuscript (see the updated “Scope and Limitations” section)</w:t>
      </w:r>
      <w:r>
        <w:rPr>
          <w:color w:val="222222"/>
          <w:sz w:val="24"/>
          <w:szCs w:val="24"/>
          <w:highlight w:val="white"/>
        </w:rPr>
        <w:t>.</w:t>
      </w:r>
    </w:p>
    <w:p w14:paraId="564CE453" w14:textId="77777777" w:rsidR="00ED7132" w:rsidRDefault="00ED7132" w:rsidP="00ED7132">
      <w:pPr>
        <w:ind w:hanging="360"/>
        <w:rPr>
          <w:b/>
          <w:sz w:val="24"/>
          <w:szCs w:val="24"/>
        </w:rPr>
      </w:pPr>
      <w:r>
        <w:rPr>
          <w:b/>
          <w:sz w:val="24"/>
          <w:szCs w:val="24"/>
        </w:rPr>
        <w:tab/>
        <w:t xml:space="preserve">We updated the methods section in red to clarify the methods to download metadata from GEO: </w:t>
      </w:r>
    </w:p>
    <w:p w14:paraId="5EE0282E" w14:textId="77777777" w:rsidR="00ED7132" w:rsidRPr="003C66C8" w:rsidRDefault="00ED7132" w:rsidP="00ED7132">
      <w:pPr>
        <w:spacing w:line="240" w:lineRule="auto"/>
        <w:rPr>
          <w:rFonts w:eastAsia="Times New Roman"/>
          <w:color w:val="FF0000"/>
          <w:sz w:val="24"/>
          <w:szCs w:val="24"/>
        </w:rPr>
      </w:pPr>
      <w:r w:rsidRPr="003C66C8">
        <w:rPr>
          <w:rFonts w:eastAsia="Times New Roman"/>
          <w:b/>
          <w:bCs/>
          <w:color w:val="FF0000"/>
          <w:sz w:val="24"/>
          <w:szCs w:val="24"/>
        </w:rPr>
        <w:t>Accession list generation</w:t>
      </w:r>
      <w:r w:rsidRPr="003C66C8">
        <w:rPr>
          <w:rFonts w:eastAsia="Times New Roman"/>
          <w:color w:val="FF0000"/>
          <w:sz w:val="24"/>
          <w:szCs w:val="24"/>
        </w:rPr>
        <w:t> </w:t>
      </w:r>
    </w:p>
    <w:p w14:paraId="5872595B" w14:textId="77777777" w:rsidR="00ED7132" w:rsidRPr="003C66C8" w:rsidRDefault="00ED7132" w:rsidP="00ED7132">
      <w:pPr>
        <w:spacing w:line="240" w:lineRule="auto"/>
        <w:jc w:val="both"/>
        <w:rPr>
          <w:rFonts w:eastAsia="Times New Roman"/>
          <w:color w:val="FF0000"/>
          <w:sz w:val="24"/>
          <w:szCs w:val="24"/>
        </w:rPr>
      </w:pPr>
      <w:r w:rsidRPr="003C66C8">
        <w:rPr>
          <w:rFonts w:eastAsia="Times New Roman"/>
          <w:color w:val="FF0000"/>
          <w:sz w:val="24"/>
          <w:szCs w:val="24"/>
        </w:rPr>
        <w:t xml:space="preserve">On 12 April 2025 we retrieved the GEO “series family” index and compiled 61 312 unique Series (GSE) accessions covering studies released between 2008 and 2024. For each accession we recorded the location of its MINiML archive on the NCBI FTP server, housed in the tranche directory corresponding to its numeric range (e.g. the archive for GSE123456 resides in the directory </w:t>
      </w:r>
      <w:r w:rsidRPr="003C66C8">
        <w:rPr>
          <w:rFonts w:eastAsia="Times New Roman"/>
          <w:i/>
          <w:iCs/>
          <w:color w:val="FF0000"/>
          <w:sz w:val="24"/>
          <w:szCs w:val="24"/>
        </w:rPr>
        <w:t>GSE123nnn</w:t>
      </w:r>
      <w:r w:rsidRPr="003C66C8">
        <w:rPr>
          <w:rFonts w:eastAsia="Times New Roman"/>
          <w:color w:val="FF0000"/>
          <w:sz w:val="24"/>
          <w:szCs w:val="24"/>
        </w:rPr>
        <w:t>).</w:t>
      </w:r>
    </w:p>
    <w:p w14:paraId="35DAE06F" w14:textId="77777777" w:rsidR="00ED7132" w:rsidRPr="003C66C8" w:rsidRDefault="00ED7132" w:rsidP="00ED7132">
      <w:pPr>
        <w:spacing w:line="240" w:lineRule="auto"/>
        <w:rPr>
          <w:rFonts w:eastAsia="Times New Roman"/>
          <w:color w:val="FF0000"/>
          <w:sz w:val="24"/>
          <w:szCs w:val="24"/>
        </w:rPr>
      </w:pPr>
      <w:r w:rsidRPr="003C66C8">
        <w:rPr>
          <w:rFonts w:eastAsia="Times New Roman"/>
          <w:b/>
          <w:bCs/>
          <w:color w:val="FF0000"/>
          <w:sz w:val="24"/>
          <w:szCs w:val="24"/>
        </w:rPr>
        <w:t>Automated download</w:t>
      </w:r>
      <w:r w:rsidRPr="003C66C8">
        <w:rPr>
          <w:rFonts w:eastAsia="Times New Roman"/>
          <w:color w:val="FF0000"/>
          <w:sz w:val="24"/>
          <w:szCs w:val="24"/>
        </w:rPr>
        <w:t> </w:t>
      </w:r>
    </w:p>
    <w:p w14:paraId="28E0DD24" w14:textId="77777777" w:rsidR="00ED7132" w:rsidRPr="003C66C8" w:rsidRDefault="00ED7132" w:rsidP="00ED7132">
      <w:pPr>
        <w:spacing w:line="240" w:lineRule="auto"/>
        <w:jc w:val="both"/>
        <w:rPr>
          <w:rFonts w:ascii="Times New Roman" w:eastAsia="Times New Roman" w:hAnsi="Times New Roman" w:cs="Times New Roman"/>
          <w:color w:val="FF0000"/>
          <w:sz w:val="24"/>
          <w:szCs w:val="24"/>
        </w:rPr>
      </w:pPr>
      <w:r w:rsidRPr="003C66C8">
        <w:rPr>
          <w:rFonts w:eastAsia="Times New Roman"/>
          <w:color w:val="FF0000"/>
          <w:sz w:val="24"/>
          <w:szCs w:val="24"/>
        </w:rPr>
        <w:t>A custom Python workflow established anonymous FTP sessions and systematically downloaded every MINiML-formatted XML archive. Compressed files were decompressed in situ, and automatic retry logic resolved transient network interruptions. The final retrieval success rate exceeded 99.9 %.</w:t>
      </w:r>
    </w:p>
    <w:p w14:paraId="5590673F" w14:textId="77777777" w:rsidR="00ED7132" w:rsidRPr="003C66C8" w:rsidRDefault="00ED7132" w:rsidP="00ED7132">
      <w:pPr>
        <w:spacing w:line="240" w:lineRule="auto"/>
        <w:jc w:val="both"/>
        <w:rPr>
          <w:rFonts w:ascii="Times New Roman" w:eastAsia="Times New Roman" w:hAnsi="Times New Roman" w:cs="Times New Roman"/>
          <w:color w:val="FF0000"/>
          <w:sz w:val="24"/>
          <w:szCs w:val="24"/>
        </w:rPr>
      </w:pPr>
      <w:r w:rsidRPr="003C66C8">
        <w:rPr>
          <w:rFonts w:eastAsia="Times New Roman"/>
          <w:color w:val="FF0000"/>
          <w:sz w:val="24"/>
          <w:szCs w:val="24"/>
        </w:rPr>
        <w:t>XML parsing and metadata normalisation</w:t>
      </w:r>
      <w:r w:rsidRPr="003C66C8">
        <w:rPr>
          <w:rFonts w:eastAsia="Times New Roman"/>
          <w:color w:val="FF0000"/>
          <w:sz w:val="24"/>
          <w:szCs w:val="24"/>
        </w:rPr>
        <w:t> </w:t>
      </w:r>
      <w:r w:rsidRPr="003C66C8">
        <w:rPr>
          <w:rFonts w:eastAsia="Times New Roman"/>
          <w:color w:val="FF0000"/>
          <w:sz w:val="24"/>
          <w:szCs w:val="24"/>
        </w:rPr>
        <w:br/>
        <w:t xml:space="preserve"> Each MINiML file was parsed and converted into structured tabular form. Two tables were produced per study:</w:t>
      </w:r>
    </w:p>
    <w:p w14:paraId="1FD5CC6E" w14:textId="77777777" w:rsidR="00ED7132" w:rsidRPr="003C66C8" w:rsidRDefault="00ED7132" w:rsidP="00ED7132">
      <w:pPr>
        <w:numPr>
          <w:ilvl w:val="0"/>
          <w:numId w:val="5"/>
        </w:numPr>
        <w:spacing w:after="0" w:line="240" w:lineRule="auto"/>
        <w:jc w:val="both"/>
        <w:textAlignment w:val="baseline"/>
        <w:rPr>
          <w:rFonts w:eastAsia="Times New Roman"/>
          <w:color w:val="FF0000"/>
          <w:sz w:val="24"/>
          <w:szCs w:val="24"/>
        </w:rPr>
      </w:pPr>
      <w:r w:rsidRPr="003C66C8">
        <w:rPr>
          <w:rFonts w:eastAsia="Times New Roman"/>
          <w:color w:val="FF0000"/>
          <w:sz w:val="24"/>
          <w:szCs w:val="24"/>
        </w:rPr>
        <w:t xml:space="preserve">a </w:t>
      </w:r>
      <w:r w:rsidRPr="003C66C8">
        <w:rPr>
          <w:rFonts w:eastAsia="Times New Roman"/>
          <w:i/>
          <w:iCs/>
          <w:color w:val="FF0000"/>
          <w:sz w:val="24"/>
          <w:szCs w:val="24"/>
        </w:rPr>
        <w:t>Series-level</w:t>
      </w:r>
      <w:r w:rsidRPr="003C66C8">
        <w:rPr>
          <w:rFonts w:eastAsia="Times New Roman"/>
          <w:color w:val="FF0000"/>
          <w:sz w:val="24"/>
          <w:szCs w:val="24"/>
        </w:rPr>
        <w:t xml:space="preserve"> table recording accession, title, submission date, release date and overall experimental design;</w:t>
      </w:r>
    </w:p>
    <w:p w14:paraId="68106B0E" w14:textId="77777777" w:rsidR="00ED7132" w:rsidRPr="003C66C8" w:rsidRDefault="00ED7132" w:rsidP="00ED7132">
      <w:pPr>
        <w:numPr>
          <w:ilvl w:val="0"/>
          <w:numId w:val="5"/>
        </w:numPr>
        <w:spacing w:after="0" w:line="240" w:lineRule="auto"/>
        <w:jc w:val="both"/>
        <w:textAlignment w:val="baseline"/>
        <w:rPr>
          <w:rFonts w:eastAsia="Times New Roman"/>
          <w:color w:val="FF0000"/>
          <w:sz w:val="24"/>
          <w:szCs w:val="24"/>
        </w:rPr>
      </w:pPr>
      <w:r w:rsidRPr="003C66C8">
        <w:rPr>
          <w:rFonts w:eastAsia="Times New Roman"/>
          <w:color w:val="FF0000"/>
          <w:sz w:val="24"/>
          <w:szCs w:val="24"/>
        </w:rPr>
        <w:t xml:space="preserve">a </w:t>
      </w:r>
      <w:r w:rsidRPr="003C66C8">
        <w:rPr>
          <w:rFonts w:eastAsia="Times New Roman"/>
          <w:i/>
          <w:iCs/>
          <w:color w:val="FF0000"/>
          <w:sz w:val="24"/>
          <w:szCs w:val="24"/>
        </w:rPr>
        <w:t>Sample-level</w:t>
      </w:r>
      <w:r w:rsidRPr="003C66C8">
        <w:rPr>
          <w:rFonts w:eastAsia="Times New Roman"/>
          <w:color w:val="FF0000"/>
          <w:sz w:val="24"/>
          <w:szCs w:val="24"/>
        </w:rPr>
        <w:t xml:space="preserve"> table capturing six core phenotypic attributes—organism, tissue/cell type, strain, sex, age and race/ethnicity/ancestry (REA)—together with additional descriptors such as library strategy and sample description.</w:t>
      </w:r>
    </w:p>
    <w:p w14:paraId="58E7E2C8" w14:textId="77777777" w:rsidR="00ED7132" w:rsidRPr="003C66C8" w:rsidRDefault="00ED7132" w:rsidP="00ED7132">
      <w:pPr>
        <w:spacing w:line="240" w:lineRule="auto"/>
        <w:jc w:val="both"/>
        <w:rPr>
          <w:rFonts w:ascii="Times New Roman" w:eastAsia="Times New Roman" w:hAnsi="Times New Roman" w:cs="Times New Roman"/>
          <w:color w:val="FF0000"/>
          <w:sz w:val="24"/>
          <w:szCs w:val="24"/>
        </w:rPr>
      </w:pPr>
      <w:r w:rsidRPr="003C66C8">
        <w:rPr>
          <w:rFonts w:eastAsia="Times New Roman"/>
          <w:color w:val="FF0000"/>
          <w:sz w:val="24"/>
          <w:szCs w:val="24"/>
        </w:rPr>
        <w:t>Free-text entries were harmonised by applying rule-based string matching and ontology look-ups against widely used vocabularies (NCBI Taxonomy, Uberon, Cell Ontology and HANCESTRO).</w:t>
      </w:r>
    </w:p>
    <w:p w14:paraId="52F405AC" w14:textId="77777777" w:rsidR="00ED7132" w:rsidRPr="003C66C8" w:rsidRDefault="00ED7132" w:rsidP="00ED7132">
      <w:pPr>
        <w:jc w:val="both"/>
        <w:rPr>
          <w:color w:val="FF0000"/>
          <w:sz w:val="24"/>
          <w:szCs w:val="24"/>
        </w:rPr>
      </w:pPr>
    </w:p>
    <w:p w14:paraId="768A6A5A" w14:textId="77777777" w:rsidR="00ED7132" w:rsidRDefault="00ED7132" w:rsidP="00ED7132">
      <w:pPr>
        <w:jc w:val="both"/>
        <w:rPr>
          <w:color w:val="FF0000"/>
          <w:sz w:val="24"/>
          <w:szCs w:val="24"/>
        </w:rPr>
      </w:pPr>
    </w:p>
    <w:p w14:paraId="371EFADA" w14:textId="77777777" w:rsidR="00ED7132" w:rsidRDefault="00ED7132" w:rsidP="00ED7132">
      <w:pPr>
        <w:jc w:val="both"/>
        <w:rPr>
          <w:b/>
          <w:sz w:val="24"/>
          <w:szCs w:val="24"/>
        </w:rPr>
      </w:pPr>
      <w:r>
        <w:rPr>
          <w:b/>
          <w:sz w:val="24"/>
          <w:szCs w:val="24"/>
        </w:rPr>
        <w:lastRenderedPageBreak/>
        <w:t xml:space="preserve">We have also added a subsection to the </w:t>
      </w:r>
      <w:r>
        <w:rPr>
          <w:b/>
          <w:i/>
          <w:sz w:val="24"/>
          <w:szCs w:val="24"/>
        </w:rPr>
        <w:t>Methods</w:t>
      </w:r>
      <w:r>
        <w:rPr>
          <w:b/>
          <w:sz w:val="24"/>
          <w:szCs w:val="24"/>
        </w:rPr>
        <w:t xml:space="preserve"> section that discusses the scope and limitations of the XML-based metadata extraction approach. The newly added paragraph is highlighted in red below for your reference:</w:t>
      </w:r>
    </w:p>
    <w:p w14:paraId="3A8A5649" w14:textId="77777777" w:rsidR="00ED7132" w:rsidRDefault="00ED7132" w:rsidP="00ED7132">
      <w:pPr>
        <w:rPr>
          <w:color w:val="FF0000"/>
          <w:sz w:val="24"/>
          <w:szCs w:val="24"/>
        </w:rPr>
      </w:pPr>
      <w:r>
        <w:rPr>
          <w:b/>
          <w:color w:val="FF0000"/>
          <w:sz w:val="24"/>
          <w:szCs w:val="24"/>
        </w:rPr>
        <w:t>Scope and limitations</w:t>
      </w:r>
      <w:r>
        <w:rPr>
          <w:color w:val="FF0000"/>
          <w:sz w:val="24"/>
          <w:szCs w:val="24"/>
        </w:rPr>
        <w:t> </w:t>
      </w:r>
    </w:p>
    <w:p w14:paraId="681D073C" w14:textId="77777777" w:rsidR="00ED7132" w:rsidRDefault="00ED7132" w:rsidP="00ED7132">
      <w:pPr>
        <w:jc w:val="both"/>
        <w:rPr>
          <w:color w:val="FF0000"/>
          <w:sz w:val="24"/>
          <w:szCs w:val="24"/>
        </w:rPr>
      </w:pPr>
      <w:r>
        <w:rPr>
          <w:color w:val="FF0000"/>
          <w:sz w:val="24"/>
          <w:szCs w:val="24"/>
        </w:rPr>
        <w:t xml:space="preserve">The pipeline operates exclusively on the MINiML XML channel—the standardized, machine-readable metadata format provided for all GEO submissions. Phenotypic information available solely through other formats (e.g., HDF5, R data files, spreadsheets, or PDF supplements) is not captured. Manual validation of 253 studies suggests that such instances are rare and do not impact the prevalence trends reported here. However, this design choice may modestly underestimate absolute metadata completeness, as discussed in the </w:t>
      </w:r>
      <w:r>
        <w:rPr>
          <w:i/>
          <w:color w:val="FF0000"/>
          <w:sz w:val="24"/>
          <w:szCs w:val="24"/>
        </w:rPr>
        <w:t>Discussion</w:t>
      </w:r>
      <w:r>
        <w:rPr>
          <w:color w:val="FF0000"/>
          <w:sz w:val="24"/>
          <w:szCs w:val="24"/>
        </w:rPr>
        <w:t xml:space="preserve"> section.</w:t>
      </w:r>
    </w:p>
    <w:p w14:paraId="3CAB6509" w14:textId="77777777" w:rsidR="00ED7132" w:rsidRPr="003C66C8" w:rsidRDefault="00ED7132" w:rsidP="00ED7132">
      <w:pPr>
        <w:jc w:val="both"/>
        <w:rPr>
          <w:color w:val="FF0000"/>
          <w:sz w:val="24"/>
          <w:szCs w:val="24"/>
        </w:rPr>
      </w:pPr>
    </w:p>
    <w:p w14:paraId="164FD4C0" w14:textId="77777777" w:rsidR="00ED7132" w:rsidRDefault="00ED7132" w:rsidP="00ED7132">
      <w:pPr>
        <w:pStyle w:val="Heading3"/>
        <w:keepNext w:val="0"/>
        <w:keepLines w:val="0"/>
        <w:numPr>
          <w:ilvl w:val="0"/>
          <w:numId w:val="1"/>
        </w:numPr>
        <w:spacing w:before="0" w:after="0"/>
        <w:ind w:left="450"/>
        <w:rPr>
          <w:b w:val="0"/>
          <w:color w:val="000000"/>
          <w:sz w:val="24"/>
          <w:szCs w:val="24"/>
        </w:rPr>
      </w:pPr>
      <w:bookmarkStart w:id="4" w:name="_5mr0bkqmzlt3" w:colFirst="0" w:colLast="0"/>
      <w:bookmarkEnd w:id="4"/>
      <w:r>
        <w:rPr>
          <w:color w:val="000000"/>
          <w:sz w:val="24"/>
          <w:szCs w:val="24"/>
        </w:rPr>
        <w:t>Manual audit of the 253-study D1 cohort</w:t>
      </w:r>
    </w:p>
    <w:p w14:paraId="0FA1925C" w14:textId="77777777" w:rsidR="00ED7132" w:rsidRDefault="00ED7132" w:rsidP="00ED7132">
      <w:pPr>
        <w:rPr>
          <w:sz w:val="24"/>
          <w:szCs w:val="24"/>
        </w:rPr>
      </w:pPr>
      <w:r>
        <w:rPr>
          <w:sz w:val="24"/>
          <w:szCs w:val="24"/>
        </w:rPr>
        <w:t>To evaluate the risk of false “no-metadata” assignments the reviewer highlighted, we manually inspected all 253 studies in our D1 set, including every study that our script labelled as lacking one or more of the six core attributes. For each study we cross-checked:</w:t>
      </w:r>
    </w:p>
    <w:p w14:paraId="44788746" w14:textId="77777777" w:rsidR="00ED7132" w:rsidRDefault="00ED7132" w:rsidP="00ED7132">
      <w:pPr>
        <w:numPr>
          <w:ilvl w:val="0"/>
          <w:numId w:val="4"/>
        </w:numPr>
        <w:spacing w:after="0"/>
        <w:rPr>
          <w:sz w:val="24"/>
          <w:szCs w:val="24"/>
        </w:rPr>
      </w:pPr>
      <w:r>
        <w:rPr>
          <w:sz w:val="24"/>
          <w:szCs w:val="24"/>
        </w:rPr>
        <w:t>the XML record retrieved by the pipeline</w:t>
      </w:r>
    </w:p>
    <w:p w14:paraId="5EEA5694" w14:textId="77777777" w:rsidR="00ED7132" w:rsidRDefault="00ED7132" w:rsidP="00ED7132">
      <w:pPr>
        <w:numPr>
          <w:ilvl w:val="0"/>
          <w:numId w:val="4"/>
        </w:numPr>
        <w:spacing w:after="0"/>
        <w:rPr>
          <w:sz w:val="24"/>
          <w:szCs w:val="24"/>
        </w:rPr>
      </w:pPr>
      <w:r>
        <w:rPr>
          <w:sz w:val="24"/>
          <w:szCs w:val="24"/>
        </w:rPr>
        <w:t>supplementary files listed in GEO (e.g. .xlsx, .txt, .pdf); and</w:t>
      </w:r>
    </w:p>
    <w:p w14:paraId="5F0856E9" w14:textId="77777777" w:rsidR="00ED7132" w:rsidRDefault="00ED7132" w:rsidP="00ED7132">
      <w:pPr>
        <w:numPr>
          <w:ilvl w:val="0"/>
          <w:numId w:val="4"/>
        </w:numPr>
        <w:spacing w:after="0"/>
        <w:rPr>
          <w:sz w:val="24"/>
          <w:szCs w:val="24"/>
        </w:rPr>
      </w:pPr>
      <w:r>
        <w:rPr>
          <w:sz w:val="24"/>
          <w:szCs w:val="24"/>
        </w:rPr>
        <w:t>metadata tables embedded in the primary manuscript or its supplementary materials.</w:t>
      </w:r>
    </w:p>
    <w:p w14:paraId="5DFB1F1B" w14:textId="77777777" w:rsidR="00ED7132" w:rsidRDefault="00ED7132" w:rsidP="00ED7132">
      <w:pPr>
        <w:rPr>
          <w:sz w:val="24"/>
          <w:szCs w:val="24"/>
        </w:rPr>
      </w:pPr>
      <w:r>
        <w:rPr>
          <w:sz w:val="24"/>
          <w:szCs w:val="24"/>
        </w:rPr>
        <w:t>Result: the manual audit confirmed our automated labels in every case. No study that the pipeline marked as “no metadata” contained the missing attribute(s) in an alternate file format. A concise confusion matrix and the audit protocol are provided in Supplementary Table S4; overall accuracy for the six attributes across the 253 studies was 100 %.</w:t>
      </w:r>
    </w:p>
    <w:p w14:paraId="05E52F52" w14:textId="77777777" w:rsidR="00ED7132" w:rsidRDefault="00ED7132" w:rsidP="00ED7132">
      <w:pPr>
        <w:rPr>
          <w:b/>
          <w:sz w:val="24"/>
          <w:szCs w:val="24"/>
        </w:rPr>
      </w:pPr>
      <w:r>
        <w:rPr>
          <w:b/>
          <w:sz w:val="24"/>
          <w:szCs w:val="24"/>
        </w:rPr>
        <w:t xml:space="preserve">We added the new section dictating the manual validation of our python methods for extracting metadata in the </w:t>
      </w:r>
      <w:r>
        <w:rPr>
          <w:b/>
          <w:i/>
          <w:sz w:val="24"/>
          <w:szCs w:val="24"/>
        </w:rPr>
        <w:t>methods</w:t>
      </w:r>
      <w:r>
        <w:rPr>
          <w:b/>
          <w:sz w:val="24"/>
          <w:szCs w:val="24"/>
        </w:rPr>
        <w:t xml:space="preserve"> sections in red to discuss the accurately of our XML-based metadata extraction methods:</w:t>
      </w:r>
    </w:p>
    <w:p w14:paraId="44550E77" w14:textId="77777777" w:rsidR="00ED7132" w:rsidRDefault="00ED7132" w:rsidP="00ED7132">
      <w:pPr>
        <w:jc w:val="both"/>
        <w:rPr>
          <w:b/>
          <w:color w:val="FF0000"/>
          <w:sz w:val="24"/>
          <w:szCs w:val="24"/>
        </w:rPr>
      </w:pPr>
      <w:r>
        <w:rPr>
          <w:b/>
          <w:color w:val="FF0000"/>
          <w:sz w:val="24"/>
          <w:szCs w:val="24"/>
        </w:rPr>
        <w:t>Manual validation</w:t>
      </w:r>
    </w:p>
    <w:p w14:paraId="0E18D57B" w14:textId="77777777" w:rsidR="00ED7132" w:rsidRDefault="00ED7132" w:rsidP="00ED7132">
      <w:pPr>
        <w:jc w:val="both"/>
        <w:rPr>
          <w:color w:val="FF0000"/>
          <w:sz w:val="24"/>
          <w:szCs w:val="24"/>
        </w:rPr>
      </w:pPr>
      <w:r>
        <w:rPr>
          <w:color w:val="FF0000"/>
          <w:sz w:val="24"/>
          <w:szCs w:val="24"/>
        </w:rPr>
        <w:t>To evaluate the accuracy of our metadata extraction pipeline, we conducted a manual review of all 253 studies in the curated validation subset (D1), including those flagged by the automated workflow as missing one or more core attributes. For each study, we cross-validated the extracted XML metadata against information available elsewhere in the corresponding GEO entry or associated publication. This audit revealed complete concordance (100%) between the automated extraction and manual inspection for all six core attributes.</w:t>
      </w:r>
    </w:p>
    <w:p w14:paraId="69C298E3" w14:textId="77777777" w:rsidR="00ED7132" w:rsidRDefault="00ED7132" w:rsidP="00ED7132">
      <w:pPr>
        <w:jc w:val="both"/>
        <w:rPr>
          <w:color w:val="FF0000"/>
          <w:sz w:val="24"/>
          <w:szCs w:val="24"/>
        </w:rPr>
      </w:pPr>
    </w:p>
    <w:p w14:paraId="6970280F" w14:textId="77777777" w:rsidR="00ED7132" w:rsidRDefault="00ED7132" w:rsidP="00ED7132">
      <w:pPr>
        <w:pStyle w:val="Heading3"/>
        <w:keepNext w:val="0"/>
        <w:keepLines w:val="0"/>
        <w:numPr>
          <w:ilvl w:val="0"/>
          <w:numId w:val="1"/>
        </w:numPr>
        <w:spacing w:before="0" w:after="0"/>
        <w:ind w:left="270"/>
        <w:rPr>
          <w:b w:val="0"/>
          <w:color w:val="000000"/>
          <w:sz w:val="24"/>
          <w:szCs w:val="24"/>
        </w:rPr>
      </w:pPr>
      <w:bookmarkStart w:id="5" w:name="_u5uhbqe1w6t5" w:colFirst="0" w:colLast="0"/>
      <w:bookmarkEnd w:id="5"/>
      <w:r>
        <w:rPr>
          <w:color w:val="000000"/>
          <w:sz w:val="24"/>
          <w:szCs w:val="24"/>
        </w:rPr>
        <w:lastRenderedPageBreak/>
        <w:t xml:space="preserve"> Implications for the 61 312-study D2 survey</w:t>
      </w:r>
    </w:p>
    <w:p w14:paraId="0EBDC15C" w14:textId="77777777" w:rsidR="00ED7132" w:rsidRDefault="00ED7132" w:rsidP="00ED7132">
      <w:pPr>
        <w:rPr>
          <w:sz w:val="24"/>
          <w:szCs w:val="24"/>
        </w:rPr>
      </w:pPr>
      <w:r>
        <w:rPr>
          <w:sz w:val="24"/>
          <w:szCs w:val="24"/>
        </w:rPr>
        <w:t>Because the D1 cohort spans the full time range (2008-2024), covers diverse assay types (RNA-seq, ChIP-seq, single-cell, etc.), and includes submitters from multiple institutes, the perfect concordance observed above gives us confidence that the XML channel is a faithful proxy for what researchers actually deposit in practice. While we acknowledge that rare studies may sequester phenotypic descriptors exclusively inside binary objects (e.g. .h5ad), our audit indicates that such cases are sufficiently uncommon that they do not materially alter the prevalence estimates reported for D2.</w:t>
      </w:r>
    </w:p>
    <w:p w14:paraId="20AFAE35" w14:textId="77777777" w:rsidR="00ED7132" w:rsidRDefault="00ED7132" w:rsidP="00ED7132">
      <w:pPr>
        <w:rPr>
          <w:sz w:val="24"/>
          <w:szCs w:val="24"/>
        </w:rPr>
      </w:pPr>
      <w:r>
        <w:rPr>
          <w:sz w:val="24"/>
          <w:szCs w:val="24"/>
        </w:rPr>
        <w:t xml:space="preserve">Nonetheless, we have added the following clarifications in red to the </w:t>
      </w:r>
      <w:r>
        <w:rPr>
          <w:i/>
          <w:sz w:val="24"/>
          <w:szCs w:val="24"/>
        </w:rPr>
        <w:t>Discussion and Methods</w:t>
      </w:r>
      <w:r>
        <w:rPr>
          <w:sz w:val="24"/>
          <w:szCs w:val="24"/>
        </w:rPr>
        <w:t>:</w:t>
      </w:r>
    </w:p>
    <w:p w14:paraId="0EBADB2F" w14:textId="77777777" w:rsidR="00ED7132" w:rsidRDefault="00ED7132" w:rsidP="00ED7132">
      <w:pPr>
        <w:numPr>
          <w:ilvl w:val="0"/>
          <w:numId w:val="2"/>
        </w:numPr>
        <w:spacing w:after="0"/>
        <w:rPr>
          <w:sz w:val="24"/>
          <w:szCs w:val="24"/>
        </w:rPr>
      </w:pPr>
      <w:r>
        <w:rPr>
          <w:sz w:val="24"/>
          <w:szCs w:val="24"/>
        </w:rPr>
        <w:t>Scope statement: the present survey quantifies metadata that are accessible through GEO’s canonical XML interface; attributes sequestered in non-standard files may be under-counted.</w:t>
      </w:r>
    </w:p>
    <w:p w14:paraId="317748D5" w14:textId="77777777" w:rsidR="00ED7132" w:rsidRDefault="00ED7132" w:rsidP="00ED7132">
      <w:pPr>
        <w:numPr>
          <w:ilvl w:val="0"/>
          <w:numId w:val="2"/>
        </w:numPr>
        <w:spacing w:after="0"/>
        <w:rPr>
          <w:sz w:val="24"/>
          <w:szCs w:val="24"/>
        </w:rPr>
      </w:pPr>
      <w:r>
        <w:rPr>
          <w:sz w:val="24"/>
          <w:szCs w:val="24"/>
        </w:rPr>
        <w:t>Future work: extending coverage to formats such as .h5ad or .rds will require bespoke parsers and community consensus on field names; we outline a roadmap and welcome collaboration.</w:t>
      </w:r>
    </w:p>
    <w:p w14:paraId="4831D40B" w14:textId="77777777" w:rsidR="00ED7132" w:rsidRDefault="00ED7132" w:rsidP="00ED7132">
      <w:pPr>
        <w:rPr>
          <w:sz w:val="24"/>
          <w:szCs w:val="24"/>
        </w:rPr>
      </w:pPr>
    </w:p>
    <w:p w14:paraId="3AA07A78" w14:textId="77777777" w:rsidR="00ED7132" w:rsidRDefault="00ED7132" w:rsidP="00ED7132">
      <w:pPr>
        <w:rPr>
          <w:b/>
          <w:i/>
          <w:sz w:val="24"/>
          <w:szCs w:val="24"/>
        </w:rPr>
      </w:pPr>
      <w:r>
        <w:rPr>
          <w:b/>
          <w:sz w:val="24"/>
          <w:szCs w:val="24"/>
        </w:rPr>
        <w:t>We updated the</w:t>
      </w:r>
      <w:r>
        <w:rPr>
          <w:b/>
          <w:i/>
          <w:sz w:val="24"/>
          <w:szCs w:val="24"/>
        </w:rPr>
        <w:t xml:space="preserve"> Discussion </w:t>
      </w:r>
      <w:r>
        <w:rPr>
          <w:b/>
          <w:sz w:val="24"/>
          <w:szCs w:val="24"/>
        </w:rPr>
        <w:t>section in red to highlight the limitations of our python-based metadata extraction methods</w:t>
      </w:r>
      <w:r>
        <w:rPr>
          <w:b/>
          <w:i/>
          <w:sz w:val="24"/>
          <w:szCs w:val="24"/>
        </w:rPr>
        <w:t>:</w:t>
      </w:r>
    </w:p>
    <w:p w14:paraId="39872A95" w14:textId="77777777" w:rsidR="00ED7132" w:rsidRDefault="00ED7132" w:rsidP="00ED7132">
      <w:pPr>
        <w:ind w:firstLine="720"/>
        <w:jc w:val="both"/>
        <w:rPr>
          <w:color w:val="FF0000"/>
          <w:sz w:val="24"/>
          <w:szCs w:val="24"/>
        </w:rPr>
      </w:pPr>
      <w:r>
        <w:rPr>
          <w:color w:val="FF0000"/>
          <w:sz w:val="24"/>
          <w:szCs w:val="24"/>
        </w:rPr>
        <w:t>Our metadata extraction strategy focused on structured MINiML XML records available from the Gene Expression Omnibus (GEO) via the NCBI FTP server. These XML files were selected because they represent the only uniformly formatted, machine-readable metadata source consistently provided for every GEO study. Their standardized schema and widespread accessibility make them a pragmatic choice for cross-study and cross-domain assessments of metadata completeness. Prior studies have shown that structured formats like XML enhance transparency and reusability, especially when accompanied by schema definitions and parsing tools</w:t>
      </w:r>
      <w:r>
        <w:rPr>
          <w:color w:val="FF0000"/>
          <w:sz w:val="24"/>
          <w:szCs w:val="24"/>
          <w:vertAlign w:val="superscript"/>
        </w:rPr>
        <w:t>70</w:t>
      </w:r>
      <w:r>
        <w:rPr>
          <w:color w:val="FF0000"/>
          <w:sz w:val="24"/>
          <w:szCs w:val="24"/>
        </w:rPr>
        <w:t xml:space="preserve">. To evaluate the accuracy of our XML-based extraction pipeline, we manually reviewed all 253 studies in our curated D1 subset. This included studies labeled by the pipeline as missing one or more of the six core attributes. In each case, we confirmed that the XML output accurately reflected the metadata reported in the GEO record and associated publication materials. This validation provides strong support for the fidelity of our automated approach, particularly in large-scale applications where manual inspection is infeasible. Nonetheless, we acknowledge that metadata stored exclusively in alternative formats—such as HDF5 (.h5ad), R data files (.rds), spreadsheets, or supplemental PDFs—was not captured by our pipeline. These formats are often fragmented, lack standardization, or are embedded within proprietary analysis environments, limiting their accessibility to non-specialist users. While our findings reflect the most structured and broadly accessible metadata available in GEO, this design choice may lead to a modest </w:t>
      </w:r>
      <w:r>
        <w:rPr>
          <w:color w:val="FF0000"/>
          <w:sz w:val="24"/>
          <w:szCs w:val="24"/>
        </w:rPr>
        <w:lastRenderedPageBreak/>
        <w:t xml:space="preserve">underestimation of overall metadata availability—especially in rapidly evolving areas such as single-cell omics. Future efforts may benefit from extending metadata extraction tools to accommodate these emerging formats. </w:t>
      </w:r>
    </w:p>
    <w:p w14:paraId="11795991" w14:textId="77777777" w:rsidR="00ED7132" w:rsidRDefault="00ED7132" w:rsidP="00ED7132">
      <w:pPr>
        <w:rPr>
          <w:b/>
          <w:i/>
          <w:sz w:val="24"/>
          <w:szCs w:val="24"/>
        </w:rPr>
      </w:pPr>
    </w:p>
    <w:p w14:paraId="776DD56E" w14:textId="77777777" w:rsidR="00ED7132" w:rsidRDefault="00ED7132" w:rsidP="00ED7132">
      <w:pPr>
        <w:rPr>
          <w:b/>
          <w:sz w:val="24"/>
          <w:szCs w:val="24"/>
        </w:rPr>
      </w:pPr>
      <w:r>
        <w:rPr>
          <w:b/>
          <w:sz w:val="24"/>
          <w:szCs w:val="24"/>
        </w:rPr>
        <w:t xml:space="preserve">We added the Scope and limitation in the </w:t>
      </w:r>
      <w:r>
        <w:rPr>
          <w:b/>
          <w:i/>
          <w:sz w:val="24"/>
          <w:szCs w:val="24"/>
        </w:rPr>
        <w:t>Methods</w:t>
      </w:r>
      <w:r>
        <w:rPr>
          <w:b/>
          <w:sz w:val="24"/>
          <w:szCs w:val="24"/>
        </w:rPr>
        <w:t xml:space="preserve"> section to highlight the XML based metadata extraction method:</w:t>
      </w:r>
    </w:p>
    <w:p w14:paraId="4BA1E149" w14:textId="77777777" w:rsidR="00ED7132" w:rsidRDefault="00ED7132" w:rsidP="00ED7132">
      <w:pPr>
        <w:rPr>
          <w:color w:val="FF0000"/>
          <w:sz w:val="24"/>
          <w:szCs w:val="24"/>
        </w:rPr>
      </w:pPr>
      <w:r>
        <w:rPr>
          <w:b/>
          <w:color w:val="FF0000"/>
          <w:sz w:val="24"/>
          <w:szCs w:val="24"/>
        </w:rPr>
        <w:t>Scope and limitations</w:t>
      </w:r>
      <w:r>
        <w:rPr>
          <w:color w:val="FF0000"/>
          <w:sz w:val="24"/>
          <w:szCs w:val="24"/>
        </w:rPr>
        <w:t> </w:t>
      </w:r>
    </w:p>
    <w:p w14:paraId="60BA3A8B" w14:textId="77777777" w:rsidR="00C82B16" w:rsidRPr="003C66C8" w:rsidRDefault="00ED7132" w:rsidP="00C82B16">
      <w:pPr>
        <w:jc w:val="both"/>
        <w:rPr>
          <w:color w:val="FF0000"/>
          <w:sz w:val="24"/>
          <w:szCs w:val="24"/>
        </w:rPr>
      </w:pPr>
      <w:r>
        <w:rPr>
          <w:color w:val="FF0000"/>
          <w:sz w:val="24"/>
          <w:szCs w:val="24"/>
        </w:rPr>
        <w:t xml:space="preserve">The pipeline operates exclusively on the MINiML XML channel—the standardized, machine-readable metadata format provided for all GEO submissions. Phenotypic information available solely through other formats (e.g., HDF5, R data files, spreadsheets, or PDF supplements) is not captured. Manual validation of 253 studies suggests that such instances are rare and do not impact the prevalence trends reported here. However, this design choice may modestly underestimate absolute metadata completeness, as discussed in </w:t>
      </w:r>
      <w:r w:rsidR="00C82B16">
        <w:rPr>
          <w:color w:val="FF0000"/>
          <w:sz w:val="24"/>
          <w:szCs w:val="24"/>
        </w:rPr>
        <w:t xml:space="preserve">the </w:t>
      </w:r>
      <w:r w:rsidR="00C82B16">
        <w:rPr>
          <w:i/>
          <w:color w:val="FF0000"/>
          <w:sz w:val="24"/>
          <w:szCs w:val="24"/>
        </w:rPr>
        <w:t>Discussion</w:t>
      </w:r>
      <w:r w:rsidR="00C82B16">
        <w:rPr>
          <w:color w:val="FF0000"/>
          <w:sz w:val="24"/>
          <w:szCs w:val="24"/>
        </w:rPr>
        <w:t xml:space="preserve"> section.</w:t>
      </w:r>
    </w:p>
    <w:p w14:paraId="24C12BFC" w14:textId="6364CA13" w:rsidR="00BB490F" w:rsidRDefault="00BB490F" w:rsidP="00ED7132">
      <w:pPr>
        <w:pBdr>
          <w:top w:val="nil"/>
          <w:left w:val="nil"/>
          <w:bottom w:val="nil"/>
          <w:right w:val="nil"/>
          <w:between w:val="nil"/>
        </w:pBdr>
        <w:spacing w:after="0" w:line="240" w:lineRule="auto"/>
        <w:rPr>
          <w:rFonts w:ascii="Times New Roman" w:eastAsia="Times New Roman" w:hAnsi="Times New Roman" w:cs="Times New Roman"/>
        </w:rPr>
      </w:pPr>
    </w:p>
    <w:p w14:paraId="29554D21" w14:textId="0F920018" w:rsidR="00FE1B6A" w:rsidRPr="0027735F" w:rsidRDefault="00FE1B6A" w:rsidP="00FE1B6A">
      <w:pPr>
        <w:rPr>
          <w:rFonts w:ascii="Times New Roman" w:eastAsia="Times New Roman" w:hAnsi="Times New Roman" w:cs="Times New Roman"/>
          <w:b/>
        </w:rPr>
      </w:pPr>
      <w:r>
        <w:rPr>
          <w:rFonts w:ascii="Times New Roman" w:eastAsia="Times New Roman" w:hAnsi="Times New Roman" w:cs="Times New Roman"/>
          <w:b/>
        </w:rPr>
        <w:t xml:space="preserve">Third </w:t>
      </w:r>
      <w:r>
        <w:rPr>
          <w:rFonts w:ascii="Times New Roman" w:eastAsia="Times New Roman" w:hAnsi="Times New Roman" w:cs="Times New Roman"/>
          <w:b/>
        </w:rPr>
        <w:t>round of review</w:t>
      </w:r>
    </w:p>
    <w:p w14:paraId="487CB850" w14:textId="77777777" w:rsidR="00FE1B6A" w:rsidRDefault="00FE1B6A" w:rsidP="00FE1B6A">
      <w:pPr>
        <w:rPr>
          <w:rFonts w:ascii="Times New Roman" w:eastAsia="Times New Roman" w:hAnsi="Times New Roman" w:cs="Times New Roman"/>
          <w:b/>
        </w:rPr>
      </w:pPr>
      <w:r>
        <w:rPr>
          <w:rFonts w:ascii="Times New Roman" w:eastAsia="Times New Roman" w:hAnsi="Times New Roman" w:cs="Times New Roman"/>
          <w:b/>
        </w:rPr>
        <w:t>Reviewer 2</w:t>
      </w:r>
    </w:p>
    <w:p w14:paraId="105117AE" w14:textId="0BC701A9" w:rsidR="00FE1B6A" w:rsidRDefault="003E5632" w:rsidP="00ED7132">
      <w:pPr>
        <w:pBdr>
          <w:top w:val="nil"/>
          <w:left w:val="nil"/>
          <w:bottom w:val="nil"/>
          <w:right w:val="nil"/>
          <w:between w:val="nil"/>
        </w:pBdr>
        <w:spacing w:after="0" w:line="240" w:lineRule="auto"/>
        <w:rPr>
          <w:rFonts w:ascii="Times New Roman" w:eastAsia="Times New Roman" w:hAnsi="Times New Roman" w:cs="Times New Roman"/>
        </w:rPr>
      </w:pPr>
      <w:r w:rsidRPr="003E5632">
        <w:rPr>
          <w:rFonts w:ascii="Times New Roman" w:eastAsia="Times New Roman" w:hAnsi="Times New Roman" w:cs="Times New Roman"/>
        </w:rPr>
        <w:t>The authors have addressed my concerns.</w:t>
      </w:r>
    </w:p>
    <w:sectPr w:rsidR="00FE1B6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04DCD"/>
    <w:multiLevelType w:val="multilevel"/>
    <w:tmpl w:val="CDC24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144F8A"/>
    <w:multiLevelType w:val="multilevel"/>
    <w:tmpl w:val="73864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373357"/>
    <w:multiLevelType w:val="multilevel"/>
    <w:tmpl w:val="AB1E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AE5FF1"/>
    <w:multiLevelType w:val="multilevel"/>
    <w:tmpl w:val="E9DE71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5E9F3A3B"/>
    <w:multiLevelType w:val="multilevel"/>
    <w:tmpl w:val="6DBAE17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49347874">
    <w:abstractNumId w:val="1"/>
  </w:num>
  <w:num w:numId="2" w16cid:durableId="1547331702">
    <w:abstractNumId w:val="3"/>
  </w:num>
  <w:num w:numId="3" w16cid:durableId="542668350">
    <w:abstractNumId w:val="4"/>
  </w:num>
  <w:num w:numId="4" w16cid:durableId="1260603127">
    <w:abstractNumId w:val="0"/>
  </w:num>
  <w:num w:numId="5" w16cid:durableId="2045979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0F"/>
    <w:rsid w:val="00073363"/>
    <w:rsid w:val="00170350"/>
    <w:rsid w:val="0027735F"/>
    <w:rsid w:val="003C26B9"/>
    <w:rsid w:val="003E5632"/>
    <w:rsid w:val="00BB490F"/>
    <w:rsid w:val="00C82B16"/>
    <w:rsid w:val="00CC2B2A"/>
    <w:rsid w:val="00DB44D2"/>
    <w:rsid w:val="00E2186B"/>
    <w:rsid w:val="00ED7132"/>
    <w:rsid w:val="00FE1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2BDA"/>
  <w15:docId w15:val="{E11A55B3-F18E-4D47-A547-B9FE406D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zotero.org/google-docs/?uswEzZ"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zotero.org/google-docs/?uswEzZ" TargetMode="External"/><Relationship Id="rId5" Type="http://schemas.openxmlformats.org/officeDocument/2006/relationships/styles" Target="styles.xml"/><Relationship Id="rId10" Type="http://schemas.openxmlformats.org/officeDocument/2006/relationships/hyperlink" Target="https://www.zotero.org/google-docs/?uswEzZ" TargetMode="External"/><Relationship Id="rId4" Type="http://schemas.openxmlformats.org/officeDocument/2006/relationships/numbering" Target="numbering.xml"/><Relationship Id="rId9" Type="http://schemas.openxmlformats.org/officeDocument/2006/relationships/hyperlink" Target="https://www.zotero.org/google-docs/?uswEz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11" ma:contentTypeDescription="Create a new document." ma:contentTypeScope="" ma:versionID="df7f3f2dd44ff5f2ab2feabf4db23156">
  <xsd:schema xmlns:xsd="http://www.w3.org/2001/XMLSchema" xmlns:xs="http://www.w3.org/2001/XMLSchema" xmlns:p="http://schemas.microsoft.com/office/2006/metadata/properties" xmlns:ns2="4217fc3e-e639-4999-baa6-e37f258a06e0" xmlns:ns3="ec103432-89cd-4e09-8171-6f08bc8817e3" targetNamespace="http://schemas.microsoft.com/office/2006/metadata/properties" ma:root="true" ma:fieldsID="0da1bcb687b43c2b4e1e016a7295faa0" ns2:_="" ns3:_="">
    <xsd:import namespace="4217fc3e-e639-4999-baa6-e37f258a06e0"/>
    <xsd:import namespace="ec103432-89cd-4e09-8171-6f08bc8817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103432-89cd-4e09-8171-6f08bc8817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d051b1-5777-429c-87c2-b4468b3330e0}" ma:internalName="TaxCatchAll" ma:showField="CatchAllData" ma:web="ec103432-89cd-4e09-8171-6f08bc8817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17fc3e-e639-4999-baa6-e37f258a06e0">
      <Terms xmlns="http://schemas.microsoft.com/office/infopath/2007/PartnerControls"/>
    </lcf76f155ced4ddcb4097134ff3c332f>
    <TaxCatchAll xmlns="ec103432-89cd-4e09-8171-6f08bc8817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A8FCAD-ED76-4407-9B51-AB2B9D374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7fc3e-e639-4999-baa6-e37f258a06e0"/>
    <ds:schemaRef ds:uri="ec103432-89cd-4e09-8171-6f08bc881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77A67B-8C8B-41A9-851E-8F99EFB0A9B8}">
  <ds:schemaRefs>
    <ds:schemaRef ds:uri="http://schemas.microsoft.com/office/2006/metadata/properties"/>
    <ds:schemaRef ds:uri="http://schemas.microsoft.com/office/infopath/2007/PartnerControls"/>
    <ds:schemaRef ds:uri="4217fc3e-e639-4999-baa6-e37f258a06e0"/>
    <ds:schemaRef ds:uri="ec103432-89cd-4e09-8171-6f08bc8817e3"/>
  </ds:schemaRefs>
</ds:datastoreItem>
</file>

<file path=customXml/itemProps3.xml><?xml version="1.0" encoding="utf-8"?>
<ds:datastoreItem xmlns:ds="http://schemas.openxmlformats.org/officeDocument/2006/customXml" ds:itemID="{622A4BC3-4099-49D2-9ECB-2EF023F9A1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14536</Words>
  <Characters>82857</Characters>
  <Application>Microsoft Office Word</Application>
  <DocSecurity>0</DocSecurity>
  <Lines>690</Lines>
  <Paragraphs>194</Paragraphs>
  <ScaleCrop>false</ScaleCrop>
  <Company/>
  <LinksUpToDate>false</LinksUpToDate>
  <CharactersWithSpaces>97199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11</cp:revision>
  <dcterms:created xsi:type="dcterms:W3CDTF">2025-08-03T20:37:00Z</dcterms:created>
  <dcterms:modified xsi:type="dcterms:W3CDTF">2025-08-03T20:44:00Z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MediaServiceImageTags">
    <vt:lpwstr/>
  </property>
</Properties>
</file>