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B5237">
      <w:pPr>
        <w:keepNext w:val="0"/>
        <w:keepLines w:val="0"/>
        <w:pageBreakBefore w:val="0"/>
        <w:widowControl/>
        <w:kinsoku/>
        <w:wordWrap/>
        <w:overflowPunct/>
        <w:topLinePunct w:val="0"/>
        <w:autoSpaceDE/>
        <w:autoSpaceDN/>
        <w:bidi w:val="0"/>
        <w:adjustRightInd/>
        <w:snapToGrid/>
        <w:spacing w:line="360" w:lineRule="auto"/>
        <w:jc w:val="both"/>
        <w:textAlignment w:val="auto"/>
      </w:pPr>
      <w:r>
        <w:rPr>
          <w:rFonts w:ascii="Times New Roman" w:hAnsi="Times New Roman" w:eastAsia="宋体" w:cs="Times New Roman"/>
          <w:b/>
          <w:sz w:val="22"/>
        </w:rPr>
        <w:t>Default parameters and usage guidelines of the ENGINE model</w:t>
      </w:r>
      <w:r>
        <w:rPr>
          <w:rFonts w:ascii="Times New Roman" w:hAnsi="Times New Roman" w:eastAsia="宋体" w:cs="Times New Roman"/>
          <w:b/>
          <w:sz w:val="22"/>
        </w:rPr>
        <w:br w:type="textWrapping"/>
      </w:r>
      <w:r>
        <w:rPr>
          <w:rFonts w:ascii="Times New Roman" w:hAnsi="Times New Roman" w:cs="Times New Roman"/>
          <w:color w:val="000000" w:themeColor="text1"/>
          <w:sz w:val="20"/>
          <w:szCs w:val="20"/>
          <w14:textFill>
            <w14:solidFill>
              <w14:schemeClr w14:val="tx1"/>
            </w14:solidFill>
          </w14:textFill>
        </w:rPr>
        <w:t>The prediction threshold of the ENGINE model is set to 0.5 by default, which is used to convert the predicted probabilities of GO terms into binary labels. A higher threshold increases prediction precision but may reduce recall, whereas a lower threshold improves recall but can result in more false positives. The default batch size during training is 8; larger batch sizes can accelerate convergence but increase memory usage and reduce sensitivity to gradient noise, while smaller batch sizes may enhance model generalization but require longer training times. The default learning rate is set to 0.00</w:t>
      </w:r>
      <w:r>
        <w:rPr>
          <w:rFonts w:hint="eastAsia" w:ascii="Times New Roman" w:hAnsi="Times New Roman" w:cs="Times New Roman"/>
          <w:color w:val="000000" w:themeColor="text1"/>
          <w:sz w:val="20"/>
          <w:szCs w:val="20"/>
          <w14:textFill>
            <w14:solidFill>
              <w14:schemeClr w14:val="tx1"/>
            </w14:solidFill>
          </w14:textFill>
        </w:rPr>
        <w:t>0</w:t>
      </w:r>
      <w:r>
        <w:rPr>
          <w:rFonts w:ascii="Times New Roman" w:hAnsi="Times New Roman" w:cs="Times New Roman"/>
          <w:color w:val="000000" w:themeColor="text1"/>
          <w:sz w:val="20"/>
          <w:szCs w:val="20"/>
          <w14:textFill>
            <w14:solidFill>
              <w14:schemeClr w14:val="tx1"/>
            </w14:solidFill>
          </w14:textFill>
        </w:rPr>
        <w:t>1; a larger learning rate may cause unstable or divergent training, while a smaller learning rate slows convergence. ENGINE by default integrates the structural channel (EGNN), the ESM-C sequence channel, and the Foldseek 3Di token channel to fully leverage complementary information. These default parameters have been validated across all experiments in this study, providing robust predictive performance across different GO categories. Users can flexibly adjust these parameters via the configuration files provided on GitHub to optimize prediction precision, recall, or computational efficiency according to their specific needs.</w:t>
      </w:r>
    </w:p>
    <w:p w14:paraId="5C6A2748">
      <w:bookmarkStart w:id="0" w:name="_GoBack"/>
      <w:bookmarkEnd w:id="0"/>
    </w:p>
    <w:sectPr>
      <w:footerReference r:id="rId3"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1277118"/>
    </w:sdtPr>
    <w:sdtContent>
      <w:p w14:paraId="19C04E52">
        <w:pPr>
          <w:pStyle w:val="2"/>
          <w:jc w:val="right"/>
        </w:pPr>
        <w:r>
          <w:fldChar w:fldCharType="begin"/>
        </w:r>
        <w:r>
          <w:instrText xml:space="preserve">PAGE   \* MERGEFORMAT</w:instrText>
        </w:r>
        <w:r>
          <w:fldChar w:fldCharType="separate"/>
        </w:r>
        <w:r>
          <w:rPr>
            <w:lang w:val="zh-CN"/>
          </w:rPr>
          <w:t>2</w:t>
        </w:r>
        <w:r>
          <w:fldChar w:fldCharType="end"/>
        </w:r>
      </w:p>
    </w:sdtContent>
  </w:sdt>
  <w:p w14:paraId="19C04E5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BA21BD"/>
    <w:rsid w:val="2DFB52D7"/>
    <w:rsid w:val="59205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rPr>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319</Words>
  <Characters>1887</Characters>
  <Lines>0</Lines>
  <Paragraphs>0</Paragraphs>
  <TotalTime>0</TotalTime>
  <ScaleCrop>false</ScaleCrop>
  <LinksUpToDate>false</LinksUpToDate>
  <CharactersWithSpaces>2146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2025-11-20T13:50:00Z</dcterms:created>
  <dc:creator>qaa</dc:creator>
  <cp:lastModifiedBy>Ran</cp:lastModifiedBy>
  <dcterms:modified xsi:type="dcterms:W3CDTF">2025-11-20T17:03:32Z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eyJoZGlkIjoiYmFlOGY2MjRjYjQzZmVlMzgyYmY4MzU2NzgzNGI5MTAiLCJ1c2VySWQiOiI2ODc3MTg0NDAifQ==</vt:lpwstr>
  </property>
  <property fmtid="{D5CDD505-2E9C-101B-9397-08002B2CF9AE}" pid="4" name="ICV">
    <vt:lpwstr>2148899965474632BDDA3164F2A5ECA9_12</vt:lpwstr>
  </property>
</Properties>
</file>