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5B1A2" w14:textId="77777777" w:rsidR="00DB5D5D" w:rsidRDefault="00000000">
      <w:pPr>
        <w:rPr>
          <w:rFonts w:ascii="Times New Roman" w:eastAsia="Times New Roman" w:hAnsi="Times New Roman" w:cs="Times New Roman"/>
        </w:rPr>
      </w:pPr>
      <w:r>
        <w:rPr>
          <w:rFonts w:ascii="Times New Roman" w:eastAsia="Times New Roman" w:hAnsi="Times New Roman" w:cs="Times New Roman"/>
        </w:rPr>
        <w:t>Review History</w:t>
      </w:r>
    </w:p>
    <w:p w14:paraId="1EE5B1A3" w14:textId="77777777" w:rsidR="00DB5D5D"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1EE5B1A4" w14:textId="77777777" w:rsidR="00DB5D5D"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1EE5B1A7" w14:textId="77777777" w:rsidR="00DB5D5D" w:rsidRDefault="00DB5D5D">
      <w:pPr>
        <w:spacing w:after="0" w:line="240" w:lineRule="auto"/>
        <w:rPr>
          <w:rFonts w:ascii="Times New Roman" w:eastAsia="Times New Roman" w:hAnsi="Times New Roman" w:cs="Times New Roman"/>
        </w:rPr>
      </w:pPr>
    </w:p>
    <w:p w14:paraId="1EE5B1A8" w14:textId="77777777" w:rsidR="00DB5D5D"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1EE5B1A9" w14:textId="77777777" w:rsidR="00DB5D5D" w:rsidRDefault="00DB5D5D">
      <w:pPr>
        <w:spacing w:after="0" w:line="240" w:lineRule="auto"/>
        <w:rPr>
          <w:rFonts w:ascii="Times New Roman" w:eastAsia="Times New Roman" w:hAnsi="Times New Roman" w:cs="Times New Roman"/>
        </w:rPr>
      </w:pPr>
    </w:p>
    <w:p w14:paraId="1EE5B1AA" w14:textId="5DCD7B04" w:rsidR="00DB5D5D" w:rsidRDefault="00EF74A3">
      <w:pPr>
        <w:spacing w:after="0" w:line="240" w:lineRule="auto"/>
        <w:rPr>
          <w:rFonts w:ascii="Times New Roman" w:eastAsia="Times New Roman" w:hAnsi="Times New Roman" w:cs="Times New Roman"/>
        </w:rPr>
      </w:pPr>
      <w:r w:rsidRPr="00EF74A3">
        <w:rPr>
          <w:rFonts w:ascii="Times New Roman" w:eastAsia="Times New Roman" w:hAnsi="Times New Roman" w:cs="Times New Roman"/>
        </w:rPr>
        <w:t xml:space="preserve">The manuscript presented does a great job of synthesizing the field into a useful and methodical review article. There are few articles that have endeavored to combine a review of the methods associated with RNA isolation with the methods associated with sequencing so there is a need for the </w:t>
      </w:r>
      <w:proofErr w:type="gramStart"/>
      <w:r w:rsidRPr="00EF74A3">
        <w:rPr>
          <w:rFonts w:ascii="Times New Roman" w:eastAsia="Times New Roman" w:hAnsi="Times New Roman" w:cs="Times New Roman"/>
        </w:rPr>
        <w:t>article</w:t>
      </w:r>
      <w:proofErr w:type="gramEnd"/>
      <w:r w:rsidRPr="00EF74A3">
        <w:rPr>
          <w:rFonts w:ascii="Times New Roman" w:eastAsia="Times New Roman" w:hAnsi="Times New Roman" w:cs="Times New Roman"/>
        </w:rPr>
        <w:t xml:space="preserve"> and this will be a resource for scientists and researchers entering the field and for educators who are teaching about the method. I think the authors could make a few changes that would improve the manuscript</w:t>
      </w:r>
      <w:r w:rsidRPr="00EF74A3">
        <w:rPr>
          <w:rFonts w:ascii="Times New Roman" w:eastAsia="Times New Roman" w:hAnsi="Times New Roman" w:cs="Times New Roman"/>
        </w:rPr>
        <w:br/>
        <w:t xml:space="preserve">1. If they could early on explain what they mean by wastewater epidemiology, wastewater surveillance, wastewater-based genomic sequencing. The terms can be confusing for the reader. I think they should be clear. </w:t>
      </w:r>
      <w:r w:rsidRPr="00EF74A3">
        <w:rPr>
          <w:rFonts w:ascii="Times New Roman" w:eastAsia="Times New Roman" w:hAnsi="Times New Roman" w:cs="Times New Roman"/>
        </w:rPr>
        <w:br/>
        <w:t xml:space="preserve">2. I think the authors could do a better job of describing ways and approaches that have been taken to describe animal contributions to </w:t>
      </w:r>
      <w:proofErr w:type="gramStart"/>
      <w:r w:rsidRPr="00EF74A3">
        <w:rPr>
          <w:rFonts w:ascii="Times New Roman" w:eastAsia="Times New Roman" w:hAnsi="Times New Roman" w:cs="Times New Roman"/>
        </w:rPr>
        <w:t>the wastewater</w:t>
      </w:r>
      <w:proofErr w:type="gramEnd"/>
      <w:r w:rsidRPr="00EF74A3">
        <w:rPr>
          <w:rFonts w:ascii="Times New Roman" w:eastAsia="Times New Roman" w:hAnsi="Times New Roman" w:cs="Times New Roman"/>
        </w:rPr>
        <w:t xml:space="preserve"> genetic signatures. This is an area of intense </w:t>
      </w:r>
      <w:proofErr w:type="gramStart"/>
      <w:r w:rsidRPr="00EF74A3">
        <w:rPr>
          <w:rFonts w:ascii="Times New Roman" w:eastAsia="Times New Roman" w:hAnsi="Times New Roman" w:cs="Times New Roman"/>
        </w:rPr>
        <w:t>scrutiny</w:t>
      </w:r>
      <w:proofErr w:type="gramEnd"/>
      <w:r w:rsidRPr="00EF74A3">
        <w:rPr>
          <w:rFonts w:ascii="Times New Roman" w:eastAsia="Times New Roman" w:hAnsi="Times New Roman" w:cs="Times New Roman"/>
        </w:rPr>
        <w:t xml:space="preserve"> and I think it should be included. What are the approaches being taken and what are the limitations.</w:t>
      </w:r>
      <w:r w:rsidRPr="00EF74A3">
        <w:rPr>
          <w:rFonts w:ascii="Times New Roman" w:eastAsia="Times New Roman" w:hAnsi="Times New Roman" w:cs="Times New Roman"/>
        </w:rPr>
        <w:br/>
        <w:t xml:space="preserve">3. I think the authors should consider areas that are not connected to the sewer system and how these would be entirely overlooked in the methods as presented. </w:t>
      </w:r>
      <w:r w:rsidRPr="00EF74A3">
        <w:rPr>
          <w:rFonts w:ascii="Times New Roman" w:eastAsia="Times New Roman" w:hAnsi="Times New Roman" w:cs="Times New Roman"/>
        </w:rPr>
        <w:br/>
        <w:t xml:space="preserve">4. Lines 302 to 325 are repeated... </w:t>
      </w:r>
      <w:r w:rsidRPr="00EF74A3">
        <w:rPr>
          <w:rFonts w:ascii="Times New Roman" w:eastAsia="Times New Roman" w:hAnsi="Times New Roman" w:cs="Times New Roman"/>
        </w:rPr>
        <w:br/>
        <w:t>5. The authors do not mention or describe LAMP approaches for the method</w:t>
      </w:r>
      <w:r w:rsidRPr="00EF74A3">
        <w:rPr>
          <w:rFonts w:ascii="Times New Roman" w:eastAsia="Times New Roman" w:hAnsi="Times New Roman" w:cs="Times New Roman"/>
        </w:rPr>
        <w:br/>
        <w:t xml:space="preserve">6. The authors do not describe </w:t>
      </w:r>
      <w:proofErr w:type="gramStart"/>
      <w:r w:rsidRPr="00EF74A3">
        <w:rPr>
          <w:rFonts w:ascii="Times New Roman" w:eastAsia="Times New Roman" w:hAnsi="Times New Roman" w:cs="Times New Roman"/>
        </w:rPr>
        <w:t>bead based</w:t>
      </w:r>
      <w:proofErr w:type="gramEnd"/>
      <w:r w:rsidRPr="00EF74A3">
        <w:rPr>
          <w:rFonts w:ascii="Times New Roman" w:eastAsia="Times New Roman" w:hAnsi="Times New Roman" w:cs="Times New Roman"/>
        </w:rPr>
        <w:t xml:space="preserve"> capture methods (CERES)</w:t>
      </w:r>
      <w:r w:rsidRPr="00EF74A3">
        <w:rPr>
          <w:rFonts w:ascii="Times New Roman" w:eastAsia="Times New Roman" w:hAnsi="Times New Roman" w:cs="Times New Roman"/>
        </w:rPr>
        <w:br/>
        <w:t xml:space="preserve">7. The authors do not mention chronic carriers and their contribution to the wastewater variant pool. </w:t>
      </w:r>
      <w:r w:rsidRPr="00EF74A3">
        <w:rPr>
          <w:rFonts w:ascii="Times New Roman" w:eastAsia="Times New Roman" w:hAnsi="Times New Roman" w:cs="Times New Roman"/>
        </w:rPr>
        <w:br/>
        <w:t>8. I think the authors could do a better job of describing the costs associated with the various approaches. Perhaps in the tables.</w:t>
      </w:r>
      <w:r w:rsidRPr="00EF74A3">
        <w:rPr>
          <w:rFonts w:ascii="Times New Roman" w:eastAsia="Times New Roman" w:hAnsi="Times New Roman" w:cs="Times New Roman"/>
        </w:rPr>
        <w:br/>
        <w:t xml:space="preserve">9. It's unclear to this reviewer how ELISA can be applied to wastewater? </w:t>
      </w:r>
      <w:r w:rsidRPr="00EF74A3">
        <w:rPr>
          <w:rFonts w:ascii="Times New Roman" w:eastAsia="Times New Roman" w:hAnsi="Times New Roman" w:cs="Times New Roman"/>
        </w:rPr>
        <w:br/>
        <w:t xml:space="preserve">10. On line 727 the authors do not mention the presence of multiple variants within an individual. The calling of a consensus assumes a single variant within a patient. This will overlook variants that may ebb and flow </w:t>
      </w:r>
      <w:proofErr w:type="gramStart"/>
      <w:r w:rsidRPr="00EF74A3">
        <w:rPr>
          <w:rFonts w:ascii="Times New Roman" w:eastAsia="Times New Roman" w:hAnsi="Times New Roman" w:cs="Times New Roman"/>
        </w:rPr>
        <w:t>during the course of</w:t>
      </w:r>
      <w:proofErr w:type="gramEnd"/>
      <w:r w:rsidRPr="00EF74A3">
        <w:rPr>
          <w:rFonts w:ascii="Times New Roman" w:eastAsia="Times New Roman" w:hAnsi="Times New Roman" w:cs="Times New Roman"/>
        </w:rPr>
        <w:t xml:space="preserve"> an infection. </w:t>
      </w:r>
      <w:r w:rsidRPr="00EF74A3">
        <w:rPr>
          <w:rFonts w:ascii="Times New Roman" w:eastAsia="Times New Roman" w:hAnsi="Times New Roman" w:cs="Times New Roman"/>
        </w:rPr>
        <w:br/>
        <w:t xml:space="preserve">11. Line 784 there is a typo on The. </w:t>
      </w:r>
      <w:r w:rsidRPr="00EF74A3">
        <w:rPr>
          <w:rFonts w:ascii="Times New Roman" w:eastAsia="Times New Roman" w:hAnsi="Times New Roman" w:cs="Times New Roman"/>
        </w:rPr>
        <w:br/>
        <w:t>12. Line 866, health tool that</w:t>
      </w:r>
      <w:r w:rsidRPr="00EF74A3">
        <w:rPr>
          <w:rFonts w:ascii="Times New Roman" w:eastAsia="Times New Roman" w:hAnsi="Times New Roman" w:cs="Times New Roman"/>
        </w:rPr>
        <w:br/>
        <w:t>13. Lines 964 onwards - again there is no description of the approaches being taken to determine the hosts contributing to the pool of variants....</w:t>
      </w:r>
    </w:p>
    <w:p w14:paraId="00C3339E" w14:textId="77777777" w:rsidR="00EF74A3" w:rsidRDefault="00EF74A3">
      <w:pPr>
        <w:spacing w:after="0" w:line="240" w:lineRule="auto"/>
        <w:rPr>
          <w:rFonts w:ascii="Times New Roman" w:eastAsia="Times New Roman" w:hAnsi="Times New Roman" w:cs="Times New Roman"/>
        </w:rPr>
      </w:pPr>
    </w:p>
    <w:p w14:paraId="441BFA41" w14:textId="77777777" w:rsidR="00494965" w:rsidRDefault="00494965">
      <w:pPr>
        <w:spacing w:after="0" w:line="240" w:lineRule="auto"/>
        <w:rPr>
          <w:rFonts w:ascii="Times New Roman" w:eastAsia="Times New Roman" w:hAnsi="Times New Roman" w:cs="Times New Roman"/>
        </w:rPr>
      </w:pPr>
    </w:p>
    <w:p w14:paraId="74DBD216" w14:textId="77777777" w:rsidR="00494965" w:rsidRDefault="00494965">
      <w:pPr>
        <w:spacing w:after="0" w:line="240" w:lineRule="auto"/>
        <w:rPr>
          <w:rFonts w:ascii="Times New Roman" w:eastAsia="Times New Roman" w:hAnsi="Times New Roman" w:cs="Times New Roman"/>
        </w:rPr>
      </w:pPr>
    </w:p>
    <w:p w14:paraId="1EE5B1AB" w14:textId="77777777" w:rsidR="00DB5D5D"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1EE5B1B0" w14:textId="77777777" w:rsidR="00DB5D5D" w:rsidRDefault="00DB5D5D">
      <w:pPr>
        <w:rPr>
          <w:rFonts w:ascii="Times New Roman" w:eastAsia="Times New Roman" w:hAnsi="Times New Roman" w:cs="Times New Roman"/>
        </w:rPr>
      </w:pPr>
    </w:p>
    <w:p w14:paraId="1EE5B1B1" w14:textId="77777777" w:rsidR="00DB5D5D" w:rsidRDefault="00000000">
      <w:pPr>
        <w:rPr>
          <w:rFonts w:ascii="Times New Roman" w:eastAsia="Times New Roman" w:hAnsi="Times New Roman" w:cs="Times New Roman"/>
          <w:b/>
        </w:rPr>
      </w:pPr>
      <w:r>
        <w:rPr>
          <w:rFonts w:ascii="Times New Roman" w:eastAsia="Times New Roman" w:hAnsi="Times New Roman" w:cs="Times New Roman"/>
          <w:b/>
        </w:rPr>
        <w:t>Comments to author:</w:t>
      </w:r>
    </w:p>
    <w:p w14:paraId="1EE5B1B2" w14:textId="008EAE40" w:rsidR="00DB5D5D" w:rsidRDefault="00494965">
      <w:pPr>
        <w:rPr>
          <w:rFonts w:ascii="Times New Roman" w:eastAsia="Times New Roman" w:hAnsi="Times New Roman" w:cs="Times New Roman"/>
        </w:rPr>
      </w:pPr>
      <w:r w:rsidRPr="00494965">
        <w:rPr>
          <w:rFonts w:ascii="Times New Roman" w:eastAsia="Times New Roman" w:hAnsi="Times New Roman" w:cs="Times New Roman"/>
        </w:rPr>
        <w:t xml:space="preserve">The paper by Munteanu et al. provides an overview of wastewater genomic sequencing for SARS-CoV-2, discussing approaches, challenges, and applications. It is a </w:t>
      </w:r>
      <w:proofErr w:type="gramStart"/>
      <w:r w:rsidRPr="00494965">
        <w:rPr>
          <w:rFonts w:ascii="Times New Roman" w:eastAsia="Times New Roman" w:hAnsi="Times New Roman" w:cs="Times New Roman"/>
        </w:rPr>
        <w:t>pretty comprehensive</w:t>
      </w:r>
      <w:proofErr w:type="gramEnd"/>
      <w:r w:rsidRPr="00494965">
        <w:rPr>
          <w:rFonts w:ascii="Times New Roman" w:eastAsia="Times New Roman" w:hAnsi="Times New Roman" w:cs="Times New Roman"/>
        </w:rPr>
        <w:t xml:space="preserve"> review of various aspects of the field. The section on PCR-based quantification methods is </w:t>
      </w:r>
      <w:proofErr w:type="gramStart"/>
      <w:r w:rsidRPr="00494965">
        <w:rPr>
          <w:rFonts w:ascii="Times New Roman" w:eastAsia="Times New Roman" w:hAnsi="Times New Roman" w:cs="Times New Roman"/>
        </w:rPr>
        <w:t>informative, but</w:t>
      </w:r>
      <w:proofErr w:type="gramEnd"/>
      <w:r w:rsidRPr="00494965">
        <w:rPr>
          <w:rFonts w:ascii="Times New Roman" w:eastAsia="Times New Roman" w:hAnsi="Times New Roman" w:cs="Times New Roman"/>
        </w:rPr>
        <w:t xml:space="preserve"> feels somewhat disconnected from the </w:t>
      </w:r>
      <w:proofErr w:type="gramStart"/>
      <w:r w:rsidRPr="00494965">
        <w:rPr>
          <w:rFonts w:ascii="Times New Roman" w:eastAsia="Times New Roman" w:hAnsi="Times New Roman" w:cs="Times New Roman"/>
        </w:rPr>
        <w:t>main focus</w:t>
      </w:r>
      <w:proofErr w:type="gramEnd"/>
      <w:r w:rsidRPr="00494965">
        <w:rPr>
          <w:rFonts w:ascii="Times New Roman" w:eastAsia="Times New Roman" w:hAnsi="Times New Roman" w:cs="Times New Roman"/>
        </w:rPr>
        <w:t xml:space="preserve"> on wastewater genomic surveillance. At times, the narrative makes me feel unclear as to whether the discussion pertains to general wastewater surveillance or specifically to genomic surveillance, as suggested by the title. Some main points for authors to consider:</w:t>
      </w:r>
      <w:r w:rsidRPr="00494965">
        <w:rPr>
          <w:rFonts w:ascii="Times New Roman" w:eastAsia="Times New Roman" w:hAnsi="Times New Roman" w:cs="Times New Roman"/>
        </w:rPr>
        <w:br/>
      </w:r>
      <w:r w:rsidRPr="00494965">
        <w:rPr>
          <w:rFonts w:ascii="Times New Roman" w:eastAsia="Times New Roman" w:hAnsi="Times New Roman" w:cs="Times New Roman"/>
        </w:rPr>
        <w:br/>
        <w:t xml:space="preserve">The section 2.4 (about advancements in genomic sequencing technologies for wastewater analysis) is not </w:t>
      </w:r>
      <w:r w:rsidRPr="00494965">
        <w:rPr>
          <w:rFonts w:ascii="Times New Roman" w:eastAsia="Times New Roman" w:hAnsi="Times New Roman" w:cs="Times New Roman"/>
        </w:rPr>
        <w:lastRenderedPageBreak/>
        <w:t>well organized, the authors talked about library prep with enrichment or without, failures from primer mismatches, followed by different sequencing platforms. A clearer structure would be very helpful to see the advancements, challenges, pros/cons for each sequencing platform.</w:t>
      </w:r>
      <w:r w:rsidRPr="00494965">
        <w:rPr>
          <w:rFonts w:ascii="Times New Roman" w:eastAsia="Times New Roman" w:hAnsi="Times New Roman" w:cs="Times New Roman"/>
        </w:rPr>
        <w:br/>
      </w:r>
      <w:r w:rsidRPr="00494965">
        <w:rPr>
          <w:rFonts w:ascii="Times New Roman" w:eastAsia="Times New Roman" w:hAnsi="Times New Roman" w:cs="Times New Roman"/>
        </w:rPr>
        <w:br/>
        <w:t xml:space="preserve">About the variant calling for wastewater data, it is typical to find tons of mutations including indels from wastewater sequencing data, although the </w:t>
      </w:r>
      <w:proofErr w:type="spellStart"/>
      <w:r w:rsidRPr="00494965">
        <w:rPr>
          <w:rFonts w:ascii="Times New Roman" w:eastAsia="Times New Roman" w:hAnsi="Times New Roman" w:cs="Times New Roman"/>
        </w:rPr>
        <w:t>bcftools</w:t>
      </w:r>
      <w:proofErr w:type="spellEnd"/>
      <w:r w:rsidRPr="00494965">
        <w:rPr>
          <w:rFonts w:ascii="Times New Roman" w:eastAsia="Times New Roman" w:hAnsi="Times New Roman" w:cs="Times New Roman"/>
        </w:rPr>
        <w:t xml:space="preserve"> and other tools mentioned in the paper works well to some extent, it is necessary to validate them, some discussion on this point could be helpful. </w:t>
      </w:r>
      <w:r w:rsidRPr="00494965">
        <w:rPr>
          <w:rFonts w:ascii="Times New Roman" w:eastAsia="Times New Roman" w:hAnsi="Times New Roman" w:cs="Times New Roman"/>
        </w:rPr>
        <w:br/>
      </w:r>
      <w:r w:rsidRPr="00494965">
        <w:rPr>
          <w:rFonts w:ascii="Times New Roman" w:eastAsia="Times New Roman" w:hAnsi="Times New Roman" w:cs="Times New Roman"/>
        </w:rPr>
        <w:br/>
        <w:t>Some more specific points:</w:t>
      </w:r>
      <w:r w:rsidRPr="00494965">
        <w:rPr>
          <w:rFonts w:ascii="Times New Roman" w:eastAsia="Times New Roman" w:hAnsi="Times New Roman" w:cs="Times New Roman"/>
        </w:rPr>
        <w:br/>
      </w:r>
      <w:r w:rsidRPr="00494965">
        <w:rPr>
          <w:rFonts w:ascii="Times New Roman" w:eastAsia="Times New Roman" w:hAnsi="Times New Roman" w:cs="Times New Roman"/>
        </w:rPr>
        <w:br/>
        <w:t xml:space="preserve">1. Logic flow for the 2nd and 3rd paragraph is not well. </w:t>
      </w:r>
      <w:proofErr w:type="gramStart"/>
      <w:r w:rsidRPr="00494965">
        <w:rPr>
          <w:rFonts w:ascii="Times New Roman" w:eastAsia="Times New Roman" w:hAnsi="Times New Roman" w:cs="Times New Roman"/>
        </w:rPr>
        <w:t>the</w:t>
      </w:r>
      <w:proofErr w:type="gramEnd"/>
      <w:r w:rsidRPr="00494965">
        <w:rPr>
          <w:rFonts w:ascii="Times New Roman" w:eastAsia="Times New Roman" w:hAnsi="Times New Roman" w:cs="Times New Roman"/>
        </w:rPr>
        <w:t xml:space="preserve"> paragraph (lines 255-267) talks about the advantages of </w:t>
      </w:r>
      <w:proofErr w:type="gramStart"/>
      <w:r w:rsidRPr="00494965">
        <w:rPr>
          <w:rFonts w:ascii="Times New Roman" w:eastAsia="Times New Roman" w:hAnsi="Times New Roman" w:cs="Times New Roman"/>
        </w:rPr>
        <w:t>wastewater based</w:t>
      </w:r>
      <w:proofErr w:type="gramEnd"/>
      <w:r w:rsidRPr="00494965">
        <w:rPr>
          <w:rFonts w:ascii="Times New Roman" w:eastAsia="Times New Roman" w:hAnsi="Times New Roman" w:cs="Times New Roman"/>
        </w:rPr>
        <w:t xml:space="preserve"> surveillance, those may not be the unique advantages for WWGS that are mentioned in the following </w:t>
      </w:r>
      <w:proofErr w:type="spellStart"/>
      <w:r w:rsidRPr="00494965">
        <w:rPr>
          <w:rFonts w:ascii="Times New Roman" w:eastAsia="Times New Roman" w:hAnsi="Times New Roman" w:cs="Times New Roman"/>
        </w:rPr>
        <w:t>paragrpah</w:t>
      </w:r>
      <w:proofErr w:type="spellEnd"/>
      <w:r w:rsidRPr="00494965">
        <w:rPr>
          <w:rFonts w:ascii="Times New Roman" w:eastAsia="Times New Roman" w:hAnsi="Times New Roman" w:cs="Times New Roman"/>
        </w:rPr>
        <w:t xml:space="preserve">, but the following paragraphs talks about the WWGS, the logic flow needs improved. </w:t>
      </w:r>
      <w:r w:rsidRPr="00494965">
        <w:rPr>
          <w:rFonts w:ascii="Times New Roman" w:eastAsia="Times New Roman" w:hAnsi="Times New Roman" w:cs="Times New Roman"/>
        </w:rPr>
        <w:br/>
        <w:t xml:space="preserve">2. Line 264: 'viral prevalence rates' </w:t>
      </w:r>
      <w:proofErr w:type="gramStart"/>
      <w:r w:rsidRPr="00494965">
        <w:rPr>
          <w:rFonts w:ascii="Times New Roman" w:eastAsia="Times New Roman" w:hAnsi="Times New Roman" w:cs="Times New Roman"/>
        </w:rPr>
        <w:t>is</w:t>
      </w:r>
      <w:proofErr w:type="gramEnd"/>
      <w:r w:rsidRPr="00494965">
        <w:rPr>
          <w:rFonts w:ascii="Times New Roman" w:eastAsia="Times New Roman" w:hAnsi="Times New Roman" w:cs="Times New Roman"/>
        </w:rPr>
        <w:t xml:space="preserve"> repetitive; </w:t>
      </w:r>
      <w:r w:rsidRPr="00494965">
        <w:rPr>
          <w:rFonts w:ascii="Times New Roman" w:eastAsia="Times New Roman" w:hAnsi="Times New Roman" w:cs="Times New Roman"/>
        </w:rPr>
        <w:br/>
        <w:t>3. Line 265: 'entire communities', too positive, really depends on sewer network</w:t>
      </w:r>
      <w:r w:rsidRPr="00494965">
        <w:rPr>
          <w:rFonts w:ascii="Times New Roman" w:eastAsia="Times New Roman" w:hAnsi="Times New Roman" w:cs="Times New Roman"/>
        </w:rPr>
        <w:br/>
        <w:t xml:space="preserve">4. Line 269: 'dilution of viral RNA </w:t>
      </w:r>
      <w:proofErr w:type="gramStart"/>
      <w:r w:rsidRPr="00494965">
        <w:rPr>
          <w:rFonts w:ascii="Times New Roman" w:eastAsia="Times New Roman" w:hAnsi="Times New Roman" w:cs="Times New Roman"/>
        </w:rPr>
        <w:t>concentrations..</w:t>
      </w:r>
      <w:proofErr w:type="gramEnd"/>
      <w:r w:rsidRPr="00494965">
        <w:rPr>
          <w:rFonts w:ascii="Times New Roman" w:eastAsia="Times New Roman" w:hAnsi="Times New Roman" w:cs="Times New Roman"/>
        </w:rPr>
        <w:t>', inaccurate</w:t>
      </w:r>
      <w:r w:rsidRPr="00494965">
        <w:rPr>
          <w:rFonts w:ascii="Times New Roman" w:eastAsia="Times New Roman" w:hAnsi="Times New Roman" w:cs="Times New Roman"/>
        </w:rPr>
        <w:br/>
        <w:t>5. Line 330: repeating word 'digital'</w:t>
      </w:r>
      <w:r w:rsidRPr="00494965">
        <w:rPr>
          <w:rFonts w:ascii="Times New Roman" w:eastAsia="Times New Roman" w:hAnsi="Times New Roman" w:cs="Times New Roman"/>
        </w:rPr>
        <w:br/>
        <w:t xml:space="preserve">6. Line 400, </w:t>
      </w:r>
      <w:proofErr w:type="gramStart"/>
      <w:r w:rsidRPr="00494965">
        <w:rPr>
          <w:rFonts w:ascii="Times New Roman" w:eastAsia="Times New Roman" w:hAnsi="Times New Roman" w:cs="Times New Roman"/>
        </w:rPr>
        <w:t>include</w:t>
      </w:r>
      <w:proofErr w:type="gramEnd"/>
      <w:r w:rsidRPr="00494965">
        <w:rPr>
          <w:rFonts w:ascii="Times New Roman" w:eastAsia="Times New Roman" w:hAnsi="Times New Roman" w:cs="Times New Roman"/>
        </w:rPr>
        <w:t xml:space="preserve"> viral shedding kinetics for wastewater epidemiology, some references to consider: PMID: 36220466; PMID: 37494742</w:t>
      </w:r>
      <w:r w:rsidRPr="00494965">
        <w:rPr>
          <w:rFonts w:ascii="Times New Roman" w:eastAsia="Times New Roman" w:hAnsi="Times New Roman" w:cs="Times New Roman"/>
        </w:rPr>
        <w:br/>
        <w:t>7. About the deconvolution for lineage inference, may worth mention the potential limitations in depending on a good profile of consensus variants and consistent signature mutations among strains, also unreported variants with unclear signature pattern.</w:t>
      </w:r>
      <w:r w:rsidRPr="00494965">
        <w:rPr>
          <w:rFonts w:ascii="Times New Roman" w:eastAsia="Times New Roman" w:hAnsi="Times New Roman" w:cs="Times New Roman"/>
        </w:rPr>
        <w:br/>
        <w:t>8. Line 769 about estimating variant relative abundance, may consider recent reference: PMID: 39341403.</w:t>
      </w:r>
    </w:p>
    <w:p w14:paraId="107A43E0" w14:textId="77777777" w:rsidR="00494965" w:rsidRDefault="00494965">
      <w:pPr>
        <w:rPr>
          <w:rFonts w:ascii="Times New Roman" w:eastAsia="Times New Roman" w:hAnsi="Times New Roman" w:cs="Times New Roman"/>
          <w:b/>
        </w:rPr>
      </w:pPr>
    </w:p>
    <w:p w14:paraId="1EE5B1B3" w14:textId="30177F45" w:rsidR="00DB5D5D" w:rsidRDefault="00000000">
      <w:pPr>
        <w:rPr>
          <w:rFonts w:ascii="Times New Roman" w:eastAsia="Times New Roman" w:hAnsi="Times New Roman" w:cs="Times New Roman"/>
          <w:b/>
        </w:rPr>
      </w:pPr>
      <w:r>
        <w:rPr>
          <w:rFonts w:ascii="Times New Roman" w:eastAsia="Times New Roman" w:hAnsi="Times New Roman" w:cs="Times New Roman"/>
          <w:b/>
        </w:rPr>
        <w:t>Authors Response</w:t>
      </w:r>
    </w:p>
    <w:p w14:paraId="1EE5B1B4" w14:textId="77777777" w:rsidR="00DB5D5D" w:rsidRDefault="00000000">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2C5E5284" w14:textId="77777777" w:rsidR="00B956F4" w:rsidRPr="005B3771" w:rsidRDefault="00B956F4" w:rsidP="00B956F4">
      <w:pPr>
        <w:spacing w:after="0" w:line="240" w:lineRule="auto"/>
        <w:jc w:val="both"/>
        <w:rPr>
          <w:rFonts w:ascii="Times New Roman" w:eastAsia="Times New Roman" w:hAnsi="Times New Roman" w:cs="Times New Roman"/>
          <w:sz w:val="24"/>
          <w:szCs w:val="24"/>
          <w:lang w:eastAsia="ru-RU"/>
        </w:rPr>
      </w:pPr>
      <w:r w:rsidRPr="005B3771">
        <w:rPr>
          <w:rFonts w:ascii="Arial" w:eastAsia="Times New Roman" w:hAnsi="Arial" w:cs="Arial"/>
          <w:b/>
          <w:bCs/>
          <w:color w:val="000000"/>
          <w:lang w:eastAsia="ru-RU"/>
        </w:rPr>
        <w:t>Reviewer #1:</w:t>
      </w:r>
    </w:p>
    <w:p w14:paraId="399050D2" w14:textId="77777777" w:rsidR="00B956F4" w:rsidRPr="005B3771" w:rsidRDefault="00B956F4" w:rsidP="00B956F4">
      <w:pPr>
        <w:spacing w:after="0" w:line="240" w:lineRule="auto"/>
        <w:jc w:val="both"/>
        <w:rPr>
          <w:rFonts w:ascii="Times New Roman" w:eastAsia="Times New Roman" w:hAnsi="Times New Roman" w:cs="Times New Roman"/>
          <w:sz w:val="24"/>
          <w:szCs w:val="24"/>
          <w:lang w:eastAsia="ru-RU"/>
        </w:rPr>
      </w:pPr>
      <w:r w:rsidRPr="005B3771">
        <w:rPr>
          <w:rFonts w:ascii="Arial" w:eastAsia="Times New Roman" w:hAnsi="Arial" w:cs="Arial"/>
          <w:b/>
          <w:bCs/>
          <w:color w:val="222222"/>
          <w:sz w:val="20"/>
          <w:szCs w:val="20"/>
          <w:lang w:eastAsia="ru-RU"/>
        </w:rPr>
        <w:t xml:space="preserve">Comment 1. </w:t>
      </w:r>
      <w:r w:rsidRPr="005B3771">
        <w:rPr>
          <w:rFonts w:ascii="Arial" w:eastAsia="Times New Roman" w:hAnsi="Arial" w:cs="Arial"/>
          <w:color w:val="222222"/>
          <w:sz w:val="20"/>
          <w:szCs w:val="20"/>
          <w:lang w:eastAsia="ru-RU"/>
        </w:rPr>
        <w:t xml:space="preserve">The manuscript presented does a great job of synthesizing the field into a useful and methodical review article. There are few articles that have endeavored to combine a review of the methods associated with RNA isolation with the methods associated with sequencing so there is a need for the </w:t>
      </w:r>
      <w:proofErr w:type="gramStart"/>
      <w:r w:rsidRPr="005B3771">
        <w:rPr>
          <w:rFonts w:ascii="Arial" w:eastAsia="Times New Roman" w:hAnsi="Arial" w:cs="Arial"/>
          <w:color w:val="222222"/>
          <w:sz w:val="20"/>
          <w:szCs w:val="20"/>
          <w:lang w:eastAsia="ru-RU"/>
        </w:rPr>
        <w:t>article</w:t>
      </w:r>
      <w:proofErr w:type="gramEnd"/>
      <w:r w:rsidRPr="005B3771">
        <w:rPr>
          <w:rFonts w:ascii="Arial" w:eastAsia="Times New Roman" w:hAnsi="Arial" w:cs="Arial"/>
          <w:color w:val="222222"/>
          <w:sz w:val="20"/>
          <w:szCs w:val="20"/>
          <w:lang w:eastAsia="ru-RU"/>
        </w:rPr>
        <w:t xml:space="preserve"> and this will be a resource for scientists and researchers entering the field and for educators who are teaching about the method. I think the authors could make a few changes that would improve the manuscript</w:t>
      </w:r>
    </w:p>
    <w:p w14:paraId="70794AF9" w14:textId="77777777" w:rsidR="00B956F4" w:rsidRPr="005B3771" w:rsidRDefault="00B956F4" w:rsidP="00B956F4">
      <w:pPr>
        <w:spacing w:after="0" w:line="240" w:lineRule="auto"/>
        <w:jc w:val="both"/>
        <w:rPr>
          <w:rFonts w:ascii="Times New Roman" w:eastAsia="Times New Roman" w:hAnsi="Times New Roman" w:cs="Times New Roman"/>
          <w:sz w:val="24"/>
          <w:szCs w:val="24"/>
          <w:lang w:eastAsia="ru-RU"/>
        </w:rPr>
      </w:pPr>
      <w:r w:rsidRPr="005B3771">
        <w:rPr>
          <w:rFonts w:ascii="Arial" w:eastAsia="Times New Roman" w:hAnsi="Arial" w:cs="Arial"/>
          <w:b/>
          <w:bCs/>
          <w:color w:val="222222"/>
          <w:sz w:val="20"/>
          <w:szCs w:val="20"/>
          <w:lang w:eastAsia="ru-RU"/>
        </w:rPr>
        <w:t xml:space="preserve">Author’s response: </w:t>
      </w:r>
      <w:r w:rsidRPr="005B3771">
        <w:rPr>
          <w:rFonts w:ascii="Arial" w:eastAsia="Times New Roman" w:hAnsi="Arial" w:cs="Arial"/>
          <w:color w:val="000000"/>
          <w:sz w:val="20"/>
          <w:szCs w:val="20"/>
          <w:lang w:eastAsia="ru-RU"/>
        </w:rPr>
        <w:t>Thank you for your positive feedback and for recognizing the value of our manuscript. We appreciate your thoughtful comments and suggestions for improvement. We have carefully considered all feedback and have made revisions accordingly to enhance the manuscript.</w:t>
      </w:r>
    </w:p>
    <w:p w14:paraId="783E259E" w14:textId="77777777" w:rsidR="00B956F4" w:rsidRPr="005B3771" w:rsidRDefault="00B956F4" w:rsidP="00B956F4">
      <w:pPr>
        <w:spacing w:after="0" w:line="240" w:lineRule="auto"/>
        <w:rPr>
          <w:rFonts w:ascii="Times New Roman" w:eastAsia="Times New Roman" w:hAnsi="Times New Roman" w:cs="Times New Roman"/>
          <w:sz w:val="24"/>
          <w:szCs w:val="24"/>
          <w:lang w:eastAsia="ru-RU"/>
        </w:rPr>
      </w:pPr>
    </w:p>
    <w:p w14:paraId="033625A6" w14:textId="77777777" w:rsidR="00B956F4" w:rsidRPr="005B3771" w:rsidRDefault="00B956F4" w:rsidP="00B956F4">
      <w:pPr>
        <w:spacing w:after="0" w:line="240" w:lineRule="auto"/>
        <w:jc w:val="both"/>
        <w:rPr>
          <w:rFonts w:ascii="Times New Roman" w:eastAsia="Times New Roman" w:hAnsi="Times New Roman" w:cs="Times New Roman"/>
          <w:sz w:val="24"/>
          <w:szCs w:val="24"/>
          <w:lang w:eastAsia="ru-RU"/>
        </w:rPr>
      </w:pPr>
      <w:r w:rsidRPr="005B3771">
        <w:rPr>
          <w:rFonts w:ascii="Arial" w:eastAsia="Times New Roman" w:hAnsi="Arial" w:cs="Arial"/>
          <w:b/>
          <w:bCs/>
          <w:color w:val="222222"/>
          <w:sz w:val="20"/>
          <w:szCs w:val="20"/>
          <w:lang w:eastAsia="ru-RU"/>
        </w:rPr>
        <w:t xml:space="preserve">Comment 2. </w:t>
      </w:r>
      <w:r w:rsidRPr="005B3771">
        <w:rPr>
          <w:rFonts w:ascii="Arial" w:eastAsia="Times New Roman" w:hAnsi="Arial" w:cs="Arial"/>
          <w:color w:val="222222"/>
          <w:sz w:val="20"/>
          <w:szCs w:val="20"/>
          <w:lang w:eastAsia="ru-RU"/>
        </w:rPr>
        <w:t>If they could early on explain what they mean by wastewater epidemiology, wastewater surveillance, wastewater-based genomic sequencing. The terms can be confusing for the reader. I think they should be clear. </w:t>
      </w:r>
    </w:p>
    <w:p w14:paraId="4F4EFF89" w14:textId="77777777" w:rsidR="00B956F4" w:rsidRPr="005B3771" w:rsidRDefault="00B956F4" w:rsidP="00B956F4">
      <w:pPr>
        <w:spacing w:after="0" w:line="240" w:lineRule="auto"/>
        <w:jc w:val="both"/>
        <w:rPr>
          <w:rFonts w:ascii="Times New Roman" w:eastAsia="Times New Roman" w:hAnsi="Times New Roman" w:cs="Times New Roman"/>
          <w:sz w:val="24"/>
          <w:szCs w:val="24"/>
          <w:lang w:eastAsia="ru-RU"/>
        </w:rPr>
      </w:pPr>
      <w:r w:rsidRPr="005B3771">
        <w:rPr>
          <w:rFonts w:ascii="Arial" w:eastAsia="Times New Roman" w:hAnsi="Arial" w:cs="Arial"/>
          <w:b/>
          <w:bCs/>
          <w:color w:val="222222"/>
          <w:sz w:val="20"/>
          <w:szCs w:val="20"/>
          <w:lang w:eastAsia="ru-RU"/>
        </w:rPr>
        <w:t xml:space="preserve">Author’s response: </w:t>
      </w:r>
      <w:r w:rsidRPr="005B3771">
        <w:rPr>
          <w:rFonts w:ascii="Arial" w:eastAsia="Times New Roman" w:hAnsi="Arial" w:cs="Arial"/>
          <w:color w:val="222222"/>
          <w:sz w:val="20"/>
          <w:szCs w:val="20"/>
          <w:lang w:eastAsia="ru-RU"/>
        </w:rPr>
        <w:t xml:space="preserve">We thank the reviewer for the valuable feedback. To improve clarity, we have introduced explicit definitions of wastewater epidemiology, wastewater surveillance, and wastewater-based genomic surveillance (WWGS) early in the manuscript, in </w:t>
      </w:r>
      <w:r w:rsidRPr="005B3771">
        <w:rPr>
          <w:rFonts w:ascii="Arial" w:eastAsia="Times New Roman" w:hAnsi="Arial" w:cs="Arial"/>
          <w:i/>
          <w:iCs/>
          <w:color w:val="222222"/>
          <w:sz w:val="20"/>
          <w:szCs w:val="20"/>
          <w:lang w:eastAsia="ru-RU"/>
        </w:rPr>
        <w:t>Introduction</w:t>
      </w:r>
      <w:r w:rsidRPr="005B3771">
        <w:rPr>
          <w:rFonts w:ascii="Arial" w:eastAsia="Times New Roman" w:hAnsi="Arial" w:cs="Arial"/>
          <w:color w:val="222222"/>
          <w:sz w:val="20"/>
          <w:szCs w:val="20"/>
          <w:lang w:eastAsia="ru-RU"/>
        </w:rPr>
        <w:t xml:space="preserve"> section:</w:t>
      </w:r>
    </w:p>
    <w:p w14:paraId="24AE0763" w14:textId="77777777" w:rsidR="00B956F4" w:rsidRDefault="00B956F4" w:rsidP="00B956F4">
      <w:pPr>
        <w:pStyle w:val="NormalWeb"/>
        <w:spacing w:before="0" w:beforeAutospacing="0" w:after="0" w:afterAutospacing="0"/>
        <w:jc w:val="both"/>
        <w:rPr>
          <w:lang w:val="en-US"/>
        </w:rPr>
      </w:pPr>
    </w:p>
    <w:p w14:paraId="435E1890"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color w:val="FF0000"/>
          <w:sz w:val="20"/>
          <w:szCs w:val="20"/>
          <w:lang w:val="en-US"/>
        </w:rPr>
        <w:t>Wastewater-based epidemiology (WBE) is a population-scale surveillance framework that leverages sewage analysis to monitor public health dynamics, enabling real-time assessment of epidemiological trends, emerging health threats, and environmental exposures</w:t>
      </w:r>
      <w:hyperlink r:id="rId7" w:history="1">
        <w:r w:rsidRPr="006A1E0C">
          <w:rPr>
            <w:rStyle w:val="Hyperlink"/>
            <w:rFonts w:ascii="Arial" w:hAnsi="Arial" w:cs="Arial"/>
            <w:color w:val="FF0000"/>
            <w:sz w:val="12"/>
            <w:szCs w:val="12"/>
            <w:vertAlign w:val="superscript"/>
            <w:lang w:val="en-US"/>
          </w:rPr>
          <w:t>35,36</w:t>
        </w:r>
      </w:hyperlink>
      <w:r w:rsidRPr="006A1E0C">
        <w:rPr>
          <w:rFonts w:ascii="Arial" w:hAnsi="Arial" w:cs="Arial"/>
          <w:color w:val="FF0000"/>
          <w:sz w:val="20"/>
          <w:szCs w:val="20"/>
          <w:lang w:val="en-US"/>
        </w:rPr>
        <w:t>. By detecting pathogen signatures, profiling community-level drug consumption, and quantifying a broad spectrum of biochemical and genetic biomarkers, this approach facilitates rapid response strategies and strengthens public health preparedness. Beyond pathogen surveillance, wastewater epidemiology has broad applications spanning infectious disease monitoring, environmental exposure assessment, and forensic analysis. A key application of this field, wastewater-based surveillance (WBS), systematically detects and quantifies pathogens in sewage, providing high-resolution insights into community infection dynamics and enabling the early detection of emerging disease threats</w:t>
      </w:r>
      <w:hyperlink r:id="rId8" w:history="1">
        <w:r w:rsidRPr="006A1E0C">
          <w:rPr>
            <w:rStyle w:val="Hyperlink"/>
            <w:rFonts w:ascii="Arial" w:hAnsi="Arial" w:cs="Arial"/>
            <w:color w:val="FF0000"/>
            <w:sz w:val="12"/>
            <w:szCs w:val="12"/>
            <w:vertAlign w:val="superscript"/>
            <w:lang w:val="en-US"/>
          </w:rPr>
          <w:t>37</w:t>
        </w:r>
      </w:hyperlink>
      <w:r w:rsidRPr="006A1E0C">
        <w:rPr>
          <w:rFonts w:ascii="Arial" w:hAnsi="Arial" w:cs="Arial"/>
          <w:color w:val="FF0000"/>
          <w:sz w:val="20"/>
          <w:szCs w:val="20"/>
          <w:lang w:val="en-US"/>
        </w:rPr>
        <w:t>. Wastewater-based genomic surveillance</w:t>
      </w:r>
      <w:r w:rsidRPr="006A1E0C">
        <w:rPr>
          <w:rFonts w:ascii="Arial" w:hAnsi="Arial" w:cs="Arial"/>
          <w:b/>
          <w:bCs/>
          <w:color w:val="FF0000"/>
          <w:sz w:val="20"/>
          <w:szCs w:val="20"/>
          <w:lang w:val="en-US"/>
        </w:rPr>
        <w:t xml:space="preserve"> </w:t>
      </w:r>
      <w:r w:rsidRPr="006A1E0C">
        <w:rPr>
          <w:rFonts w:ascii="Arial" w:hAnsi="Arial" w:cs="Arial"/>
          <w:color w:val="FF0000"/>
          <w:sz w:val="20"/>
          <w:szCs w:val="20"/>
          <w:lang w:val="en-US"/>
        </w:rPr>
        <w:t>(WWGS) further extends this capability by extracting and analyzing genetic material from wastewater to characterize pathogen evolution, identify pathogens mutations, and estimate the prevalence of circulating variants at the population level</w:t>
      </w:r>
      <w:hyperlink r:id="rId9" w:history="1">
        <w:r w:rsidRPr="006A1E0C">
          <w:rPr>
            <w:rStyle w:val="Hyperlink"/>
            <w:rFonts w:ascii="Arial" w:hAnsi="Arial" w:cs="Arial"/>
            <w:color w:val="FF0000"/>
            <w:sz w:val="12"/>
            <w:szCs w:val="12"/>
            <w:vertAlign w:val="superscript"/>
            <w:lang w:val="en-US"/>
          </w:rPr>
          <w:t>38,39</w:t>
        </w:r>
      </w:hyperlink>
      <w:r w:rsidRPr="006A1E0C">
        <w:rPr>
          <w:rFonts w:ascii="Arial" w:hAnsi="Arial" w:cs="Arial"/>
          <w:color w:val="FF0000"/>
          <w:sz w:val="20"/>
          <w:szCs w:val="20"/>
          <w:lang w:val="en-US"/>
        </w:rPr>
        <w:t>. </w:t>
      </w:r>
    </w:p>
    <w:p w14:paraId="0BE11D9D"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 xml:space="preserve">WBE of SARS-CoV-2 has proven effective in tracking SARS-CoV-2 infection dynamics </w:t>
      </w:r>
      <w:proofErr w:type="spellStart"/>
      <w:r w:rsidRPr="006A1E0C">
        <w:rPr>
          <w:rFonts w:ascii="Arial" w:hAnsi="Arial" w:cs="Arial"/>
          <w:color w:val="FF0000"/>
          <w:sz w:val="20"/>
          <w:szCs w:val="20"/>
          <w:lang w:val="en-US"/>
        </w:rPr>
        <w:t>accross</w:t>
      </w:r>
      <w:proofErr w:type="spellEnd"/>
      <w:r w:rsidRPr="006A1E0C">
        <w:rPr>
          <w:rFonts w:ascii="Arial" w:hAnsi="Arial" w:cs="Arial"/>
          <w:color w:val="FF0000"/>
          <w:sz w:val="20"/>
          <w:szCs w:val="20"/>
          <w:lang w:val="en-US"/>
        </w:rPr>
        <w:t xml:space="preserve"> numerous countries around the globe</w:t>
      </w:r>
      <w:hyperlink r:id="rId10" w:history="1">
        <w:r w:rsidRPr="006A1E0C">
          <w:rPr>
            <w:rStyle w:val="Hyperlink"/>
            <w:rFonts w:ascii="Arial" w:hAnsi="Arial" w:cs="Arial"/>
            <w:color w:val="FF0000"/>
            <w:sz w:val="12"/>
            <w:szCs w:val="12"/>
            <w:vertAlign w:val="superscript"/>
            <w:lang w:val="en-US"/>
          </w:rPr>
          <w:t>6,10,11,16,27</w:t>
        </w:r>
      </w:hyperlink>
      <w:r w:rsidRPr="006A1E0C">
        <w:rPr>
          <w:rFonts w:ascii="Arial" w:hAnsi="Arial" w:cs="Arial"/>
          <w:color w:val="FF0000"/>
          <w:sz w:val="20"/>
          <w:szCs w:val="20"/>
          <w:lang w:val="en-US"/>
        </w:rPr>
        <w:t>. WWGS plays a crucial role in both early detection and large-scale monitoring. It can help identify isolated peak events—such as potential outbreaks—and guide resource allocation in small and medium-sized populations (e.g., monitored retirement communities, university campuses, elementary schools). At the same time, it enables broad surveillance in large populations at centralized water reclamation facilities (WRFs)</w:t>
      </w:r>
      <w:hyperlink r:id="rId11" w:history="1">
        <w:r w:rsidRPr="006A1E0C">
          <w:rPr>
            <w:rStyle w:val="Hyperlink"/>
            <w:rFonts w:ascii="Arial" w:hAnsi="Arial" w:cs="Arial"/>
            <w:color w:val="FF0000"/>
            <w:sz w:val="12"/>
            <w:szCs w:val="12"/>
            <w:vertAlign w:val="superscript"/>
            <w:lang w:val="en-US"/>
          </w:rPr>
          <w:t>40</w:t>
        </w:r>
      </w:hyperlink>
      <w:r w:rsidRPr="006A1E0C">
        <w:rPr>
          <w:rFonts w:ascii="Arial" w:hAnsi="Arial" w:cs="Arial"/>
          <w:color w:val="FF0000"/>
          <w:sz w:val="20"/>
          <w:szCs w:val="20"/>
          <w:lang w:val="en-US"/>
        </w:rPr>
        <w:t>. Building on recent laboratory and analytical advances to identify the diverse pathogens present in wastewater is essential for improving disease risk assessment and expanding pathogen surveillance</w:t>
      </w:r>
      <w:hyperlink r:id="rId12" w:history="1">
        <w:r w:rsidRPr="006A1E0C">
          <w:rPr>
            <w:rStyle w:val="Hyperlink"/>
            <w:rFonts w:ascii="Arial" w:hAnsi="Arial" w:cs="Arial"/>
            <w:color w:val="FF0000"/>
            <w:sz w:val="12"/>
            <w:szCs w:val="12"/>
            <w:vertAlign w:val="superscript"/>
            <w:lang w:val="en-US"/>
          </w:rPr>
          <w:t>41</w:t>
        </w:r>
      </w:hyperlink>
      <w:r w:rsidRPr="006A1E0C">
        <w:rPr>
          <w:rFonts w:ascii="Arial" w:hAnsi="Arial" w:cs="Arial"/>
          <w:color w:val="FF0000"/>
          <w:sz w:val="20"/>
          <w:szCs w:val="20"/>
          <w:lang w:val="en-US"/>
        </w:rPr>
        <w:t>. Importantly, wastewater-based surveillance (WBS) can provide viral trends at different spatial scales, from individual buildings to large centralized WRFs, and does not require healthcare-seeking behavior</w:t>
      </w:r>
      <w:hyperlink r:id="rId13" w:history="1">
        <w:r w:rsidRPr="006A1E0C">
          <w:rPr>
            <w:rStyle w:val="Hyperlink"/>
            <w:rFonts w:ascii="Arial" w:hAnsi="Arial" w:cs="Arial"/>
            <w:color w:val="FF0000"/>
            <w:sz w:val="12"/>
            <w:szCs w:val="12"/>
            <w:vertAlign w:val="superscript"/>
            <w:lang w:val="en-US"/>
          </w:rPr>
          <w:t>42–45</w:t>
        </w:r>
      </w:hyperlink>
      <w:r w:rsidRPr="006A1E0C">
        <w:rPr>
          <w:rFonts w:ascii="Arial" w:hAnsi="Arial" w:cs="Arial"/>
          <w:color w:val="FF0000"/>
          <w:sz w:val="20"/>
          <w:szCs w:val="20"/>
          <w:lang w:val="en-US"/>
        </w:rPr>
        <w:t>. </w:t>
      </w:r>
    </w:p>
    <w:p w14:paraId="5639C695"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r w:rsidRPr="006A1E0C">
        <w:rPr>
          <w:rFonts w:ascii="Arial" w:hAnsi="Arial" w:cs="Arial"/>
          <w:color w:val="FF0000"/>
          <w:sz w:val="20"/>
          <w:szCs w:val="20"/>
          <w:lang w:val="en-US"/>
        </w:rPr>
        <w:t>Despite the numerous advantages of WWGS in tracking and understanding the spread and ongoing evolution of SARS-CoV-2, challenges remain that may affect its accuracy and effectiveness. One challenge is the degradation of viral RNA concentrations by components of wastewater that do not contain human fluids (e.g., gray water), industrial wastewater, and stormwater infiltration. These factors contribute to variability in viral load measurements, making direct comparisons difficult and potentially masking infection trends in the community</w:t>
      </w:r>
      <w:hyperlink r:id="rId14" w:history="1">
        <w:r w:rsidRPr="006A1E0C">
          <w:rPr>
            <w:rStyle w:val="Hyperlink"/>
            <w:rFonts w:ascii="Arial" w:hAnsi="Arial" w:cs="Arial"/>
            <w:color w:val="FF0000"/>
            <w:sz w:val="12"/>
            <w:szCs w:val="12"/>
            <w:vertAlign w:val="superscript"/>
            <w:lang w:val="en-US"/>
          </w:rPr>
          <w:t>46,47</w:t>
        </w:r>
      </w:hyperlink>
      <w:r w:rsidRPr="006A1E0C">
        <w:rPr>
          <w:rFonts w:ascii="Arial" w:hAnsi="Arial" w:cs="Arial"/>
          <w:color w:val="FF0000"/>
          <w:sz w:val="20"/>
          <w:szCs w:val="20"/>
          <w:lang w:val="en-US"/>
        </w:rPr>
        <w:t>. In addition, the introduction of genetic material from animal hosts into the wastewater system can complicate the interpretation of WWGS data, necessitating the distinction between human and non-human sources of SARS-CoV-2 and other pathogens</w:t>
      </w:r>
      <w:hyperlink r:id="rId15" w:history="1">
        <w:r w:rsidRPr="006A1E0C">
          <w:rPr>
            <w:rStyle w:val="Hyperlink"/>
            <w:rFonts w:ascii="Arial" w:hAnsi="Arial" w:cs="Arial"/>
            <w:color w:val="FF0000"/>
            <w:sz w:val="12"/>
            <w:szCs w:val="12"/>
            <w:vertAlign w:val="superscript"/>
            <w:lang w:val="en-US"/>
          </w:rPr>
          <w:t>48</w:t>
        </w:r>
      </w:hyperlink>
      <w:r w:rsidRPr="006A1E0C">
        <w:rPr>
          <w:rFonts w:ascii="Arial" w:hAnsi="Arial" w:cs="Arial"/>
          <w:color w:val="FF0000"/>
          <w:sz w:val="20"/>
          <w:szCs w:val="20"/>
          <w:lang w:val="en-US"/>
        </w:rPr>
        <w:t>. Further concerns include sample degradation, data protection, and privacy issues, as wastewater data collection and analysis must be conducted in a manner that safeguards community privacy</w:t>
      </w:r>
      <w:hyperlink r:id="rId16" w:history="1">
        <w:r w:rsidRPr="006A1E0C">
          <w:rPr>
            <w:rStyle w:val="Hyperlink"/>
            <w:rFonts w:ascii="Arial" w:hAnsi="Arial" w:cs="Arial"/>
            <w:color w:val="FF0000"/>
            <w:sz w:val="12"/>
            <w:szCs w:val="12"/>
            <w:vertAlign w:val="superscript"/>
            <w:lang w:val="en-US"/>
          </w:rPr>
          <w:t>49,50</w:t>
        </w:r>
      </w:hyperlink>
      <w:r w:rsidRPr="006A1E0C">
        <w:rPr>
          <w:rFonts w:ascii="Arial" w:hAnsi="Arial" w:cs="Arial"/>
          <w:color w:val="FF0000"/>
          <w:sz w:val="20"/>
          <w:szCs w:val="20"/>
          <w:lang w:val="en-US"/>
        </w:rPr>
        <w:t xml:space="preserve">. </w:t>
      </w:r>
    </w:p>
    <w:p w14:paraId="018424F7" w14:textId="77777777" w:rsidR="00B956F4" w:rsidRPr="006A1E0C" w:rsidRDefault="00B956F4" w:rsidP="00B956F4">
      <w:pPr>
        <w:pStyle w:val="NormalWeb"/>
        <w:spacing w:before="0" w:beforeAutospacing="0" w:after="0" w:afterAutospacing="0"/>
        <w:jc w:val="both"/>
        <w:rPr>
          <w:rFonts w:ascii="Arial" w:hAnsi="Arial" w:cs="Arial"/>
          <w:color w:val="FF0000"/>
          <w:sz w:val="20"/>
          <w:szCs w:val="20"/>
          <w:lang w:val="en-US"/>
        </w:rPr>
      </w:pPr>
    </w:p>
    <w:p w14:paraId="458ABB3F" w14:textId="77777777" w:rsidR="00B956F4" w:rsidRPr="00311BB8" w:rsidRDefault="00B956F4" w:rsidP="00B956F4">
      <w:pPr>
        <w:pStyle w:val="NormalWeb"/>
        <w:spacing w:before="0" w:beforeAutospacing="0" w:after="0" w:afterAutospacing="0"/>
        <w:jc w:val="both"/>
        <w:rPr>
          <w:lang w:val="en-US"/>
        </w:rPr>
      </w:pPr>
      <w:r w:rsidRPr="00311BB8">
        <w:rPr>
          <w:rFonts w:ascii="Arial" w:hAnsi="Arial" w:cs="Arial"/>
          <w:b/>
          <w:bCs/>
          <w:color w:val="222222"/>
          <w:sz w:val="20"/>
          <w:szCs w:val="20"/>
          <w:lang w:val="en-US"/>
        </w:rPr>
        <w:t xml:space="preserve">Comment 3. </w:t>
      </w:r>
      <w:r w:rsidRPr="00311BB8">
        <w:rPr>
          <w:rFonts w:ascii="Arial" w:hAnsi="Arial" w:cs="Arial"/>
          <w:color w:val="222222"/>
          <w:sz w:val="20"/>
          <w:szCs w:val="20"/>
          <w:lang w:val="en-US"/>
        </w:rPr>
        <w:t xml:space="preserve">I think the authors could do a better job of describing ways and approaches that have been taken to describe animal contributions to </w:t>
      </w:r>
      <w:proofErr w:type="gramStart"/>
      <w:r w:rsidRPr="00311BB8">
        <w:rPr>
          <w:rFonts w:ascii="Arial" w:hAnsi="Arial" w:cs="Arial"/>
          <w:color w:val="222222"/>
          <w:sz w:val="20"/>
          <w:szCs w:val="20"/>
          <w:lang w:val="en-US"/>
        </w:rPr>
        <w:t>the wastewater</w:t>
      </w:r>
      <w:proofErr w:type="gramEnd"/>
      <w:r w:rsidRPr="00311BB8">
        <w:rPr>
          <w:rFonts w:ascii="Arial" w:hAnsi="Arial" w:cs="Arial"/>
          <w:color w:val="222222"/>
          <w:sz w:val="20"/>
          <w:szCs w:val="20"/>
          <w:lang w:val="en-US"/>
        </w:rPr>
        <w:t xml:space="preserve"> genetic signatures. This is an area of intense </w:t>
      </w:r>
      <w:proofErr w:type="gramStart"/>
      <w:r w:rsidRPr="00311BB8">
        <w:rPr>
          <w:rFonts w:ascii="Arial" w:hAnsi="Arial" w:cs="Arial"/>
          <w:color w:val="222222"/>
          <w:sz w:val="20"/>
          <w:szCs w:val="20"/>
          <w:lang w:val="en-US"/>
        </w:rPr>
        <w:t>scrutiny</w:t>
      </w:r>
      <w:proofErr w:type="gramEnd"/>
      <w:r w:rsidRPr="00311BB8">
        <w:rPr>
          <w:rFonts w:ascii="Arial" w:hAnsi="Arial" w:cs="Arial"/>
          <w:color w:val="222222"/>
          <w:sz w:val="20"/>
          <w:szCs w:val="20"/>
          <w:lang w:val="en-US"/>
        </w:rPr>
        <w:t xml:space="preserve"> and I think it should be included. What are the approaches being taken and what are the limitations?</w:t>
      </w:r>
    </w:p>
    <w:p w14:paraId="763E3D78" w14:textId="77777777" w:rsidR="00B956F4" w:rsidRDefault="00B956F4" w:rsidP="00B956F4">
      <w:pPr>
        <w:pStyle w:val="NormalWeb"/>
        <w:spacing w:before="0" w:beforeAutospacing="0" w:after="0" w:afterAutospacing="0"/>
        <w:jc w:val="both"/>
        <w:rPr>
          <w:rFonts w:ascii="Arial" w:hAnsi="Arial" w:cs="Arial"/>
          <w:color w:val="222222"/>
          <w:sz w:val="20"/>
          <w:szCs w:val="20"/>
          <w:lang w:val="en-US"/>
        </w:rPr>
      </w:pPr>
      <w:r w:rsidRPr="00311BB8">
        <w:rPr>
          <w:rFonts w:ascii="Arial" w:hAnsi="Arial" w:cs="Arial"/>
          <w:b/>
          <w:bCs/>
          <w:color w:val="222222"/>
          <w:sz w:val="20"/>
          <w:szCs w:val="20"/>
          <w:lang w:val="en-US"/>
        </w:rPr>
        <w:t xml:space="preserve">Author’s response: </w:t>
      </w:r>
      <w:r w:rsidRPr="00311BB8">
        <w:rPr>
          <w:rFonts w:ascii="Arial" w:hAnsi="Arial" w:cs="Arial"/>
          <w:color w:val="222222"/>
          <w:sz w:val="20"/>
          <w:szCs w:val="20"/>
          <w:lang w:val="en-US"/>
        </w:rPr>
        <w:t xml:space="preserve">We thank the reviewer for this suggestion. We have expanded our discussion in Section IV - </w:t>
      </w:r>
      <w:r w:rsidRPr="00311BB8">
        <w:rPr>
          <w:rFonts w:ascii="Arial" w:hAnsi="Arial" w:cs="Arial"/>
          <w:i/>
          <w:iCs/>
          <w:color w:val="222222"/>
          <w:sz w:val="20"/>
          <w:szCs w:val="20"/>
          <w:lang w:val="en-US"/>
        </w:rPr>
        <w:t>Application of wastewater genomic surveillance</w:t>
      </w:r>
      <w:r w:rsidRPr="00311BB8">
        <w:rPr>
          <w:rFonts w:ascii="Arial" w:hAnsi="Arial" w:cs="Arial"/>
          <w:color w:val="222222"/>
          <w:sz w:val="20"/>
          <w:szCs w:val="20"/>
          <w:lang w:val="en-US"/>
        </w:rPr>
        <w:t xml:space="preserve"> to include approaches for identifying animal contribution to SARS-CoV-2 genetic signatures in wastewater.</w:t>
      </w:r>
    </w:p>
    <w:p w14:paraId="4CC92B3D" w14:textId="77777777" w:rsidR="00B956F4" w:rsidRDefault="00B956F4" w:rsidP="00B956F4">
      <w:pPr>
        <w:pStyle w:val="NormalWeb"/>
        <w:spacing w:before="0" w:beforeAutospacing="0" w:after="0" w:afterAutospacing="0"/>
        <w:jc w:val="both"/>
        <w:rPr>
          <w:rFonts w:ascii="Arial" w:hAnsi="Arial" w:cs="Arial"/>
          <w:color w:val="222222"/>
          <w:sz w:val="20"/>
          <w:szCs w:val="20"/>
          <w:lang w:val="en-US"/>
        </w:rPr>
      </w:pPr>
    </w:p>
    <w:p w14:paraId="5C8CACBC"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The presence of such cryptic lineages, are thought to result from unobserved infections, including prolonged shedding from immunocompromised individuals or potential zoonotic reservoirs contributing to cryptic viral persistence</w:t>
      </w:r>
      <w:hyperlink r:id="rId17" w:history="1">
        <w:r w:rsidRPr="006A1E0C">
          <w:rPr>
            <w:rStyle w:val="Hyperlink"/>
            <w:rFonts w:ascii="Arial" w:hAnsi="Arial" w:cs="Arial"/>
            <w:sz w:val="12"/>
            <w:szCs w:val="12"/>
            <w:vertAlign w:val="superscript"/>
            <w:lang w:val="en-US"/>
          </w:rPr>
          <w:t>19,242</w:t>
        </w:r>
      </w:hyperlink>
      <w:r w:rsidRPr="006A1E0C">
        <w:rPr>
          <w:rFonts w:ascii="Arial" w:hAnsi="Arial" w:cs="Arial"/>
          <w:color w:val="FF0000"/>
          <w:sz w:val="20"/>
          <w:szCs w:val="20"/>
          <w:lang w:val="en-US"/>
        </w:rPr>
        <w:t>. WWGS offers a powerful approach for detecting viral RNA from zoonotic reservoirs in urban environments, enabling the identification of SARS-CoV-2 sequences with mutations indicative of adaptation to non-human reservoir that SARS-CoV-2 has already established (e.g., free-ranging white tailed deer)</w:t>
      </w:r>
      <w:hyperlink r:id="rId18" w:history="1">
        <w:r w:rsidRPr="006A1E0C">
          <w:rPr>
            <w:rStyle w:val="Hyperlink"/>
            <w:rFonts w:ascii="Arial" w:hAnsi="Arial" w:cs="Arial"/>
            <w:sz w:val="12"/>
            <w:szCs w:val="12"/>
            <w:vertAlign w:val="superscript"/>
            <w:lang w:val="en-US"/>
          </w:rPr>
          <w:t>27,243,244</w:t>
        </w:r>
      </w:hyperlink>
      <w:r w:rsidRPr="006A1E0C">
        <w:rPr>
          <w:rFonts w:ascii="Arial" w:hAnsi="Arial" w:cs="Arial"/>
          <w:color w:val="FF0000"/>
          <w:sz w:val="20"/>
          <w:szCs w:val="20"/>
          <w:lang w:val="en-US"/>
        </w:rPr>
        <w:t>. Cryptic SARS-CoV-2 lineages in wastewater exhibit mutations expanding receptor tropism to human, mouse and rat ACE2, supporting potential non-human hosts adaptation</w:t>
      </w:r>
      <w:hyperlink r:id="rId19" w:history="1">
        <w:r w:rsidRPr="006A1E0C">
          <w:rPr>
            <w:rStyle w:val="Hyperlink"/>
            <w:rFonts w:ascii="Arial" w:hAnsi="Arial" w:cs="Arial"/>
            <w:sz w:val="12"/>
            <w:szCs w:val="12"/>
            <w:vertAlign w:val="superscript"/>
            <w:lang w:val="en-US"/>
          </w:rPr>
          <w:t>27,245</w:t>
        </w:r>
      </w:hyperlink>
      <w:r w:rsidRPr="006A1E0C">
        <w:rPr>
          <w:rFonts w:ascii="Arial" w:hAnsi="Arial" w:cs="Arial"/>
          <w:color w:val="FF0000"/>
          <w:sz w:val="20"/>
          <w:szCs w:val="20"/>
          <w:lang w:val="en-US"/>
        </w:rPr>
        <w:t xml:space="preserve">. Metagenomic sequencing has detected rRNA from cats, dogs, and rats in wastewater, suggesting possible zoonotic contributions. However, the overwhelming dominance of human RNA complicates direct attribution of cryptic lineages to animal reservoirs. Variability in detection across </w:t>
      </w:r>
      <w:proofErr w:type="spellStart"/>
      <w:r w:rsidRPr="006A1E0C">
        <w:rPr>
          <w:rFonts w:ascii="Arial" w:hAnsi="Arial" w:cs="Arial"/>
          <w:color w:val="FF0000"/>
          <w:sz w:val="20"/>
          <w:szCs w:val="20"/>
          <w:lang w:val="en-US"/>
        </w:rPr>
        <w:t>sewersheds</w:t>
      </w:r>
      <w:proofErr w:type="spellEnd"/>
      <w:r w:rsidRPr="006A1E0C">
        <w:rPr>
          <w:rFonts w:ascii="Arial" w:hAnsi="Arial" w:cs="Arial"/>
          <w:color w:val="FF0000"/>
          <w:sz w:val="20"/>
          <w:szCs w:val="20"/>
          <w:lang w:val="en-US"/>
        </w:rPr>
        <w:t xml:space="preserve"> further suggests that no single species alone sustains these lineages</w:t>
      </w:r>
      <w:hyperlink r:id="rId20" w:history="1">
        <w:r w:rsidRPr="006A1E0C">
          <w:rPr>
            <w:rStyle w:val="Hyperlink"/>
            <w:rFonts w:ascii="Arial" w:hAnsi="Arial" w:cs="Arial"/>
            <w:sz w:val="12"/>
            <w:szCs w:val="12"/>
            <w:vertAlign w:val="superscript"/>
            <w:lang w:val="en-US"/>
          </w:rPr>
          <w:t>27</w:t>
        </w:r>
      </w:hyperlink>
      <w:r w:rsidRPr="006A1E0C">
        <w:rPr>
          <w:rFonts w:ascii="Arial" w:hAnsi="Arial" w:cs="Arial"/>
          <w:color w:val="FF0000"/>
          <w:sz w:val="20"/>
          <w:szCs w:val="20"/>
          <w:lang w:val="en-US"/>
        </w:rPr>
        <w:t xml:space="preserve">. Future studies integrating wastewater genomics with ecological and serological data are essential to clarify the role of non-human reservoirs in SARS-CoV-2 evolution. The clinical consequences of such retransmission to the human population are challenging to predict since mutation-driven adaptations to a new host may lead to decreased adaptation to the human environment but also to improved evasion of acquired immunity, including cellular response, and thus </w:t>
      </w:r>
      <w:r w:rsidRPr="006A1E0C">
        <w:rPr>
          <w:rFonts w:ascii="Arial" w:hAnsi="Arial" w:cs="Arial"/>
          <w:color w:val="FF0000"/>
          <w:sz w:val="20"/>
          <w:szCs w:val="20"/>
          <w:lang w:val="en-US"/>
        </w:rPr>
        <w:lastRenderedPageBreak/>
        <w:t>higher susceptibility to severe disease</w:t>
      </w:r>
      <w:hyperlink r:id="rId21" w:history="1">
        <w:r w:rsidRPr="006A1E0C">
          <w:rPr>
            <w:rStyle w:val="Hyperlink"/>
            <w:rFonts w:ascii="Arial" w:hAnsi="Arial" w:cs="Arial"/>
            <w:sz w:val="12"/>
            <w:szCs w:val="12"/>
            <w:vertAlign w:val="superscript"/>
            <w:lang w:val="en-US"/>
          </w:rPr>
          <w:t>246,247</w:t>
        </w:r>
      </w:hyperlink>
      <w:r w:rsidRPr="006A1E0C">
        <w:rPr>
          <w:rFonts w:ascii="Arial" w:hAnsi="Arial" w:cs="Arial"/>
          <w:color w:val="FF0000"/>
          <w:sz w:val="20"/>
          <w:szCs w:val="20"/>
          <w:lang w:val="en-US"/>
        </w:rPr>
        <w:t>. Therefore, detecting such events presents a significant computational challenge, stemming from the difficulty in distinguishing the source of the viral RNA. However, some approaches could be undertaken to overcome this issue, including a comparison of SARS-CoV-2 genomes from human cases with those found in animals to reveal potential animal reservoirs or employment of advanced computational tools, such as machine learning models, to analyze viral sequences to predict potential animal hosts</w:t>
      </w:r>
      <w:hyperlink r:id="rId22" w:history="1">
        <w:r w:rsidRPr="006A1E0C">
          <w:rPr>
            <w:rStyle w:val="Hyperlink"/>
            <w:rFonts w:ascii="Arial" w:hAnsi="Arial" w:cs="Arial"/>
            <w:sz w:val="12"/>
            <w:szCs w:val="12"/>
            <w:vertAlign w:val="superscript"/>
            <w:lang w:val="en-US"/>
          </w:rPr>
          <w:t>248,249</w:t>
        </w:r>
      </w:hyperlink>
      <w:r w:rsidRPr="006A1E0C">
        <w:rPr>
          <w:rFonts w:ascii="Arial" w:hAnsi="Arial" w:cs="Arial"/>
          <w:color w:val="FF0000"/>
          <w:sz w:val="20"/>
          <w:szCs w:val="20"/>
          <w:lang w:val="en-US"/>
        </w:rPr>
        <w:t xml:space="preserve">. Recent methods have shown promising in bridging this gap. For example, machine learning frameworks like </w:t>
      </w:r>
      <w:proofErr w:type="spellStart"/>
      <w:r w:rsidRPr="006A1E0C">
        <w:rPr>
          <w:rFonts w:ascii="Arial" w:hAnsi="Arial" w:cs="Arial"/>
          <w:color w:val="FF0000"/>
          <w:sz w:val="20"/>
          <w:szCs w:val="20"/>
          <w:lang w:val="en-US"/>
        </w:rPr>
        <w:t>DeepHoF</w:t>
      </w:r>
      <w:proofErr w:type="spellEnd"/>
      <w:r w:rsidRPr="006A1E0C">
        <w:rPr>
          <w:rFonts w:ascii="Arial" w:hAnsi="Arial" w:cs="Arial"/>
          <w:color w:val="FF0000"/>
          <w:sz w:val="20"/>
          <w:szCs w:val="20"/>
          <w:lang w:val="en-US"/>
        </w:rPr>
        <w:t xml:space="preserve"> and </w:t>
      </w:r>
      <w:proofErr w:type="spellStart"/>
      <w:r w:rsidRPr="006A1E0C">
        <w:rPr>
          <w:rFonts w:ascii="Arial" w:hAnsi="Arial" w:cs="Arial"/>
          <w:color w:val="FF0000"/>
          <w:sz w:val="20"/>
          <w:szCs w:val="20"/>
          <w:lang w:val="en-US"/>
        </w:rPr>
        <w:t>RNAVirHost</w:t>
      </w:r>
      <w:proofErr w:type="spellEnd"/>
      <w:r w:rsidRPr="006A1E0C">
        <w:rPr>
          <w:rFonts w:ascii="Arial" w:hAnsi="Arial" w:cs="Arial"/>
          <w:color w:val="FF0000"/>
          <w:sz w:val="20"/>
          <w:szCs w:val="20"/>
          <w:lang w:val="en-US"/>
        </w:rPr>
        <w:t xml:space="preserve"> can predict host range based on viral genome features by training on large scale host-virus associated data, effectively classifying host types at various taxonomic levels</w:t>
      </w:r>
      <w:hyperlink r:id="rId23" w:history="1">
        <w:r w:rsidRPr="006A1E0C">
          <w:rPr>
            <w:rStyle w:val="Hyperlink"/>
            <w:rFonts w:ascii="Arial" w:hAnsi="Arial" w:cs="Arial"/>
            <w:sz w:val="12"/>
            <w:szCs w:val="12"/>
            <w:vertAlign w:val="superscript"/>
            <w:lang w:val="en-US"/>
          </w:rPr>
          <w:t>250,251</w:t>
        </w:r>
      </w:hyperlink>
      <w:r w:rsidRPr="006A1E0C">
        <w:rPr>
          <w:rFonts w:ascii="Arial" w:hAnsi="Arial" w:cs="Arial"/>
          <w:color w:val="FF0000"/>
          <w:sz w:val="20"/>
          <w:szCs w:val="20"/>
          <w:lang w:val="en-US"/>
        </w:rPr>
        <w:t>. Additionally, VIDHOP tool utilizes neural network-based classifiers trained on a broad range of viral sequences to predict with high accuracy host taxa from viral genomes, including coronaviruses</w:t>
      </w:r>
      <w:hyperlink r:id="rId24" w:history="1">
        <w:r w:rsidRPr="006A1E0C">
          <w:rPr>
            <w:rStyle w:val="Hyperlink"/>
            <w:rFonts w:ascii="Arial" w:hAnsi="Arial" w:cs="Arial"/>
            <w:sz w:val="12"/>
            <w:szCs w:val="12"/>
            <w:vertAlign w:val="superscript"/>
            <w:lang w:val="en-US"/>
          </w:rPr>
          <w:t>252</w:t>
        </w:r>
      </w:hyperlink>
      <w:r w:rsidRPr="006A1E0C">
        <w:rPr>
          <w:rFonts w:ascii="Arial" w:hAnsi="Arial" w:cs="Arial"/>
          <w:color w:val="FF0000"/>
          <w:sz w:val="20"/>
          <w:szCs w:val="20"/>
          <w:lang w:val="en-US"/>
        </w:rPr>
        <w:t>. These tools, while limited by reference data and taxonomic resolution, represent important steps toward inferring potential non-human sources contributing to observed variant diversity in environmental samples. Moreover, identifying host-specific marker mutations, particularly those derived from animal-origin SARS-CoV-2 genomes, could further support host attribution efforts.</w:t>
      </w:r>
    </w:p>
    <w:p w14:paraId="1BCB7F84"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Additionally to zoonotic reservoirs, chronic carriers may serve as continuous sources of viral shedding, introducing SARS-CoV-2 RNA into wastewater systems even in the absence of active outbreaks, thereby enabling active detection of viral RNA in westwater</w:t>
      </w:r>
      <w:hyperlink r:id="rId25" w:history="1">
        <w:r w:rsidRPr="006A1E0C">
          <w:rPr>
            <w:rStyle w:val="Hyperlink"/>
            <w:rFonts w:ascii="Arial" w:hAnsi="Arial" w:cs="Arial"/>
            <w:color w:val="FF0000"/>
            <w:sz w:val="12"/>
            <w:szCs w:val="12"/>
            <w:vertAlign w:val="superscript"/>
            <w:lang w:val="en-US"/>
          </w:rPr>
          <w:t>253,254</w:t>
        </w:r>
      </w:hyperlink>
      <w:r w:rsidRPr="006A1E0C">
        <w:rPr>
          <w:rFonts w:ascii="Arial" w:hAnsi="Arial" w:cs="Arial"/>
          <w:color w:val="FF0000"/>
          <w:sz w:val="20"/>
          <w:szCs w:val="20"/>
          <w:lang w:val="en-US"/>
        </w:rPr>
        <w:t>. WWGS may uncover genomic cryptic viral circulation, including genetically distinct SARS-CoV-2 lineages and recombinant variants that had not been previously identified through clinical testing</w:t>
      </w:r>
      <w:hyperlink r:id="rId26" w:history="1">
        <w:r w:rsidRPr="006A1E0C">
          <w:rPr>
            <w:rStyle w:val="Hyperlink"/>
            <w:rFonts w:ascii="Arial" w:hAnsi="Arial" w:cs="Arial"/>
            <w:color w:val="FF0000"/>
            <w:sz w:val="12"/>
            <w:szCs w:val="12"/>
            <w:vertAlign w:val="superscript"/>
            <w:lang w:val="en-US"/>
          </w:rPr>
          <w:t>255</w:t>
        </w:r>
      </w:hyperlink>
      <w:r w:rsidRPr="006A1E0C">
        <w:rPr>
          <w:rFonts w:ascii="Arial" w:hAnsi="Arial" w:cs="Arial"/>
          <w:color w:val="FF0000"/>
          <w:sz w:val="20"/>
          <w:szCs w:val="20"/>
          <w:lang w:val="en-US"/>
        </w:rPr>
        <w:t>. These findings highlight the utility of WWGS in capturing transmission dynamics that may be overlooked by clinical surveillance, particularly in areas with limited testing or asymptomatic infections</w:t>
      </w:r>
      <w:hyperlink r:id="rId27" w:history="1">
        <w:r w:rsidRPr="006A1E0C">
          <w:rPr>
            <w:rStyle w:val="Hyperlink"/>
            <w:rFonts w:ascii="Arial" w:hAnsi="Arial" w:cs="Arial"/>
            <w:color w:val="FF0000"/>
            <w:sz w:val="12"/>
            <w:szCs w:val="12"/>
            <w:vertAlign w:val="superscript"/>
            <w:lang w:val="en-US"/>
          </w:rPr>
          <w:t>256</w:t>
        </w:r>
      </w:hyperlink>
      <w:r w:rsidRPr="006A1E0C">
        <w:rPr>
          <w:rFonts w:ascii="Arial" w:hAnsi="Arial" w:cs="Arial"/>
          <w:color w:val="FF0000"/>
          <w:sz w:val="20"/>
          <w:szCs w:val="20"/>
          <w:lang w:val="en-US"/>
        </w:rPr>
        <w:t>. </w:t>
      </w:r>
    </w:p>
    <w:p w14:paraId="68E7AEE9"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1B2E172F" w14:textId="77777777" w:rsidR="00B956F4" w:rsidRPr="00311BB8" w:rsidRDefault="00B956F4" w:rsidP="00B956F4">
      <w:pPr>
        <w:pStyle w:val="NormalWeb"/>
        <w:spacing w:before="0" w:beforeAutospacing="0" w:after="0" w:afterAutospacing="0"/>
        <w:jc w:val="both"/>
        <w:rPr>
          <w:lang w:val="en-US"/>
        </w:rPr>
      </w:pPr>
      <w:r w:rsidRPr="00311BB8">
        <w:rPr>
          <w:rFonts w:ascii="Arial" w:hAnsi="Arial" w:cs="Arial"/>
          <w:b/>
          <w:bCs/>
          <w:color w:val="222222"/>
          <w:sz w:val="20"/>
          <w:szCs w:val="20"/>
          <w:lang w:val="en-US"/>
        </w:rPr>
        <w:t>Comment 4.</w:t>
      </w:r>
      <w:r w:rsidRPr="00311BB8">
        <w:rPr>
          <w:rFonts w:ascii="Arial" w:hAnsi="Arial" w:cs="Arial"/>
          <w:color w:val="222222"/>
          <w:sz w:val="20"/>
          <w:szCs w:val="20"/>
          <w:lang w:val="en-US"/>
        </w:rPr>
        <w:t xml:space="preserve"> I think the authors should consider areas that are not connected to the sewer system and how these would be entirely overlooked in the methods as presented. </w:t>
      </w:r>
    </w:p>
    <w:p w14:paraId="523C2730"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r w:rsidRPr="00311BB8">
        <w:rPr>
          <w:rFonts w:ascii="Arial" w:hAnsi="Arial" w:cs="Arial"/>
          <w:b/>
          <w:bCs/>
          <w:color w:val="222222"/>
          <w:sz w:val="20"/>
          <w:szCs w:val="20"/>
          <w:lang w:val="en-US"/>
        </w:rPr>
        <w:t xml:space="preserve">Author’s response: </w:t>
      </w:r>
      <w:r w:rsidRPr="00311BB8">
        <w:rPr>
          <w:rFonts w:ascii="Arial" w:hAnsi="Arial" w:cs="Arial"/>
          <w:color w:val="222222"/>
          <w:sz w:val="20"/>
          <w:szCs w:val="20"/>
          <w:lang w:val="en-US"/>
        </w:rPr>
        <w:t>We appreciate the reviewer's insightful comment. Below, we outline the newly introduc</w:t>
      </w:r>
      <w:r w:rsidRPr="00311BB8">
        <w:rPr>
          <w:rFonts w:ascii="Arial" w:hAnsi="Arial" w:cs="Arial"/>
          <w:color w:val="000000"/>
          <w:sz w:val="20"/>
          <w:szCs w:val="20"/>
          <w:lang w:val="en-US"/>
        </w:rPr>
        <w:t xml:space="preserve">ed text in the </w:t>
      </w:r>
      <w:r w:rsidRPr="00311BB8">
        <w:rPr>
          <w:rFonts w:ascii="Arial" w:hAnsi="Arial" w:cs="Arial"/>
          <w:i/>
          <w:iCs/>
          <w:color w:val="000000"/>
          <w:sz w:val="20"/>
          <w:szCs w:val="20"/>
          <w:lang w:val="en-US"/>
        </w:rPr>
        <w:t>Discussion</w:t>
      </w:r>
      <w:r w:rsidRPr="00311BB8">
        <w:rPr>
          <w:rFonts w:ascii="Arial" w:hAnsi="Arial" w:cs="Arial"/>
          <w:color w:val="000000"/>
          <w:sz w:val="20"/>
          <w:szCs w:val="20"/>
          <w:lang w:val="en-US"/>
        </w:rPr>
        <w:t xml:space="preserve"> section that expa</w:t>
      </w:r>
      <w:r w:rsidRPr="00311BB8">
        <w:rPr>
          <w:rFonts w:ascii="Arial" w:hAnsi="Arial" w:cs="Arial"/>
          <w:color w:val="222222"/>
          <w:sz w:val="20"/>
          <w:szCs w:val="20"/>
          <w:lang w:val="en-US"/>
        </w:rPr>
        <w:t>nds on alternative approaches to WWGS beyond centralized wastewater infrastructure.</w:t>
      </w:r>
      <w:r w:rsidRPr="00311BB8">
        <w:rPr>
          <w:rFonts w:ascii="Arial" w:hAnsi="Arial" w:cs="Arial"/>
          <w:color w:val="FF0000"/>
          <w:sz w:val="20"/>
          <w:szCs w:val="20"/>
          <w:lang w:val="en-US"/>
        </w:rPr>
        <w:t> </w:t>
      </w:r>
    </w:p>
    <w:p w14:paraId="68B8305B"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7D23FDAE"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r w:rsidRPr="00311BB8">
        <w:rPr>
          <w:rFonts w:ascii="Arial" w:hAnsi="Arial" w:cs="Arial"/>
          <w:color w:val="FF0000"/>
          <w:sz w:val="20"/>
          <w:szCs w:val="20"/>
          <w:lang w:val="en-US"/>
        </w:rPr>
        <w:t>However, conventional WWGS predominantly relies on centralized sewer systems, which can lead to the exclusion of populations in unsewered areas. To mitigate this gap, alternative sampling strategies have been developed to extend WWGS to decentralized settings. For areas with open defecation or where formal wastewater collection systems are absent, surface water sampling has emerged as an effective method for detecting SARS-CoV-2 RNA in regions where wastewater is directly discharged into rivers, streams, or drainage channels</w:t>
      </w:r>
      <w:r>
        <w:fldChar w:fldCharType="begin"/>
      </w:r>
      <w:r w:rsidRPr="00311BB8">
        <w:rPr>
          <w:lang w:val="en-US"/>
        </w:rPr>
        <w:instrText xml:space="preserve"> ADDIN ZOTERO_ITEM CSL_CITATION {"citationID":"OeIFgfea","properties":{"formattedCitation":"\\super 34,35\\nosupersub{}","plainCitation":"34,35","noteIndex":0},"citationItems":[{"id":735,"uris":["http://zotero.org/users/16375259/items/R6TTEBMF"],"itemData":{"id":735,"type":"article-journal","abstract":"The presence of SARS-CoV-2 in raw wastewaters has been demonstrated in many countries affected by this pandemic. Nevertheless, virus presence and infectivity in treated wastewaters, but also in the receiving water bodies are still poorly investigated. In this study, raw and treated samples from three wastewater treatment plants, and three river samples within the Milano Metropolitan Area, Italy, were surveyed for SARS-CoV-2 RNA detection by means of real time RT-PCR and infectivity test on culture cells. SARS-CoV-2 RNA was detected in raw, but not in treated wastewaters (four and two samples, respectively, sampled in two dates). The isolated virus genome was sequenced, and belonged to the strain most spread in Europe and similar to another found in the same region. RNA presence in raw wastewater samples decreased after eight days, probably following the epidemiological trend estimated for the area. Virus infectivity was always null, indicating the natural decay of viral pathogenicity in time from emission. Samples from receiving rivers (three sites, sampled in the same dates as wastewaters) showed in some cases a positivity to real time RT-PCR, probably due to non-treated, or inefficiently treated discharges, or to the combined sewage overflows. Nevertheless, also for rivers infectivity was null. Risks for public health should be limited, although a precautionary approach to risk assessment is here advocated, giving the preliminary nature of the presented data.","container-title":"Science of The Total Environment","DOI":"10.1016/j.scitotenv.2020.140911","ISSN":"0048-9697","journalAbbreviation":"Science of The Total Environment","page":"140911","source":"ScienceDirect","title":"Presence and infectivity of SARS-CoV-2 virus in wastewaters and rivers","volume":"744","author":[{"family":"Rimoldi","given":"Sara Giordana"},{"family":"Stefani","given":"Fabrizio"},{"family":"Gigantiello","given":"Anna"},{"family":"Polesello","given":"Stefano"},{"family":"Comandatore","given":"Francesco"},{"family":"Mileto","given":"Davide"},{"family":"Maresca","given":"Mafalda"},{"family":"Longobardi","given":"Concetta"},{"family":"Mancon","given":"Ales</w:instrText>
      </w:r>
      <w:r>
        <w:instrText>sandro"},{"family":"Romeri","given":"Francesca"},{"family":"Pagani","given":"Cristina"},{"family":"Cappelli","given":"Francesca"},{"family":"Roscioli","given":"Claudio"},{"family":"Moja","given":"Lorenzo"},{"family":"Gismondo","given":"Maria Rita"},{"family":"Salerno","given":"Franco"}],"issued":{"date-parts":[["2020",11,20]]}}},{"id":737,"uris":["http://zotero.org/users/16375259/items/L94UG5VW"],"itemData":{"id":737,"type":"article-journal","abstract":"The ongoing global pandemic of coronavirus disease 2019 (COVID-19) caused by severe acute respiratory syndrome coronavirus 2 (SARS-CoV-2) has been a Public Health Emergency of International Concern, which was officially declared by the World Health Organization. SARS-CoV-2 is a member of the family Coronaviridae that consists of a group of enveloped viruses with single-stranded RNA genome, which cause diseases ranging from common colds to acute respiratory distress syndrome. Although the major transmission routes of SARS-CoV-2 are inhalation of aerosol/droplet and person-to-person contact, currently available evidence indicates that the viral RNA is present in wastewater, suggesting the need to better understand wastewater as potential sources of epidemiological data and human health risks. Here, we review the current knowledge related to the potential of wastewater surveillance to understand the epidemiology of COVID-19, methodologies for the detection and quantification of SARS-CoV-2 in wastewater, and information relevant for human health risk assessment of SARS-CoV-2. There has been growing evidence of gastrointestinal symptoms caused by SARS-CoV-2 infections and the presence of viral RNA not only in feces of infected individuals but also in wastewater. One of the major challenges in SARS-CoV-2 detection/quantification in wastewater samples is the lack of an optimized and standardized protocol. Currently available data are also limited for conduc</w:instrText>
      </w:r>
      <w:r w:rsidRPr="006A1E0C">
        <w:rPr>
          <w:lang w:val="en-US"/>
        </w:rPr>
        <w:instrText xml:space="preserve">ting a quantitative microbial risk assessment (QMRA) for SARS-CoV-2 exposure pathways. However, modeling-based approaches have a potential role to play in reducing the impact of the ongoing COVID-19 outbreak. Furthermore, QMRA parameters obtained from previous studies on relevant respiratory viruses help to inform risk assessments of SARS-CoV-2. Our understanding on the potential role of wastewater in SARS-CoV-2 transmission is largely limited by knowledge gaps in its occurrence, persistence, and removal in wastewater. There is an urgent need for further research to establish methodologies for wastewater surveillance and understand the implications of the presence of SARS-CoV-2 in wastewater.","container-title":"Science of The Total Environment","DOI":"10.1016/j.scitotenv.2020.139076","ISSN":"0048-9697","journalAbbreviation":"Science of The Total Environment","page":"139076","source":"ScienceDirect","title":"SARS-CoV-2 in wastewater: State of the knowledge and research needs","title-short":"SARS-CoV-2 in wastewater","volume":"739","author":[{"family":"Kitajima","given":"Masaaki"},{"family":"Ahmed","given":"Warish"},{"family":"Bibby","given":"Kyle"},{"family":"Carducci","given":"Annalaura"},{"family":"Gerba","given":"Charles P."},{"family":"Hamilton","given":"Kerry A."},{"family":"Haramoto","given":"Eiji"},{"family":"Rose","given":"Joan B."}],"issued":{"date-parts":[["2020",10,15]]}}}],"schema":"https://github.com/citation-style-language/schema/raw/master/csl-citation.json"} </w:instrText>
      </w:r>
      <w:r>
        <w:fldChar w:fldCharType="separate"/>
      </w:r>
      <w:r w:rsidRPr="006A1E0C">
        <w:rPr>
          <w:vertAlign w:val="superscript"/>
          <w:lang w:val="en-US"/>
        </w:rPr>
        <w:t>34,35</w:t>
      </w:r>
      <w:r>
        <w:fldChar w:fldCharType="end"/>
      </w:r>
      <w:r w:rsidRPr="00311BB8">
        <w:rPr>
          <w:rFonts w:ascii="Arial" w:hAnsi="Arial" w:cs="Arial"/>
          <w:color w:val="FF0000"/>
          <w:sz w:val="20"/>
          <w:szCs w:val="20"/>
          <w:lang w:val="en-US"/>
        </w:rPr>
        <w:t>. This approach has proven particularly useful in areas with open defecation or where formal wastewater collection systems are absent. Additionally, passive sampling using absorbent materials placed in open drains, latrines, or standing water bodies have shown promise in capturing viral RNA over time, making surveillance feasible in decentralized and low-resources settings</w:t>
      </w:r>
      <w:r>
        <w:fldChar w:fldCharType="begin"/>
      </w:r>
      <w:r w:rsidRPr="00311BB8">
        <w:rPr>
          <w:lang w:val="en-US"/>
        </w:rPr>
        <w:instrText xml:space="preserve"> ADDIN ZOTERO_ITEM CSL_CITATION {"citationID":"qw26i4Pp","properties":{"formattedCitation":"\\super 36\\nosupersub{}","plainCitation":"36","noteIndex":0},"citationItems":[{"id":741,"uris":["http://zotero.org/users/16375259/items/EA8CQYTW"],"itemData":{"id":741,"type":"article-journal","abstract":"The COVID-19 pandemic has once again highlighted the importance of access to sufficient quantities of safe water and sanitation in public health. In the current COVID-19 pandemic, an early warning wastewater system has been proposed as a platform for SARS-CoV-2 surveillance, and a potentially important public health strategy to combat the disease. This short communication on wastewater surveillance in sub-Saharan Africa highlights challenges, opportunities and alternatives taken into account the local context.","container-title":"Science of The Total Environment","DOI":"10.1016/j.scitotenv.2020.140719","ISSN":"0048-9697","journalAbbreviation":"Science of The Total Environment","page":"140719","source":"ScienceDirect","title":"Wastewater surveillance for Covid-19: An African perspective","title-short":"Wastewater surveillance for Covid-19","volume":"743","author":[{"family":"Street","given":"Renée"},{"family":"Malema","given":"Shirley"},{"family":"Mahlangeni","given":"Nomfundo"},{"family":"Mathee","given":"Angela"}],"issued":{"date-parts":[["2020",11,15]]}}}],"schema":"https://github.com/citation-style-language/schema/raw/master/csl-citation.json"} </w:instrText>
      </w:r>
      <w:r>
        <w:fldChar w:fldCharType="separate"/>
      </w:r>
      <w:r w:rsidRPr="00311BB8">
        <w:rPr>
          <w:vertAlign w:val="superscript"/>
          <w:lang w:val="en-US"/>
        </w:rPr>
        <w:t>36</w:t>
      </w:r>
      <w:r>
        <w:fldChar w:fldCharType="end"/>
      </w:r>
      <w:r w:rsidRPr="00311BB8">
        <w:rPr>
          <w:rFonts w:ascii="Arial" w:hAnsi="Arial" w:cs="Arial"/>
          <w:color w:val="FF0000"/>
          <w:sz w:val="20"/>
          <w:szCs w:val="20"/>
          <w:lang w:val="en-US"/>
        </w:rPr>
        <w:t>. Additionally, septic tanks and pumping stations can provide viable sampling opportunities for targeted surveillance</w:t>
      </w:r>
      <w:r>
        <w:fldChar w:fldCharType="begin"/>
      </w:r>
      <w:r w:rsidRPr="00311BB8">
        <w:rPr>
          <w:lang w:val="en-US"/>
        </w:rPr>
        <w:instrText xml:space="preserve"> ADDIN ZOTERO_ITEM CSL_CITATION {"citationID":"boLlcHCB","properties":{"formattedCitation":"\\super 37\\nosupersub{}","plainCitation":"37","noteIndex":0},"citationItems":[{"id":744,"uris":["http://zotero.org/users/16375259/items/GK7PBV4G"],"itemData":{"id":744,"type":"webpage","title":"Monitoring SARS-CoV-2 RNA in wastewater from a shared septic system and sub-sewershed sites to expand COVID-19 disease surveillance | Journal of Water and Health | IWA Publishing","URL":"https://iwaponline.com/jwh/article/22/6/978/101631/Monitoring-SARS-CoV-2-RNA-in-wastewater-from-a","accessed":{"date-parts":[["2025",4,8]]}}}],"schema":"https://github.com/citation-style-language/schema/raw/master/csl-citation.json"} </w:instrText>
      </w:r>
      <w:r>
        <w:fldChar w:fldCharType="separate"/>
      </w:r>
      <w:r w:rsidRPr="00311BB8">
        <w:rPr>
          <w:vertAlign w:val="superscript"/>
          <w:lang w:val="en-US"/>
        </w:rPr>
        <w:t>37</w:t>
      </w:r>
      <w:r>
        <w:fldChar w:fldCharType="end"/>
      </w:r>
      <w:r w:rsidRPr="00311BB8">
        <w:rPr>
          <w:rFonts w:ascii="Arial" w:hAnsi="Arial" w:cs="Arial"/>
          <w:color w:val="FF0000"/>
          <w:sz w:val="20"/>
          <w:szCs w:val="20"/>
          <w:lang w:val="en-US"/>
        </w:rPr>
        <w:t xml:space="preserve">.  Portable sequencing devices, such as Oxford Nanopore </w:t>
      </w:r>
      <w:proofErr w:type="spellStart"/>
      <w:r w:rsidRPr="00311BB8">
        <w:rPr>
          <w:rFonts w:ascii="Arial" w:hAnsi="Arial" w:cs="Arial"/>
          <w:color w:val="FF0000"/>
          <w:sz w:val="20"/>
          <w:szCs w:val="20"/>
          <w:lang w:val="en-US"/>
        </w:rPr>
        <w:t>MinION</w:t>
      </w:r>
      <w:proofErr w:type="spellEnd"/>
      <w:r w:rsidRPr="00311BB8">
        <w:rPr>
          <w:rFonts w:ascii="Arial" w:hAnsi="Arial" w:cs="Arial"/>
          <w:color w:val="FF0000"/>
          <w:sz w:val="20"/>
          <w:szCs w:val="20"/>
          <w:lang w:val="en-US"/>
        </w:rPr>
        <w:t xml:space="preserve"> may facilitate mobile wastewater surveillance, enabling near real-time genomic surveillance of SARS-CoV-2 and emerging pathogens</w:t>
      </w:r>
      <w:r>
        <w:fldChar w:fldCharType="begin"/>
      </w:r>
      <w:r w:rsidRPr="001D0CAF">
        <w:rPr>
          <w:lang w:val="en-US"/>
        </w:rPr>
        <w:instrText xml:space="preserve"> ADDIN ZOTERO_ITEM CSL_CITATION {"citationID":"R0L0u57z","properties":{"formattedCitation":"\\super 38,39\\nosupersub{}","plainCitation":"38,39","noteIndex":0},"citationItems":[{"id":746,"uris":["http://zotero.org/users/16375259/items/NG3PT9A9"],"itemData":{"id":746,"type":"article-journal","abstract":"The early detection of upcoming disease outbreaks is essential to avoid both health and economic damage. The last four years of COVID-19 pandemic have proven wastewater-based epidemiology is a reliable system for monitoring the spread of SARS-CoV-2, a causative agent of COVID-19, in an urban population. As this monitoring enables the identification of the prevalence of spreading variants of SARS-CoV-2, it could provide a critical tool in the fight against this viral disease. In this study, we evaluated the presence of variants and subvariants of SARS-CoV-2 in Prague wastewater using nanopore-based sequencing. During August 2021, the data clearly showed that the number of identified SARS-CoV-2 RNA copies increased in the wastewater earlier than in clinical samples indicating the upcoming wave of the Delta variant. New SARS-CoV-2 variants consistently prevailed in wastewater samples around a month after they already prevailed in clinical samples. We also analyzed wastewater samples from smaller</w:instrText>
      </w:r>
      <w:r>
        <w:instrText xml:space="preserve"> sub-sewersheds of Prague and detected significant differences in SARS-CoV-2 lineage progression dynamics among individual localities studied, e.g., suggesting faster prevalence of new variants among the sites with highest population density and mobility.","container-title":"Chemosphere","DOI":"10.1016/j.chemosphere.2024.141162","ISSN":"0045-6535","journalAbbreviation":"Chemosphere","page":"141162","source":"ScienceDirect","title":"Prevalence of SARS-CoV-2 variants in Prague wastewater determined by nanopore-based sequencing","volume":"351","author":[{"family":"Dostálková","given":"Alžběta"},{"family":"Zdeňková","given":"Kamila"},{"family":"Bartáčková","given":"Jana"},{"family":"Čermáková","given":"Eliška"},{"family":"Kapisheva","given":"Marina"},{"family":"Lopez Marin","given":"Marco A."},{"family":"Kouba","given":"Vojtěch"},{"family":"Sýkora","given":"Petr"},{"family":"Chmel","given":"Martin"},{"family":"Bartoš","given":"Oldřich"},{"family":"Dresler","given":"Jiří"},{"family":"Demnerová","given":"Kateřina"},{"family":"Rumlová","given":"Michaela"},{"family":"Bartáček","given":"Jan"}],"issued":{"date-parts":[["2024",3,1]]}}},{"id":748,"uris":["http://zotero.org/users/16375259/items/T2XQH479"],"itemData":{"id":748,"type":"article-journal","abstract":"Since the beginning of the Coronavirus Disease-19 (COVID-19) pandemic, multiple Severe Acute Respiratory Syndrome Coronavirus 2 (SARS-CoV-2) mutations have been reported and led to the emergence of variants of concern (VOC) with increased transmissibility, virulence or immune escape. In parallel, the observation of viral fecal shedding led to the quantification of SARS-CoV-2 genomes in wastewater, providing information about the dynamics of SARS-CoV-2 infections within a population including symptomatic and asymptomatic individuals. Here, we aimed to adapt a sequencing technique initially designed for clinical samples to apply it to the challenging and mixed wastewater matrix, and hence identify the circulation of VOC at the community level. Composite raw sewage sampled over 24 h in two wastewater-treatment plants (WWTPs) from a city in western France were collected weekly and SARS-CoV-2 quantified by RT-PCR. Samples collected between October 2020 and May 2021 were submitted to whole-genome sequencing (WGS) using the primers and protocol published by the ARTIC Network and a MinION Mk1C sequencer (Oxford Nanopore Technologies, Oxford, United Kingdom). The protocol was adapted to allow near-full genome coverage from sewage samples, starting from </w:instrText>
      </w:r>
      <w:r>
        <w:rPr>
          <w:rFonts w:ascii="Cambria Math" w:hAnsi="Cambria Math" w:cs="Cambria Math"/>
        </w:rPr>
        <w:instrText>∼</w:instrText>
      </w:r>
      <w:r>
        <w:instrText xml:space="preserve">5% to reach </w:instrText>
      </w:r>
      <w:r>
        <w:rPr>
          <w:rFonts w:ascii="Cambria Math" w:hAnsi="Cambria Math" w:cs="Cambria Math"/>
        </w:rPr>
        <w:instrText>∼</w:instrText>
      </w:r>
      <w:r>
        <w:instrText>90% at depth 30. This enabled us to detect multiple single-nucleotide variant (SNV) and assess the circulation of the SARS-CoV-2 VOC Alpha, Beta, Gamma, and Delta. Retrospective analysis of sewage samples shed light on the emergence of the Alpha VOC with detection of first co-occurring signature mutations in mid-November 2020 to reach predominance of this variant in early February 2021. In parallel, a mutation-specific qRT-PCR assay confirmed the spread of the Alpha VOC but detected it later than WGS. Altogether, these data show that SARS-CoV</w:instrText>
      </w:r>
      <w:r w:rsidRPr="001D0CAF">
        <w:rPr>
          <w:lang w:val="en-US"/>
        </w:rPr>
        <w:instrText xml:space="preserve">-2 sequencing in sewage can be used for early detection of an emerging VOC in a population and confirm its ability to track shifts in variant predominance.","container-title":"Frontiers in Microbiology","DOI":"10.3389/fmicb.2022.889811","ISSN":"1664-302X","journalAbbreviation":"Front. Microbiol.","language":"English","note":"publisher: Frontiers","source":"Frontiers","title":"SARS-CoV-2 Whole-Genome Sequencing Using Oxford Nanopore Technology for Variant Monitoring in Wastewaters","URL":"https://www.frontiersin.org/journals/microbiology/articles/10.3389/fmicb.2022.889811/full","volume":"13","author":[{"family":"Barbé","given":"Laure"},{"family":"Schaeffer","given":"Julien"},{"family":"Besnard","given":"Alban"},{"family":"Jousse","given":"Sarah"},{"family":"Wurtzer","given":"Sébastien"},{"family":"Moulin","given":"Laurent"},{"family":"OBEPINE Consortium","given":""},{"family":"Le Guyader","given":"Françoise S."},{"family":"Desdouits","given":"Marion"},{"family":"Bailly","given":"Jean-Luc"},{"family":"Gantzer","given":"Christophe"},{"family":"Le Guyader","given":"Françoise S."},{"family":"Maday","given":"Yvon"},{"family":"Maréchal","given":"Vincent"},{"family":"Mouchel","given":"Jean-Marie"},{"family":"Moulin","given":"Laurent"},{"family":"Teyssou","given":"Remy"},{"family":"Wurtzer","given":"Sébastien"}],"accessed":{"date-parts":[["2025",4,8]]},"issued":{"date-parts":[["2022",6,9]]}}}],"schema":"https://github.com/citation-style-language/schema/raw/master/csl-citation.json"} </w:instrText>
      </w:r>
      <w:r>
        <w:fldChar w:fldCharType="separate"/>
      </w:r>
      <w:r w:rsidRPr="001D0CAF">
        <w:rPr>
          <w:vertAlign w:val="superscript"/>
          <w:lang w:val="en-US"/>
        </w:rPr>
        <w:t>38,39</w:t>
      </w:r>
      <w:r>
        <w:fldChar w:fldCharType="end"/>
      </w:r>
      <w:r w:rsidRPr="00311BB8">
        <w:rPr>
          <w:rFonts w:ascii="Arial" w:hAnsi="Arial" w:cs="Arial"/>
          <w:color w:val="FF0000"/>
          <w:sz w:val="20"/>
          <w:szCs w:val="20"/>
          <w:lang w:val="en-US"/>
        </w:rPr>
        <w:t>. When coupled with community-level wastewater sampling from public sanitation facilities, markets, or schools, this approach allows for targeted epidemiological assessments in unsewered areas, enabling early detection and response strategies</w:t>
      </w:r>
      <w:r>
        <w:fldChar w:fldCharType="begin"/>
      </w:r>
      <w:r w:rsidRPr="001D0CAF">
        <w:rPr>
          <w:lang w:val="en-US"/>
        </w:rPr>
        <w:instrText xml:space="preserve"> ADDIN ZOTERO_ITEM CSL_CITATION {"citationID":"csCI9rHI","properties":{"formattedCitation":"\\super 38\\nosupersub{}","plainCitation":"38","noteIndex":0},"citationItems":[{"id":746,"uris":["http://zotero.org/users/16375259/items/NG3PT9A9"],"itemData":{"id":746,"type":"article-journal","abstract":"The early detection of upcoming disease outbreaks is essential to avoid both health and economic damage. The last four years of COVID-19 pandemic have proven wastewater-based epidemiology is a reliable system for monitoring the spread of SARS-CoV-2, a causative agent of COVID-19, in an urban population. As this monitoring enables the identification of the prevalence of spreading variants of SARS-CoV-2, it could provide a critical tool in the fight against this viral disease. In this study, we evaluated the presence of variants and subvariants of SARS-CoV-2 in Prague wastewater using nanopore-based sequencing. During August 2021, the data clearly showed that the number of identified SARS-CoV-2 RNA copies increased in the wastewater earlier than in clinical samples indicating the upcoming wave of the Delta variant. New SARS-CoV-2 variants consistently prevailed in wastewater samples around a month after they already prevailed in clinical samples. We</w:instrText>
      </w:r>
      <w:r w:rsidRPr="006A1E0C">
        <w:rPr>
          <w:lang w:val="en-US"/>
        </w:rPr>
        <w:instrText xml:space="preserve"> also analyzed wastewater samples from smaller sub-sewersheds of Prague and detected significant differences in SARS-CoV-2 lineage progression dynamics among individual localities studied, e.g., suggesting faster prevalence of new variants among the sites with highest population density and mobility.","container-title":"Chemosphere","DOI":"10.1016/j.chemosphere.2024.141162","ISSN":"0045-6535","journalAbbreviation":"Chemosphere","page":"141162","source":"ScienceDirect","title":"Prevalence of SARS-CoV-2 variants in Prague wastewater determined by nanopore-based sequencing","volume":"351","author":[{"family":"Dostálková","given":"Alžběta"},{"family":"Zdeňková","given":"Kamila"},{"family":"Bartáčková","given":"Jana"},{"family":"Čermáková","given":"Eliška"},{"family":"Kapisheva","given":"Marina"},{"family":"Lopez Marin","given":"Marco A."},{"family":"Kouba","given":"Vojtěch"},{"family":"Sýkora","given":"Petr"},{"family":"Chmel","given":"Martin"},{"family":"Bartoš","given":"Oldřich"},{"family":"Dresler","given":"Jiří"},{"family":"Demnerová","given":"Kateřina"},{"family":"Rumlová","given":"Michaela"},{"family":"Bartáček","given":"Jan"}],"issued":{"date-parts":[["2024",3,1]]}}}],"schema":"https://github.com/citation-style-language/schema/raw/master/csl-citation.json"} </w:instrText>
      </w:r>
      <w:r>
        <w:fldChar w:fldCharType="separate"/>
      </w:r>
      <w:r w:rsidRPr="006A1E0C">
        <w:rPr>
          <w:vertAlign w:val="superscript"/>
          <w:lang w:val="en-US"/>
        </w:rPr>
        <w:t>38</w:t>
      </w:r>
      <w:r>
        <w:fldChar w:fldCharType="end"/>
      </w:r>
      <w:r w:rsidRPr="00311BB8">
        <w:rPr>
          <w:rFonts w:ascii="Arial" w:hAnsi="Arial" w:cs="Arial"/>
          <w:color w:val="FF0000"/>
          <w:sz w:val="20"/>
          <w:szCs w:val="20"/>
          <w:lang w:val="en-US"/>
        </w:rPr>
        <w:t>.</w:t>
      </w:r>
    </w:p>
    <w:p w14:paraId="68C7E841"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5826031E" w14:textId="77777777" w:rsidR="00B956F4" w:rsidRPr="001D0CAF" w:rsidRDefault="00B956F4" w:rsidP="00B956F4">
      <w:pPr>
        <w:spacing w:after="0" w:line="240" w:lineRule="auto"/>
        <w:jc w:val="both"/>
        <w:rPr>
          <w:rFonts w:ascii="Times New Roman" w:eastAsia="Times New Roman" w:hAnsi="Times New Roman" w:cs="Times New Roman"/>
          <w:sz w:val="24"/>
          <w:szCs w:val="24"/>
          <w:lang w:eastAsia="ru-RU"/>
        </w:rPr>
      </w:pPr>
      <w:r w:rsidRPr="001D0CAF">
        <w:rPr>
          <w:rFonts w:ascii="Arial" w:eastAsia="Times New Roman" w:hAnsi="Arial" w:cs="Arial"/>
          <w:b/>
          <w:bCs/>
          <w:color w:val="222222"/>
          <w:sz w:val="20"/>
          <w:szCs w:val="20"/>
          <w:lang w:eastAsia="ru-RU"/>
        </w:rPr>
        <w:t xml:space="preserve">Comment 5. </w:t>
      </w:r>
      <w:r w:rsidRPr="001D0CAF">
        <w:rPr>
          <w:rFonts w:ascii="Arial" w:eastAsia="Times New Roman" w:hAnsi="Arial" w:cs="Arial"/>
          <w:color w:val="222222"/>
          <w:sz w:val="20"/>
          <w:szCs w:val="20"/>
          <w:lang w:eastAsia="ru-RU"/>
        </w:rPr>
        <w:t>Lines 302 to 325 are repeated... </w:t>
      </w:r>
    </w:p>
    <w:p w14:paraId="45527941" w14:textId="77777777" w:rsidR="00B956F4" w:rsidRPr="001D0CAF" w:rsidRDefault="00B956F4" w:rsidP="00B956F4">
      <w:pPr>
        <w:spacing w:after="0" w:line="240" w:lineRule="auto"/>
        <w:jc w:val="both"/>
        <w:rPr>
          <w:rFonts w:ascii="Times New Roman" w:eastAsia="Times New Roman" w:hAnsi="Times New Roman" w:cs="Times New Roman"/>
          <w:sz w:val="24"/>
          <w:szCs w:val="24"/>
          <w:lang w:eastAsia="ru-RU"/>
        </w:rPr>
      </w:pPr>
      <w:r w:rsidRPr="001D0CAF">
        <w:rPr>
          <w:rFonts w:ascii="Arial" w:eastAsia="Times New Roman" w:hAnsi="Arial" w:cs="Arial"/>
          <w:b/>
          <w:bCs/>
          <w:color w:val="222222"/>
          <w:sz w:val="20"/>
          <w:szCs w:val="20"/>
          <w:lang w:eastAsia="ru-RU"/>
        </w:rPr>
        <w:t>Author’s response</w:t>
      </w:r>
      <w:r w:rsidRPr="001D0CAF">
        <w:rPr>
          <w:rFonts w:ascii="Arial" w:eastAsia="Times New Roman" w:hAnsi="Arial" w:cs="Arial"/>
          <w:b/>
          <w:bCs/>
          <w:color w:val="000000"/>
          <w:sz w:val="20"/>
          <w:szCs w:val="20"/>
          <w:lang w:eastAsia="ru-RU"/>
        </w:rPr>
        <w:t xml:space="preserve">: </w:t>
      </w:r>
      <w:r w:rsidRPr="001D0CAF">
        <w:rPr>
          <w:rFonts w:ascii="Arial" w:eastAsia="Times New Roman" w:hAnsi="Arial" w:cs="Arial"/>
          <w:color w:val="000000"/>
          <w:sz w:val="20"/>
          <w:szCs w:val="20"/>
          <w:lang w:eastAsia="ru-RU"/>
        </w:rPr>
        <w:t>We thank the reviewer for the remark. The repetition in lines 302 and 325 has been deleted.</w:t>
      </w:r>
    </w:p>
    <w:p w14:paraId="080286E9" w14:textId="77777777" w:rsidR="00B956F4" w:rsidRPr="001D0CAF" w:rsidRDefault="00B956F4" w:rsidP="00B956F4">
      <w:pPr>
        <w:spacing w:after="0" w:line="240" w:lineRule="auto"/>
        <w:rPr>
          <w:rFonts w:ascii="Times New Roman" w:eastAsia="Times New Roman" w:hAnsi="Times New Roman" w:cs="Times New Roman"/>
          <w:sz w:val="24"/>
          <w:szCs w:val="24"/>
          <w:lang w:eastAsia="ru-RU"/>
        </w:rPr>
      </w:pPr>
    </w:p>
    <w:p w14:paraId="63FE5961" w14:textId="77777777" w:rsidR="00B956F4" w:rsidRPr="001D0CAF" w:rsidRDefault="00B956F4" w:rsidP="00B956F4">
      <w:pPr>
        <w:spacing w:after="0" w:line="240" w:lineRule="auto"/>
        <w:jc w:val="both"/>
        <w:rPr>
          <w:rFonts w:ascii="Times New Roman" w:eastAsia="Times New Roman" w:hAnsi="Times New Roman" w:cs="Times New Roman"/>
          <w:sz w:val="24"/>
          <w:szCs w:val="24"/>
          <w:lang w:eastAsia="ru-RU"/>
        </w:rPr>
      </w:pPr>
      <w:r w:rsidRPr="001D0CAF">
        <w:rPr>
          <w:rFonts w:ascii="Arial" w:eastAsia="Times New Roman" w:hAnsi="Arial" w:cs="Arial"/>
          <w:b/>
          <w:bCs/>
          <w:color w:val="222222"/>
          <w:sz w:val="20"/>
          <w:szCs w:val="20"/>
          <w:lang w:eastAsia="ru-RU"/>
        </w:rPr>
        <w:t>Comment 6.</w:t>
      </w:r>
      <w:r w:rsidRPr="001D0CAF">
        <w:rPr>
          <w:rFonts w:ascii="Arial" w:eastAsia="Times New Roman" w:hAnsi="Arial" w:cs="Arial"/>
          <w:color w:val="222222"/>
          <w:sz w:val="20"/>
          <w:szCs w:val="20"/>
          <w:lang w:eastAsia="ru-RU"/>
        </w:rPr>
        <w:t xml:space="preserve"> The authors do not mention or describe LAMP approaches for the method</w:t>
      </w:r>
    </w:p>
    <w:p w14:paraId="2FB7DC0B" w14:textId="77777777" w:rsidR="00B956F4" w:rsidRDefault="00B956F4" w:rsidP="00B956F4">
      <w:pPr>
        <w:spacing w:after="0" w:line="240" w:lineRule="auto"/>
        <w:jc w:val="both"/>
        <w:rPr>
          <w:rFonts w:ascii="Arial" w:eastAsia="Times New Roman" w:hAnsi="Arial" w:cs="Arial"/>
          <w:color w:val="222222"/>
          <w:sz w:val="20"/>
          <w:szCs w:val="20"/>
          <w:lang w:eastAsia="ru-RU"/>
        </w:rPr>
      </w:pPr>
      <w:r w:rsidRPr="001D0CAF">
        <w:rPr>
          <w:rFonts w:ascii="Arial" w:eastAsia="Times New Roman" w:hAnsi="Arial" w:cs="Arial"/>
          <w:b/>
          <w:bCs/>
          <w:color w:val="222222"/>
          <w:sz w:val="20"/>
          <w:szCs w:val="20"/>
          <w:lang w:eastAsia="ru-RU"/>
        </w:rPr>
        <w:t xml:space="preserve">Author’s response: </w:t>
      </w:r>
      <w:r w:rsidRPr="001D0CAF">
        <w:rPr>
          <w:rFonts w:ascii="Arial" w:eastAsia="Times New Roman" w:hAnsi="Arial" w:cs="Arial"/>
          <w:color w:val="222222"/>
          <w:sz w:val="20"/>
          <w:szCs w:val="20"/>
          <w:lang w:eastAsia="ru-RU"/>
        </w:rPr>
        <w:t>We appreciate the reviewer’s suggestion to include a LAMP-based approach in our manuscript.</w:t>
      </w:r>
    </w:p>
    <w:p w14:paraId="3B816ADD" w14:textId="77777777" w:rsidR="00B956F4" w:rsidRDefault="00B956F4" w:rsidP="00B956F4">
      <w:pPr>
        <w:spacing w:after="0" w:line="240" w:lineRule="auto"/>
        <w:jc w:val="both"/>
        <w:rPr>
          <w:rFonts w:ascii="Arial" w:eastAsia="Times New Roman" w:hAnsi="Arial" w:cs="Arial"/>
          <w:color w:val="222222"/>
          <w:sz w:val="20"/>
          <w:szCs w:val="20"/>
          <w:lang w:eastAsia="ru-RU"/>
        </w:rPr>
      </w:pPr>
    </w:p>
    <w:p w14:paraId="6EED6418"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color w:val="FF0000"/>
          <w:sz w:val="20"/>
          <w:szCs w:val="20"/>
          <w:lang w:val="en-US"/>
        </w:rPr>
        <w:t xml:space="preserve">In addition to RT-qPCR methods, loop-mediated isothermal amplification (LAMP) is a rapid, sensitive, and cost-effective nucleic acid amplification method that operates under isothermal conditions using a set of </w:t>
      </w:r>
      <w:r w:rsidRPr="006A1E0C">
        <w:rPr>
          <w:rFonts w:ascii="Arial" w:hAnsi="Arial" w:cs="Arial"/>
          <w:color w:val="FF0000"/>
          <w:sz w:val="20"/>
          <w:szCs w:val="20"/>
          <w:shd w:val="clear" w:color="auto" w:fill="FFFFFF"/>
          <w:lang w:val="en-US"/>
        </w:rPr>
        <w:t xml:space="preserve">six target-specific primers </w:t>
      </w:r>
      <w:r w:rsidRPr="006A1E0C">
        <w:rPr>
          <w:rFonts w:ascii="Arial" w:hAnsi="Arial" w:cs="Arial"/>
          <w:color w:val="FF0000"/>
          <w:sz w:val="20"/>
          <w:szCs w:val="20"/>
          <w:lang w:val="en-US"/>
        </w:rPr>
        <w:t>and a DNA polymerase with strand displacement activity</w:t>
      </w:r>
      <w:hyperlink r:id="rId28" w:history="1">
        <w:r w:rsidRPr="006A1E0C">
          <w:rPr>
            <w:rStyle w:val="Hyperlink"/>
            <w:rFonts w:ascii="Arial" w:hAnsi="Arial" w:cs="Arial"/>
            <w:color w:val="FF0000"/>
            <w:sz w:val="12"/>
            <w:szCs w:val="12"/>
            <w:vertAlign w:val="superscript"/>
            <w:lang w:val="en-US"/>
          </w:rPr>
          <w:t>113,114</w:t>
        </w:r>
      </w:hyperlink>
      <w:r w:rsidRPr="006A1E0C">
        <w:rPr>
          <w:rFonts w:ascii="Arial" w:hAnsi="Arial" w:cs="Arial"/>
          <w:color w:val="FF0000"/>
          <w:sz w:val="20"/>
          <w:szCs w:val="20"/>
          <w:lang w:val="en-US"/>
        </w:rPr>
        <w:t xml:space="preserve">. This technique allows </w:t>
      </w:r>
      <w:r w:rsidRPr="006A1E0C">
        <w:rPr>
          <w:rFonts w:ascii="Arial" w:hAnsi="Arial" w:cs="Arial"/>
          <w:color w:val="FF0000"/>
          <w:sz w:val="20"/>
          <w:szCs w:val="20"/>
          <w:lang w:val="en-US"/>
        </w:rPr>
        <w:lastRenderedPageBreak/>
        <w:t>for continuous DNA amplification, enabling various molecular diagnostic applications, including pathogen detection and genomic surveillance</w:t>
      </w:r>
      <w:hyperlink r:id="rId29" w:history="1">
        <w:r w:rsidRPr="006A1E0C">
          <w:rPr>
            <w:rStyle w:val="Hyperlink"/>
            <w:rFonts w:ascii="Arial" w:hAnsi="Arial" w:cs="Arial"/>
            <w:color w:val="FF0000"/>
            <w:sz w:val="12"/>
            <w:szCs w:val="12"/>
            <w:vertAlign w:val="superscript"/>
            <w:lang w:val="en-US"/>
          </w:rPr>
          <w:t>115</w:t>
        </w:r>
      </w:hyperlink>
      <w:r w:rsidRPr="006A1E0C">
        <w:rPr>
          <w:rFonts w:ascii="Arial" w:hAnsi="Arial" w:cs="Arial"/>
          <w:color w:val="FF0000"/>
          <w:sz w:val="20"/>
          <w:szCs w:val="20"/>
          <w:lang w:val="en-US"/>
        </w:rPr>
        <w:t xml:space="preserve"> .  Given these advantages, LAMP has been successfully integrated into WWGS for SARS-CoV-2 monitoring</w:t>
      </w:r>
      <w:hyperlink r:id="rId30" w:history="1">
        <w:r w:rsidRPr="006A1E0C">
          <w:rPr>
            <w:rStyle w:val="Hyperlink"/>
            <w:rFonts w:ascii="Arial" w:hAnsi="Arial" w:cs="Arial"/>
            <w:color w:val="FF0000"/>
            <w:sz w:val="12"/>
            <w:szCs w:val="12"/>
            <w:vertAlign w:val="superscript"/>
            <w:lang w:val="en-US"/>
          </w:rPr>
          <w:t>116,117</w:t>
        </w:r>
      </w:hyperlink>
      <w:r w:rsidRPr="006A1E0C">
        <w:rPr>
          <w:rFonts w:ascii="Arial" w:hAnsi="Arial" w:cs="Arial"/>
          <w:color w:val="FF0000"/>
          <w:sz w:val="20"/>
          <w:szCs w:val="20"/>
          <w:lang w:val="en-US"/>
        </w:rPr>
        <w:t>. An advancement of LAMP-based approaches is LAMP-Seq, which couples high-throughput barcoded LAMP amplification with NGS for scalable pathogen surveillance</w:t>
      </w:r>
      <w:hyperlink r:id="rId31" w:history="1">
        <w:r w:rsidRPr="006A1E0C">
          <w:rPr>
            <w:rStyle w:val="Hyperlink"/>
            <w:rFonts w:ascii="Arial" w:hAnsi="Arial" w:cs="Arial"/>
            <w:color w:val="FF0000"/>
            <w:sz w:val="12"/>
            <w:szCs w:val="12"/>
            <w:vertAlign w:val="superscript"/>
            <w:lang w:val="en-US"/>
          </w:rPr>
          <w:t>118</w:t>
        </w:r>
      </w:hyperlink>
      <w:r w:rsidRPr="006A1E0C">
        <w:rPr>
          <w:rFonts w:ascii="Arial" w:hAnsi="Arial" w:cs="Arial"/>
          <w:color w:val="FF0000"/>
          <w:sz w:val="20"/>
          <w:szCs w:val="20"/>
          <w:lang w:val="en-US"/>
        </w:rPr>
        <w:t xml:space="preserve">. This method has been demonstrated as an efficient and cost-effective alternative to qPCR for large-scale testing and has potential applicability in wastewater surveillance by enabling multiplexed detection of viral targets across multiple samples, making it particularly useful for mass-scale epidemiological studies and WWGS of pathogens. </w:t>
      </w:r>
      <w:proofErr w:type="spellStart"/>
      <w:r w:rsidRPr="006A1E0C">
        <w:rPr>
          <w:rFonts w:ascii="Arial" w:hAnsi="Arial" w:cs="Arial"/>
          <w:color w:val="FF0000"/>
          <w:sz w:val="20"/>
          <w:szCs w:val="20"/>
          <w:lang w:val="en-US"/>
        </w:rPr>
        <w:t>LAMPore</w:t>
      </w:r>
      <w:proofErr w:type="spellEnd"/>
      <w:r w:rsidRPr="006A1E0C">
        <w:rPr>
          <w:rFonts w:ascii="Arial" w:hAnsi="Arial" w:cs="Arial"/>
          <w:color w:val="FF0000"/>
          <w:sz w:val="20"/>
          <w:szCs w:val="20"/>
          <w:lang w:val="en-US"/>
        </w:rPr>
        <w:t xml:space="preserve"> sequencing integrates Oxford Nanopore sequencing with LAMP amplification allowing for real-time genomic surveillance and for the simultaneous detection of multiple SARS-CoV-2 variants in wastewater samples</w:t>
      </w:r>
      <w:hyperlink r:id="rId32" w:history="1">
        <w:r w:rsidRPr="006A1E0C">
          <w:rPr>
            <w:rStyle w:val="Hyperlink"/>
            <w:rFonts w:ascii="Arial" w:hAnsi="Arial" w:cs="Arial"/>
            <w:color w:val="FF0000"/>
            <w:sz w:val="12"/>
            <w:szCs w:val="12"/>
            <w:vertAlign w:val="superscript"/>
            <w:lang w:val="en-US"/>
          </w:rPr>
          <w:t>119</w:t>
        </w:r>
      </w:hyperlink>
      <w:r w:rsidRPr="006A1E0C">
        <w:rPr>
          <w:rFonts w:ascii="Arial" w:hAnsi="Arial" w:cs="Arial"/>
          <w:color w:val="FF0000"/>
          <w:sz w:val="20"/>
          <w:szCs w:val="20"/>
          <w:lang w:val="en-US"/>
        </w:rPr>
        <w:t xml:space="preserve">. Due to its portability and scalability, </w:t>
      </w:r>
      <w:proofErr w:type="spellStart"/>
      <w:r w:rsidRPr="006A1E0C">
        <w:rPr>
          <w:rFonts w:ascii="Arial" w:hAnsi="Arial" w:cs="Arial"/>
          <w:color w:val="FF0000"/>
          <w:sz w:val="20"/>
          <w:szCs w:val="20"/>
          <w:lang w:val="en-US"/>
        </w:rPr>
        <w:t>LAMPore</w:t>
      </w:r>
      <w:proofErr w:type="spellEnd"/>
      <w:r w:rsidRPr="006A1E0C">
        <w:rPr>
          <w:rFonts w:ascii="Arial" w:hAnsi="Arial" w:cs="Arial"/>
          <w:color w:val="FF0000"/>
          <w:sz w:val="20"/>
          <w:szCs w:val="20"/>
          <w:lang w:val="en-US"/>
        </w:rPr>
        <w:t xml:space="preserve"> is particularly advantageous in resource-limited settings where conventional sequencing infrastructure may be unavailable. Additionally, colorimetric RT-LAMP has been evaluated as a cost-effective alternative for WWGS</w:t>
      </w:r>
      <w:hyperlink r:id="rId33" w:history="1">
        <w:r w:rsidRPr="006A1E0C">
          <w:rPr>
            <w:rStyle w:val="Hyperlink"/>
            <w:rFonts w:ascii="Arial" w:hAnsi="Arial" w:cs="Arial"/>
            <w:color w:val="FF0000"/>
            <w:sz w:val="12"/>
            <w:szCs w:val="12"/>
            <w:vertAlign w:val="superscript"/>
            <w:lang w:val="en-US"/>
          </w:rPr>
          <w:t>120</w:t>
        </w:r>
      </w:hyperlink>
      <w:r w:rsidRPr="006A1E0C">
        <w:rPr>
          <w:rFonts w:ascii="Arial" w:hAnsi="Arial" w:cs="Arial"/>
          <w:color w:val="FF0000"/>
          <w:sz w:val="20"/>
          <w:szCs w:val="20"/>
          <w:lang w:val="en-US"/>
        </w:rPr>
        <w:t>. While less sensitive than RT-PCR, it offers advantages such as faster results and operational simplicity, making it well suited for rapid, decentralized wastewater surveillance. LAMP-positive samples may be prioritized for sequencing, optimizing analytical efficiency by focusing resources on high-confidence detections</w:t>
      </w:r>
      <w:hyperlink r:id="rId34" w:history="1">
        <w:r w:rsidRPr="006A1E0C">
          <w:rPr>
            <w:rStyle w:val="Hyperlink"/>
            <w:rFonts w:ascii="Arial" w:hAnsi="Arial" w:cs="Arial"/>
            <w:color w:val="FF0000"/>
            <w:sz w:val="12"/>
            <w:szCs w:val="12"/>
            <w:vertAlign w:val="superscript"/>
            <w:lang w:val="en-US"/>
          </w:rPr>
          <w:t>121</w:t>
        </w:r>
      </w:hyperlink>
      <w:r w:rsidRPr="006A1E0C">
        <w:rPr>
          <w:rFonts w:ascii="Arial" w:hAnsi="Arial" w:cs="Arial"/>
          <w:color w:val="FF0000"/>
          <w:sz w:val="20"/>
          <w:szCs w:val="20"/>
          <w:lang w:val="en-US"/>
        </w:rPr>
        <w:t>. </w:t>
      </w:r>
    </w:p>
    <w:p w14:paraId="2425D552"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5A757424" w14:textId="77777777" w:rsidR="00B956F4" w:rsidRPr="001D0CAF" w:rsidRDefault="00B956F4" w:rsidP="00B956F4">
      <w:pPr>
        <w:pStyle w:val="NormalWeb"/>
        <w:spacing w:before="0" w:beforeAutospacing="0" w:after="0" w:afterAutospacing="0"/>
        <w:jc w:val="both"/>
        <w:rPr>
          <w:lang w:val="en-US"/>
        </w:rPr>
      </w:pPr>
      <w:r w:rsidRPr="001D0CAF">
        <w:rPr>
          <w:rFonts w:ascii="Arial" w:hAnsi="Arial" w:cs="Arial"/>
          <w:b/>
          <w:bCs/>
          <w:color w:val="222222"/>
          <w:sz w:val="20"/>
          <w:szCs w:val="20"/>
          <w:lang w:val="en-US"/>
        </w:rPr>
        <w:t xml:space="preserve">Comment 7. </w:t>
      </w:r>
      <w:r w:rsidRPr="001D0CAF">
        <w:rPr>
          <w:rFonts w:ascii="Arial" w:hAnsi="Arial" w:cs="Arial"/>
          <w:color w:val="222222"/>
          <w:sz w:val="20"/>
          <w:szCs w:val="20"/>
          <w:lang w:val="en-US"/>
        </w:rPr>
        <w:t>The authors do not describe bead-based capture methods (CERES)</w:t>
      </w:r>
    </w:p>
    <w:p w14:paraId="66F5829C"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r w:rsidRPr="001D0CAF">
        <w:rPr>
          <w:rFonts w:ascii="Arial" w:hAnsi="Arial" w:cs="Arial"/>
          <w:b/>
          <w:bCs/>
          <w:color w:val="222222"/>
          <w:sz w:val="20"/>
          <w:szCs w:val="20"/>
          <w:lang w:val="en-US"/>
        </w:rPr>
        <w:t xml:space="preserve">Author’s response: </w:t>
      </w:r>
      <w:r w:rsidRPr="001D0CAF">
        <w:rPr>
          <w:rFonts w:ascii="Arial" w:hAnsi="Arial" w:cs="Arial"/>
          <w:color w:val="222222"/>
          <w:sz w:val="20"/>
          <w:szCs w:val="20"/>
          <w:lang w:val="en-US"/>
        </w:rPr>
        <w:t>We thank the reviewer for this comment. We have included bead-based concentration techniques and made the following changes in section 2.2.</w:t>
      </w:r>
      <w:r w:rsidRPr="001D0CAF">
        <w:rPr>
          <w:rFonts w:ascii="Arial" w:hAnsi="Arial" w:cs="Arial"/>
          <w:color w:val="FF0000"/>
          <w:sz w:val="20"/>
          <w:szCs w:val="20"/>
          <w:lang w:val="en-US"/>
        </w:rPr>
        <w:t> </w:t>
      </w:r>
    </w:p>
    <w:p w14:paraId="73A08C56"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7134AE22"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color w:val="FF0000"/>
          <w:sz w:val="20"/>
          <w:szCs w:val="20"/>
          <w:lang w:val="en-US"/>
        </w:rPr>
        <w:t>Bead-based concentration techniques have emerged as an efficient approach for SARS-CoV-2 concentration from wastewater. Magnetic particles can bind to viral particles through several mechanisms, such as antibody-coated beads that bind to viral surface proteins, charged beads that attract oppositely charged viral surfaces, and beads with hydrophobic surfaces that interact with viral envelope proteins</w:t>
      </w:r>
      <w:hyperlink r:id="rId35" w:history="1">
        <w:r w:rsidRPr="006A1E0C">
          <w:rPr>
            <w:rStyle w:val="Hyperlink"/>
            <w:rFonts w:ascii="Arial" w:hAnsi="Arial" w:cs="Arial"/>
            <w:color w:val="FF0000"/>
            <w:sz w:val="12"/>
            <w:szCs w:val="12"/>
            <w:vertAlign w:val="superscript"/>
            <w:lang w:val="en-US"/>
          </w:rPr>
          <w:t>87–90</w:t>
        </w:r>
      </w:hyperlink>
      <w:r w:rsidRPr="006A1E0C">
        <w:rPr>
          <w:rFonts w:ascii="Arial" w:hAnsi="Arial" w:cs="Arial"/>
          <w:color w:val="FF0000"/>
          <w:sz w:val="20"/>
          <w:szCs w:val="20"/>
          <w:lang w:val="en-US"/>
        </w:rPr>
        <w:t xml:space="preserve">. For example, magnetic hydrogel particles (Ceres </w:t>
      </w:r>
      <w:proofErr w:type="spellStart"/>
      <w:r w:rsidRPr="006A1E0C">
        <w:rPr>
          <w:rFonts w:ascii="Arial" w:hAnsi="Arial" w:cs="Arial"/>
          <w:color w:val="FF0000"/>
          <w:sz w:val="20"/>
          <w:szCs w:val="20"/>
          <w:lang w:val="en-US"/>
        </w:rPr>
        <w:t>Nanosciences</w:t>
      </w:r>
      <w:proofErr w:type="spellEnd"/>
      <w:r w:rsidRPr="006A1E0C">
        <w:rPr>
          <w:rFonts w:ascii="Arial" w:hAnsi="Arial" w:cs="Arial"/>
          <w:color w:val="FF0000"/>
          <w:sz w:val="20"/>
          <w:szCs w:val="20"/>
          <w:lang w:val="en-US"/>
        </w:rPr>
        <w:t xml:space="preserve"> Inc.) use reactive dye baits to capture SARS-CoV-2 through electrostatic and hydrophobic interactions with viral surface proteins. Several benchmarking studies have compared magnetic bead-based concentration with commonly used concentration techniques by using SARS-CoV-2 spiked wastewater and real wastewater samples. Antkiewicz et al.</w:t>
      </w:r>
      <w:hyperlink r:id="rId36" w:history="1">
        <w:r w:rsidRPr="006A1E0C">
          <w:rPr>
            <w:rStyle w:val="Hyperlink"/>
            <w:rFonts w:ascii="Arial" w:hAnsi="Arial" w:cs="Arial"/>
            <w:color w:val="FF0000"/>
            <w:sz w:val="12"/>
            <w:szCs w:val="12"/>
            <w:vertAlign w:val="superscript"/>
            <w:lang w:val="en-US"/>
          </w:rPr>
          <w:t>91</w:t>
        </w:r>
      </w:hyperlink>
      <w:r w:rsidRPr="006A1E0C">
        <w:rPr>
          <w:rFonts w:ascii="Arial" w:hAnsi="Arial" w:cs="Arial"/>
          <w:color w:val="FF0000"/>
          <w:sz w:val="20"/>
          <w:szCs w:val="20"/>
          <w:lang w:val="en-US"/>
        </w:rPr>
        <w:t xml:space="preserve"> demonstrated that </w:t>
      </w:r>
      <w:proofErr w:type="spellStart"/>
      <w:r w:rsidRPr="006A1E0C">
        <w:rPr>
          <w:rFonts w:ascii="Arial" w:hAnsi="Arial" w:cs="Arial"/>
          <w:color w:val="FF0000"/>
          <w:sz w:val="20"/>
          <w:szCs w:val="20"/>
          <w:lang w:val="en-US"/>
        </w:rPr>
        <w:t>Nanotrap</w:t>
      </w:r>
      <w:proofErr w:type="spellEnd"/>
      <w:r w:rsidRPr="006A1E0C">
        <w:rPr>
          <w:rFonts w:ascii="Arial" w:hAnsi="Arial" w:cs="Arial"/>
          <w:b/>
          <w:bCs/>
          <w:color w:val="FF0000"/>
          <w:sz w:val="20"/>
          <w:szCs w:val="20"/>
          <w:shd w:val="clear" w:color="auto" w:fill="FFFFFF"/>
          <w:lang w:val="en-US"/>
        </w:rPr>
        <w:t>®</w:t>
      </w:r>
      <w:r w:rsidRPr="006A1E0C">
        <w:rPr>
          <w:rFonts w:ascii="Arial" w:hAnsi="Arial" w:cs="Arial"/>
          <w:color w:val="FF0000"/>
          <w:sz w:val="20"/>
          <w:szCs w:val="20"/>
          <w:lang w:val="en-US"/>
        </w:rPr>
        <w:t xml:space="preserve"> particles (Ceres </w:t>
      </w:r>
      <w:proofErr w:type="spellStart"/>
      <w:r w:rsidRPr="006A1E0C">
        <w:rPr>
          <w:rFonts w:ascii="Arial" w:hAnsi="Arial" w:cs="Arial"/>
          <w:color w:val="FF0000"/>
          <w:sz w:val="20"/>
          <w:szCs w:val="20"/>
          <w:lang w:val="en-US"/>
        </w:rPr>
        <w:t>Nanosciences</w:t>
      </w:r>
      <w:proofErr w:type="spellEnd"/>
      <w:r w:rsidRPr="006A1E0C">
        <w:rPr>
          <w:rFonts w:ascii="Arial" w:hAnsi="Arial" w:cs="Arial"/>
          <w:color w:val="FF0000"/>
          <w:sz w:val="20"/>
          <w:szCs w:val="20"/>
          <w:lang w:val="en-US"/>
        </w:rPr>
        <w:t xml:space="preserve"> Inc.), provided 2.8x higher SARS-CoV-2 concentrations compared to EMFs; however, Ahmed et al.</w:t>
      </w:r>
      <w:hyperlink r:id="rId37" w:history="1">
        <w:r w:rsidRPr="006A1E0C">
          <w:rPr>
            <w:rStyle w:val="Hyperlink"/>
            <w:rFonts w:ascii="Arial" w:hAnsi="Arial" w:cs="Arial"/>
            <w:color w:val="FF0000"/>
            <w:sz w:val="12"/>
            <w:szCs w:val="12"/>
            <w:vertAlign w:val="superscript"/>
            <w:lang w:val="en-US"/>
          </w:rPr>
          <w:t>92</w:t>
        </w:r>
      </w:hyperlink>
      <w:r w:rsidRPr="006A1E0C">
        <w:rPr>
          <w:rFonts w:ascii="Arial" w:hAnsi="Arial" w:cs="Arial"/>
          <w:color w:val="FF0000"/>
          <w:sz w:val="20"/>
          <w:szCs w:val="20"/>
          <w:lang w:val="en-US"/>
        </w:rPr>
        <w:t xml:space="preserve"> and Babler et al.</w:t>
      </w:r>
      <w:hyperlink r:id="rId38" w:history="1">
        <w:r w:rsidRPr="006A1E0C">
          <w:rPr>
            <w:rStyle w:val="Hyperlink"/>
            <w:rFonts w:ascii="Arial" w:hAnsi="Arial" w:cs="Arial"/>
            <w:color w:val="FF0000"/>
            <w:sz w:val="12"/>
            <w:szCs w:val="12"/>
            <w:vertAlign w:val="superscript"/>
            <w:lang w:val="en-US"/>
          </w:rPr>
          <w:t>93</w:t>
        </w:r>
      </w:hyperlink>
      <w:r w:rsidRPr="006A1E0C">
        <w:rPr>
          <w:rFonts w:ascii="Arial" w:hAnsi="Arial" w:cs="Arial"/>
          <w:color w:val="FF0000"/>
          <w:sz w:val="20"/>
          <w:szCs w:val="20"/>
          <w:lang w:val="en-US"/>
        </w:rPr>
        <w:t xml:space="preserve"> find that magnetic bead-based concentration methods provide similar results to EMFs. </w:t>
      </w:r>
    </w:p>
    <w:p w14:paraId="0D0947F7"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381A7AB7" w14:textId="77777777" w:rsidR="00B956F4" w:rsidRPr="002C2BB5" w:rsidRDefault="00B956F4" w:rsidP="00B956F4">
      <w:pPr>
        <w:pStyle w:val="NormalWeb"/>
        <w:spacing w:before="0" w:beforeAutospacing="0" w:after="0" w:afterAutospacing="0"/>
        <w:jc w:val="both"/>
        <w:rPr>
          <w:lang w:val="en-US"/>
        </w:rPr>
      </w:pPr>
      <w:r w:rsidRPr="002C2BB5">
        <w:rPr>
          <w:rFonts w:ascii="Arial" w:hAnsi="Arial" w:cs="Arial"/>
          <w:b/>
          <w:bCs/>
          <w:color w:val="222222"/>
          <w:sz w:val="20"/>
          <w:szCs w:val="20"/>
          <w:lang w:val="en-US"/>
        </w:rPr>
        <w:t xml:space="preserve">Comment 8. </w:t>
      </w:r>
      <w:r w:rsidRPr="002C2BB5">
        <w:rPr>
          <w:rFonts w:ascii="Arial" w:hAnsi="Arial" w:cs="Arial"/>
          <w:color w:val="222222"/>
          <w:sz w:val="20"/>
          <w:szCs w:val="20"/>
          <w:lang w:val="en-US"/>
        </w:rPr>
        <w:t>The authors do not mention chronic carriers and their contribution to the wastewater variant pool. </w:t>
      </w:r>
    </w:p>
    <w:p w14:paraId="6AE289DB" w14:textId="77777777" w:rsidR="00B956F4" w:rsidRPr="002C2BB5" w:rsidRDefault="00B956F4" w:rsidP="00B956F4">
      <w:pPr>
        <w:pStyle w:val="NormalWeb"/>
        <w:spacing w:before="0" w:beforeAutospacing="0" w:after="0" w:afterAutospacing="0"/>
        <w:jc w:val="both"/>
        <w:rPr>
          <w:lang w:val="en-US"/>
        </w:rPr>
      </w:pPr>
      <w:r w:rsidRPr="002C2BB5">
        <w:rPr>
          <w:rFonts w:ascii="Arial" w:hAnsi="Arial" w:cs="Arial"/>
          <w:b/>
          <w:bCs/>
          <w:color w:val="222222"/>
          <w:sz w:val="20"/>
          <w:szCs w:val="20"/>
          <w:lang w:val="en-US"/>
        </w:rPr>
        <w:t xml:space="preserve">Author’s response: </w:t>
      </w:r>
      <w:r w:rsidRPr="002C2BB5">
        <w:rPr>
          <w:rFonts w:ascii="Arial" w:hAnsi="Arial" w:cs="Arial"/>
          <w:color w:val="000000"/>
          <w:sz w:val="20"/>
          <w:szCs w:val="20"/>
          <w:lang w:val="en-US"/>
        </w:rPr>
        <w:t xml:space="preserve">We appreciate the reviewer’s insightful comment. We have incorporated the following text into the revised manuscript in </w:t>
      </w:r>
      <w:proofErr w:type="gramStart"/>
      <w:r w:rsidRPr="002C2BB5">
        <w:rPr>
          <w:rFonts w:ascii="Arial" w:hAnsi="Arial" w:cs="Arial"/>
          <w:color w:val="000000"/>
          <w:sz w:val="20"/>
          <w:szCs w:val="20"/>
          <w:lang w:val="en-US"/>
        </w:rPr>
        <w:t>4.3 section</w:t>
      </w:r>
      <w:proofErr w:type="gramEnd"/>
      <w:r w:rsidRPr="002C2BB5">
        <w:rPr>
          <w:rFonts w:ascii="Arial" w:hAnsi="Arial" w:cs="Arial"/>
          <w:color w:val="000000"/>
          <w:sz w:val="20"/>
          <w:szCs w:val="20"/>
          <w:lang w:val="en-US"/>
        </w:rPr>
        <w:t>.</w:t>
      </w:r>
    </w:p>
    <w:p w14:paraId="0FCF8C6D" w14:textId="77777777" w:rsidR="00B956F4" w:rsidRDefault="00B956F4" w:rsidP="00B956F4">
      <w:pPr>
        <w:pStyle w:val="NormalWeb"/>
        <w:spacing w:before="0" w:beforeAutospacing="0" w:after="0" w:afterAutospacing="0"/>
        <w:jc w:val="both"/>
        <w:rPr>
          <w:lang w:val="en-US"/>
        </w:rPr>
      </w:pPr>
    </w:p>
    <w:p w14:paraId="284ADA6F"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The presence of such cryptic lineages, are thought to result from unobserved infections, including prolonged shedding from immunocompromised individuals or potential zoonotic reservoirs contributing to cryptic viral persistence</w:t>
      </w:r>
      <w:hyperlink r:id="rId39" w:history="1">
        <w:r w:rsidRPr="006A1E0C">
          <w:rPr>
            <w:rStyle w:val="Hyperlink"/>
            <w:rFonts w:ascii="Arial" w:hAnsi="Arial" w:cs="Arial"/>
            <w:sz w:val="12"/>
            <w:szCs w:val="12"/>
            <w:vertAlign w:val="superscript"/>
            <w:lang w:val="en-US"/>
          </w:rPr>
          <w:t>19,242</w:t>
        </w:r>
      </w:hyperlink>
      <w:r w:rsidRPr="006A1E0C">
        <w:rPr>
          <w:rFonts w:ascii="Arial" w:hAnsi="Arial" w:cs="Arial"/>
          <w:color w:val="FF0000"/>
          <w:sz w:val="20"/>
          <w:szCs w:val="20"/>
          <w:lang w:val="en-US"/>
        </w:rPr>
        <w:t>. WWGS offers a powerful approach for detecting viral RNA from zoonotic reservoirs in urban environments, enabling the identification of SARS-CoV-2 sequences with mutations indicative of adaptation to non-human reservoir that SARS-CoV-2 has already established (e.g., free-ranging white tailed deer)</w:t>
      </w:r>
      <w:hyperlink r:id="rId40" w:history="1">
        <w:r w:rsidRPr="006A1E0C">
          <w:rPr>
            <w:rStyle w:val="Hyperlink"/>
            <w:rFonts w:ascii="Arial" w:hAnsi="Arial" w:cs="Arial"/>
            <w:sz w:val="12"/>
            <w:szCs w:val="12"/>
            <w:vertAlign w:val="superscript"/>
            <w:lang w:val="en-US"/>
          </w:rPr>
          <w:t>27,243,244</w:t>
        </w:r>
      </w:hyperlink>
      <w:r w:rsidRPr="006A1E0C">
        <w:rPr>
          <w:rFonts w:ascii="Arial" w:hAnsi="Arial" w:cs="Arial"/>
          <w:color w:val="FF0000"/>
          <w:sz w:val="20"/>
          <w:szCs w:val="20"/>
          <w:lang w:val="en-US"/>
        </w:rPr>
        <w:t>. Cryptic SARS-CoV-2 lineages in wastewater exhibit mutations expanding receptor tropism to human, mouse and rat ACE2, supporting potential non-human hosts adaptation</w:t>
      </w:r>
      <w:hyperlink r:id="rId41" w:history="1">
        <w:r w:rsidRPr="006A1E0C">
          <w:rPr>
            <w:rStyle w:val="Hyperlink"/>
            <w:rFonts w:ascii="Arial" w:hAnsi="Arial" w:cs="Arial"/>
            <w:sz w:val="12"/>
            <w:szCs w:val="12"/>
            <w:vertAlign w:val="superscript"/>
            <w:lang w:val="en-US"/>
          </w:rPr>
          <w:t>27,245</w:t>
        </w:r>
      </w:hyperlink>
      <w:r w:rsidRPr="006A1E0C">
        <w:rPr>
          <w:rFonts w:ascii="Arial" w:hAnsi="Arial" w:cs="Arial"/>
          <w:color w:val="FF0000"/>
          <w:sz w:val="20"/>
          <w:szCs w:val="20"/>
          <w:lang w:val="en-US"/>
        </w:rPr>
        <w:t xml:space="preserve">. Metagenomic sequencing has detected rRNA from cats, dogs, and rats in wastewater, suggesting possible zoonotic contributions. However, the overwhelming dominance of human RNA complicates direct attribution of cryptic lineages to animal reservoirs. Variability in detection across </w:t>
      </w:r>
      <w:proofErr w:type="spellStart"/>
      <w:r w:rsidRPr="006A1E0C">
        <w:rPr>
          <w:rFonts w:ascii="Arial" w:hAnsi="Arial" w:cs="Arial"/>
          <w:color w:val="FF0000"/>
          <w:sz w:val="20"/>
          <w:szCs w:val="20"/>
          <w:lang w:val="en-US"/>
        </w:rPr>
        <w:t>sewersheds</w:t>
      </w:r>
      <w:proofErr w:type="spellEnd"/>
      <w:r w:rsidRPr="006A1E0C">
        <w:rPr>
          <w:rFonts w:ascii="Arial" w:hAnsi="Arial" w:cs="Arial"/>
          <w:color w:val="FF0000"/>
          <w:sz w:val="20"/>
          <w:szCs w:val="20"/>
          <w:lang w:val="en-US"/>
        </w:rPr>
        <w:t xml:space="preserve"> further suggests that no single species alone sustains these lineages</w:t>
      </w:r>
      <w:hyperlink r:id="rId42" w:history="1">
        <w:r w:rsidRPr="006A1E0C">
          <w:rPr>
            <w:rStyle w:val="Hyperlink"/>
            <w:rFonts w:ascii="Arial" w:hAnsi="Arial" w:cs="Arial"/>
            <w:sz w:val="12"/>
            <w:szCs w:val="12"/>
            <w:vertAlign w:val="superscript"/>
            <w:lang w:val="en-US"/>
          </w:rPr>
          <w:t>27</w:t>
        </w:r>
      </w:hyperlink>
      <w:r w:rsidRPr="006A1E0C">
        <w:rPr>
          <w:rFonts w:ascii="Arial" w:hAnsi="Arial" w:cs="Arial"/>
          <w:color w:val="FF0000"/>
          <w:sz w:val="20"/>
          <w:szCs w:val="20"/>
          <w:lang w:val="en-US"/>
        </w:rPr>
        <w:t>. Future studies integrating wastewater genomics with ecological and serological data are essential to clarify the role of non-human reservoirs in SARS-CoV-2 evolution. The clinical consequences of such retransmission to the human population are challenging to predict since mutation-driven adaptations to a new host may lead to decreased adaptation to the human environment but also to improved evasion of acquired immunity, including cellular response, and thus higher susceptibility to severe disease</w:t>
      </w:r>
      <w:hyperlink r:id="rId43" w:history="1">
        <w:r w:rsidRPr="006A1E0C">
          <w:rPr>
            <w:rStyle w:val="Hyperlink"/>
            <w:rFonts w:ascii="Arial" w:hAnsi="Arial" w:cs="Arial"/>
            <w:sz w:val="12"/>
            <w:szCs w:val="12"/>
            <w:vertAlign w:val="superscript"/>
            <w:lang w:val="en-US"/>
          </w:rPr>
          <w:t>246,247</w:t>
        </w:r>
      </w:hyperlink>
      <w:r w:rsidRPr="006A1E0C">
        <w:rPr>
          <w:rFonts w:ascii="Arial" w:hAnsi="Arial" w:cs="Arial"/>
          <w:color w:val="FF0000"/>
          <w:sz w:val="20"/>
          <w:szCs w:val="20"/>
          <w:lang w:val="en-US"/>
        </w:rPr>
        <w:t>. Therefore, detecting such events presents a significant computational challenge, stemming from the difficulty in distinguishing the source of the viral RNA. However, some approaches could be undertaken to overcome this issue, including a comparison of SARS-</w:t>
      </w:r>
      <w:r w:rsidRPr="006A1E0C">
        <w:rPr>
          <w:rFonts w:ascii="Arial" w:hAnsi="Arial" w:cs="Arial"/>
          <w:color w:val="FF0000"/>
          <w:sz w:val="20"/>
          <w:szCs w:val="20"/>
          <w:lang w:val="en-US"/>
        </w:rPr>
        <w:lastRenderedPageBreak/>
        <w:t>CoV-2 genomes from human cases with those found in animals to reveal potential animal reservoirs or employment of advanced computational tools, such as machine learning models, to analyze viral sequences to predict potential animal hosts</w:t>
      </w:r>
      <w:hyperlink r:id="rId44" w:history="1">
        <w:r w:rsidRPr="006A1E0C">
          <w:rPr>
            <w:rStyle w:val="Hyperlink"/>
            <w:rFonts w:ascii="Arial" w:hAnsi="Arial" w:cs="Arial"/>
            <w:sz w:val="12"/>
            <w:szCs w:val="12"/>
            <w:vertAlign w:val="superscript"/>
            <w:lang w:val="en-US"/>
          </w:rPr>
          <w:t>248,249</w:t>
        </w:r>
      </w:hyperlink>
      <w:r w:rsidRPr="006A1E0C">
        <w:rPr>
          <w:rFonts w:ascii="Arial" w:hAnsi="Arial" w:cs="Arial"/>
          <w:color w:val="FF0000"/>
          <w:sz w:val="20"/>
          <w:szCs w:val="20"/>
          <w:lang w:val="en-US"/>
        </w:rPr>
        <w:t xml:space="preserve">. Recent methods have shown promising in bridging this gap. For example, machine learning frameworks like </w:t>
      </w:r>
      <w:proofErr w:type="spellStart"/>
      <w:r w:rsidRPr="006A1E0C">
        <w:rPr>
          <w:rFonts w:ascii="Arial" w:hAnsi="Arial" w:cs="Arial"/>
          <w:color w:val="FF0000"/>
          <w:sz w:val="20"/>
          <w:szCs w:val="20"/>
          <w:lang w:val="en-US"/>
        </w:rPr>
        <w:t>DeepHoF</w:t>
      </w:r>
      <w:proofErr w:type="spellEnd"/>
      <w:r w:rsidRPr="006A1E0C">
        <w:rPr>
          <w:rFonts w:ascii="Arial" w:hAnsi="Arial" w:cs="Arial"/>
          <w:color w:val="FF0000"/>
          <w:sz w:val="20"/>
          <w:szCs w:val="20"/>
          <w:lang w:val="en-US"/>
        </w:rPr>
        <w:t xml:space="preserve"> and </w:t>
      </w:r>
      <w:proofErr w:type="spellStart"/>
      <w:r w:rsidRPr="006A1E0C">
        <w:rPr>
          <w:rFonts w:ascii="Arial" w:hAnsi="Arial" w:cs="Arial"/>
          <w:color w:val="FF0000"/>
          <w:sz w:val="20"/>
          <w:szCs w:val="20"/>
          <w:lang w:val="en-US"/>
        </w:rPr>
        <w:t>RNAVirHost</w:t>
      </w:r>
      <w:proofErr w:type="spellEnd"/>
      <w:r w:rsidRPr="006A1E0C">
        <w:rPr>
          <w:rFonts w:ascii="Arial" w:hAnsi="Arial" w:cs="Arial"/>
          <w:color w:val="FF0000"/>
          <w:sz w:val="20"/>
          <w:szCs w:val="20"/>
          <w:lang w:val="en-US"/>
        </w:rPr>
        <w:t xml:space="preserve"> can predict host range based on viral genome features by training on large scale host-virus associated data, effectively classifying host types at various taxonomic levels</w:t>
      </w:r>
      <w:hyperlink r:id="rId45" w:history="1">
        <w:r w:rsidRPr="006A1E0C">
          <w:rPr>
            <w:rStyle w:val="Hyperlink"/>
            <w:rFonts w:ascii="Arial" w:hAnsi="Arial" w:cs="Arial"/>
            <w:sz w:val="12"/>
            <w:szCs w:val="12"/>
            <w:vertAlign w:val="superscript"/>
            <w:lang w:val="en-US"/>
          </w:rPr>
          <w:t>250,251</w:t>
        </w:r>
      </w:hyperlink>
      <w:r w:rsidRPr="006A1E0C">
        <w:rPr>
          <w:rFonts w:ascii="Arial" w:hAnsi="Arial" w:cs="Arial"/>
          <w:color w:val="FF0000"/>
          <w:sz w:val="20"/>
          <w:szCs w:val="20"/>
          <w:lang w:val="en-US"/>
        </w:rPr>
        <w:t>. Additionally, VIDHOP tool utilizes neural network-based classifiers trained on a broad range of viral sequences to predict with high accuracy host taxa from viral genomes, including coronaviruses</w:t>
      </w:r>
      <w:hyperlink r:id="rId46" w:history="1">
        <w:r w:rsidRPr="006A1E0C">
          <w:rPr>
            <w:rStyle w:val="Hyperlink"/>
            <w:rFonts w:ascii="Arial" w:hAnsi="Arial" w:cs="Arial"/>
            <w:sz w:val="12"/>
            <w:szCs w:val="12"/>
            <w:vertAlign w:val="superscript"/>
            <w:lang w:val="en-US"/>
          </w:rPr>
          <w:t>252</w:t>
        </w:r>
      </w:hyperlink>
      <w:r w:rsidRPr="006A1E0C">
        <w:rPr>
          <w:rFonts w:ascii="Arial" w:hAnsi="Arial" w:cs="Arial"/>
          <w:color w:val="FF0000"/>
          <w:sz w:val="20"/>
          <w:szCs w:val="20"/>
          <w:lang w:val="en-US"/>
        </w:rPr>
        <w:t>. These tools, while limited by reference data and taxonomic resolution, represent important steps toward inferring potential non-human sources contributing to observed variant diversity in environmental samples. Moreover, identifying host-specific marker mutations, particularly those derived from animal-origin SARS-CoV-2 genomes, could further support host attribution efforts.</w:t>
      </w:r>
    </w:p>
    <w:p w14:paraId="5AAAADF0"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r w:rsidRPr="006A1E0C">
        <w:rPr>
          <w:rFonts w:ascii="Arial" w:hAnsi="Arial" w:cs="Arial"/>
          <w:color w:val="FF0000"/>
          <w:sz w:val="20"/>
          <w:szCs w:val="20"/>
          <w:lang w:val="en-US"/>
        </w:rPr>
        <w:t>Additionally to zoonotic reservoirs, chronic carriers may serve as continuous sources of viral shedding, introducing SARS-CoV-2 RNA into wastewater systems even in the absence of active outbreaks, thereby enabling active detection of viral RNA in westwater</w:t>
      </w:r>
      <w:hyperlink r:id="rId47" w:history="1">
        <w:r w:rsidRPr="006A1E0C">
          <w:rPr>
            <w:rStyle w:val="Hyperlink"/>
            <w:rFonts w:ascii="Arial" w:hAnsi="Arial" w:cs="Arial"/>
            <w:color w:val="FF0000"/>
            <w:sz w:val="12"/>
            <w:szCs w:val="12"/>
            <w:vertAlign w:val="superscript"/>
            <w:lang w:val="en-US"/>
          </w:rPr>
          <w:t>253,254</w:t>
        </w:r>
      </w:hyperlink>
      <w:r w:rsidRPr="006A1E0C">
        <w:rPr>
          <w:rFonts w:ascii="Arial" w:hAnsi="Arial" w:cs="Arial"/>
          <w:color w:val="FF0000"/>
          <w:sz w:val="20"/>
          <w:szCs w:val="20"/>
          <w:lang w:val="en-US"/>
        </w:rPr>
        <w:t>. WWGS may uncover genomic cryptic viral circulation, including genetically distinct SARS-CoV-2 lineages and recombinant variants that had not been previously identified through clinical testing</w:t>
      </w:r>
      <w:hyperlink r:id="rId48" w:history="1">
        <w:r w:rsidRPr="006A1E0C">
          <w:rPr>
            <w:rStyle w:val="Hyperlink"/>
            <w:rFonts w:ascii="Arial" w:hAnsi="Arial" w:cs="Arial"/>
            <w:color w:val="FF0000"/>
            <w:sz w:val="12"/>
            <w:szCs w:val="12"/>
            <w:vertAlign w:val="superscript"/>
            <w:lang w:val="en-US"/>
          </w:rPr>
          <w:t>255</w:t>
        </w:r>
      </w:hyperlink>
      <w:r w:rsidRPr="006A1E0C">
        <w:rPr>
          <w:rFonts w:ascii="Arial" w:hAnsi="Arial" w:cs="Arial"/>
          <w:color w:val="FF0000"/>
          <w:sz w:val="20"/>
          <w:szCs w:val="20"/>
          <w:lang w:val="en-US"/>
        </w:rPr>
        <w:t>. These findings highlight the utility of WWGS in capturing transmission dynamics that may be overlooked by clinical surveillance, particularly in areas with limited testing or asymptomatic infections</w:t>
      </w:r>
      <w:hyperlink r:id="rId49" w:history="1">
        <w:r w:rsidRPr="006A1E0C">
          <w:rPr>
            <w:rStyle w:val="Hyperlink"/>
            <w:rFonts w:ascii="Arial" w:hAnsi="Arial" w:cs="Arial"/>
            <w:color w:val="FF0000"/>
            <w:sz w:val="12"/>
            <w:szCs w:val="12"/>
            <w:vertAlign w:val="superscript"/>
            <w:lang w:val="en-US"/>
          </w:rPr>
          <w:t>256</w:t>
        </w:r>
      </w:hyperlink>
      <w:r w:rsidRPr="006A1E0C">
        <w:rPr>
          <w:rFonts w:ascii="Arial" w:hAnsi="Arial" w:cs="Arial"/>
          <w:color w:val="FF0000"/>
          <w:sz w:val="20"/>
          <w:szCs w:val="20"/>
          <w:lang w:val="en-US"/>
        </w:rPr>
        <w:t>.</w:t>
      </w:r>
    </w:p>
    <w:p w14:paraId="60DFB351" w14:textId="77777777" w:rsidR="00B956F4" w:rsidRDefault="00B956F4" w:rsidP="00B956F4">
      <w:pPr>
        <w:spacing w:after="0" w:line="240" w:lineRule="auto"/>
        <w:jc w:val="both"/>
        <w:rPr>
          <w:rFonts w:ascii="Arial" w:eastAsia="Times New Roman" w:hAnsi="Arial" w:cs="Arial"/>
          <w:b/>
          <w:bCs/>
          <w:color w:val="000000"/>
          <w:sz w:val="20"/>
          <w:szCs w:val="20"/>
          <w:lang w:eastAsia="ru-RU"/>
        </w:rPr>
      </w:pPr>
    </w:p>
    <w:p w14:paraId="00EF102F" w14:textId="77777777" w:rsidR="00B956F4" w:rsidRPr="00561941" w:rsidRDefault="00B956F4" w:rsidP="00B956F4">
      <w:pPr>
        <w:spacing w:after="0" w:line="240" w:lineRule="auto"/>
        <w:jc w:val="both"/>
        <w:rPr>
          <w:rFonts w:ascii="Times New Roman" w:eastAsia="Times New Roman" w:hAnsi="Times New Roman" w:cs="Times New Roman"/>
          <w:sz w:val="24"/>
          <w:szCs w:val="24"/>
          <w:lang w:eastAsia="ru-RU"/>
        </w:rPr>
      </w:pPr>
      <w:r w:rsidRPr="00561941">
        <w:rPr>
          <w:rFonts w:ascii="Arial" w:eastAsia="Times New Roman" w:hAnsi="Arial" w:cs="Arial"/>
          <w:b/>
          <w:bCs/>
          <w:color w:val="000000"/>
          <w:sz w:val="20"/>
          <w:szCs w:val="20"/>
          <w:lang w:eastAsia="ru-RU"/>
        </w:rPr>
        <w:t xml:space="preserve">Comment 9. </w:t>
      </w:r>
      <w:r w:rsidRPr="00561941">
        <w:rPr>
          <w:rFonts w:ascii="Arial" w:eastAsia="Times New Roman" w:hAnsi="Arial" w:cs="Arial"/>
          <w:color w:val="000000"/>
          <w:sz w:val="20"/>
          <w:szCs w:val="20"/>
          <w:lang w:eastAsia="ru-RU"/>
        </w:rPr>
        <w:t>I think the authors could do a better job of describing the costs associated with the various approaches. Perhaps in the tables.</w:t>
      </w:r>
    </w:p>
    <w:p w14:paraId="6E4C81CF" w14:textId="77777777" w:rsidR="00B956F4" w:rsidRPr="00561941" w:rsidRDefault="00B956F4" w:rsidP="00B956F4">
      <w:pPr>
        <w:spacing w:after="0" w:line="240" w:lineRule="auto"/>
        <w:jc w:val="both"/>
        <w:rPr>
          <w:rFonts w:ascii="Times New Roman" w:eastAsia="Times New Roman" w:hAnsi="Times New Roman" w:cs="Times New Roman"/>
          <w:sz w:val="24"/>
          <w:szCs w:val="24"/>
          <w:lang w:eastAsia="ru-RU"/>
        </w:rPr>
      </w:pPr>
      <w:r w:rsidRPr="00561941">
        <w:rPr>
          <w:rFonts w:ascii="Arial" w:eastAsia="Times New Roman" w:hAnsi="Arial" w:cs="Arial"/>
          <w:b/>
          <w:bCs/>
          <w:color w:val="000000"/>
          <w:sz w:val="20"/>
          <w:szCs w:val="20"/>
          <w:lang w:eastAsia="ru-RU"/>
        </w:rPr>
        <w:t>Author’s response:</w:t>
      </w:r>
      <w:r w:rsidRPr="00561941">
        <w:rPr>
          <w:rFonts w:ascii="Arial" w:eastAsia="Times New Roman" w:hAnsi="Arial" w:cs="Arial"/>
          <w:b/>
          <w:bCs/>
          <w:color w:val="9900FF"/>
          <w:sz w:val="20"/>
          <w:szCs w:val="20"/>
          <w:lang w:eastAsia="ru-RU"/>
        </w:rPr>
        <w:t xml:space="preserve"> </w:t>
      </w:r>
      <w:r w:rsidRPr="00561941">
        <w:rPr>
          <w:rFonts w:ascii="Arial" w:eastAsia="Times New Roman" w:hAnsi="Arial" w:cs="Arial"/>
          <w:color w:val="000000"/>
          <w:sz w:val="20"/>
          <w:szCs w:val="20"/>
          <w:lang w:eastAsia="ru-RU"/>
        </w:rPr>
        <w:t>We thank the reviewer for this insightful suggestion. We fully agree that the costs associated with different WWGS approaches are essential to consider. However, comprehensive cost comparisons between methods (e.g., RT-qPCR vs. sequencing) are highly variable across countries and regions, as local infrastructure, labor costs, procurement systems, and significant fluctuations in reagent prices influence them. These regional disparities make it challenging to present standardized or directly comparable estimates within the scope of this manuscript. For this reason, we have opted not to include detailed cost breakdowns in our manuscript.</w:t>
      </w:r>
    </w:p>
    <w:p w14:paraId="081CDEE3" w14:textId="77777777" w:rsidR="00B956F4" w:rsidRPr="00561941" w:rsidRDefault="00B956F4" w:rsidP="00B956F4">
      <w:pPr>
        <w:spacing w:after="0" w:line="240" w:lineRule="auto"/>
        <w:rPr>
          <w:rFonts w:ascii="Times New Roman" w:eastAsia="Times New Roman" w:hAnsi="Times New Roman" w:cs="Times New Roman"/>
          <w:sz w:val="24"/>
          <w:szCs w:val="24"/>
          <w:lang w:eastAsia="ru-RU"/>
        </w:rPr>
      </w:pPr>
    </w:p>
    <w:p w14:paraId="569F4CB5" w14:textId="77777777" w:rsidR="00B956F4" w:rsidRPr="00561941" w:rsidRDefault="00B956F4" w:rsidP="00B956F4">
      <w:pPr>
        <w:spacing w:after="0" w:line="240" w:lineRule="auto"/>
        <w:jc w:val="both"/>
        <w:rPr>
          <w:rFonts w:ascii="Times New Roman" w:eastAsia="Times New Roman" w:hAnsi="Times New Roman" w:cs="Times New Roman"/>
          <w:sz w:val="24"/>
          <w:szCs w:val="24"/>
          <w:lang w:eastAsia="ru-RU"/>
        </w:rPr>
      </w:pPr>
      <w:r w:rsidRPr="00561941">
        <w:rPr>
          <w:rFonts w:ascii="Arial" w:eastAsia="Times New Roman" w:hAnsi="Arial" w:cs="Arial"/>
          <w:b/>
          <w:bCs/>
          <w:color w:val="222222"/>
          <w:sz w:val="20"/>
          <w:szCs w:val="20"/>
          <w:lang w:eastAsia="ru-RU"/>
        </w:rPr>
        <w:t>Comment 10.</w:t>
      </w:r>
      <w:r w:rsidRPr="00561941">
        <w:rPr>
          <w:rFonts w:ascii="Arial" w:eastAsia="Times New Roman" w:hAnsi="Arial" w:cs="Arial"/>
          <w:color w:val="222222"/>
          <w:sz w:val="20"/>
          <w:szCs w:val="20"/>
          <w:lang w:eastAsia="ru-RU"/>
        </w:rPr>
        <w:t xml:space="preserve"> It's unclear to this reviewer how ELISA can be applied to wastewater?</w:t>
      </w:r>
    </w:p>
    <w:p w14:paraId="384E95F8" w14:textId="77777777" w:rsidR="00B956F4" w:rsidRPr="00561941" w:rsidRDefault="00B956F4" w:rsidP="00B956F4">
      <w:pPr>
        <w:spacing w:after="0" w:line="240" w:lineRule="auto"/>
        <w:jc w:val="both"/>
        <w:rPr>
          <w:rFonts w:ascii="Times New Roman" w:eastAsia="Times New Roman" w:hAnsi="Times New Roman" w:cs="Times New Roman"/>
          <w:sz w:val="24"/>
          <w:szCs w:val="24"/>
          <w:lang w:eastAsia="ru-RU"/>
        </w:rPr>
      </w:pPr>
      <w:r w:rsidRPr="00561941">
        <w:rPr>
          <w:rFonts w:ascii="Arial" w:eastAsia="Times New Roman" w:hAnsi="Arial" w:cs="Arial"/>
          <w:b/>
          <w:bCs/>
          <w:color w:val="222222"/>
          <w:sz w:val="20"/>
          <w:szCs w:val="20"/>
          <w:lang w:eastAsia="ru-RU"/>
        </w:rPr>
        <w:t>Author’s response:</w:t>
      </w:r>
      <w:r w:rsidRPr="00561941">
        <w:rPr>
          <w:rFonts w:ascii="Arial" w:eastAsia="Times New Roman" w:hAnsi="Arial" w:cs="Arial"/>
          <w:b/>
          <w:bCs/>
          <w:color w:val="FF0000"/>
          <w:sz w:val="20"/>
          <w:szCs w:val="20"/>
          <w:lang w:eastAsia="ru-RU"/>
        </w:rPr>
        <w:t xml:space="preserve"> </w:t>
      </w:r>
      <w:r w:rsidRPr="00561941">
        <w:rPr>
          <w:rFonts w:ascii="Arial" w:eastAsia="Times New Roman" w:hAnsi="Arial" w:cs="Arial"/>
          <w:color w:val="000000"/>
          <w:sz w:val="20"/>
          <w:szCs w:val="20"/>
          <w:lang w:eastAsia="ru-RU"/>
        </w:rPr>
        <w:t>Thank you for this comment. We decided to exclude the applicability of ELISA in the context of wastewater-based surveillance, as it does not fall within the scope of genomic surveillance.</w:t>
      </w:r>
    </w:p>
    <w:p w14:paraId="39DC193F" w14:textId="77777777" w:rsidR="00B956F4" w:rsidRPr="00561941" w:rsidRDefault="00B956F4" w:rsidP="00B956F4">
      <w:pPr>
        <w:spacing w:after="0" w:line="240" w:lineRule="auto"/>
        <w:rPr>
          <w:rFonts w:ascii="Times New Roman" w:eastAsia="Times New Roman" w:hAnsi="Times New Roman" w:cs="Times New Roman"/>
          <w:sz w:val="24"/>
          <w:szCs w:val="24"/>
          <w:lang w:eastAsia="ru-RU"/>
        </w:rPr>
      </w:pPr>
    </w:p>
    <w:p w14:paraId="4BC14AAC" w14:textId="77777777" w:rsidR="00B956F4" w:rsidRPr="00561941" w:rsidRDefault="00B956F4" w:rsidP="00B956F4">
      <w:pPr>
        <w:spacing w:after="0" w:line="240" w:lineRule="auto"/>
        <w:jc w:val="both"/>
        <w:rPr>
          <w:rFonts w:ascii="Times New Roman" w:eastAsia="Times New Roman" w:hAnsi="Times New Roman" w:cs="Times New Roman"/>
          <w:sz w:val="24"/>
          <w:szCs w:val="24"/>
          <w:lang w:eastAsia="ru-RU"/>
        </w:rPr>
      </w:pPr>
      <w:r w:rsidRPr="00561941">
        <w:rPr>
          <w:rFonts w:ascii="Arial" w:eastAsia="Times New Roman" w:hAnsi="Arial" w:cs="Arial"/>
          <w:b/>
          <w:bCs/>
          <w:color w:val="222222"/>
          <w:sz w:val="20"/>
          <w:szCs w:val="20"/>
          <w:lang w:eastAsia="ru-RU"/>
        </w:rPr>
        <w:t xml:space="preserve">Comment 11. </w:t>
      </w:r>
      <w:r w:rsidRPr="00561941">
        <w:rPr>
          <w:rFonts w:ascii="Arial" w:eastAsia="Times New Roman" w:hAnsi="Arial" w:cs="Arial"/>
          <w:color w:val="222222"/>
          <w:sz w:val="20"/>
          <w:szCs w:val="20"/>
          <w:lang w:eastAsia="ru-RU"/>
        </w:rPr>
        <w:t xml:space="preserve">On line 727 the authors do not mention the presence of multiple variants within an individual. The calling of a consensus assumes a single variant within a patient. This will overlook variants that may ebb and flow </w:t>
      </w:r>
      <w:proofErr w:type="gramStart"/>
      <w:r w:rsidRPr="00561941">
        <w:rPr>
          <w:rFonts w:ascii="Arial" w:eastAsia="Times New Roman" w:hAnsi="Arial" w:cs="Arial"/>
          <w:color w:val="222222"/>
          <w:sz w:val="20"/>
          <w:szCs w:val="20"/>
          <w:lang w:eastAsia="ru-RU"/>
        </w:rPr>
        <w:t>during the course of</w:t>
      </w:r>
      <w:proofErr w:type="gramEnd"/>
      <w:r w:rsidRPr="00561941">
        <w:rPr>
          <w:rFonts w:ascii="Arial" w:eastAsia="Times New Roman" w:hAnsi="Arial" w:cs="Arial"/>
          <w:color w:val="222222"/>
          <w:sz w:val="20"/>
          <w:szCs w:val="20"/>
          <w:lang w:eastAsia="ru-RU"/>
        </w:rPr>
        <w:t xml:space="preserve"> an infection. </w:t>
      </w:r>
    </w:p>
    <w:p w14:paraId="515A7895" w14:textId="77777777" w:rsidR="00B956F4" w:rsidRPr="006A1E0C" w:rsidRDefault="00B956F4" w:rsidP="00B956F4">
      <w:pPr>
        <w:spacing w:after="0" w:line="240" w:lineRule="auto"/>
        <w:jc w:val="both"/>
        <w:rPr>
          <w:rFonts w:ascii="Arial" w:eastAsia="Times New Roman" w:hAnsi="Arial" w:cs="Arial"/>
          <w:color w:val="000000"/>
          <w:sz w:val="20"/>
          <w:szCs w:val="20"/>
          <w:lang w:eastAsia="ru-RU"/>
        </w:rPr>
      </w:pPr>
      <w:r w:rsidRPr="00561941">
        <w:rPr>
          <w:rFonts w:ascii="Arial" w:eastAsia="Times New Roman" w:hAnsi="Arial" w:cs="Arial"/>
          <w:b/>
          <w:bCs/>
          <w:color w:val="222222"/>
          <w:sz w:val="20"/>
          <w:szCs w:val="20"/>
          <w:lang w:eastAsia="ru-RU"/>
        </w:rPr>
        <w:t xml:space="preserve">Author’s response: </w:t>
      </w:r>
      <w:r w:rsidRPr="00561941">
        <w:rPr>
          <w:rFonts w:ascii="Arial" w:eastAsia="Times New Roman" w:hAnsi="Arial" w:cs="Arial"/>
          <w:color w:val="000000"/>
          <w:sz w:val="20"/>
          <w:szCs w:val="20"/>
          <w:lang w:eastAsia="ru-RU"/>
        </w:rPr>
        <w:t xml:space="preserve">Thank you very much for this comment. Indeed, patient-derived samples can also contain a certain amount of genomic diversity (viral haplotypes or </w:t>
      </w:r>
      <w:proofErr w:type="spellStart"/>
      <w:r w:rsidRPr="00561941">
        <w:rPr>
          <w:rFonts w:ascii="Arial" w:eastAsia="Times New Roman" w:hAnsi="Arial" w:cs="Arial"/>
          <w:color w:val="000000"/>
          <w:sz w:val="20"/>
          <w:szCs w:val="20"/>
          <w:lang w:eastAsia="ru-RU"/>
        </w:rPr>
        <w:t>quasispecies</w:t>
      </w:r>
      <w:proofErr w:type="spellEnd"/>
      <w:r w:rsidRPr="00561941">
        <w:rPr>
          <w:rFonts w:ascii="Arial" w:eastAsia="Times New Roman" w:hAnsi="Arial" w:cs="Arial"/>
          <w:color w:val="000000"/>
          <w:sz w:val="20"/>
          <w:szCs w:val="20"/>
          <w:lang w:eastAsia="ru-RU"/>
        </w:rPr>
        <w:t xml:space="preserve">). We have now clarified this in the text. We are making the point clearer that this within-host diversity is ignored in most genomic epidemiology applications based on clinical samples and where a single consensus genome is constructed. </w:t>
      </w:r>
      <w:r w:rsidRPr="006A1E0C">
        <w:rPr>
          <w:rFonts w:ascii="Arial" w:eastAsia="Times New Roman" w:hAnsi="Arial" w:cs="Arial"/>
          <w:color w:val="000000"/>
          <w:sz w:val="20"/>
          <w:szCs w:val="20"/>
          <w:lang w:eastAsia="ru-RU"/>
        </w:rPr>
        <w:t>See below the revised text: </w:t>
      </w:r>
    </w:p>
    <w:p w14:paraId="16D0CCA4" w14:textId="77777777" w:rsidR="00B956F4" w:rsidRPr="006A1E0C" w:rsidRDefault="00B956F4" w:rsidP="00B956F4">
      <w:pPr>
        <w:spacing w:after="0" w:line="240" w:lineRule="auto"/>
        <w:jc w:val="both"/>
        <w:rPr>
          <w:rFonts w:ascii="Arial" w:eastAsia="Times New Roman" w:hAnsi="Arial" w:cs="Arial"/>
          <w:color w:val="000000"/>
          <w:sz w:val="20"/>
          <w:szCs w:val="20"/>
          <w:lang w:eastAsia="ru-RU"/>
        </w:rPr>
      </w:pPr>
    </w:p>
    <w:p w14:paraId="63476141" w14:textId="77777777" w:rsidR="00B956F4" w:rsidRPr="006A1E0C" w:rsidRDefault="00B956F4" w:rsidP="00B956F4">
      <w:pPr>
        <w:spacing w:after="0" w:line="240" w:lineRule="auto"/>
        <w:jc w:val="both"/>
        <w:rPr>
          <w:rFonts w:ascii="Arial" w:hAnsi="Arial" w:cs="Arial"/>
          <w:color w:val="FF0000"/>
          <w:sz w:val="20"/>
          <w:szCs w:val="20"/>
        </w:rPr>
      </w:pPr>
      <w:r w:rsidRPr="006A1E0C">
        <w:rPr>
          <w:rFonts w:ascii="Arial" w:hAnsi="Arial" w:cs="Arial"/>
          <w:color w:val="FF0000"/>
          <w:sz w:val="20"/>
          <w:szCs w:val="20"/>
        </w:rPr>
        <w:t xml:space="preserve">Viral diversity within a patient is often ignored in genomic epidemiology based on human infection </w:t>
      </w:r>
      <w:proofErr w:type="gramStart"/>
      <w:r w:rsidRPr="006A1E0C">
        <w:rPr>
          <w:rFonts w:ascii="Arial" w:hAnsi="Arial" w:cs="Arial"/>
          <w:color w:val="FF0000"/>
          <w:sz w:val="20"/>
          <w:szCs w:val="20"/>
        </w:rPr>
        <w:t>samples,  as</w:t>
      </w:r>
      <w:proofErr w:type="gramEnd"/>
      <w:r w:rsidRPr="006A1E0C">
        <w:rPr>
          <w:rFonts w:ascii="Arial" w:hAnsi="Arial" w:cs="Arial"/>
          <w:color w:val="FF0000"/>
          <w:sz w:val="20"/>
          <w:szCs w:val="20"/>
        </w:rPr>
        <w:t xml:space="preserve"> only a single consensus sequence is reconstructed, representing the dominant inferred lineage. Still, mutations and their frequencies are commonly calculated when constructing the genome. However, this information is often not further used, and only the final consensus sequence is shared for downstream analysis. While this simplistic assumption that a patient is infected with only one (dominant) virus variant is often sufficient for genomic surveillance, it can also lead to the overlooking of minority virus variants in the within-patient virus population. The situation is usually much more complex in wastewater samples because many more different virus variants from different excreters come together. Thus, reconstructing a single consensus is usually unsuitable for complex environmental samples, as wastewater likely contains multiple lineages from individuals infected with different variants.</w:t>
      </w:r>
    </w:p>
    <w:p w14:paraId="446AE4DD" w14:textId="77777777" w:rsidR="00B956F4" w:rsidRPr="006A1E0C" w:rsidRDefault="00B956F4" w:rsidP="00B956F4">
      <w:pPr>
        <w:spacing w:after="0" w:line="240" w:lineRule="auto"/>
        <w:jc w:val="both"/>
        <w:rPr>
          <w:rFonts w:ascii="Arial" w:eastAsia="Times New Roman" w:hAnsi="Arial" w:cs="Arial"/>
          <w:color w:val="000000"/>
          <w:sz w:val="20"/>
          <w:szCs w:val="20"/>
          <w:lang w:eastAsia="ru-RU"/>
        </w:rPr>
      </w:pPr>
    </w:p>
    <w:p w14:paraId="53DABB7D" w14:textId="77777777" w:rsidR="00B956F4" w:rsidRPr="00561941" w:rsidRDefault="00B956F4" w:rsidP="00B956F4">
      <w:pPr>
        <w:pStyle w:val="NormalWeb"/>
        <w:spacing w:before="0" w:beforeAutospacing="0" w:after="0" w:afterAutospacing="0"/>
        <w:jc w:val="both"/>
        <w:rPr>
          <w:lang w:val="en-US"/>
        </w:rPr>
      </w:pPr>
      <w:r w:rsidRPr="00561941">
        <w:rPr>
          <w:rFonts w:ascii="Arial" w:hAnsi="Arial" w:cs="Arial"/>
          <w:b/>
          <w:bCs/>
          <w:color w:val="222222"/>
          <w:sz w:val="20"/>
          <w:szCs w:val="20"/>
          <w:lang w:val="en-US"/>
        </w:rPr>
        <w:t>Comment 12.</w:t>
      </w:r>
      <w:r w:rsidRPr="00561941">
        <w:rPr>
          <w:rFonts w:ascii="Arial" w:hAnsi="Arial" w:cs="Arial"/>
          <w:color w:val="222222"/>
          <w:sz w:val="20"/>
          <w:szCs w:val="20"/>
          <w:lang w:val="en-US"/>
        </w:rPr>
        <w:t xml:space="preserve"> Line 784 there is a typo on The. </w:t>
      </w:r>
    </w:p>
    <w:p w14:paraId="09579603" w14:textId="77777777" w:rsidR="00B956F4" w:rsidRPr="00561941" w:rsidRDefault="00B956F4" w:rsidP="00B956F4">
      <w:pPr>
        <w:pStyle w:val="NormalWeb"/>
        <w:spacing w:before="0" w:beforeAutospacing="0" w:after="0" w:afterAutospacing="0"/>
        <w:jc w:val="both"/>
        <w:rPr>
          <w:lang w:val="en-US"/>
        </w:rPr>
      </w:pPr>
      <w:r w:rsidRPr="00561941">
        <w:rPr>
          <w:rFonts w:ascii="Arial" w:hAnsi="Arial" w:cs="Arial"/>
          <w:b/>
          <w:bCs/>
          <w:color w:val="000000"/>
          <w:sz w:val="20"/>
          <w:szCs w:val="20"/>
          <w:lang w:val="en-US"/>
        </w:rPr>
        <w:t xml:space="preserve">Author’s response: </w:t>
      </w:r>
      <w:r w:rsidRPr="00561941">
        <w:rPr>
          <w:rFonts w:ascii="Arial" w:hAnsi="Arial" w:cs="Arial"/>
          <w:color w:val="000000"/>
          <w:sz w:val="20"/>
          <w:szCs w:val="20"/>
          <w:lang w:val="en-US"/>
        </w:rPr>
        <w:t>We thank the reviewer for pointing this out. The typo has been corrected.</w:t>
      </w:r>
    </w:p>
    <w:p w14:paraId="00229E47" w14:textId="77777777" w:rsidR="00B956F4" w:rsidRPr="00561941" w:rsidRDefault="00B956F4" w:rsidP="00B956F4"/>
    <w:p w14:paraId="4B1EAB36" w14:textId="77777777" w:rsidR="00B956F4" w:rsidRPr="00561941" w:rsidRDefault="00B956F4" w:rsidP="00B956F4">
      <w:pPr>
        <w:pStyle w:val="NormalWeb"/>
        <w:spacing w:before="0" w:beforeAutospacing="0" w:after="0" w:afterAutospacing="0"/>
        <w:jc w:val="both"/>
        <w:rPr>
          <w:lang w:val="en-US"/>
        </w:rPr>
      </w:pPr>
      <w:r w:rsidRPr="00561941">
        <w:rPr>
          <w:rFonts w:ascii="Arial" w:hAnsi="Arial" w:cs="Arial"/>
          <w:b/>
          <w:bCs/>
          <w:color w:val="222222"/>
          <w:sz w:val="20"/>
          <w:szCs w:val="20"/>
          <w:lang w:val="en-US"/>
        </w:rPr>
        <w:t>Comment 13.</w:t>
      </w:r>
      <w:r w:rsidRPr="00561941">
        <w:rPr>
          <w:rFonts w:ascii="Arial" w:hAnsi="Arial" w:cs="Arial"/>
          <w:color w:val="222222"/>
          <w:sz w:val="20"/>
          <w:szCs w:val="20"/>
          <w:lang w:val="en-US"/>
        </w:rPr>
        <w:t xml:space="preserve"> Line 866, health tool that</w:t>
      </w:r>
    </w:p>
    <w:p w14:paraId="729B10E8" w14:textId="77777777" w:rsidR="00B956F4" w:rsidRPr="00561941" w:rsidRDefault="00B956F4" w:rsidP="00B956F4">
      <w:pPr>
        <w:pStyle w:val="NormalWeb"/>
        <w:spacing w:before="0" w:beforeAutospacing="0" w:after="0" w:afterAutospacing="0"/>
        <w:jc w:val="both"/>
        <w:rPr>
          <w:lang w:val="en-US"/>
        </w:rPr>
      </w:pPr>
      <w:r w:rsidRPr="00561941">
        <w:rPr>
          <w:rFonts w:ascii="Arial" w:hAnsi="Arial" w:cs="Arial"/>
          <w:b/>
          <w:bCs/>
          <w:color w:val="000000"/>
          <w:sz w:val="20"/>
          <w:szCs w:val="20"/>
          <w:lang w:val="en-US"/>
        </w:rPr>
        <w:t xml:space="preserve">Author’s response: </w:t>
      </w:r>
      <w:r w:rsidRPr="00561941">
        <w:rPr>
          <w:rFonts w:ascii="Arial" w:hAnsi="Arial" w:cs="Arial"/>
          <w:color w:val="000000"/>
          <w:sz w:val="20"/>
          <w:szCs w:val="20"/>
          <w:lang w:val="en-US"/>
        </w:rPr>
        <w:t>We thank the reviewer for pointing this out.  The typo has been corrected.</w:t>
      </w:r>
    </w:p>
    <w:p w14:paraId="41E477C9" w14:textId="77777777" w:rsidR="00B956F4" w:rsidRPr="00561941" w:rsidRDefault="00B956F4" w:rsidP="00B956F4"/>
    <w:p w14:paraId="74D43C3F" w14:textId="77777777" w:rsidR="00B956F4" w:rsidRPr="00561941" w:rsidRDefault="00B956F4" w:rsidP="00B956F4">
      <w:pPr>
        <w:pStyle w:val="NormalWeb"/>
        <w:spacing w:before="0" w:beforeAutospacing="0" w:after="0" w:afterAutospacing="0"/>
        <w:jc w:val="both"/>
        <w:rPr>
          <w:lang w:val="en-US"/>
        </w:rPr>
      </w:pPr>
      <w:r w:rsidRPr="00561941">
        <w:rPr>
          <w:rFonts w:ascii="Arial" w:hAnsi="Arial" w:cs="Arial"/>
          <w:b/>
          <w:bCs/>
          <w:color w:val="222222"/>
          <w:sz w:val="20"/>
          <w:szCs w:val="20"/>
          <w:lang w:val="en-US"/>
        </w:rPr>
        <w:t xml:space="preserve">Comment 14. </w:t>
      </w:r>
      <w:r w:rsidRPr="00561941">
        <w:rPr>
          <w:rFonts w:ascii="Arial" w:hAnsi="Arial" w:cs="Arial"/>
          <w:color w:val="222222"/>
          <w:sz w:val="20"/>
          <w:szCs w:val="20"/>
          <w:lang w:val="en-US"/>
        </w:rPr>
        <w:t>Lines 964 onwards - again there is no description of the approaches being taken to determine the hosts contributing to the pool of variants.... </w:t>
      </w:r>
    </w:p>
    <w:p w14:paraId="0D18421D" w14:textId="77777777" w:rsidR="00B956F4" w:rsidRPr="00561941" w:rsidRDefault="00B956F4" w:rsidP="00B956F4">
      <w:pPr>
        <w:spacing w:after="0" w:line="240" w:lineRule="auto"/>
        <w:jc w:val="both"/>
        <w:rPr>
          <w:rFonts w:ascii="Times New Roman" w:eastAsia="Times New Roman" w:hAnsi="Times New Roman" w:cs="Times New Roman"/>
          <w:sz w:val="24"/>
          <w:szCs w:val="24"/>
          <w:lang w:eastAsia="ru-RU"/>
        </w:rPr>
      </w:pPr>
      <w:r w:rsidRPr="00561941">
        <w:rPr>
          <w:rFonts w:ascii="Arial" w:hAnsi="Arial" w:cs="Arial"/>
          <w:b/>
          <w:bCs/>
          <w:color w:val="222222"/>
          <w:sz w:val="20"/>
          <w:szCs w:val="20"/>
        </w:rPr>
        <w:t xml:space="preserve">Author’s response: </w:t>
      </w:r>
      <w:r w:rsidRPr="00561941">
        <w:rPr>
          <w:rFonts w:ascii="Arial" w:hAnsi="Arial" w:cs="Arial"/>
          <w:color w:val="000000"/>
          <w:sz w:val="20"/>
          <w:szCs w:val="20"/>
        </w:rPr>
        <w:t>We appreciate the reviewer’s insightful comment. We have incorporated the following text into the revised manuscript:</w:t>
      </w:r>
    </w:p>
    <w:p w14:paraId="76AD0482" w14:textId="77777777" w:rsidR="00B956F4" w:rsidRDefault="00B956F4" w:rsidP="00B956F4">
      <w:pPr>
        <w:pStyle w:val="NormalWeb"/>
        <w:spacing w:before="0" w:beforeAutospacing="0" w:after="0" w:afterAutospacing="0"/>
        <w:jc w:val="both"/>
        <w:rPr>
          <w:lang w:val="en-US"/>
        </w:rPr>
      </w:pPr>
    </w:p>
    <w:p w14:paraId="6692F559"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The presence of such cryptic lineages, are thought to result from unobserved infections, including prolonged shedding from immunocompromised individuals or potential zoonotic reservoirs contributing to cryptic viral persistence</w:t>
      </w:r>
      <w:hyperlink r:id="rId50" w:history="1">
        <w:r w:rsidRPr="006A1E0C">
          <w:rPr>
            <w:rStyle w:val="Hyperlink"/>
            <w:rFonts w:ascii="Arial" w:hAnsi="Arial" w:cs="Arial"/>
            <w:sz w:val="12"/>
            <w:szCs w:val="12"/>
            <w:vertAlign w:val="superscript"/>
            <w:lang w:val="en-US"/>
          </w:rPr>
          <w:t>19,242</w:t>
        </w:r>
      </w:hyperlink>
      <w:r w:rsidRPr="006A1E0C">
        <w:rPr>
          <w:rFonts w:ascii="Arial" w:hAnsi="Arial" w:cs="Arial"/>
          <w:color w:val="FF0000"/>
          <w:sz w:val="20"/>
          <w:szCs w:val="20"/>
          <w:lang w:val="en-US"/>
        </w:rPr>
        <w:t>. WWGS offers a powerful approach for detecting viral RNA from zoonotic reservoirs in urban environments, enabling the identification of SARS-CoV-2 sequences with mutations indicative of adaptation to non-human reservoir that SARS-CoV-2 has already established (e.g., free-ranging white tailed deer)</w:t>
      </w:r>
      <w:hyperlink r:id="rId51" w:history="1">
        <w:r w:rsidRPr="006A1E0C">
          <w:rPr>
            <w:rStyle w:val="Hyperlink"/>
            <w:rFonts w:ascii="Arial" w:hAnsi="Arial" w:cs="Arial"/>
            <w:sz w:val="12"/>
            <w:szCs w:val="12"/>
            <w:vertAlign w:val="superscript"/>
            <w:lang w:val="en-US"/>
          </w:rPr>
          <w:t>27,243,244</w:t>
        </w:r>
      </w:hyperlink>
      <w:r w:rsidRPr="006A1E0C">
        <w:rPr>
          <w:rFonts w:ascii="Arial" w:hAnsi="Arial" w:cs="Arial"/>
          <w:color w:val="FF0000"/>
          <w:sz w:val="20"/>
          <w:szCs w:val="20"/>
          <w:lang w:val="en-US"/>
        </w:rPr>
        <w:t>. Cryptic SARS-CoV-2 lineages in wastewater exhibit mutations expanding receptor tropism to human, mouse and rat ACE2, supporting potential non-human hosts adaptation</w:t>
      </w:r>
      <w:hyperlink r:id="rId52" w:history="1">
        <w:r w:rsidRPr="006A1E0C">
          <w:rPr>
            <w:rStyle w:val="Hyperlink"/>
            <w:rFonts w:ascii="Arial" w:hAnsi="Arial" w:cs="Arial"/>
            <w:sz w:val="12"/>
            <w:szCs w:val="12"/>
            <w:vertAlign w:val="superscript"/>
            <w:lang w:val="en-US"/>
          </w:rPr>
          <w:t>27,245</w:t>
        </w:r>
      </w:hyperlink>
      <w:r w:rsidRPr="006A1E0C">
        <w:rPr>
          <w:rFonts w:ascii="Arial" w:hAnsi="Arial" w:cs="Arial"/>
          <w:color w:val="FF0000"/>
          <w:sz w:val="20"/>
          <w:szCs w:val="20"/>
          <w:lang w:val="en-US"/>
        </w:rPr>
        <w:t xml:space="preserve">. Metagenomic sequencing has detected rRNA from cats, dogs, and rats in wastewater, suggesting possible zoonotic contributions. However, the overwhelming dominance of human RNA complicates direct attribution of cryptic lineages to animal reservoirs. Variability in detection across </w:t>
      </w:r>
      <w:proofErr w:type="spellStart"/>
      <w:r w:rsidRPr="006A1E0C">
        <w:rPr>
          <w:rFonts w:ascii="Arial" w:hAnsi="Arial" w:cs="Arial"/>
          <w:color w:val="FF0000"/>
          <w:sz w:val="20"/>
          <w:szCs w:val="20"/>
          <w:lang w:val="en-US"/>
        </w:rPr>
        <w:t>sewersheds</w:t>
      </w:r>
      <w:proofErr w:type="spellEnd"/>
      <w:r w:rsidRPr="006A1E0C">
        <w:rPr>
          <w:rFonts w:ascii="Arial" w:hAnsi="Arial" w:cs="Arial"/>
          <w:color w:val="FF0000"/>
          <w:sz w:val="20"/>
          <w:szCs w:val="20"/>
          <w:lang w:val="en-US"/>
        </w:rPr>
        <w:t xml:space="preserve"> further suggests that no single species alone sustains these lineages</w:t>
      </w:r>
      <w:hyperlink r:id="rId53" w:history="1">
        <w:r w:rsidRPr="006A1E0C">
          <w:rPr>
            <w:rStyle w:val="Hyperlink"/>
            <w:rFonts w:ascii="Arial" w:hAnsi="Arial" w:cs="Arial"/>
            <w:sz w:val="12"/>
            <w:szCs w:val="12"/>
            <w:vertAlign w:val="superscript"/>
            <w:lang w:val="en-US"/>
          </w:rPr>
          <w:t>27</w:t>
        </w:r>
      </w:hyperlink>
      <w:r w:rsidRPr="006A1E0C">
        <w:rPr>
          <w:rFonts w:ascii="Arial" w:hAnsi="Arial" w:cs="Arial"/>
          <w:color w:val="FF0000"/>
          <w:sz w:val="20"/>
          <w:szCs w:val="20"/>
          <w:lang w:val="en-US"/>
        </w:rPr>
        <w:t>. Future studies integrating wastewater genomics with ecological and serological data are essential to clarify the role of non-human reservoirs in SARS-CoV-2 evolution. The clinical consequences of such retransmission to the human population are challenging to predict since mutation-driven adaptations to a new host may lead to decreased adaptation to the human environment but also to improved evasion of acquired immunity, including cellular response, and thus higher susceptibility to severe disease</w:t>
      </w:r>
      <w:hyperlink r:id="rId54" w:history="1">
        <w:r w:rsidRPr="006A1E0C">
          <w:rPr>
            <w:rStyle w:val="Hyperlink"/>
            <w:rFonts w:ascii="Arial" w:hAnsi="Arial" w:cs="Arial"/>
            <w:sz w:val="12"/>
            <w:szCs w:val="12"/>
            <w:vertAlign w:val="superscript"/>
            <w:lang w:val="en-US"/>
          </w:rPr>
          <w:t>246,247</w:t>
        </w:r>
      </w:hyperlink>
      <w:r w:rsidRPr="006A1E0C">
        <w:rPr>
          <w:rFonts w:ascii="Arial" w:hAnsi="Arial" w:cs="Arial"/>
          <w:color w:val="FF0000"/>
          <w:sz w:val="20"/>
          <w:szCs w:val="20"/>
          <w:lang w:val="en-US"/>
        </w:rPr>
        <w:t>. Therefore, detecting such events presents a significant computational challenge, stemming from the difficulty in distinguishing the source of the viral RNA. However, some approaches could be undertaken to overcome this issue, including a comparison of SARS-CoV-2 genomes from human cases with those found in animals to reveal potential animal reservoirs or employment of advanced computational tools, such as machine learning models, to analyze viral sequences to predict potential animal hosts</w:t>
      </w:r>
      <w:hyperlink r:id="rId55" w:history="1">
        <w:r w:rsidRPr="006A1E0C">
          <w:rPr>
            <w:rStyle w:val="Hyperlink"/>
            <w:rFonts w:ascii="Arial" w:hAnsi="Arial" w:cs="Arial"/>
            <w:sz w:val="12"/>
            <w:szCs w:val="12"/>
            <w:vertAlign w:val="superscript"/>
            <w:lang w:val="en-US"/>
          </w:rPr>
          <w:t>248,249</w:t>
        </w:r>
      </w:hyperlink>
      <w:r w:rsidRPr="006A1E0C">
        <w:rPr>
          <w:rFonts w:ascii="Arial" w:hAnsi="Arial" w:cs="Arial"/>
          <w:color w:val="FF0000"/>
          <w:sz w:val="20"/>
          <w:szCs w:val="20"/>
          <w:lang w:val="en-US"/>
        </w:rPr>
        <w:t xml:space="preserve">. Recent methods have shown promising in bridging this gap. For example, machine learning frameworks like </w:t>
      </w:r>
      <w:proofErr w:type="spellStart"/>
      <w:r w:rsidRPr="006A1E0C">
        <w:rPr>
          <w:rFonts w:ascii="Arial" w:hAnsi="Arial" w:cs="Arial"/>
          <w:color w:val="FF0000"/>
          <w:sz w:val="20"/>
          <w:szCs w:val="20"/>
          <w:lang w:val="en-US"/>
        </w:rPr>
        <w:t>DeepHoF</w:t>
      </w:r>
      <w:proofErr w:type="spellEnd"/>
      <w:r w:rsidRPr="006A1E0C">
        <w:rPr>
          <w:rFonts w:ascii="Arial" w:hAnsi="Arial" w:cs="Arial"/>
          <w:color w:val="FF0000"/>
          <w:sz w:val="20"/>
          <w:szCs w:val="20"/>
          <w:lang w:val="en-US"/>
        </w:rPr>
        <w:t xml:space="preserve"> and </w:t>
      </w:r>
      <w:proofErr w:type="spellStart"/>
      <w:r w:rsidRPr="006A1E0C">
        <w:rPr>
          <w:rFonts w:ascii="Arial" w:hAnsi="Arial" w:cs="Arial"/>
          <w:color w:val="FF0000"/>
          <w:sz w:val="20"/>
          <w:szCs w:val="20"/>
          <w:lang w:val="en-US"/>
        </w:rPr>
        <w:t>RNAVirHost</w:t>
      </w:r>
      <w:proofErr w:type="spellEnd"/>
      <w:r w:rsidRPr="006A1E0C">
        <w:rPr>
          <w:rFonts w:ascii="Arial" w:hAnsi="Arial" w:cs="Arial"/>
          <w:color w:val="FF0000"/>
          <w:sz w:val="20"/>
          <w:szCs w:val="20"/>
          <w:lang w:val="en-US"/>
        </w:rPr>
        <w:t xml:space="preserve"> can predict host range based on viral genome features by training on large scale host-virus associated data, effectively classifying host types at various taxonomic levels</w:t>
      </w:r>
      <w:hyperlink r:id="rId56" w:history="1">
        <w:r w:rsidRPr="006A1E0C">
          <w:rPr>
            <w:rStyle w:val="Hyperlink"/>
            <w:rFonts w:ascii="Arial" w:hAnsi="Arial" w:cs="Arial"/>
            <w:sz w:val="12"/>
            <w:szCs w:val="12"/>
            <w:vertAlign w:val="superscript"/>
            <w:lang w:val="en-US"/>
          </w:rPr>
          <w:t>250,251</w:t>
        </w:r>
      </w:hyperlink>
      <w:r w:rsidRPr="006A1E0C">
        <w:rPr>
          <w:rFonts w:ascii="Arial" w:hAnsi="Arial" w:cs="Arial"/>
          <w:color w:val="FF0000"/>
          <w:sz w:val="20"/>
          <w:szCs w:val="20"/>
          <w:lang w:val="en-US"/>
        </w:rPr>
        <w:t>. Additionally, VIDHOP tool utilizes neural network-based classifiers trained on a broad range of viral sequences to predict with high accuracy host taxa from viral genomes, including coronaviruses</w:t>
      </w:r>
      <w:hyperlink r:id="rId57" w:history="1">
        <w:r w:rsidRPr="006A1E0C">
          <w:rPr>
            <w:rStyle w:val="Hyperlink"/>
            <w:rFonts w:ascii="Arial" w:hAnsi="Arial" w:cs="Arial"/>
            <w:sz w:val="12"/>
            <w:szCs w:val="12"/>
            <w:vertAlign w:val="superscript"/>
            <w:lang w:val="en-US"/>
          </w:rPr>
          <w:t>252</w:t>
        </w:r>
      </w:hyperlink>
      <w:r w:rsidRPr="006A1E0C">
        <w:rPr>
          <w:rFonts w:ascii="Arial" w:hAnsi="Arial" w:cs="Arial"/>
          <w:color w:val="FF0000"/>
          <w:sz w:val="20"/>
          <w:szCs w:val="20"/>
          <w:lang w:val="en-US"/>
        </w:rPr>
        <w:t>. These tools, while limited by reference data and taxonomic resolution, represent important steps toward inferring potential non-human sources contributing to observed variant diversity in environmental samples. Moreover, identifying host-specific marker mutations, particularly those derived from animal-origin SARS-CoV-2 genomes, could further support host attribution efforts.</w:t>
      </w:r>
    </w:p>
    <w:p w14:paraId="2EDB3691"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Additionally to zoonotic reservoirs, chronic carriers may serve as continuous sources of viral shedding, introducing SARS-CoV-2 RNA into wastewater systems even in the absence of active outbreaks, thereby enabling active detection of viral RNA in westwater</w:t>
      </w:r>
      <w:hyperlink r:id="rId58" w:history="1">
        <w:r w:rsidRPr="006A1E0C">
          <w:rPr>
            <w:rStyle w:val="Hyperlink"/>
            <w:rFonts w:ascii="Arial" w:hAnsi="Arial" w:cs="Arial"/>
            <w:color w:val="FF0000"/>
            <w:sz w:val="12"/>
            <w:szCs w:val="12"/>
            <w:vertAlign w:val="superscript"/>
            <w:lang w:val="en-US"/>
          </w:rPr>
          <w:t>253,254</w:t>
        </w:r>
      </w:hyperlink>
      <w:r w:rsidRPr="006A1E0C">
        <w:rPr>
          <w:rFonts w:ascii="Arial" w:hAnsi="Arial" w:cs="Arial"/>
          <w:color w:val="FF0000"/>
          <w:sz w:val="20"/>
          <w:szCs w:val="20"/>
          <w:lang w:val="en-US"/>
        </w:rPr>
        <w:t>. WWGS may uncover genomic cryptic viral circulation, including genetically distinct SARS-CoV-2 lineages and recombinant variants that had not been previously identified through clinical testing</w:t>
      </w:r>
      <w:hyperlink r:id="rId59" w:history="1">
        <w:r w:rsidRPr="006A1E0C">
          <w:rPr>
            <w:rStyle w:val="Hyperlink"/>
            <w:rFonts w:ascii="Arial" w:hAnsi="Arial" w:cs="Arial"/>
            <w:color w:val="FF0000"/>
            <w:sz w:val="12"/>
            <w:szCs w:val="12"/>
            <w:vertAlign w:val="superscript"/>
            <w:lang w:val="en-US"/>
          </w:rPr>
          <w:t>255</w:t>
        </w:r>
      </w:hyperlink>
      <w:r w:rsidRPr="006A1E0C">
        <w:rPr>
          <w:rFonts w:ascii="Arial" w:hAnsi="Arial" w:cs="Arial"/>
          <w:color w:val="FF0000"/>
          <w:sz w:val="20"/>
          <w:szCs w:val="20"/>
          <w:lang w:val="en-US"/>
        </w:rPr>
        <w:t>. These findings highlight the utility of WWGS in capturing transmission dynamics that may be overlooked by clinical surveillance, particularly in areas with limited testing or asymptomatic infections</w:t>
      </w:r>
      <w:hyperlink r:id="rId60" w:history="1">
        <w:r w:rsidRPr="006A1E0C">
          <w:rPr>
            <w:rStyle w:val="Hyperlink"/>
            <w:rFonts w:ascii="Arial" w:hAnsi="Arial" w:cs="Arial"/>
            <w:color w:val="FF0000"/>
            <w:sz w:val="12"/>
            <w:szCs w:val="12"/>
            <w:vertAlign w:val="superscript"/>
            <w:lang w:val="en-US"/>
          </w:rPr>
          <w:t>256</w:t>
        </w:r>
      </w:hyperlink>
      <w:r w:rsidRPr="006A1E0C">
        <w:rPr>
          <w:rFonts w:ascii="Arial" w:hAnsi="Arial" w:cs="Arial"/>
          <w:color w:val="FF0000"/>
          <w:sz w:val="20"/>
          <w:szCs w:val="20"/>
          <w:lang w:val="en-US"/>
        </w:rPr>
        <w:t>. </w:t>
      </w:r>
    </w:p>
    <w:p w14:paraId="2AC92D59" w14:textId="77777777" w:rsidR="00B956F4" w:rsidRDefault="00B956F4" w:rsidP="00B956F4">
      <w:pPr>
        <w:pStyle w:val="NormalWeb"/>
        <w:spacing w:before="0" w:beforeAutospacing="0" w:after="0" w:afterAutospacing="0"/>
        <w:jc w:val="both"/>
        <w:rPr>
          <w:lang w:val="en-US"/>
        </w:rPr>
      </w:pPr>
    </w:p>
    <w:p w14:paraId="02DD6C8D" w14:textId="77777777" w:rsidR="00B956F4" w:rsidRPr="00EB0CD5" w:rsidRDefault="00B956F4" w:rsidP="00B956F4">
      <w:pPr>
        <w:spacing w:after="0" w:line="240" w:lineRule="auto"/>
        <w:jc w:val="both"/>
        <w:rPr>
          <w:rFonts w:ascii="Times New Roman" w:eastAsia="Times New Roman" w:hAnsi="Times New Roman" w:cs="Times New Roman"/>
          <w:sz w:val="24"/>
          <w:szCs w:val="24"/>
          <w:lang w:eastAsia="ru-RU"/>
        </w:rPr>
      </w:pPr>
      <w:r w:rsidRPr="00EB0CD5">
        <w:rPr>
          <w:rFonts w:ascii="Arial" w:eastAsia="Times New Roman" w:hAnsi="Arial" w:cs="Arial"/>
          <w:b/>
          <w:bCs/>
          <w:color w:val="000000"/>
          <w:lang w:eastAsia="ru-RU"/>
        </w:rPr>
        <w:t>Reviewer #2:</w:t>
      </w:r>
    </w:p>
    <w:p w14:paraId="039A2010" w14:textId="77777777" w:rsidR="00B956F4" w:rsidRPr="00EB0CD5" w:rsidRDefault="00B956F4" w:rsidP="00B956F4">
      <w:pPr>
        <w:spacing w:after="0" w:line="240" w:lineRule="auto"/>
        <w:jc w:val="both"/>
        <w:rPr>
          <w:rFonts w:ascii="Times New Roman" w:eastAsia="Times New Roman" w:hAnsi="Times New Roman" w:cs="Times New Roman"/>
          <w:sz w:val="24"/>
          <w:szCs w:val="24"/>
          <w:lang w:eastAsia="ru-RU"/>
        </w:rPr>
      </w:pPr>
      <w:r w:rsidRPr="00EB0CD5">
        <w:rPr>
          <w:rFonts w:ascii="Arial" w:eastAsia="Times New Roman" w:hAnsi="Arial" w:cs="Arial"/>
          <w:b/>
          <w:bCs/>
          <w:color w:val="222222"/>
          <w:sz w:val="20"/>
          <w:szCs w:val="20"/>
          <w:lang w:eastAsia="ru-RU"/>
        </w:rPr>
        <w:t xml:space="preserve">Comment 15. </w:t>
      </w:r>
      <w:r w:rsidRPr="00EB0CD5">
        <w:rPr>
          <w:rFonts w:ascii="Arial" w:eastAsia="Times New Roman" w:hAnsi="Arial" w:cs="Arial"/>
          <w:color w:val="222222"/>
          <w:sz w:val="20"/>
          <w:szCs w:val="20"/>
          <w:lang w:eastAsia="ru-RU"/>
        </w:rPr>
        <w:t xml:space="preserve">The paper by Munteanu et al. provides an overview of wastewater genomic sequencing for SARS-CoV-2, discussing approaches, challenges, and applications. It is a </w:t>
      </w:r>
      <w:proofErr w:type="gramStart"/>
      <w:r w:rsidRPr="00EB0CD5">
        <w:rPr>
          <w:rFonts w:ascii="Arial" w:eastAsia="Times New Roman" w:hAnsi="Arial" w:cs="Arial"/>
          <w:color w:val="222222"/>
          <w:sz w:val="20"/>
          <w:szCs w:val="20"/>
          <w:lang w:eastAsia="ru-RU"/>
        </w:rPr>
        <w:t>pretty comprehensive</w:t>
      </w:r>
      <w:proofErr w:type="gramEnd"/>
      <w:r w:rsidRPr="00EB0CD5">
        <w:rPr>
          <w:rFonts w:ascii="Arial" w:eastAsia="Times New Roman" w:hAnsi="Arial" w:cs="Arial"/>
          <w:color w:val="222222"/>
          <w:sz w:val="20"/>
          <w:szCs w:val="20"/>
          <w:lang w:eastAsia="ru-RU"/>
        </w:rPr>
        <w:t xml:space="preserve"> review of various aspects of the field. The section on PCR-based quantification methods is </w:t>
      </w:r>
      <w:proofErr w:type="gramStart"/>
      <w:r w:rsidRPr="00EB0CD5">
        <w:rPr>
          <w:rFonts w:ascii="Arial" w:eastAsia="Times New Roman" w:hAnsi="Arial" w:cs="Arial"/>
          <w:color w:val="222222"/>
          <w:sz w:val="20"/>
          <w:szCs w:val="20"/>
          <w:lang w:eastAsia="ru-RU"/>
        </w:rPr>
        <w:t>informative, but</w:t>
      </w:r>
      <w:proofErr w:type="gramEnd"/>
      <w:r w:rsidRPr="00EB0CD5">
        <w:rPr>
          <w:rFonts w:ascii="Arial" w:eastAsia="Times New Roman" w:hAnsi="Arial" w:cs="Arial"/>
          <w:color w:val="222222"/>
          <w:sz w:val="20"/>
          <w:szCs w:val="20"/>
          <w:lang w:eastAsia="ru-RU"/>
        </w:rPr>
        <w:t xml:space="preserve"> feels somewhat disconnected from the </w:t>
      </w:r>
      <w:proofErr w:type="gramStart"/>
      <w:r w:rsidRPr="00EB0CD5">
        <w:rPr>
          <w:rFonts w:ascii="Arial" w:eastAsia="Times New Roman" w:hAnsi="Arial" w:cs="Arial"/>
          <w:color w:val="222222"/>
          <w:sz w:val="20"/>
          <w:szCs w:val="20"/>
          <w:lang w:eastAsia="ru-RU"/>
        </w:rPr>
        <w:t>main focus</w:t>
      </w:r>
      <w:proofErr w:type="gramEnd"/>
      <w:r w:rsidRPr="00EB0CD5">
        <w:rPr>
          <w:rFonts w:ascii="Arial" w:eastAsia="Times New Roman" w:hAnsi="Arial" w:cs="Arial"/>
          <w:color w:val="222222"/>
          <w:sz w:val="20"/>
          <w:szCs w:val="20"/>
          <w:lang w:eastAsia="ru-RU"/>
        </w:rPr>
        <w:t xml:space="preserve"> on wastewater genomic surveillance. At times, the narrative makes me feel unclear as to whether the discussion pertains to general wastewater surveillance or specifically to genomic surveillance, as suggested by the title. </w:t>
      </w:r>
    </w:p>
    <w:p w14:paraId="4ACCBA30" w14:textId="77777777" w:rsidR="00B956F4" w:rsidRPr="00EB0CD5" w:rsidRDefault="00B956F4" w:rsidP="00B956F4">
      <w:pPr>
        <w:spacing w:after="0" w:line="240" w:lineRule="auto"/>
        <w:jc w:val="both"/>
        <w:rPr>
          <w:rFonts w:ascii="Times New Roman" w:eastAsia="Times New Roman" w:hAnsi="Times New Roman" w:cs="Times New Roman"/>
          <w:sz w:val="24"/>
          <w:szCs w:val="24"/>
          <w:lang w:eastAsia="ru-RU"/>
        </w:rPr>
      </w:pPr>
      <w:r w:rsidRPr="00EB0CD5">
        <w:rPr>
          <w:rFonts w:ascii="Arial" w:eastAsia="Times New Roman" w:hAnsi="Arial" w:cs="Arial"/>
          <w:b/>
          <w:bCs/>
          <w:color w:val="222222"/>
          <w:sz w:val="20"/>
          <w:szCs w:val="20"/>
          <w:lang w:eastAsia="ru-RU"/>
        </w:rPr>
        <w:lastRenderedPageBreak/>
        <w:t>Authors response:</w:t>
      </w:r>
      <w:r w:rsidRPr="00EB0CD5">
        <w:rPr>
          <w:rFonts w:ascii="Arial" w:eastAsia="Times New Roman" w:hAnsi="Arial" w:cs="Arial"/>
          <w:color w:val="222222"/>
          <w:sz w:val="20"/>
          <w:szCs w:val="20"/>
          <w:lang w:eastAsia="ru-RU"/>
        </w:rPr>
        <w:t xml:space="preserve"> We appreciate the reviewer’s thoughtful feedback. We have revised the manuscript to better distinguish between general wastewater surveillance and wastewater genomic surveillance throughout the text, particularly in the discussion sections. These clarifications build on the updated definitions of WBE, WBS, and WWGS, which now provide a clearer framework for differentiating between surveillance approaches. Regarding the section on PCR-based quantification, we agree that this method is more traditionally associated with general wastewater surveillance rather than genomic surveillance per se. However, we believe it is important to retain this section because PCR plays a critical role in the overall surveillance pipeline. For instance, viral load measurements via PCR are commonly used to screen and prioritize samples for sequencing, making this step both cost-effective and operationally relevant. Moreover, during the early phases of the pandemic, variant-specific PCR assays were widely applied to detect hallmark mutations of major variants of concern (VOCs), serving as a rapid and complementary approach to sequencing. We have revised the relevant section to clarify these points and better integrate the role of PCR within the broader context of wastewater genomic surveillance. We hope these changes improve the coherence and focus of the manuscript and address the reviewer’s concerns.</w:t>
      </w:r>
    </w:p>
    <w:p w14:paraId="2B0FB2FF" w14:textId="77777777" w:rsidR="00B956F4" w:rsidRPr="00EB0CD5" w:rsidRDefault="00B956F4" w:rsidP="00B956F4">
      <w:pPr>
        <w:spacing w:after="0" w:line="240" w:lineRule="auto"/>
        <w:rPr>
          <w:rFonts w:ascii="Times New Roman" w:eastAsia="Times New Roman" w:hAnsi="Times New Roman" w:cs="Times New Roman"/>
          <w:sz w:val="24"/>
          <w:szCs w:val="24"/>
          <w:lang w:eastAsia="ru-RU"/>
        </w:rPr>
      </w:pPr>
    </w:p>
    <w:p w14:paraId="1452BCF4" w14:textId="77777777" w:rsidR="00B956F4" w:rsidRPr="00EB0CD5" w:rsidRDefault="00B956F4" w:rsidP="00B956F4">
      <w:pPr>
        <w:spacing w:after="0" w:line="240" w:lineRule="auto"/>
        <w:jc w:val="both"/>
        <w:rPr>
          <w:rFonts w:ascii="Times New Roman" w:eastAsia="Times New Roman" w:hAnsi="Times New Roman" w:cs="Times New Roman"/>
          <w:sz w:val="24"/>
          <w:szCs w:val="24"/>
          <w:lang w:eastAsia="ru-RU"/>
        </w:rPr>
      </w:pPr>
      <w:r w:rsidRPr="00EB0CD5">
        <w:rPr>
          <w:rFonts w:ascii="Arial" w:eastAsia="Times New Roman" w:hAnsi="Arial" w:cs="Arial"/>
          <w:b/>
          <w:bCs/>
          <w:color w:val="222222"/>
          <w:sz w:val="20"/>
          <w:szCs w:val="20"/>
          <w:lang w:eastAsia="ru-RU"/>
        </w:rPr>
        <w:t xml:space="preserve">Comment 16. </w:t>
      </w:r>
      <w:proofErr w:type="gramStart"/>
      <w:r w:rsidRPr="00EB0CD5">
        <w:rPr>
          <w:rFonts w:ascii="Arial" w:eastAsia="Times New Roman" w:hAnsi="Arial" w:cs="Arial"/>
          <w:color w:val="222222"/>
          <w:sz w:val="20"/>
          <w:szCs w:val="20"/>
          <w:lang w:eastAsia="ru-RU"/>
        </w:rPr>
        <w:t>The section</w:t>
      </w:r>
      <w:proofErr w:type="gramEnd"/>
      <w:r w:rsidRPr="00EB0CD5">
        <w:rPr>
          <w:rFonts w:ascii="Arial" w:eastAsia="Times New Roman" w:hAnsi="Arial" w:cs="Arial"/>
          <w:color w:val="222222"/>
          <w:sz w:val="20"/>
          <w:szCs w:val="20"/>
          <w:lang w:eastAsia="ru-RU"/>
        </w:rPr>
        <w:t xml:space="preserve"> 2.4 (about advancements in genomic sequencing technologies for wastewater analysis) is not well organized, the authors talked about library prep with enrichment or without, failures from primer mismatches, followed by different sequencing platforms. A clearer structure would be very helpful to see the advancements, challenges, pros/cons for each sequencing platform.</w:t>
      </w:r>
    </w:p>
    <w:p w14:paraId="452787B9" w14:textId="77777777" w:rsidR="00B956F4" w:rsidRPr="00EB0CD5" w:rsidRDefault="00B956F4" w:rsidP="00B956F4">
      <w:pPr>
        <w:spacing w:after="0" w:line="240" w:lineRule="auto"/>
        <w:jc w:val="both"/>
        <w:rPr>
          <w:rFonts w:ascii="Times New Roman" w:eastAsia="Times New Roman" w:hAnsi="Times New Roman" w:cs="Times New Roman"/>
          <w:sz w:val="24"/>
          <w:szCs w:val="24"/>
          <w:lang w:eastAsia="ru-RU"/>
        </w:rPr>
      </w:pPr>
      <w:r w:rsidRPr="00EB0CD5">
        <w:rPr>
          <w:rFonts w:ascii="Arial" w:eastAsia="Times New Roman" w:hAnsi="Arial" w:cs="Arial"/>
          <w:b/>
          <w:bCs/>
          <w:color w:val="222222"/>
          <w:sz w:val="20"/>
          <w:szCs w:val="20"/>
          <w:lang w:eastAsia="ru-RU"/>
        </w:rPr>
        <w:t xml:space="preserve">Author’s response: </w:t>
      </w:r>
      <w:r w:rsidRPr="00EB0CD5">
        <w:rPr>
          <w:rFonts w:ascii="Arial" w:eastAsia="Times New Roman" w:hAnsi="Arial" w:cs="Arial"/>
          <w:color w:val="222222"/>
          <w:sz w:val="20"/>
          <w:szCs w:val="20"/>
          <w:lang w:eastAsia="ru-RU"/>
        </w:rPr>
        <w:t>Thank you for your valuable feedback. In response, we have rewritten the section to improve clarity and organization. Additionally, we separator the original text into two focused subsections: </w:t>
      </w:r>
    </w:p>
    <w:p w14:paraId="188EAF0F" w14:textId="77777777" w:rsidR="00B956F4" w:rsidRPr="00EB0CD5" w:rsidRDefault="00B956F4" w:rsidP="00B956F4">
      <w:pPr>
        <w:spacing w:after="0" w:line="240" w:lineRule="auto"/>
        <w:jc w:val="both"/>
        <w:rPr>
          <w:rFonts w:ascii="Times New Roman" w:eastAsia="Times New Roman" w:hAnsi="Times New Roman" w:cs="Times New Roman"/>
          <w:sz w:val="24"/>
          <w:szCs w:val="24"/>
          <w:lang w:eastAsia="ru-RU"/>
        </w:rPr>
      </w:pPr>
      <w:r w:rsidRPr="00EB0CD5">
        <w:rPr>
          <w:rFonts w:ascii="Arial" w:eastAsia="Times New Roman" w:hAnsi="Arial" w:cs="Arial"/>
          <w:b/>
          <w:bCs/>
          <w:i/>
          <w:iCs/>
          <w:color w:val="222222"/>
          <w:sz w:val="20"/>
          <w:szCs w:val="20"/>
          <w:lang w:eastAsia="ru-RU"/>
        </w:rPr>
        <w:t>2.4 Advancements in genomic sequencing technologies for wastewater analysis</w:t>
      </w:r>
    </w:p>
    <w:p w14:paraId="34DE86AD"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b/>
          <w:bCs/>
          <w:i/>
          <w:iCs/>
          <w:color w:val="FF0000"/>
          <w:sz w:val="20"/>
          <w:szCs w:val="20"/>
          <w:lang w:val="en-US"/>
        </w:rPr>
        <w:t>2.5. Sequencing technologies used in WWGS</w:t>
      </w:r>
    </w:p>
    <w:p w14:paraId="57E1657A" w14:textId="77777777" w:rsidR="00B956F4" w:rsidRDefault="00B956F4" w:rsidP="00B956F4">
      <w:pPr>
        <w:pStyle w:val="NormalWeb"/>
        <w:spacing w:before="0" w:beforeAutospacing="0" w:after="0" w:afterAutospacing="0"/>
        <w:jc w:val="both"/>
        <w:rPr>
          <w:lang w:val="en-US"/>
        </w:rPr>
      </w:pPr>
    </w:p>
    <w:p w14:paraId="7CFECFDC"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color w:val="FF0000"/>
          <w:sz w:val="20"/>
          <w:szCs w:val="20"/>
          <w:lang w:val="en-US"/>
        </w:rPr>
        <w:t>Several sequencing technologies can be used to sequence SARS-CoV-2 RNA from wastewater, each with its own set of advantages and disadvantages. Illumina sequencing is the most widely used sequencing technology for genomic surveillance of SARS-CoV-2 in general</w:t>
      </w:r>
      <w:hyperlink r:id="rId61" w:history="1">
        <w:r w:rsidRPr="006A1E0C">
          <w:rPr>
            <w:rStyle w:val="Hyperlink"/>
            <w:rFonts w:ascii="Arial" w:hAnsi="Arial" w:cs="Arial"/>
            <w:color w:val="FF0000"/>
            <w:sz w:val="12"/>
            <w:szCs w:val="12"/>
            <w:vertAlign w:val="superscript"/>
            <w:lang w:val="en-US"/>
          </w:rPr>
          <w:t>146</w:t>
        </w:r>
      </w:hyperlink>
      <w:r w:rsidRPr="006A1E0C">
        <w:rPr>
          <w:rFonts w:ascii="Arial" w:hAnsi="Arial" w:cs="Arial"/>
          <w:color w:val="FF0000"/>
          <w:sz w:val="20"/>
          <w:szCs w:val="20"/>
          <w:lang w:val="en-US"/>
        </w:rPr>
        <w:t xml:space="preserve"> and WWGS in particular</w:t>
      </w:r>
      <w:hyperlink r:id="rId62" w:history="1">
        <w:r w:rsidRPr="006A1E0C">
          <w:rPr>
            <w:rStyle w:val="Hyperlink"/>
            <w:rFonts w:ascii="Arial" w:hAnsi="Arial" w:cs="Arial"/>
            <w:color w:val="FF0000"/>
            <w:sz w:val="12"/>
            <w:szCs w:val="12"/>
            <w:vertAlign w:val="superscript"/>
            <w:lang w:val="en-US"/>
          </w:rPr>
          <w:t>147,148</w:t>
        </w:r>
      </w:hyperlink>
      <w:r w:rsidRPr="006A1E0C">
        <w:rPr>
          <w:rFonts w:ascii="Arial" w:hAnsi="Arial" w:cs="Arial"/>
          <w:color w:val="FF0000"/>
          <w:sz w:val="20"/>
          <w:szCs w:val="20"/>
          <w:lang w:val="en-US"/>
        </w:rPr>
        <w:t xml:space="preserve">. Short reads produced by Illumina sequencing have </w:t>
      </w:r>
      <w:proofErr w:type="gramStart"/>
      <w:r w:rsidRPr="006A1E0C">
        <w:rPr>
          <w:rFonts w:ascii="Arial" w:hAnsi="Arial" w:cs="Arial"/>
          <w:color w:val="FF0000"/>
          <w:sz w:val="20"/>
          <w:szCs w:val="20"/>
          <w:lang w:val="en-US"/>
        </w:rPr>
        <w:t>high  accuracy</w:t>
      </w:r>
      <w:proofErr w:type="gramEnd"/>
      <w:r w:rsidRPr="006A1E0C">
        <w:rPr>
          <w:rFonts w:ascii="Arial" w:hAnsi="Arial" w:cs="Arial"/>
          <w:color w:val="FF0000"/>
          <w:sz w:val="20"/>
          <w:szCs w:val="20"/>
          <w:lang w:val="en-US"/>
        </w:rPr>
        <w:t xml:space="preserve">, and the platform can generate </w:t>
      </w:r>
      <w:proofErr w:type="gramStart"/>
      <w:r w:rsidRPr="006A1E0C">
        <w:rPr>
          <w:rFonts w:ascii="Arial" w:hAnsi="Arial" w:cs="Arial"/>
          <w:color w:val="FF0000"/>
          <w:sz w:val="20"/>
          <w:szCs w:val="20"/>
          <w:lang w:val="en-US"/>
        </w:rPr>
        <w:t>a large number of</w:t>
      </w:r>
      <w:proofErr w:type="gramEnd"/>
      <w:r w:rsidRPr="006A1E0C">
        <w:rPr>
          <w:rFonts w:ascii="Arial" w:hAnsi="Arial" w:cs="Arial"/>
          <w:color w:val="FF0000"/>
          <w:sz w:val="20"/>
          <w:szCs w:val="20"/>
          <w:lang w:val="en-US"/>
        </w:rPr>
        <w:t xml:space="preserve"> reads in a single run. In situations where consensus genomes are reconstructed </w:t>
      </w:r>
      <w:r w:rsidRPr="006A1E0C">
        <w:rPr>
          <w:rFonts w:ascii="Arial" w:hAnsi="Arial" w:cs="Arial"/>
          <w:i/>
          <w:iCs/>
          <w:color w:val="FF0000"/>
          <w:sz w:val="20"/>
          <w:szCs w:val="20"/>
          <w:lang w:val="en-US"/>
        </w:rPr>
        <w:t xml:space="preserve">de novo, </w:t>
      </w:r>
      <w:r w:rsidRPr="006A1E0C">
        <w:rPr>
          <w:rFonts w:ascii="Arial" w:hAnsi="Arial" w:cs="Arial"/>
          <w:color w:val="FF0000"/>
          <w:sz w:val="20"/>
          <w:szCs w:val="20"/>
          <w:lang w:val="en-US"/>
        </w:rPr>
        <w:t xml:space="preserve">or large structural variations need to be detected, the major drawback is the limited read length. An alternative short-read sequencing technology, more rarely used but also applied in WWGS, is </w:t>
      </w:r>
      <w:proofErr w:type="spellStart"/>
      <w:r w:rsidRPr="006A1E0C">
        <w:rPr>
          <w:rFonts w:ascii="Arial" w:hAnsi="Arial" w:cs="Arial"/>
          <w:color w:val="FF0000"/>
          <w:sz w:val="20"/>
          <w:szCs w:val="20"/>
          <w:lang w:val="en-US"/>
        </w:rPr>
        <w:t>IonTorrent</w:t>
      </w:r>
      <w:proofErr w:type="spellEnd"/>
      <w:r w:rsidRPr="006A1E0C">
        <w:rPr>
          <w:rFonts w:ascii="Arial" w:hAnsi="Arial" w:cs="Arial"/>
          <w:color w:val="FF0000"/>
          <w:sz w:val="20"/>
          <w:szCs w:val="20"/>
          <w:lang w:val="en-US"/>
        </w:rPr>
        <w:t xml:space="preserve"> sequencing</w:t>
      </w:r>
      <w:hyperlink r:id="rId63" w:history="1">
        <w:r w:rsidRPr="006A1E0C">
          <w:rPr>
            <w:rStyle w:val="Hyperlink"/>
            <w:rFonts w:ascii="Arial" w:hAnsi="Arial" w:cs="Arial"/>
            <w:color w:val="FF0000"/>
            <w:sz w:val="12"/>
            <w:szCs w:val="12"/>
            <w:vertAlign w:val="superscript"/>
            <w:lang w:val="en-US"/>
          </w:rPr>
          <w:t>134,149,150</w:t>
        </w:r>
      </w:hyperlink>
      <w:r w:rsidRPr="006A1E0C">
        <w:rPr>
          <w:rFonts w:ascii="Arial" w:hAnsi="Arial" w:cs="Arial"/>
          <w:color w:val="FF0000"/>
          <w:sz w:val="20"/>
          <w:szCs w:val="20"/>
          <w:lang w:val="en-US"/>
        </w:rPr>
        <w:t>. </w:t>
      </w:r>
    </w:p>
    <w:p w14:paraId="56792341"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As  alternatives, single-molecule real-time sequencing (SMRT) technologies, such as those provided by Oxford Nanopore Technologies (ONT), can produce longer amplicon reads, e.g., approximately 400 bp reads based on ARTIC Network Protocols</w:t>
      </w:r>
      <w:hyperlink r:id="rId64" w:history="1">
        <w:r w:rsidRPr="006A1E0C">
          <w:rPr>
            <w:rStyle w:val="Hyperlink"/>
            <w:rFonts w:ascii="Arial" w:hAnsi="Arial" w:cs="Arial"/>
            <w:color w:val="FF0000"/>
            <w:sz w:val="12"/>
            <w:szCs w:val="12"/>
            <w:vertAlign w:val="superscript"/>
            <w:lang w:val="en-US"/>
          </w:rPr>
          <w:t>11,139</w:t>
        </w:r>
      </w:hyperlink>
      <w:r w:rsidRPr="006A1E0C">
        <w:rPr>
          <w:rFonts w:ascii="Arial" w:hAnsi="Arial" w:cs="Arial"/>
          <w:color w:val="FF0000"/>
          <w:sz w:val="20"/>
          <w:szCs w:val="20"/>
          <w:lang w:val="en-US"/>
        </w:rPr>
        <w:t xml:space="preserve">, or </w:t>
      </w:r>
      <w:proofErr w:type="spellStart"/>
      <w:r w:rsidRPr="006A1E0C">
        <w:rPr>
          <w:rFonts w:ascii="Arial" w:hAnsi="Arial" w:cs="Arial"/>
          <w:color w:val="FF0000"/>
          <w:sz w:val="20"/>
          <w:szCs w:val="20"/>
          <w:lang w:val="en-US"/>
        </w:rPr>
        <w:t>or</w:t>
      </w:r>
      <w:proofErr w:type="spellEnd"/>
      <w:r w:rsidRPr="006A1E0C">
        <w:rPr>
          <w:rFonts w:ascii="Arial" w:hAnsi="Arial" w:cs="Arial"/>
          <w:color w:val="FF0000"/>
          <w:sz w:val="20"/>
          <w:szCs w:val="20"/>
          <w:lang w:val="en-US"/>
        </w:rPr>
        <w:t xml:space="preserve"> even up to 1200 bp amplicons from the adapted ARCTIC “Midnight” protocol</w:t>
      </w:r>
      <w:hyperlink r:id="rId65" w:history="1">
        <w:r w:rsidRPr="006A1E0C">
          <w:rPr>
            <w:rStyle w:val="Hyperlink"/>
            <w:rFonts w:ascii="Arial" w:hAnsi="Arial" w:cs="Arial"/>
            <w:color w:val="FF0000"/>
            <w:sz w:val="12"/>
            <w:szCs w:val="12"/>
            <w:vertAlign w:val="superscript"/>
            <w:lang w:val="en-US"/>
          </w:rPr>
          <w:t>140</w:t>
        </w:r>
      </w:hyperlink>
      <w:r w:rsidRPr="006A1E0C">
        <w:rPr>
          <w:rFonts w:ascii="Arial" w:hAnsi="Arial" w:cs="Arial"/>
          <w:color w:val="FF0000"/>
          <w:sz w:val="20"/>
          <w:szCs w:val="20"/>
          <w:lang w:val="en-US"/>
        </w:rPr>
        <w:t>, which can be useful for resolving complex regions of the SARS-CoV-2 genome. In the specific context of WWGS, longer reads can help infer synteny information about mutations that belong to the same viral variant because they are detected on the same read. However, it is challenging to derive long RNA fragments from wastewater samples, and the amplicon approach limits maximum achievable read lengths. In clinical SARS-CoV-2 genomic surveillance, ONT is placed second among the most used sequencing technologies</w:t>
      </w:r>
      <w:hyperlink r:id="rId66" w:history="1">
        <w:r w:rsidRPr="006A1E0C">
          <w:rPr>
            <w:rStyle w:val="Hyperlink"/>
            <w:rFonts w:ascii="Arial" w:hAnsi="Arial" w:cs="Arial"/>
            <w:color w:val="FF0000"/>
            <w:sz w:val="12"/>
            <w:szCs w:val="12"/>
            <w:vertAlign w:val="superscript"/>
            <w:lang w:val="en-US"/>
          </w:rPr>
          <w:t>146</w:t>
        </w:r>
      </w:hyperlink>
      <w:r w:rsidRPr="006A1E0C">
        <w:rPr>
          <w:rFonts w:ascii="Arial" w:hAnsi="Arial" w:cs="Arial"/>
          <w:color w:val="FF0000"/>
          <w:sz w:val="20"/>
          <w:szCs w:val="20"/>
          <w:lang w:val="en-US"/>
        </w:rPr>
        <w:t xml:space="preserve"> due to its lower initial and subsequent costs. It is the putative option to sequence longer amplicons</w:t>
      </w:r>
      <w:hyperlink r:id="rId67" w:history="1">
        <w:r w:rsidRPr="006A1E0C">
          <w:rPr>
            <w:rStyle w:val="Hyperlink"/>
            <w:rFonts w:ascii="Arial" w:hAnsi="Arial" w:cs="Arial"/>
            <w:color w:val="FF0000"/>
            <w:sz w:val="12"/>
            <w:szCs w:val="12"/>
            <w:vertAlign w:val="superscript"/>
            <w:lang w:val="en-US"/>
          </w:rPr>
          <w:t>151</w:t>
        </w:r>
      </w:hyperlink>
      <w:r w:rsidRPr="006A1E0C">
        <w:rPr>
          <w:rFonts w:ascii="Arial" w:hAnsi="Arial" w:cs="Arial"/>
          <w:color w:val="FF0000"/>
          <w:sz w:val="20"/>
          <w:szCs w:val="20"/>
          <w:lang w:val="en-US"/>
        </w:rPr>
        <w:t xml:space="preserve"> and has potential future applications regarding real-time and on-site sequencing. In addition, ONT can also sequence RNA natively without the need for cDNA transcription, but in such a setup all the crucial advantages of enrichment methods are lost. SMRT technologies, particularly ONT sequencing, had higher error rates than other technologies, which may affect accurate variant detection. However, recent improvements, such as the R10.4.1.flow cell with dual reader heads that enhance signal resolution, and the  Dorado</w:t>
      </w:r>
      <w:hyperlink r:id="rId68" w:history="1">
        <w:r w:rsidRPr="006A1E0C">
          <w:rPr>
            <w:rStyle w:val="Hyperlink"/>
            <w:rFonts w:ascii="Arial" w:hAnsi="Arial" w:cs="Arial"/>
            <w:sz w:val="12"/>
            <w:szCs w:val="12"/>
            <w:vertAlign w:val="superscript"/>
            <w:lang w:val="en-US"/>
          </w:rPr>
          <w:t>152</w:t>
        </w:r>
      </w:hyperlink>
      <w:r w:rsidRPr="006A1E0C">
        <w:rPr>
          <w:rFonts w:ascii="Arial" w:hAnsi="Arial" w:cs="Arial"/>
          <w:color w:val="FF0000"/>
          <w:sz w:val="20"/>
          <w:szCs w:val="20"/>
          <w:lang w:val="en-US"/>
        </w:rPr>
        <w:t xml:space="preserve">  </w:t>
      </w:r>
      <w:proofErr w:type="spellStart"/>
      <w:r w:rsidRPr="006A1E0C">
        <w:rPr>
          <w:rFonts w:ascii="Arial" w:hAnsi="Arial" w:cs="Arial"/>
          <w:color w:val="FF0000"/>
          <w:sz w:val="20"/>
          <w:szCs w:val="20"/>
          <w:lang w:val="en-US"/>
        </w:rPr>
        <w:t>basecaller</w:t>
      </w:r>
      <w:proofErr w:type="spellEnd"/>
      <w:r w:rsidRPr="006A1E0C">
        <w:rPr>
          <w:rFonts w:ascii="Arial" w:hAnsi="Arial" w:cs="Arial"/>
          <w:color w:val="FF0000"/>
          <w:sz w:val="20"/>
          <w:szCs w:val="20"/>
          <w:lang w:val="en-US"/>
        </w:rPr>
        <w:t>, which employs GPU-accelerated neural networks, have significantly improved accuracy, positioning nanopore sequencing as an increasingly reliable option for high-resolution variant calling</w:t>
      </w:r>
      <w:hyperlink r:id="rId69" w:history="1">
        <w:r w:rsidRPr="006A1E0C">
          <w:rPr>
            <w:rStyle w:val="Hyperlink"/>
            <w:rFonts w:ascii="Arial" w:hAnsi="Arial" w:cs="Arial"/>
            <w:sz w:val="12"/>
            <w:szCs w:val="12"/>
            <w:vertAlign w:val="superscript"/>
            <w:lang w:val="en-US"/>
          </w:rPr>
          <w:t>153</w:t>
        </w:r>
      </w:hyperlink>
      <w:r w:rsidRPr="006A1E0C">
        <w:rPr>
          <w:rFonts w:ascii="Arial" w:hAnsi="Arial" w:cs="Arial"/>
          <w:color w:val="FF0000"/>
          <w:sz w:val="20"/>
          <w:szCs w:val="20"/>
          <w:lang w:val="en-US"/>
        </w:rPr>
        <w:t>.</w:t>
      </w:r>
    </w:p>
    <w:p w14:paraId="004A6A08"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41D25A39" w14:textId="77777777" w:rsidR="00B956F4" w:rsidRPr="00EF132E" w:rsidRDefault="00B956F4" w:rsidP="00B956F4">
      <w:pPr>
        <w:pStyle w:val="NormalWeb"/>
        <w:spacing w:before="0" w:beforeAutospacing="0" w:after="0" w:afterAutospacing="0"/>
        <w:jc w:val="both"/>
        <w:rPr>
          <w:lang w:val="en-US"/>
        </w:rPr>
      </w:pPr>
      <w:r w:rsidRPr="00EF132E">
        <w:rPr>
          <w:rFonts w:ascii="Arial" w:hAnsi="Arial" w:cs="Arial"/>
          <w:b/>
          <w:bCs/>
          <w:color w:val="000000"/>
          <w:sz w:val="20"/>
          <w:szCs w:val="20"/>
          <w:lang w:val="en-US"/>
        </w:rPr>
        <w:t>Comment 17.</w:t>
      </w:r>
      <w:r w:rsidRPr="00EF132E">
        <w:rPr>
          <w:rFonts w:ascii="Arial" w:hAnsi="Arial" w:cs="Arial"/>
          <w:color w:val="000000"/>
          <w:sz w:val="20"/>
          <w:szCs w:val="20"/>
          <w:lang w:val="en-US"/>
        </w:rPr>
        <w:t xml:space="preserve"> About the variant calling for wastewater data, it is typical to find tons of mutations including indels from wastewater sequencing data, although the </w:t>
      </w:r>
      <w:proofErr w:type="spellStart"/>
      <w:r w:rsidRPr="00EF132E">
        <w:rPr>
          <w:rFonts w:ascii="Arial" w:hAnsi="Arial" w:cs="Arial"/>
          <w:color w:val="000000"/>
          <w:sz w:val="20"/>
          <w:szCs w:val="20"/>
          <w:lang w:val="en-US"/>
        </w:rPr>
        <w:t>bcftools</w:t>
      </w:r>
      <w:proofErr w:type="spellEnd"/>
      <w:r w:rsidRPr="00EF132E">
        <w:rPr>
          <w:rFonts w:ascii="Arial" w:hAnsi="Arial" w:cs="Arial"/>
          <w:color w:val="000000"/>
          <w:sz w:val="20"/>
          <w:szCs w:val="20"/>
          <w:lang w:val="en-US"/>
        </w:rPr>
        <w:t xml:space="preserve"> and other tools mentioned in the paper works well to some extent, it is necessary to validate them, some discussion on this point could be helpful. </w:t>
      </w:r>
    </w:p>
    <w:p w14:paraId="3DDC01B8" w14:textId="77777777" w:rsidR="00B956F4" w:rsidRPr="00EF132E" w:rsidRDefault="00B956F4" w:rsidP="00B956F4">
      <w:pPr>
        <w:pStyle w:val="NormalWeb"/>
        <w:spacing w:before="0" w:beforeAutospacing="0" w:after="0" w:afterAutospacing="0"/>
        <w:jc w:val="both"/>
        <w:rPr>
          <w:lang w:val="en-US"/>
        </w:rPr>
      </w:pPr>
      <w:r w:rsidRPr="00EF132E">
        <w:rPr>
          <w:rFonts w:ascii="Arial" w:hAnsi="Arial" w:cs="Arial"/>
          <w:b/>
          <w:bCs/>
          <w:color w:val="000000"/>
          <w:sz w:val="20"/>
          <w:szCs w:val="20"/>
          <w:lang w:val="en-US"/>
        </w:rPr>
        <w:t xml:space="preserve">Author’s response: </w:t>
      </w:r>
      <w:r w:rsidRPr="00EF132E">
        <w:rPr>
          <w:rFonts w:ascii="Arial" w:hAnsi="Arial" w:cs="Arial"/>
          <w:color w:val="000000"/>
          <w:sz w:val="20"/>
          <w:szCs w:val="20"/>
          <w:lang w:val="en-US"/>
        </w:rPr>
        <w:t>We thank the reviewer for this important observation. The following text has been added to the manuscript to address this point:</w:t>
      </w:r>
    </w:p>
    <w:p w14:paraId="3C3ABCDF" w14:textId="77777777" w:rsidR="00B956F4" w:rsidRDefault="00B956F4" w:rsidP="00B956F4">
      <w:pPr>
        <w:pStyle w:val="NormalWeb"/>
        <w:spacing w:before="0" w:beforeAutospacing="0" w:after="0" w:afterAutospacing="0"/>
        <w:jc w:val="both"/>
        <w:rPr>
          <w:lang w:val="en-US"/>
        </w:rPr>
      </w:pPr>
    </w:p>
    <w:p w14:paraId="346C865D" w14:textId="77777777" w:rsidR="00B956F4" w:rsidRPr="006A1E0C" w:rsidRDefault="00B956F4" w:rsidP="00B956F4">
      <w:pPr>
        <w:pStyle w:val="NormalWeb"/>
        <w:spacing w:before="0" w:beforeAutospacing="0" w:after="160" w:afterAutospacing="0"/>
        <w:jc w:val="both"/>
        <w:rPr>
          <w:lang w:val="en-US"/>
        </w:rPr>
      </w:pPr>
      <w:r w:rsidRPr="006A1E0C">
        <w:rPr>
          <w:rFonts w:ascii="Arial" w:hAnsi="Arial" w:cs="Arial"/>
          <w:color w:val="FF0000"/>
          <w:sz w:val="20"/>
          <w:szCs w:val="20"/>
          <w:lang w:val="en-US"/>
        </w:rPr>
        <w:lastRenderedPageBreak/>
        <w:t>Accurate variant calling, including insertions and deletions (INDELs), relies on a combination of optimized laboratory protocols and specialized bioinformatics pipelines that can account for the unique characteristics of wastewater-derived nucleic acids. These include high levels of fragmentation, chemical degradation, and the presence of diverse microbial and host backgrounds. To ensure reliability, comprehensive benchmarking of variant calling tools is essential—using wastewater-specific datasets that reflect the variability in sequencing platforms, read lengths, coverage depth, and target enrichment strategies</w:t>
      </w:r>
      <w:hyperlink r:id="rId70" w:history="1">
        <w:r w:rsidRPr="006A1E0C">
          <w:rPr>
            <w:rStyle w:val="Hyperlink"/>
            <w:rFonts w:ascii="Arial" w:hAnsi="Arial" w:cs="Arial"/>
            <w:sz w:val="12"/>
            <w:szCs w:val="12"/>
            <w:vertAlign w:val="superscript"/>
            <w:lang w:val="en-US"/>
          </w:rPr>
          <w:t>184</w:t>
        </w:r>
      </w:hyperlink>
      <w:r w:rsidRPr="006A1E0C">
        <w:rPr>
          <w:rFonts w:ascii="Arial" w:hAnsi="Arial" w:cs="Arial"/>
          <w:color w:val="FF0000"/>
          <w:sz w:val="20"/>
          <w:szCs w:val="20"/>
          <w:lang w:val="en-US"/>
        </w:rPr>
        <w:t>. Such evaluations are necessary not only to assess accuracy and reproducibility but also to guide tool selection and parameter tuning. Addressing these technical and analytical challenges is critical for enhancing the sensitivity, specificity, and overall confidence in variant detection in wastewater-based surveillance systems</w:t>
      </w:r>
      <w:hyperlink r:id="rId71" w:history="1">
        <w:r w:rsidRPr="006A1E0C">
          <w:rPr>
            <w:rStyle w:val="Hyperlink"/>
            <w:rFonts w:ascii="Arial" w:hAnsi="Arial" w:cs="Arial"/>
            <w:sz w:val="12"/>
            <w:szCs w:val="12"/>
            <w:vertAlign w:val="superscript"/>
            <w:lang w:val="en-US"/>
          </w:rPr>
          <w:t>185</w:t>
        </w:r>
      </w:hyperlink>
      <w:r w:rsidRPr="006A1E0C">
        <w:rPr>
          <w:rFonts w:ascii="Arial" w:hAnsi="Arial" w:cs="Arial"/>
          <w:b/>
          <w:bCs/>
          <w:color w:val="FF0000"/>
          <w:sz w:val="20"/>
          <w:szCs w:val="20"/>
          <w:lang w:val="en-US"/>
        </w:rPr>
        <w:t>.</w:t>
      </w:r>
    </w:p>
    <w:p w14:paraId="426B5EF9" w14:textId="77777777" w:rsidR="00B956F4" w:rsidRPr="001D0CAF" w:rsidRDefault="00B956F4" w:rsidP="00B956F4">
      <w:pPr>
        <w:pStyle w:val="NormalWeb"/>
        <w:spacing w:before="0" w:beforeAutospacing="0" w:after="0" w:afterAutospacing="0"/>
        <w:jc w:val="both"/>
        <w:rPr>
          <w:lang w:val="en-US"/>
        </w:rPr>
      </w:pPr>
    </w:p>
    <w:p w14:paraId="2C275159" w14:textId="77777777" w:rsidR="00B956F4" w:rsidRPr="006E4901" w:rsidRDefault="00B956F4" w:rsidP="00B956F4">
      <w:pPr>
        <w:pStyle w:val="NormalWeb"/>
        <w:spacing w:before="0" w:beforeAutospacing="0" w:after="0" w:afterAutospacing="0"/>
        <w:jc w:val="both"/>
        <w:rPr>
          <w:lang w:val="en-US"/>
        </w:rPr>
      </w:pPr>
      <w:r w:rsidRPr="006E4901">
        <w:rPr>
          <w:rFonts w:ascii="Arial" w:hAnsi="Arial" w:cs="Arial"/>
          <w:b/>
          <w:bCs/>
          <w:color w:val="222222"/>
          <w:sz w:val="20"/>
          <w:szCs w:val="20"/>
          <w:lang w:val="en-US"/>
        </w:rPr>
        <w:t xml:space="preserve">Comment 18: </w:t>
      </w:r>
      <w:r w:rsidRPr="006E4901">
        <w:rPr>
          <w:rFonts w:ascii="Arial" w:hAnsi="Arial" w:cs="Arial"/>
          <w:color w:val="222222"/>
          <w:sz w:val="20"/>
          <w:szCs w:val="20"/>
          <w:lang w:val="en-US"/>
        </w:rPr>
        <w:t xml:space="preserve">Logic flow for the 2nd and 3rd paragraph is not well. </w:t>
      </w:r>
      <w:proofErr w:type="gramStart"/>
      <w:r w:rsidRPr="006E4901">
        <w:rPr>
          <w:rFonts w:ascii="Arial" w:hAnsi="Arial" w:cs="Arial"/>
          <w:color w:val="222222"/>
          <w:sz w:val="20"/>
          <w:szCs w:val="20"/>
          <w:lang w:val="en-US"/>
        </w:rPr>
        <w:t>the</w:t>
      </w:r>
      <w:proofErr w:type="gramEnd"/>
      <w:r w:rsidRPr="006E4901">
        <w:rPr>
          <w:rFonts w:ascii="Arial" w:hAnsi="Arial" w:cs="Arial"/>
          <w:color w:val="222222"/>
          <w:sz w:val="20"/>
          <w:szCs w:val="20"/>
          <w:lang w:val="en-US"/>
        </w:rPr>
        <w:t xml:space="preserve"> paragraph (lines 255-267) talks about the advantages of </w:t>
      </w:r>
      <w:proofErr w:type="gramStart"/>
      <w:r w:rsidRPr="006E4901">
        <w:rPr>
          <w:rFonts w:ascii="Arial" w:hAnsi="Arial" w:cs="Arial"/>
          <w:color w:val="222222"/>
          <w:sz w:val="20"/>
          <w:szCs w:val="20"/>
          <w:lang w:val="en-US"/>
        </w:rPr>
        <w:t>wastewater based</w:t>
      </w:r>
      <w:proofErr w:type="gramEnd"/>
      <w:r w:rsidRPr="006E4901">
        <w:rPr>
          <w:rFonts w:ascii="Arial" w:hAnsi="Arial" w:cs="Arial"/>
          <w:color w:val="222222"/>
          <w:sz w:val="20"/>
          <w:szCs w:val="20"/>
          <w:lang w:val="en-US"/>
        </w:rPr>
        <w:t xml:space="preserve"> surveillance, those may not be the unique advantages for WWGS that are mentioned in the following paragraph, but the following paragraphs talks about the WWGS, the logic flow needs to be improved.</w:t>
      </w:r>
    </w:p>
    <w:p w14:paraId="7B688378" w14:textId="77777777" w:rsidR="00B956F4" w:rsidRPr="006A1E0C" w:rsidRDefault="00B956F4" w:rsidP="00B956F4">
      <w:pPr>
        <w:pStyle w:val="NormalWeb"/>
        <w:spacing w:before="0" w:beforeAutospacing="0" w:after="0" w:afterAutospacing="0"/>
        <w:jc w:val="both"/>
        <w:rPr>
          <w:lang w:val="en-US"/>
        </w:rPr>
      </w:pPr>
      <w:r w:rsidRPr="006E4901">
        <w:rPr>
          <w:rFonts w:ascii="Arial" w:hAnsi="Arial" w:cs="Arial"/>
          <w:b/>
          <w:bCs/>
          <w:color w:val="222222"/>
          <w:sz w:val="20"/>
          <w:szCs w:val="20"/>
          <w:lang w:val="en-US"/>
        </w:rPr>
        <w:t xml:space="preserve">Author’s response: </w:t>
      </w:r>
      <w:r w:rsidRPr="006E4901">
        <w:rPr>
          <w:rFonts w:ascii="Arial" w:hAnsi="Arial" w:cs="Arial"/>
          <w:color w:val="222222"/>
          <w:sz w:val="20"/>
          <w:szCs w:val="20"/>
          <w:lang w:val="en-US"/>
        </w:rPr>
        <w:t xml:space="preserve">We thank the reviewer for this comment. In response, we have revised the section to enhance clarity and the flow. </w:t>
      </w:r>
      <w:r w:rsidRPr="006A1E0C">
        <w:rPr>
          <w:rFonts w:ascii="Arial" w:hAnsi="Arial" w:cs="Arial"/>
          <w:color w:val="222222"/>
          <w:sz w:val="20"/>
          <w:szCs w:val="20"/>
          <w:lang w:val="en-US"/>
        </w:rPr>
        <w:t>The updated text is provided below:</w:t>
      </w:r>
    </w:p>
    <w:p w14:paraId="73887F03" w14:textId="77777777" w:rsidR="00B956F4" w:rsidRDefault="00B956F4" w:rsidP="00B956F4">
      <w:pPr>
        <w:spacing w:after="0" w:line="240" w:lineRule="auto"/>
        <w:jc w:val="both"/>
        <w:rPr>
          <w:rFonts w:ascii="Times New Roman" w:eastAsia="Times New Roman" w:hAnsi="Times New Roman" w:cs="Times New Roman"/>
          <w:sz w:val="24"/>
          <w:szCs w:val="24"/>
          <w:lang w:eastAsia="ru-RU"/>
        </w:rPr>
      </w:pPr>
    </w:p>
    <w:p w14:paraId="567D8FFF"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Wastewater-based epidemiology (WBE) is a population-scale surveillance framework that leverages sewage analysis to monitor public health dynamics, enabling real-time assessment of epidemiological trends, emerging health threats, and environmental exposures</w:t>
      </w:r>
      <w:hyperlink r:id="rId72" w:history="1">
        <w:r w:rsidRPr="006A1E0C">
          <w:rPr>
            <w:rStyle w:val="Hyperlink"/>
            <w:rFonts w:ascii="Arial" w:hAnsi="Arial" w:cs="Arial"/>
            <w:color w:val="FF0000"/>
            <w:sz w:val="12"/>
            <w:szCs w:val="12"/>
            <w:vertAlign w:val="superscript"/>
            <w:lang w:val="en-US"/>
          </w:rPr>
          <w:t>35,36</w:t>
        </w:r>
      </w:hyperlink>
      <w:r w:rsidRPr="006A1E0C">
        <w:rPr>
          <w:rFonts w:ascii="Arial" w:hAnsi="Arial" w:cs="Arial"/>
          <w:color w:val="FF0000"/>
          <w:sz w:val="20"/>
          <w:szCs w:val="20"/>
          <w:lang w:val="en-US"/>
        </w:rPr>
        <w:t>. By detecting pathogen signatures, profiling community-level drug consumption, and quantifying a broad spectrum of biochemical and genetic biomarkers, this approach facilitates rapid response strategies and strengthens public health preparedness. Beyond pathogen surveillance, wastewater epidemiology has broad applications spanning infectious disease monitoring, environmental exposure assessment, and forensic analysis. A key application of this field, wastewater-based surveillance (WBS), systematically detects and quantifies pathogens in sewage, providing high-resolution insights into community infection dynamics and enabling the early detection of emerging disease threats</w:t>
      </w:r>
      <w:hyperlink r:id="rId73" w:history="1">
        <w:r w:rsidRPr="006A1E0C">
          <w:rPr>
            <w:rStyle w:val="Hyperlink"/>
            <w:rFonts w:ascii="Arial" w:hAnsi="Arial" w:cs="Arial"/>
            <w:color w:val="FF0000"/>
            <w:sz w:val="12"/>
            <w:szCs w:val="12"/>
            <w:vertAlign w:val="superscript"/>
            <w:lang w:val="en-US"/>
          </w:rPr>
          <w:t>37</w:t>
        </w:r>
      </w:hyperlink>
      <w:r w:rsidRPr="006A1E0C">
        <w:rPr>
          <w:rFonts w:ascii="Arial" w:hAnsi="Arial" w:cs="Arial"/>
          <w:color w:val="FF0000"/>
          <w:sz w:val="20"/>
          <w:szCs w:val="20"/>
          <w:lang w:val="en-US"/>
        </w:rPr>
        <w:t>. Wastewater-based genomic surveillance</w:t>
      </w:r>
      <w:r w:rsidRPr="006A1E0C">
        <w:rPr>
          <w:rFonts w:ascii="Arial" w:hAnsi="Arial" w:cs="Arial"/>
          <w:b/>
          <w:bCs/>
          <w:color w:val="FF0000"/>
          <w:sz w:val="20"/>
          <w:szCs w:val="20"/>
          <w:lang w:val="en-US"/>
        </w:rPr>
        <w:t xml:space="preserve"> </w:t>
      </w:r>
      <w:r w:rsidRPr="006A1E0C">
        <w:rPr>
          <w:rFonts w:ascii="Arial" w:hAnsi="Arial" w:cs="Arial"/>
          <w:color w:val="FF0000"/>
          <w:sz w:val="20"/>
          <w:szCs w:val="20"/>
          <w:lang w:val="en-US"/>
        </w:rPr>
        <w:t>(WWGS) further extends this capability by extracting and analyzing genetic material from wastewater to characterize pathogen evolution, identify pathogens mutations, and estimate the prevalence of circulating variants at the population level</w:t>
      </w:r>
      <w:hyperlink r:id="rId74" w:history="1">
        <w:r w:rsidRPr="006A1E0C">
          <w:rPr>
            <w:rStyle w:val="Hyperlink"/>
            <w:rFonts w:ascii="Arial" w:hAnsi="Arial" w:cs="Arial"/>
            <w:color w:val="FF0000"/>
            <w:sz w:val="12"/>
            <w:szCs w:val="12"/>
            <w:vertAlign w:val="superscript"/>
            <w:lang w:val="en-US"/>
          </w:rPr>
          <w:t>38,39</w:t>
        </w:r>
      </w:hyperlink>
      <w:r w:rsidRPr="006A1E0C">
        <w:rPr>
          <w:rFonts w:ascii="Arial" w:hAnsi="Arial" w:cs="Arial"/>
          <w:color w:val="FF0000"/>
          <w:sz w:val="20"/>
          <w:szCs w:val="20"/>
          <w:lang w:val="en-US"/>
        </w:rPr>
        <w:t>. </w:t>
      </w:r>
    </w:p>
    <w:p w14:paraId="2A0A17DC" w14:textId="77777777" w:rsidR="00B956F4" w:rsidRPr="006A1E0C" w:rsidRDefault="00B956F4" w:rsidP="00B956F4">
      <w:pPr>
        <w:pStyle w:val="NormalWeb"/>
        <w:spacing w:before="0" w:beforeAutospacing="0" w:after="0" w:afterAutospacing="0"/>
        <w:ind w:firstLine="720"/>
        <w:jc w:val="both"/>
        <w:rPr>
          <w:lang w:val="en-US"/>
        </w:rPr>
      </w:pPr>
      <w:r w:rsidRPr="006A1E0C">
        <w:rPr>
          <w:rFonts w:ascii="Arial" w:hAnsi="Arial" w:cs="Arial"/>
          <w:color w:val="FF0000"/>
          <w:sz w:val="20"/>
          <w:szCs w:val="20"/>
          <w:lang w:val="en-US"/>
        </w:rPr>
        <w:t xml:space="preserve">WBE of SARS-CoV-2 has proven effective in tracking SARS-CoV-2 infection dynamics </w:t>
      </w:r>
      <w:proofErr w:type="spellStart"/>
      <w:r w:rsidRPr="006A1E0C">
        <w:rPr>
          <w:rFonts w:ascii="Arial" w:hAnsi="Arial" w:cs="Arial"/>
          <w:color w:val="FF0000"/>
          <w:sz w:val="20"/>
          <w:szCs w:val="20"/>
          <w:lang w:val="en-US"/>
        </w:rPr>
        <w:t>accross</w:t>
      </w:r>
      <w:proofErr w:type="spellEnd"/>
      <w:r w:rsidRPr="006A1E0C">
        <w:rPr>
          <w:rFonts w:ascii="Arial" w:hAnsi="Arial" w:cs="Arial"/>
          <w:color w:val="FF0000"/>
          <w:sz w:val="20"/>
          <w:szCs w:val="20"/>
          <w:lang w:val="en-US"/>
        </w:rPr>
        <w:t xml:space="preserve"> numerous countries around the globe</w:t>
      </w:r>
      <w:hyperlink r:id="rId75" w:history="1">
        <w:r w:rsidRPr="006A1E0C">
          <w:rPr>
            <w:rStyle w:val="Hyperlink"/>
            <w:rFonts w:ascii="Arial" w:hAnsi="Arial" w:cs="Arial"/>
            <w:color w:val="FF0000"/>
            <w:sz w:val="12"/>
            <w:szCs w:val="12"/>
            <w:vertAlign w:val="superscript"/>
            <w:lang w:val="en-US"/>
          </w:rPr>
          <w:t>6,10,11,16,27</w:t>
        </w:r>
      </w:hyperlink>
      <w:r w:rsidRPr="006A1E0C">
        <w:rPr>
          <w:rFonts w:ascii="Arial" w:hAnsi="Arial" w:cs="Arial"/>
          <w:color w:val="FF0000"/>
          <w:sz w:val="20"/>
          <w:szCs w:val="20"/>
          <w:lang w:val="en-US"/>
        </w:rPr>
        <w:t>. WWGS plays a crucial role in both early detection and large-scale monitoring. It can help identify isolated peak events—such as potential outbreaks—and guide resource allocation in small and medium-sized populations (e.g., monitored retirement communities, university campuses, elementary schools). At the same time, it enables broad surveillance in large populations at centralized water reclamation facilities (WRFs)</w:t>
      </w:r>
      <w:hyperlink r:id="rId76" w:history="1">
        <w:r w:rsidRPr="006A1E0C">
          <w:rPr>
            <w:rStyle w:val="Hyperlink"/>
            <w:rFonts w:ascii="Arial" w:hAnsi="Arial" w:cs="Arial"/>
            <w:color w:val="FF0000"/>
            <w:sz w:val="12"/>
            <w:szCs w:val="12"/>
            <w:vertAlign w:val="superscript"/>
            <w:lang w:val="en-US"/>
          </w:rPr>
          <w:t>40</w:t>
        </w:r>
      </w:hyperlink>
      <w:r w:rsidRPr="006A1E0C">
        <w:rPr>
          <w:rFonts w:ascii="Arial" w:hAnsi="Arial" w:cs="Arial"/>
          <w:color w:val="FF0000"/>
          <w:sz w:val="20"/>
          <w:szCs w:val="20"/>
          <w:lang w:val="en-US"/>
        </w:rPr>
        <w:t>. Building on recent laboratory and analytical advances to identify the diverse pathogens present in wastewater is essential for improving disease risk assessment and expanding pathogen surveillance</w:t>
      </w:r>
      <w:hyperlink r:id="rId77" w:history="1">
        <w:r w:rsidRPr="006A1E0C">
          <w:rPr>
            <w:rStyle w:val="Hyperlink"/>
            <w:rFonts w:ascii="Arial" w:hAnsi="Arial" w:cs="Arial"/>
            <w:color w:val="FF0000"/>
            <w:sz w:val="12"/>
            <w:szCs w:val="12"/>
            <w:vertAlign w:val="superscript"/>
            <w:lang w:val="en-US"/>
          </w:rPr>
          <w:t>41</w:t>
        </w:r>
      </w:hyperlink>
      <w:r w:rsidRPr="006A1E0C">
        <w:rPr>
          <w:rFonts w:ascii="Arial" w:hAnsi="Arial" w:cs="Arial"/>
          <w:color w:val="FF0000"/>
          <w:sz w:val="20"/>
          <w:szCs w:val="20"/>
          <w:lang w:val="en-US"/>
        </w:rPr>
        <w:t>. Importantly, wastewater-based surveillance (WBS) can provide viral trends at different spatial scales, from individual buildings to large centralized WRFs, and does not require healthcare-seeking behavior</w:t>
      </w:r>
      <w:hyperlink r:id="rId78" w:history="1">
        <w:r w:rsidRPr="006A1E0C">
          <w:rPr>
            <w:rStyle w:val="Hyperlink"/>
            <w:rFonts w:ascii="Arial" w:hAnsi="Arial" w:cs="Arial"/>
            <w:color w:val="FF0000"/>
            <w:sz w:val="12"/>
            <w:szCs w:val="12"/>
            <w:vertAlign w:val="superscript"/>
            <w:lang w:val="en-US"/>
          </w:rPr>
          <w:t>42–45</w:t>
        </w:r>
      </w:hyperlink>
      <w:r w:rsidRPr="006A1E0C">
        <w:rPr>
          <w:rFonts w:ascii="Arial" w:hAnsi="Arial" w:cs="Arial"/>
          <w:color w:val="FF0000"/>
          <w:sz w:val="20"/>
          <w:szCs w:val="20"/>
          <w:lang w:val="en-US"/>
        </w:rPr>
        <w:t>. </w:t>
      </w:r>
    </w:p>
    <w:p w14:paraId="60420DD0"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r w:rsidRPr="006A1E0C">
        <w:rPr>
          <w:rFonts w:ascii="Arial" w:hAnsi="Arial" w:cs="Arial"/>
          <w:color w:val="FF0000"/>
          <w:sz w:val="20"/>
          <w:szCs w:val="20"/>
          <w:lang w:val="en-US"/>
        </w:rPr>
        <w:t>Despite the numerous advantages of WWGS in tracking and understanding the spread and ongoing evolution of SARS-CoV-2, challenges remain that may affect its accuracy and effectiveness. One challenge is the degradation of viral RNA concentrations by components of wastewater that do not contain human fluids (e.g., gray water), industrial wastewater, and stormwater infiltration. These factors contribute to variability in viral load measurements, making direct comparisons difficult and potentially masking infection trends in the community</w:t>
      </w:r>
      <w:hyperlink r:id="rId79" w:history="1">
        <w:r w:rsidRPr="006A1E0C">
          <w:rPr>
            <w:rStyle w:val="Hyperlink"/>
            <w:rFonts w:ascii="Arial" w:hAnsi="Arial" w:cs="Arial"/>
            <w:color w:val="FF0000"/>
            <w:sz w:val="12"/>
            <w:szCs w:val="12"/>
            <w:vertAlign w:val="superscript"/>
            <w:lang w:val="en-US"/>
          </w:rPr>
          <w:t>46,47</w:t>
        </w:r>
      </w:hyperlink>
      <w:r w:rsidRPr="006A1E0C">
        <w:rPr>
          <w:rFonts w:ascii="Arial" w:hAnsi="Arial" w:cs="Arial"/>
          <w:color w:val="FF0000"/>
          <w:sz w:val="20"/>
          <w:szCs w:val="20"/>
          <w:lang w:val="en-US"/>
        </w:rPr>
        <w:t>. In addition, the introduction of genetic material from animal hosts into the wastewater system can complicate the interpretation of WWGS data, necessitating the distinction between human and non-human sources of SARS-CoV-2 and other pathogens</w:t>
      </w:r>
      <w:hyperlink r:id="rId80" w:history="1">
        <w:r w:rsidRPr="006A1E0C">
          <w:rPr>
            <w:rStyle w:val="Hyperlink"/>
            <w:rFonts w:ascii="Arial" w:hAnsi="Arial" w:cs="Arial"/>
            <w:color w:val="FF0000"/>
            <w:sz w:val="12"/>
            <w:szCs w:val="12"/>
            <w:vertAlign w:val="superscript"/>
            <w:lang w:val="en-US"/>
          </w:rPr>
          <w:t>48</w:t>
        </w:r>
      </w:hyperlink>
      <w:r w:rsidRPr="006A1E0C">
        <w:rPr>
          <w:rFonts w:ascii="Arial" w:hAnsi="Arial" w:cs="Arial"/>
          <w:color w:val="FF0000"/>
          <w:sz w:val="20"/>
          <w:szCs w:val="20"/>
          <w:lang w:val="en-US"/>
        </w:rPr>
        <w:t>. Further concerns include sample degradation, data protection, and privacy issues, as wastewater data collection and analysis must be conducted in a manner that safeguards community privacy</w:t>
      </w:r>
      <w:hyperlink r:id="rId81" w:history="1">
        <w:r w:rsidRPr="006A1E0C">
          <w:rPr>
            <w:rStyle w:val="Hyperlink"/>
            <w:rFonts w:ascii="Arial" w:hAnsi="Arial" w:cs="Arial"/>
            <w:color w:val="FF0000"/>
            <w:sz w:val="12"/>
            <w:szCs w:val="12"/>
            <w:vertAlign w:val="superscript"/>
            <w:lang w:val="en-US"/>
          </w:rPr>
          <w:t>49,50</w:t>
        </w:r>
      </w:hyperlink>
      <w:r w:rsidRPr="006A1E0C">
        <w:rPr>
          <w:rFonts w:ascii="Arial" w:hAnsi="Arial" w:cs="Arial"/>
          <w:color w:val="FF0000"/>
          <w:sz w:val="20"/>
          <w:szCs w:val="20"/>
          <w:lang w:val="en-US"/>
        </w:rPr>
        <w:t>.</w:t>
      </w:r>
    </w:p>
    <w:p w14:paraId="6118DBEC" w14:textId="77777777" w:rsidR="00B956F4" w:rsidRDefault="00B956F4" w:rsidP="00B956F4">
      <w:pPr>
        <w:pStyle w:val="NormalWeb"/>
        <w:spacing w:before="0" w:beforeAutospacing="0" w:after="0" w:afterAutospacing="0"/>
        <w:jc w:val="both"/>
        <w:rPr>
          <w:rFonts w:ascii="Arial" w:hAnsi="Arial" w:cs="Arial"/>
          <w:b/>
          <w:bCs/>
          <w:color w:val="222222"/>
          <w:sz w:val="20"/>
          <w:szCs w:val="20"/>
          <w:lang w:val="en-US"/>
        </w:rPr>
      </w:pPr>
    </w:p>
    <w:p w14:paraId="11B9D423" w14:textId="77777777" w:rsidR="00B956F4" w:rsidRPr="00980C56" w:rsidRDefault="00B956F4" w:rsidP="00B956F4">
      <w:pPr>
        <w:pStyle w:val="NormalWeb"/>
        <w:spacing w:before="0" w:beforeAutospacing="0" w:after="0" w:afterAutospacing="0"/>
        <w:jc w:val="both"/>
        <w:rPr>
          <w:lang w:val="en-US"/>
        </w:rPr>
      </w:pPr>
      <w:r w:rsidRPr="00980C56">
        <w:rPr>
          <w:rFonts w:ascii="Arial" w:hAnsi="Arial" w:cs="Arial"/>
          <w:b/>
          <w:bCs/>
          <w:color w:val="222222"/>
          <w:sz w:val="20"/>
          <w:szCs w:val="20"/>
          <w:lang w:val="en-US"/>
        </w:rPr>
        <w:t>Comment 19:</w:t>
      </w:r>
      <w:r w:rsidRPr="00980C56">
        <w:rPr>
          <w:rFonts w:ascii="Arial" w:hAnsi="Arial" w:cs="Arial"/>
          <w:color w:val="222222"/>
          <w:sz w:val="20"/>
          <w:szCs w:val="20"/>
          <w:lang w:val="en-US"/>
        </w:rPr>
        <w:t xml:space="preserve"> Line 264: 'viral prevalence rates' is </w:t>
      </w:r>
      <w:proofErr w:type="gramStart"/>
      <w:r w:rsidRPr="00980C56">
        <w:rPr>
          <w:rFonts w:ascii="Arial" w:hAnsi="Arial" w:cs="Arial"/>
          <w:color w:val="222222"/>
          <w:sz w:val="20"/>
          <w:szCs w:val="20"/>
          <w:lang w:val="en-US"/>
        </w:rPr>
        <w:t>repetitive;</w:t>
      </w:r>
      <w:proofErr w:type="gramEnd"/>
      <w:r w:rsidRPr="00980C56">
        <w:rPr>
          <w:rFonts w:ascii="Arial" w:hAnsi="Arial" w:cs="Arial"/>
          <w:color w:val="222222"/>
          <w:sz w:val="20"/>
          <w:szCs w:val="20"/>
          <w:lang w:val="en-US"/>
        </w:rPr>
        <w:t> </w:t>
      </w:r>
    </w:p>
    <w:p w14:paraId="210C0FAB" w14:textId="77777777" w:rsidR="00B956F4" w:rsidRDefault="00B956F4" w:rsidP="00B956F4">
      <w:pPr>
        <w:pStyle w:val="NormalWeb"/>
        <w:spacing w:before="0" w:beforeAutospacing="0" w:after="0" w:afterAutospacing="0"/>
        <w:jc w:val="both"/>
        <w:rPr>
          <w:rFonts w:ascii="Arial" w:hAnsi="Arial" w:cs="Arial"/>
          <w:color w:val="000000"/>
          <w:sz w:val="20"/>
          <w:szCs w:val="20"/>
          <w:lang w:val="en-US"/>
        </w:rPr>
      </w:pPr>
      <w:r w:rsidRPr="00980C56">
        <w:rPr>
          <w:rFonts w:ascii="Arial" w:hAnsi="Arial" w:cs="Arial"/>
          <w:b/>
          <w:bCs/>
          <w:color w:val="222222"/>
          <w:sz w:val="20"/>
          <w:szCs w:val="20"/>
          <w:lang w:val="en-US"/>
        </w:rPr>
        <w:t xml:space="preserve">Author’s response: </w:t>
      </w:r>
      <w:r w:rsidRPr="00980C56">
        <w:rPr>
          <w:rFonts w:ascii="Arial" w:hAnsi="Arial" w:cs="Arial"/>
          <w:color w:val="222222"/>
          <w:sz w:val="20"/>
          <w:szCs w:val="20"/>
          <w:lang w:val="en-US"/>
        </w:rPr>
        <w:t xml:space="preserve">We </w:t>
      </w:r>
      <w:r w:rsidRPr="00980C56">
        <w:rPr>
          <w:rFonts w:ascii="Arial" w:hAnsi="Arial" w:cs="Arial"/>
          <w:color w:val="000000"/>
          <w:sz w:val="20"/>
          <w:szCs w:val="20"/>
          <w:lang w:val="en-US"/>
        </w:rPr>
        <w:t xml:space="preserve">thank the reviewer for pointing this out. The updated formulation is as </w:t>
      </w:r>
      <w:proofErr w:type="gramStart"/>
      <w:r w:rsidRPr="00980C56">
        <w:rPr>
          <w:rFonts w:ascii="Arial" w:hAnsi="Arial" w:cs="Arial"/>
          <w:color w:val="000000"/>
          <w:sz w:val="20"/>
          <w:szCs w:val="20"/>
          <w:lang w:val="en-US"/>
        </w:rPr>
        <w:t>follow</w:t>
      </w:r>
      <w:proofErr w:type="gramEnd"/>
      <w:r w:rsidRPr="00980C56">
        <w:rPr>
          <w:rFonts w:ascii="Arial" w:hAnsi="Arial" w:cs="Arial"/>
          <w:color w:val="000000"/>
          <w:sz w:val="20"/>
          <w:szCs w:val="20"/>
          <w:lang w:val="en-US"/>
        </w:rPr>
        <w:t>:</w:t>
      </w:r>
    </w:p>
    <w:p w14:paraId="66C1DB80" w14:textId="77777777" w:rsidR="00B956F4" w:rsidRDefault="00B956F4" w:rsidP="00B956F4">
      <w:pPr>
        <w:pStyle w:val="NormalWeb"/>
        <w:spacing w:before="0" w:beforeAutospacing="0" w:after="0" w:afterAutospacing="0"/>
        <w:jc w:val="both"/>
        <w:rPr>
          <w:rFonts w:ascii="Arial" w:hAnsi="Arial" w:cs="Arial"/>
          <w:color w:val="000000"/>
          <w:sz w:val="20"/>
          <w:szCs w:val="20"/>
          <w:lang w:val="en-US"/>
        </w:rPr>
      </w:pPr>
    </w:p>
    <w:p w14:paraId="360EA92C"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color w:val="FF0000"/>
          <w:sz w:val="20"/>
          <w:szCs w:val="20"/>
          <w:lang w:val="en-US"/>
        </w:rPr>
        <w:lastRenderedPageBreak/>
        <w:t>Importantly, wastewater-based surveillance (WBS) can provide viral trends at different spatial scales, from individual buildings to large centralized WRFs, and does not require healthcare-seeking behavior</w:t>
      </w:r>
      <w:hyperlink r:id="rId82" w:history="1">
        <w:r w:rsidRPr="006A1E0C">
          <w:rPr>
            <w:rStyle w:val="Hyperlink"/>
            <w:rFonts w:ascii="Arial" w:hAnsi="Arial" w:cs="Arial"/>
            <w:color w:val="FF0000"/>
            <w:sz w:val="12"/>
            <w:szCs w:val="12"/>
            <w:vertAlign w:val="superscript"/>
            <w:lang w:val="en-US"/>
          </w:rPr>
          <w:t>42–45</w:t>
        </w:r>
      </w:hyperlink>
      <w:r w:rsidRPr="006A1E0C">
        <w:rPr>
          <w:rFonts w:ascii="Arial" w:hAnsi="Arial" w:cs="Arial"/>
          <w:color w:val="FF0000"/>
          <w:sz w:val="20"/>
          <w:szCs w:val="20"/>
          <w:lang w:val="en-US"/>
        </w:rPr>
        <w:t>. </w:t>
      </w:r>
    </w:p>
    <w:p w14:paraId="6B7CD77F"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2F640D29" w14:textId="77777777" w:rsidR="00B956F4" w:rsidRPr="009B2B63" w:rsidRDefault="00B956F4" w:rsidP="00B956F4">
      <w:pPr>
        <w:pStyle w:val="NormalWeb"/>
        <w:spacing w:before="0" w:beforeAutospacing="0" w:after="0" w:afterAutospacing="0"/>
        <w:jc w:val="both"/>
        <w:rPr>
          <w:lang w:val="en-US"/>
        </w:rPr>
      </w:pPr>
      <w:r w:rsidRPr="009B2B63">
        <w:rPr>
          <w:rFonts w:ascii="Arial" w:hAnsi="Arial" w:cs="Arial"/>
          <w:b/>
          <w:bCs/>
          <w:color w:val="222222"/>
          <w:sz w:val="20"/>
          <w:szCs w:val="20"/>
          <w:lang w:val="en-US"/>
        </w:rPr>
        <w:t xml:space="preserve">Comment 20: </w:t>
      </w:r>
      <w:r w:rsidRPr="009B2B63">
        <w:rPr>
          <w:rFonts w:ascii="Arial" w:hAnsi="Arial" w:cs="Arial"/>
          <w:color w:val="222222"/>
          <w:sz w:val="20"/>
          <w:szCs w:val="20"/>
          <w:lang w:val="en-US"/>
        </w:rPr>
        <w:t>Line 265: 'entire communities', too positive, really depends on sewer network</w:t>
      </w:r>
    </w:p>
    <w:p w14:paraId="2C59B8A2" w14:textId="77777777" w:rsidR="00B956F4" w:rsidRDefault="00B956F4" w:rsidP="00B956F4">
      <w:pPr>
        <w:pStyle w:val="NormalWeb"/>
        <w:spacing w:before="0" w:beforeAutospacing="0" w:after="0" w:afterAutospacing="0"/>
        <w:jc w:val="both"/>
        <w:rPr>
          <w:rFonts w:ascii="Arial" w:hAnsi="Arial" w:cs="Arial"/>
          <w:color w:val="000000"/>
          <w:sz w:val="20"/>
          <w:szCs w:val="20"/>
          <w:lang w:val="en-US"/>
        </w:rPr>
      </w:pPr>
      <w:r w:rsidRPr="009B2B63">
        <w:rPr>
          <w:rFonts w:ascii="Arial" w:hAnsi="Arial" w:cs="Arial"/>
          <w:b/>
          <w:bCs/>
          <w:color w:val="222222"/>
          <w:sz w:val="20"/>
          <w:szCs w:val="20"/>
          <w:lang w:val="en-US"/>
        </w:rPr>
        <w:t xml:space="preserve">Author’s response: </w:t>
      </w:r>
      <w:r w:rsidRPr="009B2B63">
        <w:rPr>
          <w:rFonts w:ascii="Arial" w:hAnsi="Arial" w:cs="Arial"/>
          <w:color w:val="222222"/>
          <w:sz w:val="20"/>
          <w:szCs w:val="20"/>
          <w:lang w:val="en-US"/>
        </w:rPr>
        <w:t xml:space="preserve">We </w:t>
      </w:r>
      <w:r w:rsidRPr="009B2B63">
        <w:rPr>
          <w:rFonts w:ascii="Arial" w:hAnsi="Arial" w:cs="Arial"/>
          <w:color w:val="000000"/>
          <w:sz w:val="20"/>
          <w:szCs w:val="20"/>
          <w:lang w:val="en-US"/>
        </w:rPr>
        <w:t xml:space="preserve">thank the reviewer for pointing this out. The updated formulation is as </w:t>
      </w:r>
      <w:proofErr w:type="gramStart"/>
      <w:r w:rsidRPr="009B2B63">
        <w:rPr>
          <w:rFonts w:ascii="Arial" w:hAnsi="Arial" w:cs="Arial"/>
          <w:color w:val="000000"/>
          <w:sz w:val="20"/>
          <w:szCs w:val="20"/>
          <w:lang w:val="en-US"/>
        </w:rPr>
        <w:t>follow</w:t>
      </w:r>
      <w:proofErr w:type="gramEnd"/>
      <w:r w:rsidRPr="009B2B63">
        <w:rPr>
          <w:rFonts w:ascii="Arial" w:hAnsi="Arial" w:cs="Arial"/>
          <w:color w:val="000000"/>
          <w:sz w:val="20"/>
          <w:szCs w:val="20"/>
          <w:lang w:val="en-US"/>
        </w:rPr>
        <w:t>:</w:t>
      </w:r>
    </w:p>
    <w:p w14:paraId="090CF76C"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517C922C"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color w:val="FF0000"/>
          <w:sz w:val="20"/>
          <w:szCs w:val="20"/>
          <w:lang w:val="en-US"/>
        </w:rPr>
        <w:t>Importantly, wastewater-based surveillance (WBS) can provide viral trends at different spatial scales, from individual buildings to large centralized WRFs, and does not require healthcare-seeking behavior</w:t>
      </w:r>
      <w:hyperlink r:id="rId83" w:history="1">
        <w:r w:rsidRPr="006A1E0C">
          <w:rPr>
            <w:rStyle w:val="Hyperlink"/>
            <w:rFonts w:ascii="Arial" w:hAnsi="Arial" w:cs="Arial"/>
            <w:color w:val="FF0000"/>
            <w:sz w:val="12"/>
            <w:szCs w:val="12"/>
            <w:vertAlign w:val="superscript"/>
            <w:lang w:val="en-US"/>
          </w:rPr>
          <w:t>42–45</w:t>
        </w:r>
      </w:hyperlink>
      <w:r w:rsidRPr="006A1E0C">
        <w:rPr>
          <w:rFonts w:ascii="Arial" w:hAnsi="Arial" w:cs="Arial"/>
          <w:color w:val="FF0000"/>
          <w:sz w:val="20"/>
          <w:szCs w:val="20"/>
          <w:lang w:val="en-US"/>
        </w:rPr>
        <w:t>. </w:t>
      </w:r>
    </w:p>
    <w:p w14:paraId="330074B5"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338A0B9C" w14:textId="77777777" w:rsidR="00B956F4" w:rsidRPr="006A1E0C" w:rsidRDefault="00B956F4" w:rsidP="00B956F4">
      <w:pPr>
        <w:pStyle w:val="NormalWeb"/>
        <w:spacing w:before="0" w:beforeAutospacing="0" w:after="0" w:afterAutospacing="0"/>
        <w:jc w:val="both"/>
        <w:rPr>
          <w:lang w:val="en-US"/>
        </w:rPr>
      </w:pPr>
    </w:p>
    <w:p w14:paraId="51EC40EE" w14:textId="77777777" w:rsidR="00B956F4" w:rsidRPr="009B2B63" w:rsidRDefault="00B956F4" w:rsidP="00B956F4">
      <w:pPr>
        <w:pStyle w:val="NormalWeb"/>
        <w:spacing w:before="0" w:beforeAutospacing="0" w:after="0" w:afterAutospacing="0"/>
        <w:jc w:val="both"/>
        <w:rPr>
          <w:lang w:val="en-US"/>
        </w:rPr>
      </w:pPr>
      <w:r w:rsidRPr="009B2B63">
        <w:rPr>
          <w:rFonts w:ascii="Arial" w:hAnsi="Arial" w:cs="Arial"/>
          <w:b/>
          <w:bCs/>
          <w:color w:val="222222"/>
          <w:sz w:val="20"/>
          <w:szCs w:val="20"/>
          <w:lang w:val="en-US"/>
        </w:rPr>
        <w:t>Comment 21.</w:t>
      </w:r>
      <w:r w:rsidRPr="009B2B63">
        <w:rPr>
          <w:rFonts w:ascii="Arial" w:hAnsi="Arial" w:cs="Arial"/>
          <w:color w:val="222222"/>
          <w:sz w:val="20"/>
          <w:szCs w:val="20"/>
          <w:lang w:val="en-US"/>
        </w:rPr>
        <w:t xml:space="preserve"> Line 269: 'dilution of viral RNA </w:t>
      </w:r>
      <w:proofErr w:type="gramStart"/>
      <w:r w:rsidRPr="009B2B63">
        <w:rPr>
          <w:rFonts w:ascii="Arial" w:hAnsi="Arial" w:cs="Arial"/>
          <w:color w:val="222222"/>
          <w:sz w:val="20"/>
          <w:szCs w:val="20"/>
          <w:lang w:val="en-US"/>
        </w:rPr>
        <w:t>concentrations..</w:t>
      </w:r>
      <w:proofErr w:type="gramEnd"/>
      <w:r w:rsidRPr="009B2B63">
        <w:rPr>
          <w:rFonts w:ascii="Arial" w:hAnsi="Arial" w:cs="Arial"/>
          <w:color w:val="222222"/>
          <w:sz w:val="20"/>
          <w:szCs w:val="20"/>
          <w:lang w:val="en-US"/>
        </w:rPr>
        <w:t>', inaccurate</w:t>
      </w:r>
    </w:p>
    <w:p w14:paraId="6F83BB75" w14:textId="77777777" w:rsidR="00B956F4" w:rsidRDefault="00B956F4" w:rsidP="00B956F4">
      <w:pPr>
        <w:pStyle w:val="NormalWeb"/>
        <w:spacing w:before="0" w:beforeAutospacing="0" w:after="0" w:afterAutospacing="0"/>
        <w:jc w:val="both"/>
        <w:rPr>
          <w:rFonts w:ascii="Arial" w:hAnsi="Arial" w:cs="Arial"/>
          <w:color w:val="000000"/>
          <w:sz w:val="20"/>
          <w:szCs w:val="20"/>
          <w:lang w:val="en-US"/>
        </w:rPr>
      </w:pPr>
      <w:r w:rsidRPr="009B2B63">
        <w:rPr>
          <w:rFonts w:ascii="Arial" w:hAnsi="Arial" w:cs="Arial"/>
          <w:b/>
          <w:bCs/>
          <w:color w:val="222222"/>
          <w:sz w:val="20"/>
          <w:szCs w:val="20"/>
          <w:lang w:val="en-US"/>
        </w:rPr>
        <w:t xml:space="preserve">Author’s response: </w:t>
      </w:r>
      <w:r w:rsidRPr="009B2B63">
        <w:rPr>
          <w:rFonts w:ascii="Arial" w:hAnsi="Arial" w:cs="Arial"/>
          <w:color w:val="000000"/>
          <w:sz w:val="20"/>
          <w:szCs w:val="20"/>
          <w:lang w:val="en-US"/>
        </w:rPr>
        <w:t>We thank the reviewer for pointing this out. We have revised the wording to use "degradation", which more appropriately reflects the loss of viral RNA signal due to environmental and temporal factors.</w:t>
      </w:r>
    </w:p>
    <w:p w14:paraId="2BBB5EE8" w14:textId="77777777" w:rsidR="00B956F4" w:rsidRPr="006A1E0C" w:rsidRDefault="00B956F4" w:rsidP="00B956F4">
      <w:pPr>
        <w:pStyle w:val="NormalWeb"/>
        <w:spacing w:before="0" w:beforeAutospacing="0" w:after="0" w:afterAutospacing="0"/>
        <w:jc w:val="both"/>
        <w:rPr>
          <w:rFonts w:ascii="Arial" w:hAnsi="Arial" w:cs="Arial"/>
          <w:color w:val="000000"/>
          <w:sz w:val="20"/>
          <w:szCs w:val="20"/>
          <w:lang w:val="en-AU"/>
        </w:rPr>
      </w:pPr>
    </w:p>
    <w:p w14:paraId="4E34B73B" w14:textId="77777777" w:rsidR="00B956F4" w:rsidRPr="006A1E0C" w:rsidRDefault="00B956F4" w:rsidP="00B956F4">
      <w:pPr>
        <w:pStyle w:val="NormalWeb"/>
        <w:spacing w:before="0" w:beforeAutospacing="0" w:after="0" w:afterAutospacing="0"/>
        <w:jc w:val="both"/>
        <w:rPr>
          <w:lang w:val="en-US"/>
        </w:rPr>
      </w:pPr>
      <w:r w:rsidRPr="006A1E0C">
        <w:rPr>
          <w:rFonts w:ascii="Arial" w:hAnsi="Arial" w:cs="Arial"/>
          <w:color w:val="FF0000"/>
          <w:sz w:val="20"/>
          <w:szCs w:val="20"/>
          <w:lang w:val="en-US"/>
        </w:rPr>
        <w:t>One challenge is the degradation of viral RNA concentrations by components of wastewater that do not contain human fluids (e.g., gray water), industrial wastewater, and stormwater infiltration. These factors contribute to variability in viral load measurements, making direct comparisons difficult and potentially masking infection trends in the community</w:t>
      </w:r>
      <w:hyperlink r:id="rId84" w:history="1">
        <w:r w:rsidRPr="006A1E0C">
          <w:rPr>
            <w:rStyle w:val="Hyperlink"/>
            <w:rFonts w:ascii="Arial" w:hAnsi="Arial" w:cs="Arial"/>
            <w:color w:val="FF0000"/>
            <w:sz w:val="12"/>
            <w:szCs w:val="12"/>
            <w:vertAlign w:val="superscript"/>
            <w:lang w:val="en-US"/>
          </w:rPr>
          <w:t>46,47</w:t>
        </w:r>
      </w:hyperlink>
      <w:r w:rsidRPr="006A1E0C">
        <w:rPr>
          <w:rFonts w:ascii="Arial" w:hAnsi="Arial" w:cs="Arial"/>
          <w:color w:val="FF0000"/>
          <w:sz w:val="20"/>
          <w:szCs w:val="20"/>
          <w:lang w:val="en-US"/>
        </w:rPr>
        <w:t>. In addition, the introduction of genetic material from animal hosts into the wastewater system can complicate the interpretation of WWGS data, necessitating the distinction between human and non-human sources of SARS-CoV-2 and other pathogens</w:t>
      </w:r>
      <w:hyperlink r:id="rId85" w:history="1">
        <w:r w:rsidRPr="006A1E0C">
          <w:rPr>
            <w:rStyle w:val="Hyperlink"/>
            <w:rFonts w:ascii="Arial" w:hAnsi="Arial" w:cs="Arial"/>
            <w:color w:val="FF0000"/>
            <w:sz w:val="12"/>
            <w:szCs w:val="12"/>
            <w:vertAlign w:val="superscript"/>
            <w:lang w:val="en-US"/>
          </w:rPr>
          <w:t>48</w:t>
        </w:r>
      </w:hyperlink>
      <w:r w:rsidRPr="006A1E0C">
        <w:rPr>
          <w:rFonts w:ascii="Arial" w:hAnsi="Arial" w:cs="Arial"/>
          <w:color w:val="FF0000"/>
          <w:sz w:val="20"/>
          <w:szCs w:val="20"/>
          <w:lang w:val="en-US"/>
        </w:rPr>
        <w:t>. Further concerns include sample degradation, data protection, and privacy issues, as wastewater data collection and analysis must be conducted in a manner that safeguards community privacy</w:t>
      </w:r>
      <w:hyperlink r:id="rId86" w:history="1">
        <w:r w:rsidRPr="006A1E0C">
          <w:rPr>
            <w:rStyle w:val="Hyperlink"/>
            <w:rFonts w:ascii="Arial" w:hAnsi="Arial" w:cs="Arial"/>
            <w:color w:val="FF0000"/>
            <w:sz w:val="12"/>
            <w:szCs w:val="12"/>
            <w:vertAlign w:val="superscript"/>
            <w:lang w:val="en-US"/>
          </w:rPr>
          <w:t>49,50</w:t>
        </w:r>
      </w:hyperlink>
      <w:r w:rsidRPr="006A1E0C">
        <w:rPr>
          <w:rFonts w:ascii="Arial" w:hAnsi="Arial" w:cs="Arial"/>
          <w:color w:val="FF0000"/>
          <w:sz w:val="20"/>
          <w:szCs w:val="20"/>
          <w:lang w:val="en-US"/>
        </w:rPr>
        <w:t>. </w:t>
      </w:r>
    </w:p>
    <w:p w14:paraId="5766412D"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08DF4706"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78B46554" w14:textId="77777777" w:rsidR="00B956F4" w:rsidRPr="009B2B63" w:rsidRDefault="00B956F4" w:rsidP="00B956F4">
      <w:pPr>
        <w:spacing w:after="0" w:line="240" w:lineRule="auto"/>
        <w:jc w:val="both"/>
        <w:rPr>
          <w:rFonts w:ascii="Times New Roman" w:eastAsia="Times New Roman" w:hAnsi="Times New Roman" w:cs="Times New Roman"/>
          <w:sz w:val="24"/>
          <w:szCs w:val="24"/>
          <w:lang w:eastAsia="ru-RU"/>
        </w:rPr>
      </w:pPr>
      <w:r w:rsidRPr="009B2B63">
        <w:rPr>
          <w:rFonts w:ascii="Arial" w:eastAsia="Times New Roman" w:hAnsi="Arial" w:cs="Arial"/>
          <w:b/>
          <w:bCs/>
          <w:color w:val="222222"/>
          <w:sz w:val="20"/>
          <w:szCs w:val="20"/>
          <w:lang w:eastAsia="ru-RU"/>
        </w:rPr>
        <w:t>Comment 22.</w:t>
      </w:r>
      <w:r w:rsidRPr="009B2B63">
        <w:rPr>
          <w:rFonts w:ascii="Arial" w:eastAsia="Times New Roman" w:hAnsi="Arial" w:cs="Arial"/>
          <w:color w:val="222222"/>
          <w:sz w:val="20"/>
          <w:szCs w:val="20"/>
          <w:lang w:eastAsia="ru-RU"/>
        </w:rPr>
        <w:t xml:space="preserve"> Line 330: repeating word 'digital'</w:t>
      </w:r>
    </w:p>
    <w:p w14:paraId="3BA0318A" w14:textId="77777777" w:rsidR="00B956F4" w:rsidRPr="009B2B63" w:rsidRDefault="00B956F4" w:rsidP="00B956F4">
      <w:pPr>
        <w:spacing w:after="0" w:line="240" w:lineRule="auto"/>
        <w:jc w:val="both"/>
        <w:rPr>
          <w:rFonts w:ascii="Times New Roman" w:eastAsia="Times New Roman" w:hAnsi="Times New Roman" w:cs="Times New Roman"/>
          <w:sz w:val="24"/>
          <w:szCs w:val="24"/>
          <w:lang w:eastAsia="ru-RU"/>
        </w:rPr>
      </w:pPr>
      <w:r w:rsidRPr="009B2B63">
        <w:rPr>
          <w:rFonts w:ascii="Arial" w:eastAsia="Times New Roman" w:hAnsi="Arial" w:cs="Arial"/>
          <w:b/>
          <w:bCs/>
          <w:color w:val="222222"/>
          <w:sz w:val="20"/>
          <w:szCs w:val="20"/>
          <w:lang w:eastAsia="ru-RU"/>
        </w:rPr>
        <w:t xml:space="preserve">Author’s </w:t>
      </w:r>
      <w:proofErr w:type="spellStart"/>
      <w:proofErr w:type="gramStart"/>
      <w:r w:rsidRPr="009B2B63">
        <w:rPr>
          <w:rFonts w:ascii="Arial" w:eastAsia="Times New Roman" w:hAnsi="Arial" w:cs="Arial"/>
          <w:b/>
          <w:bCs/>
          <w:color w:val="222222"/>
          <w:sz w:val="20"/>
          <w:szCs w:val="20"/>
          <w:lang w:eastAsia="ru-RU"/>
        </w:rPr>
        <w:t>response:</w:t>
      </w:r>
      <w:r w:rsidRPr="009B2B63">
        <w:rPr>
          <w:rFonts w:ascii="Arial" w:eastAsia="Times New Roman" w:hAnsi="Arial" w:cs="Arial"/>
          <w:color w:val="000000"/>
          <w:sz w:val="20"/>
          <w:szCs w:val="20"/>
          <w:lang w:eastAsia="ru-RU"/>
        </w:rPr>
        <w:t>We</w:t>
      </w:r>
      <w:proofErr w:type="spellEnd"/>
      <w:proofErr w:type="gramEnd"/>
      <w:r w:rsidRPr="009B2B63">
        <w:rPr>
          <w:rFonts w:ascii="Arial" w:eastAsia="Times New Roman" w:hAnsi="Arial" w:cs="Arial"/>
          <w:color w:val="000000"/>
          <w:sz w:val="20"/>
          <w:szCs w:val="20"/>
          <w:lang w:eastAsia="ru-RU"/>
        </w:rPr>
        <w:t xml:space="preserve"> thank the reviewer for pointing this out. The typo has been corrected.</w:t>
      </w:r>
    </w:p>
    <w:p w14:paraId="0B9955E0" w14:textId="77777777" w:rsidR="00B956F4" w:rsidRPr="009B2B63" w:rsidRDefault="00B956F4" w:rsidP="00B956F4">
      <w:pPr>
        <w:spacing w:after="0" w:line="240" w:lineRule="auto"/>
        <w:rPr>
          <w:rFonts w:ascii="Times New Roman" w:eastAsia="Times New Roman" w:hAnsi="Times New Roman" w:cs="Times New Roman"/>
          <w:sz w:val="24"/>
          <w:szCs w:val="24"/>
          <w:lang w:eastAsia="ru-RU"/>
        </w:rPr>
      </w:pPr>
    </w:p>
    <w:p w14:paraId="14802494" w14:textId="77777777" w:rsidR="00B956F4" w:rsidRPr="009B2B63" w:rsidRDefault="00B956F4" w:rsidP="00B956F4">
      <w:pPr>
        <w:spacing w:after="0" w:line="240" w:lineRule="auto"/>
        <w:jc w:val="both"/>
        <w:rPr>
          <w:rFonts w:ascii="Times New Roman" w:eastAsia="Times New Roman" w:hAnsi="Times New Roman" w:cs="Times New Roman"/>
          <w:sz w:val="24"/>
          <w:szCs w:val="24"/>
          <w:lang w:eastAsia="ru-RU"/>
        </w:rPr>
      </w:pPr>
      <w:r w:rsidRPr="009B2B63">
        <w:rPr>
          <w:rFonts w:ascii="Arial" w:eastAsia="Times New Roman" w:hAnsi="Arial" w:cs="Arial"/>
          <w:b/>
          <w:bCs/>
          <w:color w:val="222222"/>
          <w:sz w:val="20"/>
          <w:szCs w:val="20"/>
          <w:lang w:eastAsia="ru-RU"/>
        </w:rPr>
        <w:t>Comment 23:</w:t>
      </w:r>
      <w:r w:rsidRPr="009B2B63">
        <w:rPr>
          <w:rFonts w:ascii="Arial" w:eastAsia="Times New Roman" w:hAnsi="Arial" w:cs="Arial"/>
          <w:color w:val="222222"/>
          <w:sz w:val="20"/>
          <w:szCs w:val="20"/>
          <w:lang w:eastAsia="ru-RU"/>
        </w:rPr>
        <w:t xml:space="preserve"> Line 400, include viral shedding kinetics for wastewater epidemiology, some references to consider: PMID: 36220466; PMID: 37494742</w:t>
      </w:r>
    </w:p>
    <w:p w14:paraId="13081012" w14:textId="77777777" w:rsidR="00B956F4" w:rsidRPr="006A1E0C" w:rsidRDefault="00B956F4" w:rsidP="00B956F4">
      <w:pPr>
        <w:spacing w:after="0" w:line="240" w:lineRule="auto"/>
        <w:jc w:val="both"/>
        <w:rPr>
          <w:rFonts w:ascii="Times New Roman" w:eastAsia="Times New Roman" w:hAnsi="Times New Roman" w:cs="Times New Roman"/>
          <w:sz w:val="24"/>
          <w:szCs w:val="24"/>
          <w:lang w:eastAsia="ru-RU"/>
        </w:rPr>
      </w:pPr>
      <w:r w:rsidRPr="009B2B63">
        <w:rPr>
          <w:rFonts w:ascii="Arial" w:eastAsia="Times New Roman" w:hAnsi="Arial" w:cs="Arial"/>
          <w:b/>
          <w:bCs/>
          <w:color w:val="222222"/>
          <w:sz w:val="20"/>
          <w:szCs w:val="20"/>
          <w:lang w:eastAsia="ru-RU"/>
        </w:rPr>
        <w:t>Author’s response:</w:t>
      </w:r>
      <w:r w:rsidRPr="009B2B63">
        <w:rPr>
          <w:rFonts w:ascii="Arial" w:eastAsia="Times New Roman" w:hAnsi="Arial" w:cs="Arial"/>
          <w:color w:val="222222"/>
          <w:sz w:val="20"/>
          <w:szCs w:val="20"/>
          <w:lang w:eastAsia="ru-RU"/>
        </w:rPr>
        <w:t xml:space="preserve"> We thank the reviewer for this valuable suggestion. We have incorporated a discussion on viral shedding kinetics into the manuscript. </w:t>
      </w:r>
      <w:r w:rsidRPr="006A1E0C">
        <w:rPr>
          <w:rFonts w:ascii="Arial" w:eastAsia="Times New Roman" w:hAnsi="Arial" w:cs="Arial"/>
          <w:color w:val="222222"/>
          <w:sz w:val="20"/>
          <w:szCs w:val="20"/>
          <w:lang w:eastAsia="ru-RU"/>
        </w:rPr>
        <w:t>The revised text now reads:</w:t>
      </w:r>
    </w:p>
    <w:p w14:paraId="375D2EE6"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p>
    <w:p w14:paraId="0CDCF56A" w14:textId="77777777" w:rsidR="00B956F4" w:rsidRDefault="00B956F4" w:rsidP="00B956F4">
      <w:pPr>
        <w:pStyle w:val="NormalWeb"/>
        <w:spacing w:before="0" w:beforeAutospacing="0" w:after="0" w:afterAutospacing="0"/>
        <w:jc w:val="both"/>
        <w:rPr>
          <w:rFonts w:ascii="Arial" w:hAnsi="Arial" w:cs="Arial"/>
          <w:color w:val="FF0000"/>
          <w:sz w:val="20"/>
          <w:szCs w:val="20"/>
          <w:lang w:val="en-US"/>
        </w:rPr>
      </w:pPr>
      <w:r w:rsidRPr="006A1E0C">
        <w:rPr>
          <w:rFonts w:ascii="Arial" w:hAnsi="Arial" w:cs="Arial"/>
          <w:color w:val="FF0000"/>
          <w:sz w:val="20"/>
          <w:szCs w:val="20"/>
          <w:lang w:val="en-US"/>
        </w:rPr>
        <w:t>Viral shedding kinetics, including the duration and concentration of shedding, vary across individuals and over the course of infection, which affects the interpretation of wastewater data</w:t>
      </w:r>
      <w:hyperlink r:id="rId87" w:history="1">
        <w:r w:rsidRPr="006A1E0C">
          <w:rPr>
            <w:rStyle w:val="Hyperlink"/>
            <w:rFonts w:ascii="Arial" w:hAnsi="Arial" w:cs="Arial"/>
            <w:sz w:val="12"/>
            <w:szCs w:val="12"/>
            <w:vertAlign w:val="superscript"/>
            <w:lang w:val="en-US"/>
          </w:rPr>
          <w:t>72,73</w:t>
        </w:r>
      </w:hyperlink>
      <w:r w:rsidRPr="006A1E0C">
        <w:rPr>
          <w:rFonts w:ascii="Arial" w:hAnsi="Arial" w:cs="Arial"/>
          <w:color w:val="FF0000"/>
          <w:sz w:val="20"/>
          <w:szCs w:val="20"/>
          <w:lang w:val="en-US"/>
        </w:rPr>
        <w:t>. Studies suggest that SARS-CoV-2 can be shed in feces before symptoms develop, making wastewater surveillance a potential early indicator of infection prevalence. However, the time lag between peaks in wastewater viral loads and reported clinical cases can range from approximately 8 to 11 days, highlighting the need for careful temporal alignment in data analysis.</w:t>
      </w:r>
    </w:p>
    <w:p w14:paraId="13BF9E68" w14:textId="77777777" w:rsidR="00B956F4" w:rsidRPr="006A1E0C" w:rsidRDefault="00B956F4" w:rsidP="00B956F4">
      <w:pPr>
        <w:pStyle w:val="NormalWeb"/>
        <w:spacing w:before="0" w:beforeAutospacing="0" w:after="0" w:afterAutospacing="0"/>
        <w:jc w:val="both"/>
        <w:rPr>
          <w:rFonts w:ascii="Arial" w:hAnsi="Arial" w:cs="Arial"/>
          <w:color w:val="FF0000"/>
          <w:sz w:val="20"/>
          <w:szCs w:val="20"/>
          <w:lang w:val="en-US"/>
        </w:rPr>
      </w:pPr>
    </w:p>
    <w:p w14:paraId="392CA66B" w14:textId="77777777" w:rsidR="00B956F4" w:rsidRPr="009B2B63" w:rsidRDefault="00B956F4" w:rsidP="00B956F4">
      <w:pPr>
        <w:pStyle w:val="NormalWeb"/>
        <w:spacing w:before="0" w:beforeAutospacing="0" w:after="0" w:afterAutospacing="0"/>
        <w:jc w:val="both"/>
        <w:rPr>
          <w:lang w:val="en-US"/>
        </w:rPr>
      </w:pPr>
      <w:r w:rsidRPr="009B2B63">
        <w:rPr>
          <w:rFonts w:ascii="Arial" w:hAnsi="Arial" w:cs="Arial"/>
          <w:b/>
          <w:bCs/>
          <w:color w:val="222222"/>
          <w:sz w:val="20"/>
          <w:szCs w:val="20"/>
          <w:lang w:val="en-US"/>
        </w:rPr>
        <w:t xml:space="preserve">Comment 24. </w:t>
      </w:r>
      <w:r w:rsidRPr="009B2B63">
        <w:rPr>
          <w:rFonts w:ascii="Arial" w:hAnsi="Arial" w:cs="Arial"/>
          <w:color w:val="222222"/>
          <w:sz w:val="20"/>
          <w:szCs w:val="20"/>
          <w:lang w:val="en-US"/>
        </w:rPr>
        <w:t>About the deconvolution for lineage inference, may worth mention the potential limitations in depending on a good profile of consensus variants and consistent signature mutations among strains, also unreported variants with unclear signature pattern.</w:t>
      </w:r>
    </w:p>
    <w:p w14:paraId="00F917EA" w14:textId="77777777" w:rsidR="00B956F4" w:rsidRDefault="00B956F4" w:rsidP="00B956F4">
      <w:pPr>
        <w:pStyle w:val="NormalWeb"/>
        <w:spacing w:before="0" w:beforeAutospacing="0" w:after="0" w:afterAutospacing="0"/>
        <w:jc w:val="both"/>
        <w:rPr>
          <w:rFonts w:ascii="Arial" w:hAnsi="Arial" w:cs="Arial"/>
          <w:color w:val="222222"/>
          <w:sz w:val="20"/>
          <w:szCs w:val="20"/>
          <w:lang w:val="en-US"/>
        </w:rPr>
      </w:pPr>
      <w:r w:rsidRPr="009B2B63">
        <w:rPr>
          <w:rFonts w:ascii="Arial" w:hAnsi="Arial" w:cs="Arial"/>
          <w:b/>
          <w:bCs/>
          <w:color w:val="222222"/>
          <w:sz w:val="20"/>
          <w:szCs w:val="20"/>
          <w:lang w:val="en-US"/>
        </w:rPr>
        <w:t xml:space="preserve">Author’s response: </w:t>
      </w:r>
      <w:r w:rsidRPr="009B2B63">
        <w:rPr>
          <w:rFonts w:ascii="Arial" w:hAnsi="Arial" w:cs="Arial"/>
          <w:color w:val="222222"/>
          <w:sz w:val="20"/>
          <w:szCs w:val="20"/>
          <w:lang w:val="en-US"/>
        </w:rPr>
        <w:t>We thank the reviewer for this comment. The below text discusses the dependency on well-characterized profiles of consensus variants and the challenges posed by unreported or novel variants that lack consistent signature mutation patterns. Additionally, we highlight the difficulties in detecting unknown or emerging lineages when using approaches that rely on clinical reference data derived from known strains.</w:t>
      </w:r>
    </w:p>
    <w:p w14:paraId="6F171298" w14:textId="77777777" w:rsidR="00B956F4" w:rsidRDefault="00B956F4" w:rsidP="00B956F4">
      <w:pPr>
        <w:pStyle w:val="NormalWeb"/>
        <w:spacing w:before="0" w:beforeAutospacing="0" w:after="0" w:afterAutospacing="0"/>
        <w:jc w:val="both"/>
        <w:rPr>
          <w:rFonts w:ascii="Arial" w:hAnsi="Arial" w:cs="Arial"/>
          <w:color w:val="222222"/>
          <w:sz w:val="20"/>
          <w:szCs w:val="20"/>
          <w:lang w:val="en-US"/>
        </w:rPr>
      </w:pPr>
    </w:p>
    <w:p w14:paraId="63313FF6" w14:textId="77777777" w:rsidR="00B956F4" w:rsidRPr="006A1E0C" w:rsidRDefault="00B956F4" w:rsidP="00B956F4">
      <w:pPr>
        <w:pStyle w:val="NormalWeb"/>
        <w:spacing w:before="0" w:beforeAutospacing="0" w:after="0" w:afterAutospacing="0"/>
        <w:ind w:firstLine="720"/>
        <w:jc w:val="both"/>
        <w:rPr>
          <w:color w:val="FF0000"/>
          <w:lang w:val="en-US"/>
        </w:rPr>
      </w:pPr>
      <w:r w:rsidRPr="006A1E0C">
        <w:rPr>
          <w:rFonts w:ascii="Arial" w:hAnsi="Arial" w:cs="Arial"/>
          <w:color w:val="FF0000"/>
          <w:sz w:val="20"/>
          <w:szCs w:val="20"/>
          <w:lang w:val="en-US"/>
        </w:rPr>
        <w:t>It is crucial to acknowledge that both approaches have their limitations. A recent study shows</w:t>
      </w:r>
      <w:hyperlink r:id="rId88" w:history="1">
        <w:r w:rsidRPr="006A1E0C">
          <w:rPr>
            <w:rStyle w:val="Hyperlink"/>
            <w:rFonts w:ascii="Arial" w:hAnsi="Arial" w:cs="Arial"/>
            <w:color w:val="FF0000"/>
            <w:sz w:val="12"/>
            <w:szCs w:val="12"/>
            <w:vertAlign w:val="superscript"/>
            <w:lang w:val="en-US"/>
          </w:rPr>
          <w:t>194</w:t>
        </w:r>
      </w:hyperlink>
      <w:r w:rsidRPr="006A1E0C">
        <w:rPr>
          <w:rFonts w:ascii="Arial" w:hAnsi="Arial" w:cs="Arial"/>
          <w:color w:val="FF0000"/>
          <w:sz w:val="20"/>
          <w:szCs w:val="20"/>
          <w:lang w:val="en-US"/>
        </w:rPr>
        <w:t xml:space="preserve"> that using sequence-based reference sets can generate higher false positives than the mutation-based approach. On the other hand, the mutation-based approach creates a challenge in selecting </w:t>
      </w:r>
      <w:proofErr w:type="spellStart"/>
      <w:r w:rsidRPr="006A1E0C">
        <w:rPr>
          <w:rFonts w:ascii="Arial" w:hAnsi="Arial" w:cs="Arial"/>
          <w:color w:val="FF0000"/>
          <w:sz w:val="20"/>
          <w:szCs w:val="20"/>
          <w:lang w:val="en-US"/>
        </w:rPr>
        <w:t>sublineage</w:t>
      </w:r>
      <w:proofErr w:type="spellEnd"/>
      <w:r w:rsidRPr="006A1E0C">
        <w:rPr>
          <w:rFonts w:ascii="Arial" w:hAnsi="Arial" w:cs="Arial"/>
          <w:color w:val="FF0000"/>
          <w:sz w:val="20"/>
          <w:szCs w:val="20"/>
          <w:lang w:val="en-US"/>
        </w:rPr>
        <w:t>-defining marker mutations that provide robust assignment in the context of increasing diversity of the lineages and ongoing (convergent) evolution. Regardless of the approaches, reference sets of variant genomes may be constructed from existing databases, such as GISAID</w:t>
      </w:r>
      <w:hyperlink r:id="rId89" w:history="1">
        <w:r w:rsidRPr="006A1E0C">
          <w:rPr>
            <w:rStyle w:val="Hyperlink"/>
            <w:rFonts w:ascii="Arial" w:hAnsi="Arial" w:cs="Arial"/>
            <w:color w:val="FF0000"/>
            <w:sz w:val="12"/>
            <w:szCs w:val="12"/>
            <w:vertAlign w:val="superscript"/>
            <w:lang w:val="en-US"/>
          </w:rPr>
          <w:t>195</w:t>
        </w:r>
      </w:hyperlink>
      <w:r w:rsidRPr="006A1E0C">
        <w:rPr>
          <w:rFonts w:ascii="Arial" w:hAnsi="Arial" w:cs="Arial"/>
          <w:color w:val="FF0000"/>
          <w:sz w:val="20"/>
          <w:szCs w:val="20"/>
          <w:lang w:val="en-US"/>
        </w:rPr>
        <w:t>, CoV-Spectrum</w:t>
      </w:r>
      <w:hyperlink r:id="rId90" w:history="1">
        <w:r w:rsidRPr="006A1E0C">
          <w:rPr>
            <w:rStyle w:val="Hyperlink"/>
            <w:rFonts w:ascii="Arial" w:hAnsi="Arial" w:cs="Arial"/>
            <w:color w:val="FF0000"/>
            <w:sz w:val="12"/>
            <w:szCs w:val="12"/>
            <w:vertAlign w:val="superscript"/>
            <w:lang w:val="en-US"/>
          </w:rPr>
          <w:t>196</w:t>
        </w:r>
      </w:hyperlink>
      <w:r w:rsidRPr="006A1E0C">
        <w:rPr>
          <w:rFonts w:ascii="Arial" w:hAnsi="Arial" w:cs="Arial"/>
          <w:color w:val="FF0000"/>
          <w:sz w:val="20"/>
          <w:szCs w:val="20"/>
          <w:lang w:val="en-US"/>
        </w:rPr>
        <w:t>, UshER</w:t>
      </w:r>
      <w:hyperlink r:id="rId91" w:history="1">
        <w:r w:rsidRPr="006A1E0C">
          <w:rPr>
            <w:rStyle w:val="Hyperlink"/>
            <w:rFonts w:ascii="Arial" w:hAnsi="Arial" w:cs="Arial"/>
            <w:color w:val="FF0000"/>
            <w:sz w:val="12"/>
            <w:szCs w:val="12"/>
            <w:vertAlign w:val="superscript"/>
            <w:lang w:val="en-US"/>
          </w:rPr>
          <w:t>197</w:t>
        </w:r>
      </w:hyperlink>
      <w:r w:rsidRPr="006A1E0C">
        <w:rPr>
          <w:rFonts w:ascii="Arial" w:hAnsi="Arial" w:cs="Arial"/>
          <w:color w:val="FF0000"/>
          <w:sz w:val="20"/>
          <w:szCs w:val="20"/>
          <w:lang w:val="en-US"/>
        </w:rPr>
        <w:t xml:space="preserve">, or </w:t>
      </w:r>
      <w:r w:rsidRPr="006A1E0C">
        <w:rPr>
          <w:rFonts w:ascii="Arial" w:hAnsi="Arial" w:cs="Arial"/>
          <w:color w:val="FF0000"/>
          <w:sz w:val="20"/>
          <w:szCs w:val="20"/>
          <w:lang w:val="en-US"/>
        </w:rPr>
        <w:lastRenderedPageBreak/>
        <w:t>NextClade</w:t>
      </w:r>
      <w:hyperlink r:id="rId92" w:history="1">
        <w:r w:rsidRPr="006A1E0C">
          <w:rPr>
            <w:rStyle w:val="Hyperlink"/>
            <w:rFonts w:ascii="Arial" w:hAnsi="Arial" w:cs="Arial"/>
            <w:color w:val="FF0000"/>
            <w:sz w:val="12"/>
            <w:szCs w:val="12"/>
            <w:vertAlign w:val="superscript"/>
            <w:lang w:val="en-US"/>
          </w:rPr>
          <w:t>198</w:t>
        </w:r>
      </w:hyperlink>
      <w:r w:rsidRPr="006A1E0C">
        <w:rPr>
          <w:rFonts w:ascii="Arial" w:hAnsi="Arial" w:cs="Arial"/>
          <w:color w:val="FF0000"/>
          <w:sz w:val="20"/>
          <w:szCs w:val="20"/>
          <w:lang w:val="en-US"/>
        </w:rPr>
        <w:t>. The selection of appropriate reference datasets is not trivial, and the results of some deconvolution methods may vary significantly depending on the reference dataset or classification scheme used</w:t>
      </w:r>
      <w:hyperlink r:id="rId93" w:history="1">
        <w:r w:rsidRPr="006A1E0C">
          <w:rPr>
            <w:rStyle w:val="Hyperlink"/>
            <w:rFonts w:ascii="Arial" w:hAnsi="Arial" w:cs="Arial"/>
            <w:color w:val="FF0000"/>
            <w:sz w:val="12"/>
            <w:szCs w:val="12"/>
            <w:vertAlign w:val="superscript"/>
            <w:lang w:val="en-US"/>
          </w:rPr>
          <w:t>194</w:t>
        </w:r>
      </w:hyperlink>
      <w:r w:rsidRPr="006A1E0C">
        <w:rPr>
          <w:rFonts w:ascii="Arial" w:hAnsi="Arial" w:cs="Arial"/>
          <w:color w:val="FF0000"/>
          <w:sz w:val="20"/>
          <w:szCs w:val="20"/>
          <w:lang w:val="en-US"/>
        </w:rPr>
        <w:t>. </w:t>
      </w:r>
    </w:p>
    <w:p w14:paraId="736FB793" w14:textId="77777777" w:rsidR="00B956F4" w:rsidRPr="006A1E0C" w:rsidRDefault="00B956F4" w:rsidP="00B956F4">
      <w:pPr>
        <w:pStyle w:val="NormalWeb"/>
        <w:spacing w:before="0" w:beforeAutospacing="0" w:after="0" w:afterAutospacing="0"/>
        <w:jc w:val="both"/>
        <w:rPr>
          <w:rFonts w:ascii="Arial" w:hAnsi="Arial" w:cs="Arial"/>
          <w:color w:val="FF0000"/>
          <w:sz w:val="20"/>
          <w:szCs w:val="20"/>
          <w:lang w:val="en-US"/>
        </w:rPr>
      </w:pPr>
      <w:proofErr w:type="gramStart"/>
      <w:r w:rsidRPr="006A1E0C">
        <w:rPr>
          <w:rFonts w:ascii="Arial" w:hAnsi="Arial" w:cs="Arial"/>
          <w:color w:val="FF0000"/>
          <w:sz w:val="20"/>
          <w:szCs w:val="20"/>
          <w:lang w:val="en-US"/>
        </w:rPr>
        <w:t>Therefore</w:t>
      </w:r>
      <w:proofErr w:type="gramEnd"/>
      <w:r w:rsidRPr="006A1E0C">
        <w:rPr>
          <w:rFonts w:ascii="Arial" w:hAnsi="Arial" w:cs="Arial"/>
          <w:color w:val="FF0000"/>
          <w:sz w:val="20"/>
          <w:szCs w:val="20"/>
          <w:lang w:val="en-US"/>
        </w:rPr>
        <w:t xml:space="preserve"> it is important to account for the temporal and geographical range of the references while constructing a reference set</w:t>
      </w:r>
      <w:hyperlink r:id="rId94" w:history="1">
        <w:r w:rsidRPr="006A1E0C">
          <w:rPr>
            <w:rStyle w:val="Hyperlink"/>
            <w:rFonts w:ascii="Arial" w:hAnsi="Arial" w:cs="Arial"/>
            <w:color w:val="FF0000"/>
            <w:sz w:val="12"/>
            <w:szCs w:val="12"/>
            <w:vertAlign w:val="superscript"/>
            <w:lang w:val="en-US"/>
          </w:rPr>
          <w:t>194</w:t>
        </w:r>
      </w:hyperlink>
      <w:r w:rsidRPr="006A1E0C">
        <w:rPr>
          <w:rFonts w:ascii="Arial" w:hAnsi="Arial" w:cs="Arial"/>
          <w:color w:val="FF0000"/>
          <w:sz w:val="20"/>
          <w:szCs w:val="20"/>
          <w:lang w:val="en-US"/>
        </w:rPr>
        <w:t>. VLQ</w:t>
      </w:r>
      <w:hyperlink r:id="rId95" w:history="1">
        <w:r w:rsidRPr="006A1E0C">
          <w:rPr>
            <w:rStyle w:val="Hyperlink"/>
            <w:rFonts w:ascii="Arial" w:hAnsi="Arial" w:cs="Arial"/>
            <w:color w:val="FF0000"/>
            <w:sz w:val="12"/>
            <w:szCs w:val="12"/>
            <w:vertAlign w:val="superscript"/>
            <w:lang w:val="en-US"/>
          </w:rPr>
          <w:t>186</w:t>
        </w:r>
      </w:hyperlink>
      <w:r w:rsidRPr="006A1E0C">
        <w:rPr>
          <w:rFonts w:ascii="Arial" w:hAnsi="Arial" w:cs="Arial"/>
          <w:color w:val="FF0000"/>
          <w:sz w:val="20"/>
          <w:szCs w:val="20"/>
          <w:lang w:val="en-US"/>
        </w:rPr>
        <w:t xml:space="preserve"> selects reference lineages based on the  </w:t>
      </w:r>
      <w:proofErr w:type="spellStart"/>
      <w:r w:rsidRPr="006A1E0C">
        <w:rPr>
          <w:rFonts w:ascii="Arial" w:hAnsi="Arial" w:cs="Arial"/>
          <w:color w:val="FF0000"/>
          <w:sz w:val="20"/>
          <w:szCs w:val="20"/>
          <w:lang w:val="en-US"/>
        </w:rPr>
        <w:t>spatio</w:t>
      </w:r>
      <w:proofErr w:type="spellEnd"/>
      <w:r w:rsidRPr="006A1E0C">
        <w:rPr>
          <w:rFonts w:ascii="Arial" w:hAnsi="Arial" w:cs="Arial"/>
          <w:color w:val="FF0000"/>
          <w:sz w:val="20"/>
          <w:szCs w:val="20"/>
          <w:lang w:val="en-US"/>
        </w:rPr>
        <w:t>-temporal context of the wastewater sample and samples a specific number of genomic sequences  for every lineage according to a predefined threshold for the genomic variation that should be captured</w:t>
      </w:r>
      <w:hyperlink r:id="rId96" w:history="1">
        <w:r w:rsidRPr="006A1E0C">
          <w:rPr>
            <w:rStyle w:val="Hyperlink"/>
            <w:rFonts w:ascii="Arial" w:hAnsi="Arial" w:cs="Arial"/>
            <w:color w:val="FF0000"/>
            <w:sz w:val="12"/>
            <w:szCs w:val="12"/>
            <w:vertAlign w:val="superscript"/>
            <w:lang w:val="en-US"/>
          </w:rPr>
          <w:t>186</w:t>
        </w:r>
      </w:hyperlink>
      <w:r w:rsidRPr="006A1E0C">
        <w:rPr>
          <w:rFonts w:ascii="Arial" w:hAnsi="Arial" w:cs="Arial"/>
          <w:color w:val="FF0000"/>
          <w:sz w:val="20"/>
          <w:szCs w:val="20"/>
          <w:lang w:val="en-US"/>
        </w:rPr>
        <w:t xml:space="preserve">. Freyja reconstructs a set of characteristic lineage mutations based on the </w:t>
      </w:r>
      <w:proofErr w:type="spellStart"/>
      <w:r w:rsidRPr="006A1E0C">
        <w:rPr>
          <w:rFonts w:ascii="Arial" w:hAnsi="Arial" w:cs="Arial"/>
          <w:color w:val="FF0000"/>
          <w:sz w:val="20"/>
          <w:szCs w:val="20"/>
          <w:lang w:val="en-US"/>
        </w:rPr>
        <w:t>UShER</w:t>
      </w:r>
      <w:proofErr w:type="spellEnd"/>
      <w:r w:rsidRPr="006A1E0C">
        <w:rPr>
          <w:rFonts w:ascii="Arial" w:hAnsi="Arial" w:cs="Arial"/>
          <w:color w:val="FF0000"/>
          <w:sz w:val="20"/>
          <w:szCs w:val="20"/>
          <w:lang w:val="en-US"/>
        </w:rPr>
        <w:t xml:space="preserve"> phylogenetic tree</w:t>
      </w:r>
      <w:hyperlink r:id="rId97" w:history="1">
        <w:r w:rsidRPr="006A1E0C">
          <w:rPr>
            <w:rStyle w:val="Hyperlink"/>
            <w:rFonts w:ascii="Arial" w:hAnsi="Arial" w:cs="Arial"/>
            <w:color w:val="FF0000"/>
            <w:sz w:val="12"/>
            <w:szCs w:val="12"/>
            <w:vertAlign w:val="superscript"/>
            <w:lang w:val="en-US"/>
          </w:rPr>
          <w:t>19</w:t>
        </w:r>
      </w:hyperlink>
      <w:r w:rsidRPr="006A1E0C">
        <w:rPr>
          <w:rFonts w:ascii="Arial" w:hAnsi="Arial" w:cs="Arial"/>
          <w:color w:val="FF0000"/>
          <w:sz w:val="20"/>
          <w:szCs w:val="20"/>
          <w:lang w:val="en-US"/>
        </w:rPr>
        <w:t>, while other SNV-based tools like wastewaterSPAdes</w:t>
      </w:r>
      <w:hyperlink r:id="rId98" w:history="1">
        <w:r w:rsidRPr="006A1E0C">
          <w:rPr>
            <w:rStyle w:val="Hyperlink"/>
            <w:rFonts w:ascii="Arial" w:hAnsi="Arial" w:cs="Arial"/>
            <w:color w:val="FF0000"/>
            <w:sz w:val="12"/>
            <w:szCs w:val="12"/>
            <w:vertAlign w:val="superscript"/>
            <w:lang w:val="en-US"/>
          </w:rPr>
          <w:t>199</w:t>
        </w:r>
      </w:hyperlink>
      <w:r w:rsidRPr="006A1E0C">
        <w:rPr>
          <w:rFonts w:ascii="Arial" w:hAnsi="Arial" w:cs="Arial"/>
          <w:color w:val="FF0000"/>
          <w:sz w:val="20"/>
          <w:szCs w:val="20"/>
          <w:lang w:val="en-US"/>
        </w:rPr>
        <w:t xml:space="preserve"> and SAMRefiner</w:t>
      </w:r>
      <w:hyperlink r:id="rId99" w:history="1">
        <w:r w:rsidRPr="006A1E0C">
          <w:rPr>
            <w:rStyle w:val="Hyperlink"/>
            <w:rFonts w:ascii="Arial" w:hAnsi="Arial" w:cs="Arial"/>
            <w:color w:val="FF0000"/>
            <w:sz w:val="12"/>
            <w:szCs w:val="12"/>
            <w:vertAlign w:val="superscript"/>
            <w:lang w:val="en-US"/>
          </w:rPr>
          <w:t>200</w:t>
        </w:r>
      </w:hyperlink>
      <w:r w:rsidRPr="006A1E0C">
        <w:rPr>
          <w:rFonts w:ascii="Arial" w:hAnsi="Arial" w:cs="Arial"/>
          <w:color w:val="FF0000"/>
          <w:sz w:val="20"/>
          <w:szCs w:val="20"/>
          <w:lang w:val="en-US"/>
        </w:rPr>
        <w:t xml:space="preserve"> rely on a rule based selection of characteristic sets of mutations considering lineage-differentiating power. Because of the rapid evolutionary changes of the virus, reference data need to be re-evaluated for every sample and pandemic timeframe. Specifically, convergent evolution and novel lineages challenge the current strategies for reference reconstruction: depending on the circulating lineages of interest, it becomes more challenging to represent genomic variation and still guarantee sufficient differentiation power between sub-lineages. Furthermore, most currently applied tools rely on a large amount of clinical sequence data to reconstruct their reference data sets. Decreased clinical sampling poses a challenge for bioinformatic WWGS and should be considered for further research in method development, especially in terms of identifying and quantifying unknown lineages.</w:t>
      </w:r>
    </w:p>
    <w:p w14:paraId="1FE2823B" w14:textId="77777777" w:rsidR="00B956F4" w:rsidRDefault="00B956F4" w:rsidP="00B956F4">
      <w:pPr>
        <w:pStyle w:val="NormalWeb"/>
        <w:spacing w:before="0" w:beforeAutospacing="0" w:after="0" w:afterAutospacing="0"/>
        <w:jc w:val="both"/>
        <w:rPr>
          <w:rFonts w:ascii="Arial" w:hAnsi="Arial" w:cs="Arial"/>
          <w:color w:val="000000"/>
          <w:sz w:val="20"/>
          <w:szCs w:val="20"/>
          <w:lang w:val="en-US"/>
        </w:rPr>
      </w:pPr>
    </w:p>
    <w:p w14:paraId="4FAAE6C7" w14:textId="77777777" w:rsidR="00B956F4" w:rsidRPr="009B2B63" w:rsidRDefault="00B956F4" w:rsidP="00B956F4">
      <w:pPr>
        <w:pStyle w:val="NormalWeb"/>
        <w:spacing w:before="0" w:beforeAutospacing="0" w:after="0" w:afterAutospacing="0"/>
        <w:jc w:val="both"/>
        <w:rPr>
          <w:lang w:val="en-US"/>
        </w:rPr>
      </w:pPr>
      <w:r w:rsidRPr="009B2B63">
        <w:rPr>
          <w:rFonts w:ascii="Arial" w:hAnsi="Arial" w:cs="Arial"/>
          <w:b/>
          <w:bCs/>
          <w:color w:val="222222"/>
          <w:sz w:val="20"/>
          <w:szCs w:val="20"/>
          <w:lang w:val="en-US"/>
        </w:rPr>
        <w:t xml:space="preserve">Comment 25: </w:t>
      </w:r>
      <w:r w:rsidRPr="009B2B63">
        <w:rPr>
          <w:rFonts w:ascii="Arial" w:hAnsi="Arial" w:cs="Arial"/>
          <w:color w:val="222222"/>
          <w:sz w:val="20"/>
          <w:szCs w:val="20"/>
          <w:lang w:val="en-US"/>
        </w:rPr>
        <w:t>Line 769 about estimating variant relative abundance, may consider recent reference: PMID: 39341403.</w:t>
      </w:r>
    </w:p>
    <w:p w14:paraId="6A6435DC" w14:textId="77777777" w:rsidR="00B956F4" w:rsidRPr="005B3771" w:rsidRDefault="00B956F4" w:rsidP="00B956F4">
      <w:pPr>
        <w:pStyle w:val="NormalWeb"/>
        <w:spacing w:before="0" w:beforeAutospacing="0" w:after="0" w:afterAutospacing="0"/>
        <w:jc w:val="both"/>
        <w:rPr>
          <w:lang w:val="en-US"/>
        </w:rPr>
      </w:pPr>
      <w:r w:rsidRPr="009B2B63">
        <w:rPr>
          <w:rFonts w:ascii="Arial" w:hAnsi="Arial" w:cs="Arial"/>
          <w:b/>
          <w:bCs/>
          <w:color w:val="222222"/>
          <w:sz w:val="20"/>
          <w:szCs w:val="20"/>
          <w:lang w:val="en-US"/>
        </w:rPr>
        <w:t xml:space="preserve">Author’s response: </w:t>
      </w:r>
      <w:r w:rsidRPr="009B2B63">
        <w:rPr>
          <w:rFonts w:ascii="Arial" w:hAnsi="Arial" w:cs="Arial"/>
          <w:color w:val="222222"/>
          <w:sz w:val="20"/>
          <w:szCs w:val="20"/>
          <w:lang w:val="en-US"/>
        </w:rPr>
        <w:t xml:space="preserve">We thank the reviewer for the helpful suggestion. We found it more appropriate to incorporate this reference in section 4.1. </w:t>
      </w:r>
      <w:r w:rsidRPr="009B2B63">
        <w:rPr>
          <w:rFonts w:ascii="Arial" w:hAnsi="Arial" w:cs="Arial"/>
          <w:i/>
          <w:iCs/>
          <w:color w:val="222222"/>
          <w:sz w:val="20"/>
          <w:szCs w:val="20"/>
          <w:lang w:val="en-US"/>
        </w:rPr>
        <w:t>Tracing emerging lineages and monitoring infection rates</w:t>
      </w:r>
      <w:r w:rsidRPr="009B2B63">
        <w:rPr>
          <w:rFonts w:ascii="Arial" w:hAnsi="Arial" w:cs="Arial"/>
          <w:color w:val="222222"/>
          <w:sz w:val="20"/>
          <w:szCs w:val="20"/>
          <w:lang w:val="en-US"/>
        </w:rPr>
        <w:t xml:space="preserve">, as a successful example of tracking </w:t>
      </w:r>
      <w:r w:rsidRPr="009B2B63">
        <w:rPr>
          <w:rFonts w:ascii="Arial" w:hAnsi="Arial" w:cs="Arial"/>
          <w:color w:val="2E2E2E"/>
          <w:sz w:val="20"/>
          <w:szCs w:val="20"/>
          <w:lang w:val="en-US"/>
        </w:rPr>
        <w:t>patterns of SARS-CoV-2 variant emergence and evolution from wastewater samples.</w:t>
      </w:r>
    </w:p>
    <w:p w14:paraId="1EE5B1B7" w14:textId="77777777" w:rsidR="00DB5D5D" w:rsidRDefault="00DB5D5D">
      <w:pPr>
        <w:rPr>
          <w:rFonts w:ascii="Times New Roman" w:eastAsia="Times New Roman" w:hAnsi="Times New Roman" w:cs="Times New Roman"/>
        </w:rPr>
      </w:pPr>
    </w:p>
    <w:p w14:paraId="1EE5B1B8" w14:textId="77777777" w:rsidR="00DB5D5D" w:rsidRDefault="00DB5D5D">
      <w:pPr>
        <w:rPr>
          <w:rFonts w:ascii="Times New Roman" w:eastAsia="Times New Roman" w:hAnsi="Times New Roman" w:cs="Times New Roman"/>
        </w:rPr>
      </w:pPr>
    </w:p>
    <w:p w14:paraId="1EE5B1BB" w14:textId="27960EFF" w:rsidR="00DB5D5D" w:rsidRPr="005E1AFA" w:rsidRDefault="00000000" w:rsidP="005E1AFA">
      <w:pPr>
        <w:rPr>
          <w:rFonts w:ascii="Times New Roman" w:eastAsia="Times New Roman" w:hAnsi="Times New Roman" w:cs="Times New Roman"/>
          <w:b/>
        </w:rPr>
      </w:pPr>
      <w:r>
        <w:rPr>
          <w:rFonts w:ascii="Times New Roman" w:eastAsia="Times New Roman" w:hAnsi="Times New Roman" w:cs="Times New Roman"/>
          <w:b/>
        </w:rPr>
        <w:t>Second round of review</w:t>
      </w:r>
    </w:p>
    <w:p w14:paraId="1EE5B1BC" w14:textId="77777777" w:rsidR="00DB5D5D" w:rsidRDefault="00000000">
      <w:pPr>
        <w:rPr>
          <w:rFonts w:ascii="Times New Roman" w:eastAsia="Times New Roman" w:hAnsi="Times New Roman" w:cs="Times New Roman"/>
          <w:b/>
        </w:rPr>
      </w:pPr>
      <w:r>
        <w:rPr>
          <w:rFonts w:ascii="Times New Roman" w:eastAsia="Times New Roman" w:hAnsi="Times New Roman" w:cs="Times New Roman"/>
          <w:b/>
        </w:rPr>
        <w:t>Reviewer 2</w:t>
      </w:r>
    </w:p>
    <w:p w14:paraId="1EE5B1BD" w14:textId="2914CF62" w:rsidR="00DB5D5D" w:rsidRPr="005E1AFA" w:rsidRDefault="005E1AFA">
      <w:pPr>
        <w:spacing w:after="0" w:line="240" w:lineRule="auto"/>
        <w:rPr>
          <w:rFonts w:ascii="Times New Roman" w:eastAsia="Times New Roman" w:hAnsi="Times New Roman" w:cs="Times New Roman"/>
          <w:bCs/>
        </w:rPr>
      </w:pPr>
      <w:r w:rsidRPr="005E1AFA">
        <w:rPr>
          <w:rFonts w:ascii="Times New Roman" w:eastAsia="Times New Roman" w:hAnsi="Times New Roman" w:cs="Times New Roman"/>
          <w:bCs/>
        </w:rPr>
        <w:t xml:space="preserve">I appreciate the authors </w:t>
      </w:r>
      <w:proofErr w:type="gramStart"/>
      <w:r w:rsidRPr="005E1AFA">
        <w:rPr>
          <w:rFonts w:ascii="Times New Roman" w:eastAsia="Times New Roman" w:hAnsi="Times New Roman" w:cs="Times New Roman"/>
          <w:bCs/>
        </w:rPr>
        <w:t>to take</w:t>
      </w:r>
      <w:proofErr w:type="gramEnd"/>
      <w:r w:rsidRPr="005E1AFA">
        <w:rPr>
          <w:rFonts w:ascii="Times New Roman" w:eastAsia="Times New Roman" w:hAnsi="Times New Roman" w:cs="Times New Roman"/>
          <w:bCs/>
        </w:rPr>
        <w:t xml:space="preserve"> the time to address my comments. The current version reads very well and ready to publish, with some minor edits needed:</w:t>
      </w:r>
      <w:r w:rsidRPr="005E1AFA">
        <w:rPr>
          <w:rFonts w:ascii="Times New Roman" w:eastAsia="Times New Roman" w:hAnsi="Times New Roman" w:cs="Times New Roman"/>
          <w:bCs/>
        </w:rPr>
        <w:br/>
      </w:r>
      <w:r w:rsidRPr="005E1AFA">
        <w:rPr>
          <w:rFonts w:ascii="Times New Roman" w:eastAsia="Times New Roman" w:hAnsi="Times New Roman" w:cs="Times New Roman"/>
          <w:bCs/>
        </w:rPr>
        <w:br/>
        <w:t>1. In section 2.4, 2nd paragraph, the 2nd sentence is repeating with the first one: 'Metagenomic sequencing allows the direct recovery of SARS-CoV-2 RNA genome fragments from wastewater samples without specific enrichment, ….'</w:t>
      </w:r>
      <w:r w:rsidRPr="005E1AFA">
        <w:rPr>
          <w:rFonts w:ascii="Times New Roman" w:eastAsia="Times New Roman" w:hAnsi="Times New Roman" w:cs="Times New Roman"/>
          <w:bCs/>
        </w:rPr>
        <w:br/>
      </w:r>
      <w:r w:rsidRPr="005E1AFA">
        <w:rPr>
          <w:rFonts w:ascii="Times New Roman" w:eastAsia="Times New Roman" w:hAnsi="Times New Roman" w:cs="Times New Roman"/>
          <w:bCs/>
        </w:rPr>
        <w:br/>
        <w:t>2. In Fig 6, the description ' Quantitative measurement (NGS)' in the 2nd image is inappropriate, while NGS can be relatively quantitative, but usually not the main tool for quantification, I think the author may mean, genomic profiling.</w:t>
      </w:r>
      <w:r w:rsidRPr="005E1AFA">
        <w:rPr>
          <w:rFonts w:ascii="Times New Roman" w:eastAsia="Times New Roman" w:hAnsi="Times New Roman" w:cs="Times New Roman"/>
          <w:bCs/>
        </w:rPr>
        <w:br/>
      </w:r>
      <w:r w:rsidRPr="005E1AFA">
        <w:rPr>
          <w:rFonts w:ascii="Times New Roman" w:eastAsia="Times New Roman" w:hAnsi="Times New Roman" w:cs="Times New Roman"/>
          <w:bCs/>
        </w:rPr>
        <w:br/>
        <w:t xml:space="preserve">3. The references need formatting, some </w:t>
      </w:r>
      <w:proofErr w:type="gramStart"/>
      <w:r w:rsidRPr="005E1AFA">
        <w:rPr>
          <w:rFonts w:ascii="Times New Roman" w:eastAsia="Times New Roman" w:hAnsi="Times New Roman" w:cs="Times New Roman"/>
          <w:bCs/>
        </w:rPr>
        <w:t>seems</w:t>
      </w:r>
      <w:proofErr w:type="gramEnd"/>
      <w:r w:rsidRPr="005E1AFA">
        <w:rPr>
          <w:rFonts w:ascii="Times New Roman" w:eastAsia="Times New Roman" w:hAnsi="Times New Roman" w:cs="Times New Roman"/>
          <w:bCs/>
        </w:rPr>
        <w:t xml:space="preserve"> only with the title and link, like 297, 298, 300, 301,303, 215, 28, 20, etc.</w:t>
      </w:r>
    </w:p>
    <w:p w14:paraId="1C31AEF2" w14:textId="77777777" w:rsidR="005E1AFA" w:rsidRDefault="005E1AFA">
      <w:pPr>
        <w:spacing w:after="0" w:line="240" w:lineRule="auto"/>
        <w:rPr>
          <w:rFonts w:ascii="Times New Roman" w:eastAsia="Times New Roman" w:hAnsi="Times New Roman" w:cs="Times New Roman"/>
          <w:b/>
        </w:rPr>
      </w:pPr>
    </w:p>
    <w:p w14:paraId="62800D14" w14:textId="77777777" w:rsidR="005E1AFA" w:rsidRDefault="005E1AFA">
      <w:pPr>
        <w:spacing w:after="0" w:line="240" w:lineRule="auto"/>
        <w:rPr>
          <w:rFonts w:ascii="Times New Roman" w:eastAsia="Times New Roman" w:hAnsi="Times New Roman" w:cs="Times New Roman"/>
          <w:b/>
        </w:rPr>
      </w:pPr>
    </w:p>
    <w:p w14:paraId="1EE5B1BE" w14:textId="391129DE" w:rsidR="00DB5D5D"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1EE5B1BF" w14:textId="77777777" w:rsidR="00DB5D5D"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1EE5B1C0" w14:textId="77777777" w:rsidR="00DB5D5D" w:rsidRDefault="00DB5D5D">
      <w:pPr>
        <w:spacing w:after="0" w:line="240" w:lineRule="auto"/>
        <w:rPr>
          <w:rFonts w:ascii="Times New Roman" w:eastAsia="Times New Roman" w:hAnsi="Times New Roman" w:cs="Times New Roman"/>
        </w:rPr>
      </w:pPr>
    </w:p>
    <w:p w14:paraId="56576FE5" w14:textId="77777777" w:rsidR="00BD4CD4" w:rsidRP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bookmarkStart w:id="0" w:name="_891nk55qcja8" w:colFirst="0" w:colLast="0"/>
      <w:bookmarkEnd w:id="0"/>
      <w:r w:rsidRPr="00BD4CD4">
        <w:rPr>
          <w:rFonts w:ascii="Times New Roman" w:eastAsia="Times New Roman" w:hAnsi="Times New Roman" w:cs="Times New Roman"/>
        </w:rPr>
        <w:t>Thank you for your detailed guidance and for confirming that the manuscript is ready</w:t>
      </w:r>
    </w:p>
    <w:p w14:paraId="736C9A20" w14:textId="77777777" w:rsidR="00BD4CD4" w:rsidRP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for publication pending minor revisions. We appreciate the opportunity to finalize this</w:t>
      </w:r>
    </w:p>
    <w:p w14:paraId="2861BA15" w14:textId="77777777" w:rsidR="00BD4CD4" w:rsidRP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work.</w:t>
      </w:r>
    </w:p>
    <w:p w14:paraId="482C863A" w14:textId="77777777" w:rsid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lastRenderedPageBreak/>
        <w:t>Below is a summary of how we have addressed all comments:</w:t>
      </w:r>
    </w:p>
    <w:p w14:paraId="2FA3E0C1" w14:textId="77777777" w:rsidR="00827B9C" w:rsidRPr="00BD4CD4" w:rsidRDefault="00827B9C" w:rsidP="00BD4CD4">
      <w:pPr>
        <w:pBdr>
          <w:top w:val="nil"/>
          <w:left w:val="nil"/>
          <w:bottom w:val="nil"/>
          <w:right w:val="nil"/>
          <w:between w:val="nil"/>
        </w:pBdr>
        <w:spacing w:after="0" w:line="240" w:lineRule="auto"/>
        <w:rPr>
          <w:rFonts w:ascii="Times New Roman" w:eastAsia="Times New Roman" w:hAnsi="Times New Roman" w:cs="Times New Roman"/>
        </w:rPr>
      </w:pPr>
    </w:p>
    <w:p w14:paraId="3116EE45" w14:textId="6A4B464A" w:rsidR="00827B9C" w:rsidRP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We thank Reviewer #2 for their positive feedback and helpful comments.</w:t>
      </w:r>
    </w:p>
    <w:p w14:paraId="2B7E507F" w14:textId="77777777" w:rsid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We have addressed all minor edits as follows:</w:t>
      </w:r>
    </w:p>
    <w:p w14:paraId="464202D7" w14:textId="77777777" w:rsidR="00827B9C" w:rsidRPr="00BD4CD4" w:rsidRDefault="00827B9C" w:rsidP="00BD4CD4">
      <w:pPr>
        <w:pBdr>
          <w:top w:val="nil"/>
          <w:left w:val="nil"/>
          <w:bottom w:val="nil"/>
          <w:right w:val="nil"/>
          <w:between w:val="nil"/>
        </w:pBdr>
        <w:spacing w:after="0" w:line="240" w:lineRule="auto"/>
        <w:rPr>
          <w:rFonts w:ascii="Times New Roman" w:eastAsia="Times New Roman" w:hAnsi="Times New Roman" w:cs="Times New Roman"/>
        </w:rPr>
      </w:pPr>
    </w:p>
    <w:p w14:paraId="27E2D49B" w14:textId="77777777" w:rsid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Section 2.4 – The repetitive sentence was removed and wording streamlined.</w:t>
      </w:r>
    </w:p>
    <w:p w14:paraId="0CEE2567" w14:textId="77777777" w:rsidR="00827B9C" w:rsidRPr="00BD4CD4" w:rsidRDefault="00827B9C" w:rsidP="00BD4CD4">
      <w:pPr>
        <w:pBdr>
          <w:top w:val="nil"/>
          <w:left w:val="nil"/>
          <w:bottom w:val="nil"/>
          <w:right w:val="nil"/>
          <w:between w:val="nil"/>
        </w:pBdr>
        <w:spacing w:after="0" w:line="240" w:lineRule="auto"/>
        <w:rPr>
          <w:rFonts w:ascii="Times New Roman" w:eastAsia="Times New Roman" w:hAnsi="Times New Roman" w:cs="Times New Roman"/>
        </w:rPr>
      </w:pPr>
    </w:p>
    <w:p w14:paraId="44030830" w14:textId="77777777" w:rsidR="00BD4CD4" w:rsidRP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Figure 6 – “Quantitative measurement (NGS)” was revised to “Genomic profiling</w:t>
      </w:r>
    </w:p>
    <w:p w14:paraId="435DF706" w14:textId="77777777" w:rsid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(NGS)”, which reflects the reviewer’s suggestion.</w:t>
      </w:r>
    </w:p>
    <w:p w14:paraId="347A8CF8" w14:textId="77777777" w:rsidR="00827B9C" w:rsidRPr="00BD4CD4" w:rsidRDefault="00827B9C" w:rsidP="00BD4CD4">
      <w:pPr>
        <w:pBdr>
          <w:top w:val="nil"/>
          <w:left w:val="nil"/>
          <w:bottom w:val="nil"/>
          <w:right w:val="nil"/>
          <w:between w:val="nil"/>
        </w:pBdr>
        <w:spacing w:after="0" w:line="240" w:lineRule="auto"/>
        <w:rPr>
          <w:rFonts w:ascii="Times New Roman" w:eastAsia="Times New Roman" w:hAnsi="Times New Roman" w:cs="Times New Roman"/>
        </w:rPr>
      </w:pPr>
    </w:p>
    <w:p w14:paraId="06DA7601" w14:textId="77777777" w:rsidR="00BD4CD4" w:rsidRPr="00BD4CD4"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References – All incomplete references were reformatted according to Genome</w:t>
      </w:r>
    </w:p>
    <w:p w14:paraId="1EE5B1C4" w14:textId="05EDA928" w:rsidR="00DB5D5D" w:rsidRDefault="00BD4CD4" w:rsidP="00BD4CD4">
      <w:pPr>
        <w:pBdr>
          <w:top w:val="nil"/>
          <w:left w:val="nil"/>
          <w:bottom w:val="nil"/>
          <w:right w:val="nil"/>
          <w:between w:val="nil"/>
        </w:pBdr>
        <w:spacing w:after="0" w:line="240" w:lineRule="auto"/>
        <w:rPr>
          <w:rFonts w:ascii="Times New Roman" w:eastAsia="Times New Roman" w:hAnsi="Times New Roman" w:cs="Times New Roman"/>
        </w:rPr>
      </w:pPr>
      <w:r w:rsidRPr="00BD4CD4">
        <w:rPr>
          <w:rFonts w:ascii="Times New Roman" w:eastAsia="Times New Roman" w:hAnsi="Times New Roman" w:cs="Times New Roman"/>
        </w:rPr>
        <w:t>Biology’s style, and any entries with only titles/links were corrected.</w:t>
      </w:r>
    </w:p>
    <w:sectPr w:rsidR="00DB5D5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D5D"/>
    <w:rsid w:val="00086DE2"/>
    <w:rsid w:val="00494965"/>
    <w:rsid w:val="005E1AFA"/>
    <w:rsid w:val="00827B9C"/>
    <w:rsid w:val="00B956F4"/>
    <w:rsid w:val="00BD4CD4"/>
    <w:rsid w:val="00CF20B2"/>
    <w:rsid w:val="00DB5D5D"/>
    <w:rsid w:val="00EF7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B1A2"/>
  <w15:docId w15:val="{FAC4CBA2-CD06-4211-821D-D7A0EBE1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B956F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B956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zotero.org/google-docs/?0spP8C" TargetMode="External"/><Relationship Id="rId21" Type="http://schemas.openxmlformats.org/officeDocument/2006/relationships/hyperlink" Target="https://www.zotero.org/google-docs/?4cVi5U" TargetMode="External"/><Relationship Id="rId42" Type="http://schemas.openxmlformats.org/officeDocument/2006/relationships/hyperlink" Target="https://www.zotero.org/google-docs/?MNohDB" TargetMode="External"/><Relationship Id="rId47" Type="http://schemas.openxmlformats.org/officeDocument/2006/relationships/hyperlink" Target="https://www.zotero.org/google-docs/?u1oPjt" TargetMode="External"/><Relationship Id="rId63" Type="http://schemas.openxmlformats.org/officeDocument/2006/relationships/hyperlink" Target="https://www.zotero.org/google-docs/?XsV5Nd" TargetMode="External"/><Relationship Id="rId68" Type="http://schemas.openxmlformats.org/officeDocument/2006/relationships/hyperlink" Target="https://www.zotero.org/google-docs/?JNaHQW" TargetMode="External"/><Relationship Id="rId84" Type="http://schemas.openxmlformats.org/officeDocument/2006/relationships/hyperlink" Target="https://www.zotero.org/google-docs/?xqJPhF" TargetMode="External"/><Relationship Id="rId89" Type="http://schemas.openxmlformats.org/officeDocument/2006/relationships/hyperlink" Target="https://www.zotero.org/google-docs/?C0ITPp" TargetMode="External"/><Relationship Id="rId16" Type="http://schemas.openxmlformats.org/officeDocument/2006/relationships/hyperlink" Target="https://www.zotero.org/google-docs/?gewRle" TargetMode="External"/><Relationship Id="rId11" Type="http://schemas.openxmlformats.org/officeDocument/2006/relationships/hyperlink" Target="https://www.zotero.org/google-docs/?CUMdO3" TargetMode="External"/><Relationship Id="rId32" Type="http://schemas.openxmlformats.org/officeDocument/2006/relationships/hyperlink" Target="https://www.zotero.org/google-docs/?6Z9upM" TargetMode="External"/><Relationship Id="rId37" Type="http://schemas.openxmlformats.org/officeDocument/2006/relationships/hyperlink" Target="https://www.zotero.org/google-docs/?0RO3CG" TargetMode="External"/><Relationship Id="rId53" Type="http://schemas.openxmlformats.org/officeDocument/2006/relationships/hyperlink" Target="https://www.zotero.org/google-docs/?MNohDB" TargetMode="External"/><Relationship Id="rId58" Type="http://schemas.openxmlformats.org/officeDocument/2006/relationships/hyperlink" Target="https://www.zotero.org/google-docs/?u1oPjt" TargetMode="External"/><Relationship Id="rId74" Type="http://schemas.openxmlformats.org/officeDocument/2006/relationships/hyperlink" Target="https://www.zotero.org/google-docs/?LrX547" TargetMode="External"/><Relationship Id="rId79" Type="http://schemas.openxmlformats.org/officeDocument/2006/relationships/hyperlink" Target="https://www.zotero.org/google-docs/?xqJPhF" TargetMode="External"/><Relationship Id="rId5" Type="http://schemas.openxmlformats.org/officeDocument/2006/relationships/settings" Target="settings.xml"/><Relationship Id="rId90" Type="http://schemas.openxmlformats.org/officeDocument/2006/relationships/hyperlink" Target="https://www.zotero.org/google-docs/?R9fKIU" TargetMode="External"/><Relationship Id="rId95" Type="http://schemas.openxmlformats.org/officeDocument/2006/relationships/hyperlink" Target="https://www.zotero.org/google-docs/?bNR5We" TargetMode="External"/><Relationship Id="rId22" Type="http://schemas.openxmlformats.org/officeDocument/2006/relationships/hyperlink" Target="https://www.zotero.org/google-docs/?QUijMO" TargetMode="External"/><Relationship Id="rId27" Type="http://schemas.openxmlformats.org/officeDocument/2006/relationships/hyperlink" Target="https://www.zotero.org/google-docs/?OZMsvI" TargetMode="External"/><Relationship Id="rId43" Type="http://schemas.openxmlformats.org/officeDocument/2006/relationships/hyperlink" Target="https://www.zotero.org/google-docs/?4cVi5U" TargetMode="External"/><Relationship Id="rId48" Type="http://schemas.openxmlformats.org/officeDocument/2006/relationships/hyperlink" Target="https://www.zotero.org/google-docs/?0spP8C" TargetMode="External"/><Relationship Id="rId64" Type="http://schemas.openxmlformats.org/officeDocument/2006/relationships/hyperlink" Target="https://www.zotero.org/google-docs/?BHVFSM" TargetMode="External"/><Relationship Id="rId69" Type="http://schemas.openxmlformats.org/officeDocument/2006/relationships/hyperlink" Target="https://www.zotero.org/google-docs/?NcaofC" TargetMode="External"/><Relationship Id="rId80" Type="http://schemas.openxmlformats.org/officeDocument/2006/relationships/hyperlink" Target="https://www.zotero.org/google-docs/?XKTnN0" TargetMode="External"/><Relationship Id="rId85" Type="http://schemas.openxmlformats.org/officeDocument/2006/relationships/hyperlink" Target="https://www.zotero.org/google-docs/?XKTnN0" TargetMode="External"/><Relationship Id="rId12" Type="http://schemas.openxmlformats.org/officeDocument/2006/relationships/hyperlink" Target="https://www.zotero.org/google-docs/?qVZyYE" TargetMode="External"/><Relationship Id="rId17" Type="http://schemas.openxmlformats.org/officeDocument/2006/relationships/hyperlink" Target="https://www.zotero.org/google-docs/?1MRuWb" TargetMode="External"/><Relationship Id="rId25" Type="http://schemas.openxmlformats.org/officeDocument/2006/relationships/hyperlink" Target="https://www.zotero.org/google-docs/?u1oPjt" TargetMode="External"/><Relationship Id="rId33" Type="http://schemas.openxmlformats.org/officeDocument/2006/relationships/hyperlink" Target="https://www.zotero.org/google-docs/?5oflW4" TargetMode="External"/><Relationship Id="rId38" Type="http://schemas.openxmlformats.org/officeDocument/2006/relationships/hyperlink" Target="https://www.zotero.org/google-docs/?8cQA6m" TargetMode="External"/><Relationship Id="rId46" Type="http://schemas.openxmlformats.org/officeDocument/2006/relationships/hyperlink" Target="https://www.zotero.org/google-docs/?bRFpy2" TargetMode="External"/><Relationship Id="rId59" Type="http://schemas.openxmlformats.org/officeDocument/2006/relationships/hyperlink" Target="https://www.zotero.org/google-docs/?0spP8C" TargetMode="External"/><Relationship Id="rId67" Type="http://schemas.openxmlformats.org/officeDocument/2006/relationships/hyperlink" Target="https://www.zotero.org/google-docs/?bMccPJ" TargetMode="External"/><Relationship Id="rId20" Type="http://schemas.openxmlformats.org/officeDocument/2006/relationships/hyperlink" Target="https://www.zotero.org/google-docs/?MNohDB" TargetMode="External"/><Relationship Id="rId41" Type="http://schemas.openxmlformats.org/officeDocument/2006/relationships/hyperlink" Target="https://www.zotero.org/google-docs/?blNYhT" TargetMode="External"/><Relationship Id="rId54" Type="http://schemas.openxmlformats.org/officeDocument/2006/relationships/hyperlink" Target="https://www.zotero.org/google-docs/?4cVi5U" TargetMode="External"/><Relationship Id="rId62" Type="http://schemas.openxmlformats.org/officeDocument/2006/relationships/hyperlink" Target="https://www.zotero.org/google-docs/?fWaNU2" TargetMode="External"/><Relationship Id="rId70" Type="http://schemas.openxmlformats.org/officeDocument/2006/relationships/hyperlink" Target="https://www.zotero.org/google-docs/?j98XOm" TargetMode="External"/><Relationship Id="rId75" Type="http://schemas.openxmlformats.org/officeDocument/2006/relationships/hyperlink" Target="https://www.zotero.org/google-docs/?vxoobn" TargetMode="External"/><Relationship Id="rId83" Type="http://schemas.openxmlformats.org/officeDocument/2006/relationships/hyperlink" Target="https://www.zotero.org/google-docs/?SjfjYv" TargetMode="External"/><Relationship Id="rId88" Type="http://schemas.openxmlformats.org/officeDocument/2006/relationships/hyperlink" Target="https://www.zotero.org/google-docs/?RaczND" TargetMode="External"/><Relationship Id="rId91" Type="http://schemas.openxmlformats.org/officeDocument/2006/relationships/hyperlink" Target="https://www.zotero.org/google-docs/?0jrKrK" TargetMode="External"/><Relationship Id="rId96" Type="http://schemas.openxmlformats.org/officeDocument/2006/relationships/hyperlink" Target="https://www.zotero.org/google-docs/?aDBA3p"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zotero.org/google-docs/?XKTnN0" TargetMode="External"/><Relationship Id="rId23" Type="http://schemas.openxmlformats.org/officeDocument/2006/relationships/hyperlink" Target="https://www.zotero.org/google-docs/?GB3Uap" TargetMode="External"/><Relationship Id="rId28" Type="http://schemas.openxmlformats.org/officeDocument/2006/relationships/hyperlink" Target="https://www.zotero.org/google-docs/?drhOR9" TargetMode="External"/><Relationship Id="rId36" Type="http://schemas.openxmlformats.org/officeDocument/2006/relationships/hyperlink" Target="https://www.zotero.org/google-docs/?ih0AFY" TargetMode="External"/><Relationship Id="rId49" Type="http://schemas.openxmlformats.org/officeDocument/2006/relationships/hyperlink" Target="https://www.zotero.org/google-docs/?OZMsvI" TargetMode="External"/><Relationship Id="rId57" Type="http://schemas.openxmlformats.org/officeDocument/2006/relationships/hyperlink" Target="https://www.zotero.org/google-docs/?bRFpy2" TargetMode="External"/><Relationship Id="rId10" Type="http://schemas.openxmlformats.org/officeDocument/2006/relationships/hyperlink" Target="https://www.zotero.org/google-docs/?vxoobn" TargetMode="External"/><Relationship Id="rId31" Type="http://schemas.openxmlformats.org/officeDocument/2006/relationships/hyperlink" Target="https://www.zotero.org/google-docs/?Km4Lbk" TargetMode="External"/><Relationship Id="rId44" Type="http://schemas.openxmlformats.org/officeDocument/2006/relationships/hyperlink" Target="https://www.zotero.org/google-docs/?QUijMO" TargetMode="External"/><Relationship Id="rId52" Type="http://schemas.openxmlformats.org/officeDocument/2006/relationships/hyperlink" Target="https://www.zotero.org/google-docs/?blNYhT" TargetMode="External"/><Relationship Id="rId60" Type="http://schemas.openxmlformats.org/officeDocument/2006/relationships/hyperlink" Target="https://www.zotero.org/google-docs/?OZMsvI" TargetMode="External"/><Relationship Id="rId65" Type="http://schemas.openxmlformats.org/officeDocument/2006/relationships/hyperlink" Target="https://www.zotero.org/google-docs/?rHTP52" TargetMode="External"/><Relationship Id="rId73" Type="http://schemas.openxmlformats.org/officeDocument/2006/relationships/hyperlink" Target="https://www.zotero.org/google-docs/?Z8Njqm" TargetMode="External"/><Relationship Id="rId78" Type="http://schemas.openxmlformats.org/officeDocument/2006/relationships/hyperlink" Target="https://www.zotero.org/google-docs/?SjfjYv" TargetMode="External"/><Relationship Id="rId81" Type="http://schemas.openxmlformats.org/officeDocument/2006/relationships/hyperlink" Target="https://www.zotero.org/google-docs/?gewRle" TargetMode="External"/><Relationship Id="rId86" Type="http://schemas.openxmlformats.org/officeDocument/2006/relationships/hyperlink" Target="https://www.zotero.org/google-docs/?gewRle" TargetMode="External"/><Relationship Id="rId94" Type="http://schemas.openxmlformats.org/officeDocument/2006/relationships/hyperlink" Target="https://www.zotero.org/google-docs/?Zyo4fH" TargetMode="External"/><Relationship Id="rId99" Type="http://schemas.openxmlformats.org/officeDocument/2006/relationships/hyperlink" Target="https://www.zotero.org/google-docs/?OBL75d" TargetMode="External"/><Relationship Id="rId10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zotero.org/google-docs/?LrX547" TargetMode="External"/><Relationship Id="rId13" Type="http://schemas.openxmlformats.org/officeDocument/2006/relationships/hyperlink" Target="https://www.zotero.org/google-docs/?SjfjYv" TargetMode="External"/><Relationship Id="rId18" Type="http://schemas.openxmlformats.org/officeDocument/2006/relationships/hyperlink" Target="https://www.zotero.org/google-docs/?HJoJf5" TargetMode="External"/><Relationship Id="rId39" Type="http://schemas.openxmlformats.org/officeDocument/2006/relationships/hyperlink" Target="https://www.zotero.org/google-docs/?1MRuWb" TargetMode="External"/><Relationship Id="rId34" Type="http://schemas.openxmlformats.org/officeDocument/2006/relationships/hyperlink" Target="https://www.zotero.org/google-docs/?NqKZl1" TargetMode="External"/><Relationship Id="rId50" Type="http://schemas.openxmlformats.org/officeDocument/2006/relationships/hyperlink" Target="https://www.zotero.org/google-docs/?1MRuWb" TargetMode="External"/><Relationship Id="rId55" Type="http://schemas.openxmlformats.org/officeDocument/2006/relationships/hyperlink" Target="https://www.zotero.org/google-docs/?QUijMO" TargetMode="External"/><Relationship Id="rId76" Type="http://schemas.openxmlformats.org/officeDocument/2006/relationships/hyperlink" Target="https://www.zotero.org/google-docs/?CUMdO3" TargetMode="External"/><Relationship Id="rId97" Type="http://schemas.openxmlformats.org/officeDocument/2006/relationships/hyperlink" Target="https://www.zotero.org/google-docs/?MmmZPH" TargetMode="External"/><Relationship Id="rId7" Type="http://schemas.openxmlformats.org/officeDocument/2006/relationships/hyperlink" Target="https://www.zotero.org/google-docs/?DkOD6O" TargetMode="External"/><Relationship Id="rId71" Type="http://schemas.openxmlformats.org/officeDocument/2006/relationships/hyperlink" Target="https://www.zotero.org/google-docs/?2gLSOR" TargetMode="External"/><Relationship Id="rId92" Type="http://schemas.openxmlformats.org/officeDocument/2006/relationships/hyperlink" Target="https://www.zotero.org/google-docs/?ZON6Ud" TargetMode="External"/><Relationship Id="rId2" Type="http://schemas.openxmlformats.org/officeDocument/2006/relationships/customXml" Target="../customXml/item2.xml"/><Relationship Id="rId29" Type="http://schemas.openxmlformats.org/officeDocument/2006/relationships/hyperlink" Target="https://www.zotero.org/google-docs/?yQzM0I" TargetMode="External"/><Relationship Id="rId24" Type="http://schemas.openxmlformats.org/officeDocument/2006/relationships/hyperlink" Target="https://www.zotero.org/google-docs/?bRFpy2" TargetMode="External"/><Relationship Id="rId40" Type="http://schemas.openxmlformats.org/officeDocument/2006/relationships/hyperlink" Target="https://www.zotero.org/google-docs/?HJoJf5" TargetMode="External"/><Relationship Id="rId45" Type="http://schemas.openxmlformats.org/officeDocument/2006/relationships/hyperlink" Target="https://www.zotero.org/google-docs/?GB3Uap" TargetMode="External"/><Relationship Id="rId66" Type="http://schemas.openxmlformats.org/officeDocument/2006/relationships/hyperlink" Target="https://www.zotero.org/google-docs/?FNRNxy" TargetMode="External"/><Relationship Id="rId87" Type="http://schemas.openxmlformats.org/officeDocument/2006/relationships/hyperlink" Target="https://www.zotero.org/google-docs/?pb2ETf" TargetMode="External"/><Relationship Id="rId61" Type="http://schemas.openxmlformats.org/officeDocument/2006/relationships/hyperlink" Target="https://www.zotero.org/google-docs/?mwzpU3" TargetMode="External"/><Relationship Id="rId82" Type="http://schemas.openxmlformats.org/officeDocument/2006/relationships/hyperlink" Target="https://www.zotero.org/google-docs/?SjfjYv" TargetMode="External"/><Relationship Id="rId19" Type="http://schemas.openxmlformats.org/officeDocument/2006/relationships/hyperlink" Target="https://www.zotero.org/google-docs/?blNYhT" TargetMode="External"/><Relationship Id="rId14" Type="http://schemas.openxmlformats.org/officeDocument/2006/relationships/hyperlink" Target="https://www.zotero.org/google-docs/?xqJPhF" TargetMode="External"/><Relationship Id="rId30" Type="http://schemas.openxmlformats.org/officeDocument/2006/relationships/hyperlink" Target="https://www.zotero.org/google-docs/?GPK3j4" TargetMode="External"/><Relationship Id="rId35" Type="http://schemas.openxmlformats.org/officeDocument/2006/relationships/hyperlink" Target="https://www.zotero.org/google-docs/?ypjSzF" TargetMode="External"/><Relationship Id="rId56" Type="http://schemas.openxmlformats.org/officeDocument/2006/relationships/hyperlink" Target="https://www.zotero.org/google-docs/?GB3Uap" TargetMode="External"/><Relationship Id="rId77" Type="http://schemas.openxmlformats.org/officeDocument/2006/relationships/hyperlink" Target="https://www.zotero.org/google-docs/?qVZyYE" TargetMode="External"/><Relationship Id="rId100" Type="http://schemas.openxmlformats.org/officeDocument/2006/relationships/fontTable" Target="fontTable.xml"/><Relationship Id="rId8" Type="http://schemas.openxmlformats.org/officeDocument/2006/relationships/hyperlink" Target="https://www.zotero.org/google-docs/?Z8Njqm" TargetMode="External"/><Relationship Id="rId51" Type="http://schemas.openxmlformats.org/officeDocument/2006/relationships/hyperlink" Target="https://www.zotero.org/google-docs/?HJoJf5" TargetMode="External"/><Relationship Id="rId72" Type="http://schemas.openxmlformats.org/officeDocument/2006/relationships/hyperlink" Target="https://www.zotero.org/google-docs/?DkOD6O" TargetMode="External"/><Relationship Id="rId93" Type="http://schemas.openxmlformats.org/officeDocument/2006/relationships/hyperlink" Target="https://www.zotero.org/google-docs/?VXjUEq" TargetMode="External"/><Relationship Id="rId98" Type="http://schemas.openxmlformats.org/officeDocument/2006/relationships/hyperlink" Target="https://www.zotero.org/google-docs/?WRK4QE"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17fc3e-e639-4999-baa6-e37f258a06e0">
      <Terms xmlns="http://schemas.microsoft.com/office/infopath/2007/PartnerControls"/>
    </lcf76f155ced4ddcb4097134ff3c332f>
    <TaxCatchAll xmlns="ec103432-89cd-4e09-8171-6f08bc8817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6594EFBB8D2244B554AD35C20D3D1A" ma:contentTypeVersion="12" ma:contentTypeDescription="Create a new document." ma:contentTypeScope="" ma:versionID="f841c55b0bec44baedbd76730be902b7">
  <xsd:schema xmlns:xsd="http://www.w3.org/2001/XMLSchema" xmlns:xs="http://www.w3.org/2001/XMLSchema" xmlns:p="http://schemas.microsoft.com/office/2006/metadata/properties" xmlns:ns2="4217fc3e-e639-4999-baa6-e37f258a06e0" xmlns:ns3="ec103432-89cd-4e09-8171-6f08bc8817e3" targetNamespace="http://schemas.microsoft.com/office/2006/metadata/properties" ma:root="true" ma:fieldsID="46245831d3089ad78e2798fb642c3037" ns2:_="" ns3:_="">
    <xsd:import namespace="4217fc3e-e639-4999-baa6-e37f258a06e0"/>
    <xsd:import namespace="ec103432-89cd-4e09-8171-6f08bc8817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7fc3e-e639-4999-baa6-e37f258a0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103432-89cd-4e09-8171-6f08bc8817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d051b1-5777-429c-87c2-b4468b3330e0}" ma:internalName="TaxCatchAll" ma:showField="CatchAllData" ma:web="ec103432-89cd-4e09-8171-6f08bc8817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197FEA-3ADB-4E8D-8986-5AC48E71B521}">
  <ds:schemaRefs>
    <ds:schemaRef ds:uri="http://schemas.microsoft.com/office/2006/metadata/properties"/>
    <ds:schemaRef ds:uri="http://schemas.microsoft.com/office/infopath/2007/PartnerControls"/>
    <ds:schemaRef ds:uri="4217fc3e-e639-4999-baa6-e37f258a06e0"/>
    <ds:schemaRef ds:uri="ec103432-89cd-4e09-8171-6f08bc8817e3"/>
  </ds:schemaRefs>
</ds:datastoreItem>
</file>

<file path=customXml/itemProps2.xml><?xml version="1.0" encoding="utf-8"?>
<ds:datastoreItem xmlns:ds="http://schemas.openxmlformats.org/officeDocument/2006/customXml" ds:itemID="{B07049E1-5BDB-4734-9A36-22CF4BACD022}">
  <ds:schemaRefs>
    <ds:schemaRef ds:uri="http://schemas.microsoft.com/sharepoint/v3/contenttype/forms"/>
  </ds:schemaRefs>
</ds:datastoreItem>
</file>

<file path=customXml/itemProps3.xml><?xml version="1.0" encoding="utf-8"?>
<ds:datastoreItem xmlns:ds="http://schemas.openxmlformats.org/officeDocument/2006/customXml" ds:itemID="{04C8172C-848E-4E4F-8FAE-82FCE0F68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7fc3e-e639-4999-baa6-e37f258a06e0"/>
    <ds:schemaRef ds:uri="ec103432-89cd-4e09-8171-6f08bc881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9075</Words>
  <Characters>60810</Characters>
  <Application>Microsoft Office Word</Application>
  <DocSecurity>0</DocSecurity>
  <Lines>935</Lines>
  <Paragraphs>266</Paragraphs>
  <ScaleCrop>false</ScaleCrop>
  <Company/>
  <LinksUpToDate>false</LinksUpToDate>
  <CharactersWithSpaces>69619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8</cp:revision>
  <dcterms:created xsi:type="dcterms:W3CDTF">2025-12-22T21:07:00Z</dcterms:created>
  <dcterms:modified xsi:type="dcterms:W3CDTF">2025-12-22T21:20:00Z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y fmtid="{D5CDD505-2E9C-101B-9397-08002B2CF9AE}" pid="3" name="Order">
    <vt:r8>32200</vt:r8>
  </property>
  <property fmtid="{D5CDD505-2E9C-101B-9397-08002B2CF9AE}" pid="4" name="MediaServiceImageTags">
    <vt:lpwstr/>
  </property>
</Properties>
</file>