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4EAC1" w14:textId="77777777" w:rsidR="00D33A2B" w:rsidRPr="000572A3" w:rsidRDefault="00D33A2B" w:rsidP="00D33A2B">
      <w:pPr>
        <w:spacing w:line="276" w:lineRule="auto"/>
        <w:ind w:firstLine="0"/>
        <w:outlineLvl w:val="1"/>
        <w:rPr>
          <w:b/>
          <w:bCs/>
          <w:color w:val="000000"/>
          <w:sz w:val="28"/>
          <w:szCs w:val="28"/>
          <w:lang w:val="en-US"/>
        </w:rPr>
      </w:pPr>
      <w:bookmarkStart w:id="0" w:name="_Toc215229054"/>
      <w:r w:rsidRPr="000572A3">
        <w:rPr>
          <w:b/>
          <w:bCs/>
          <w:color w:val="000000"/>
          <w:sz w:val="28"/>
          <w:szCs w:val="28"/>
          <w:lang w:val="en-US"/>
        </w:rPr>
        <w:t>Supplementary note 1</w:t>
      </w:r>
      <w:bookmarkEnd w:id="0"/>
    </w:p>
    <w:p w14:paraId="056EB05B" w14:textId="19AC5BA9" w:rsidR="00D33A2B" w:rsidRPr="000572A3" w:rsidRDefault="00D33A2B" w:rsidP="00D33A2B">
      <w:pPr>
        <w:spacing w:line="276" w:lineRule="auto"/>
        <w:ind w:firstLine="0"/>
        <w:jc w:val="left"/>
        <w:rPr>
          <w:b/>
          <w:bCs/>
          <w:lang w:val="en-US"/>
        </w:rPr>
      </w:pPr>
      <w:r w:rsidRPr="000572A3">
        <w:rPr>
          <w:b/>
          <w:bCs/>
          <w:lang w:val="en-US"/>
        </w:rPr>
        <w:t xml:space="preserve">The genome assembly of </w:t>
      </w:r>
      <w:r w:rsidR="00580E27">
        <w:rPr>
          <w:b/>
          <w:bCs/>
          <w:lang w:val="en-US"/>
        </w:rPr>
        <w:t>b</w:t>
      </w:r>
      <w:r w:rsidRPr="000572A3">
        <w:rPr>
          <w:b/>
          <w:bCs/>
          <w:lang w:val="en-US"/>
        </w:rPr>
        <w:t>urbot</w:t>
      </w:r>
    </w:p>
    <w:p w14:paraId="0270360E" w14:textId="5A86AF9C" w:rsidR="00D33A2B" w:rsidRPr="000572A3" w:rsidRDefault="00D33A2B" w:rsidP="00D33A2B">
      <w:pPr>
        <w:spacing w:line="276" w:lineRule="auto"/>
        <w:ind w:firstLine="0"/>
        <w:rPr>
          <w:lang w:val="en-US"/>
        </w:rPr>
      </w:pPr>
      <w:r w:rsidRPr="000572A3">
        <w:rPr>
          <w:lang w:val="en-US"/>
        </w:rPr>
        <w:t>The chromosome-level genome assemblies for the six codfishes generated corresponded to the numbers of chromosomes reported from cytogenetic studies (see Additional file 1, Table S1</w:t>
      </w:r>
      <w:r w:rsidR="00580E27">
        <w:rPr>
          <w:lang w:val="en-US"/>
        </w:rPr>
        <w:t xml:space="preserve">; </w:t>
      </w:r>
      <w:r w:rsidRPr="000572A3">
        <w:rPr>
          <w:lang w:val="en-US"/>
        </w:rPr>
        <w:t xml:space="preserve">Additional file 2, Fig. S1), except for burbot, where we obtained a total of n=23 haploid chromosomes vs. n=24 haploid chromosomes reported by two different cytogenetic studies </w:t>
      </w:r>
      <w:r w:rsidRPr="000572A3">
        <w:rPr>
          <w:lang w:val="en-US"/>
        </w:rPr>
        <w:fldChar w:fldCharType="begin"/>
      </w:r>
      <w:r w:rsidRPr="000572A3">
        <w:rPr>
          <w:lang w:val="en-US"/>
        </w:rPr>
        <w:instrText xml:space="preserve"> ADDIN ZOTERO_ITEM CSL_CITATION {"citationID":"LWCupAIl","properties":{"formattedCitation":"[60,61]","plainCitation":"[60,61]","noteIndex":0},"citationItems":[{"id":565,"uris":["http://zotero.org/users/local/xidmNVtz/items/5Y5I3T2H","http://zotero.org/users/18744110/items/5Y5I3T2H"],"itemData":{"id":565,"type":"article-journal","abstract":"The knowledge about the genome of the burbot Lota lota (Linnaeus, 1758), the only freshwater gadiform fish (Gadidae, Gadiformes), is limited to chromosome number (2n = 48, NF = 78). In this work analysis of burbot chromosomes by C-banding, DAPI staining and restriction endonuclease digestion proved both heterogeneity of the heterochromatin and interchromosomal differences in the vulnerability to the endonuclease treatment. Silver nitrate and chromomycine A3 staining and fluorescence in situ hybridization using 28S rDNA probes showed that nucleolus organizer regions appear in one pair of burbot chromosomes. There is also a single locus for 5S rDNA repeats exhibited in burbot; however, major and minor rRNA gene families are not linked. The single and separated location of major and minor rDNA families suggests that the burbot karyotype still retains some characteristics of the putative ancestral karyotype. Although the increased number of the chromosome arms in relation to the ancestral karyotype suggests that burbot karyotype experienced several inversions, we did not find any intercalary telomeric DNA sequences in their chromosomes.","container-title":"Caryologia","DOI":"10.1080/00087114.2016.1254453","ISSN":"0008-7114","issue":"1","note":"publisher: Taylor &amp; Francis\n_eprint: https://doi.org/10.1080/00087114.2016.1254453","page":"15-20","source":"Taylor and Francis+NEJM","title":"Heterochromatin organization and chromosome mapping of rRNA genes and telomeric DNA sequences in the burbot Lota lota (Linnaeus, 1758) (Teleostei: Gadiformes: Lotidae)","title-short":"Heterochromatin organization and chromosome mapping of rRNA genes and telomeric DNA sequences in the burbot Lota lota (Linnaeus, 1758) (Teleostei","volume":"70","author":[{"family":"Kirtiklis","given":"Lech"},{"family":"Kuciński","given":"Marcin"},{"family":"Ocalewicz","given":"Konrad"},{"family":"Liszewski","given":"Tomasz"},{"family":"Woźnicki","given":"Paweł"},{"family":"Nowosad","given":"Joanna"},{"family":"Kucharczyk","given":"Dariusz"},{"family":"Jankun","given":"Małgorzata"}],"issued":{"date-parts":[["2017",1,2]]}}},{"id":569,"uris":["http://zotero.org/users/local/xidmNVtz/items/2SLYEH34","http://zotero.org/users/18744110/items/2SLYEH34"],"itemData":{"id":569,"type":"article-journal","container-title":"Freshw. Fish","DOI":"10.13721/j.cnki.dsyy.2019.04.001","page":"3-8","title":"Karyotype and morphological characteristics analysis of Lota lota","volume":"49","author":[{"family":"Zhou","given":"J."},{"family":"Jiang","given":"Y."},{"family":"Zhang","given":"L."},{"family":"Wang","given":"Y."}],"issued":{"date-parts":[["2019"]]}}}],"schema":"https://github.com/citation-style-language/schema/raw/master/csl-citation.json"} </w:instrText>
      </w:r>
      <w:r w:rsidRPr="000572A3">
        <w:rPr>
          <w:lang w:val="en-US"/>
        </w:rPr>
        <w:fldChar w:fldCharType="separate"/>
      </w:r>
      <w:r w:rsidRPr="000572A3">
        <w:rPr>
          <w:lang w:val="en-US"/>
        </w:rPr>
        <w:t>[60,61]</w:t>
      </w:r>
      <w:r w:rsidRPr="000572A3">
        <w:rPr>
          <w:lang w:val="en-US"/>
        </w:rPr>
        <w:fldChar w:fldCharType="end"/>
      </w:r>
      <w:r w:rsidRPr="000572A3">
        <w:rPr>
          <w:lang w:val="en-US"/>
        </w:rPr>
        <w:t>. We cannot rule out that super-scaffolds have erroneously been connected, which should have been split in the burbot assembly, but our Hi-C contact map did not indicate any super-scaffolds that should have been further split. Here we could also mention that Moreover, two different chromosome-level burbot assemblies have previously been constructed, which resulted in different numbers of chromosomes, one by Han et al. 2021 of a specimen sampled in Heilong River (</w:t>
      </w:r>
      <w:proofErr w:type="spellStart"/>
      <w:r w:rsidRPr="000572A3">
        <w:rPr>
          <w:lang w:val="en-US"/>
        </w:rPr>
        <w:t>Raohe</w:t>
      </w:r>
      <w:proofErr w:type="spellEnd"/>
      <w:r w:rsidRPr="000572A3">
        <w:rPr>
          <w:lang w:val="en-US"/>
        </w:rPr>
        <w:t xml:space="preserve"> county) in the northeastern part of China resulting in n=22 chromosomes </w:t>
      </w:r>
      <w:r w:rsidRPr="000572A3">
        <w:rPr>
          <w:lang w:val="en-US"/>
        </w:rPr>
        <w:fldChar w:fldCharType="begin"/>
      </w:r>
      <w:r>
        <w:rPr>
          <w:lang w:val="en-US"/>
        </w:rPr>
        <w:instrText xml:space="preserve"> ADDIN ZOTERO_ITEM CSL_CITATION {"citationID":"XjePbtf3","properties":{"formattedCitation":"[195]","plainCitation":"[195]","noteIndex":0},"citationItems":[{"id":562,"uris":["http://zotero.org/users/local/xidmNVtz/items/GF6BNRLX","http://zotero.org/users/18744110/items/GF6BNRLX"],"itemData":{"id":562,"type":"article-journal","abstract":"The burbot (Lota lota) is the only member of the order Gadiformes adapted solely to freshwater. This species has the widest longitudinal range among freshwater fish worldwide. Burbot serves as a good model for studies on adaptive genome evolution from marine to freshwater environments. However, a high-quality reference genome of burbot has not yet been released. Here, the first chromosome-level genome of burbot was constructed using PacBio long sequencing and Hi-C technology. A total of 95.24 Gb polished PacBio sequences were generated, and the preliminary genome assembly was 575.83 Mb in size with a contig N50 size of 2.15 Mb. The assembled sequences were anchored to 22 pseudochromosomes by using Hi-C data. The final assembled genome after Hi-C correction was 575.92 Mb, with a contig N50 of 2.01 Mb and a scaffold N50 of 22.10 Mb. A total of 22,067 protein-coding genes were predicted, 94.82% of which were functionally annotated. Phylogenetic analyses indicated that burbot diverged with the Atlantic cod approximately 43.8 million years ago. In addition, 377 putative genes that appear to be under positive selection in burbot were identified. These positively selected genes might be involved in the adaptation to the freshwater environment. These genome data provide an invaluable resource for the ecological and evolutionary study of the order Gadiformes.","container-title":"Molecular Ecology Resources","DOI":"10.1111/1755-0998.13382","ISSN":"1755-0998","issue":"6","language":"en","license":"© 2021 John Wiley &amp; Sons Ltd","note":"_eprint: https://onlinelibrary.wiley.com/doi/pdf/10.1111/1755-0998.13382","page":"2022-2033","source":"Wiley Online Library","title":"Chromosome-level genome assembly of burbot (Lota lota) provides insights into the evolutionary adaptations in freshwater","volume":"21","author":[{"family":"Han","given":"Zhiqiang"},{"family":"Liu","given":"Manhong"},{"family":"Liu","given":"Qi"},{"family":"Zhai","given":"Hao"},{"family":"Xiao","given":"Shijun"},{"family":"Gao","given":"Tianxiang"}],"issued":{"date-parts":[["2021"]]}}}],"schema":"https://github.com/citation-style-language/schema/raw/master/csl-citation.json"} </w:instrText>
      </w:r>
      <w:r w:rsidRPr="000572A3">
        <w:rPr>
          <w:lang w:val="en-US"/>
        </w:rPr>
        <w:fldChar w:fldCharType="separate"/>
      </w:r>
      <w:r>
        <w:rPr>
          <w:lang w:val="en-US"/>
        </w:rPr>
        <w:t>[195]</w:t>
      </w:r>
      <w:r w:rsidRPr="000572A3">
        <w:rPr>
          <w:lang w:val="en-US"/>
        </w:rPr>
        <w:fldChar w:fldCharType="end"/>
      </w:r>
      <w:r w:rsidRPr="000572A3">
        <w:rPr>
          <w:lang w:val="en-US"/>
        </w:rPr>
        <w:t xml:space="preserve">, and another by Song et al. 2021 resulting in n=24 chromosomes </w:t>
      </w:r>
      <w:r w:rsidRPr="000572A3">
        <w:rPr>
          <w:lang w:val="en-US"/>
        </w:rPr>
        <w:fldChar w:fldCharType="begin"/>
      </w:r>
      <w:r>
        <w:rPr>
          <w:lang w:val="en-US"/>
        </w:rPr>
        <w:instrText xml:space="preserve"> ADDIN ZOTERO_ITEM CSL_CITATION {"citationID":"Pi5ZujID","properties":{"formattedCitation":"[196]","plainCitation":"[196]","noteIndex":0},"citationItems":[{"id":576,"uris":["http://zotero.org/users/local/xidmNVtz/items/PCUHD39X","http://zotero.org/users/18744110/items/PCUHD39X"],"itemData":{"id":576,"type":"article-journal","container-title":"Frontiers in Genetics","DOI":"10.3389/fgene.2021.747552","ISSN":"1664-8021","journalAbbreviation":"Front. Genet.","note":"publisher: Frontiers","source":"Frontiers","title":"Chromosome-Level Genome Assembly of the Burbot (Lota lota) Using Nanopore and Hi-C Technologies","volume":"12","author":[{"family":"Song","given":"Dan"},{"family":"Qian","given":"Yuting"},{"family":"Meng","given":"Minghui"},{"family":"Dong","given":"Xiaoli"},{"family":"Lv","given":"Wenqi"},{"family":"Huo","given":"Tangbin"}],"accessed":{"date-parts":[["2023",10,19]]},"issued":{"date-parts":[["2021",11,23]]}}}],"schema":"https://github.com/citation-style-language/schema/raw/master/csl-citation.json"} </w:instrText>
      </w:r>
      <w:r w:rsidRPr="000572A3">
        <w:rPr>
          <w:lang w:val="en-US"/>
        </w:rPr>
        <w:fldChar w:fldCharType="separate"/>
      </w:r>
      <w:r>
        <w:rPr>
          <w:lang w:val="en-US"/>
        </w:rPr>
        <w:t>[196]</w:t>
      </w:r>
      <w:r w:rsidRPr="000572A3">
        <w:rPr>
          <w:lang w:val="en-US"/>
        </w:rPr>
        <w:fldChar w:fldCharType="end"/>
      </w:r>
      <w:r w:rsidRPr="000572A3">
        <w:rPr>
          <w:lang w:val="en-US"/>
        </w:rPr>
        <w:t xml:space="preserve">. Combined, these results suggest that there are chromosomal differences between different lineages of burbot. Previous studies using mitochondrial markers point towards at least five major mitochondrial burbot clades across western and northern Europe, Russia, and parts of central Asia, likely reflecting postglacial colonization and the geological history of burbot in separate Holarctic regions </w:t>
      </w:r>
      <w:r w:rsidRPr="000572A3">
        <w:rPr>
          <w:lang w:val="en-US"/>
        </w:rPr>
        <w:fldChar w:fldCharType="begin"/>
      </w:r>
      <w:r>
        <w:rPr>
          <w:lang w:val="en-US"/>
        </w:rPr>
        <w:instrText xml:space="preserve"> ADDIN ZOTERO_ITEM CSL_CITATION {"citationID":"00Q1O9F2","properties":{"formattedCitation":"[197]","plainCitation":"[197]","noteIndex":0},"citationItems":[{"id":571,"uris":["http://zotero.org/users/local/xidmNVtz/items/86IKEV3Y","http://zotero.org/users/18744110/items/86IKEV3Y"],"itemData":{"id":571,"type":"article-journal","abstract":"Analysis of genetic diversity of burbot (Lota lota Linneus, 1758) mitochondrial control region (mtCR) haplotypes from geographically distant localities in the Ob-Irtysh River basin in comparison with distribution of known burbot haplotypes was conducted. mtCR fragments from burbot samples, obtained in two localities (longitudinal part of the Irtysh near Tobolsk and the Sob River, a left-bank tributary of the Ob River), were sequenced.","container-title":"Doklady Biochemistry and Biophysics","DOI":"10.1134/S160767291504016X","ISSN":"1608-3091","issue":"1","journalAbbreviation":"Dokl Biochem Biophys","language":"en","page":"255-258","source":"Springer Link","title":"First data on genetic diversity of burbot (Lota lota L.) in the Western Siberian","volume":"463","author":[{"family":"Khrunyk","given":"Y. Y."},{"family":"Borodin","given":"A. V."},{"family":"Semerikov","given":"V. L."},{"family":"Yalkovskaya","given":"L. E."},{"family":"Koporikov","given":"A. R."},{"family":"Rakitin","given":"S. B."},{"family":"Bogdanov","given":"V. D."}],"issued":{"date-parts":[["2015",7,1]]}}}],"schema":"https://github.com/citation-style-language/schema/raw/master/csl-citation.json"} </w:instrText>
      </w:r>
      <w:r w:rsidRPr="000572A3">
        <w:rPr>
          <w:lang w:val="en-US"/>
        </w:rPr>
        <w:fldChar w:fldCharType="separate"/>
      </w:r>
      <w:r>
        <w:rPr>
          <w:lang w:val="en-US"/>
        </w:rPr>
        <w:t>[197]</w:t>
      </w:r>
      <w:r w:rsidRPr="000572A3">
        <w:rPr>
          <w:lang w:val="en-US"/>
        </w:rPr>
        <w:fldChar w:fldCharType="end"/>
      </w:r>
      <w:r w:rsidRPr="000572A3">
        <w:rPr>
          <w:lang w:val="en-US"/>
        </w:rPr>
        <w:t xml:space="preserve">. Based on this, we speculate that the differences in chromosomal numbers observed might be linked to true karyotype differences and thus, different postglacial colonization events. </w:t>
      </w:r>
    </w:p>
    <w:p w14:paraId="25D663E5" w14:textId="77777777" w:rsidR="00D33A2B" w:rsidRPr="000572A3" w:rsidRDefault="00D33A2B" w:rsidP="00D33A2B">
      <w:pPr>
        <w:spacing w:line="276" w:lineRule="auto"/>
        <w:ind w:firstLine="0"/>
        <w:rPr>
          <w:lang w:val="en-US"/>
        </w:rPr>
      </w:pPr>
      <w:r w:rsidRPr="000572A3">
        <w:rPr>
          <w:lang w:val="en-US"/>
        </w:rPr>
        <w:t xml:space="preserve"> </w:t>
      </w:r>
    </w:p>
    <w:p w14:paraId="2CC31380" w14:textId="77777777" w:rsidR="00D33A2B" w:rsidRPr="000572A3" w:rsidRDefault="00D33A2B" w:rsidP="00D33A2B">
      <w:pPr>
        <w:spacing w:line="276" w:lineRule="auto"/>
        <w:ind w:firstLine="0"/>
        <w:outlineLvl w:val="2"/>
        <w:rPr>
          <w:b/>
          <w:bCs/>
          <w:color w:val="000000"/>
          <w:lang w:val="en-US"/>
        </w:rPr>
      </w:pPr>
      <w:bookmarkStart w:id="1" w:name="_Toc215229055"/>
      <w:proofErr w:type="gramStart"/>
      <w:r w:rsidRPr="000572A3">
        <w:rPr>
          <w:b/>
          <w:bCs/>
          <w:color w:val="000000"/>
          <w:lang w:val="en-US"/>
        </w:rPr>
        <w:t>Long-read</w:t>
      </w:r>
      <w:proofErr w:type="gramEnd"/>
      <w:r w:rsidRPr="000572A3">
        <w:rPr>
          <w:b/>
          <w:bCs/>
          <w:color w:val="000000"/>
          <w:lang w:val="en-US"/>
        </w:rPr>
        <w:t xml:space="preserve"> mitogenome assemblies for six codfishes</w:t>
      </w:r>
      <w:bookmarkEnd w:id="1"/>
    </w:p>
    <w:p w14:paraId="52CFCEAB" w14:textId="77777777" w:rsidR="00D33A2B" w:rsidRPr="000572A3" w:rsidRDefault="00D33A2B" w:rsidP="00D33A2B">
      <w:pPr>
        <w:spacing w:line="276" w:lineRule="auto"/>
        <w:ind w:firstLine="0"/>
        <w:rPr>
          <w:lang w:val="en-US"/>
        </w:rPr>
      </w:pPr>
      <w:r w:rsidRPr="000572A3">
        <w:rPr>
          <w:lang w:val="en-US"/>
        </w:rPr>
        <w:t xml:space="preserve">Complete mitogenomes were assembled for six of the species included (Additional file 2, Fig. S2), using either </w:t>
      </w:r>
      <w:proofErr w:type="spellStart"/>
      <w:r w:rsidRPr="000572A3">
        <w:rPr>
          <w:lang w:val="en-US"/>
        </w:rPr>
        <w:t>MitoVGP</w:t>
      </w:r>
      <w:proofErr w:type="spellEnd"/>
      <w:r w:rsidRPr="000572A3">
        <w:rPr>
          <w:lang w:val="en-US"/>
        </w:rPr>
        <w:t xml:space="preserve"> </w:t>
      </w:r>
      <w:r w:rsidRPr="000572A3">
        <w:rPr>
          <w:lang w:val="en-US"/>
        </w:rPr>
        <w:fldChar w:fldCharType="begin"/>
      </w:r>
      <w:r>
        <w:rPr>
          <w:lang w:val="en-US"/>
        </w:rPr>
        <w:instrText xml:space="preserve"> ADDIN ZOTERO_ITEM CSL_CITATION {"citationID":"VkMVgVrJ","properties":{"formattedCitation":"[134]","plainCitation":"[134]","noteIndex":0},"citationItems":[{"id":285,"uris":["http://zotero.org/users/local/xidmNVtz/items/S8PK79JU","http://zotero.org/users/18744110/items/S8PK79JU"],"itemData":{"id":285,"type":"article-journal","abstract":"Modern sequencing technologies should make the assembly of the relatively small mitochondrial genomes an easy undertaking. However, few tools exist that address mitochondrial assembly directly.","container-title":"Genome Biology","DOI":"10.1186/s13059-021-02336-9","ISSN":"1474-760X","issue":"1","journalAbbreviation":"Genome Biology","page":"120","source":"BioMed Central","title":"Complete vertebrate mitogenomes reveal widespread repeats and gene duplications","volume":"22","author":[{"family":"Formenti","given":"Giulio"},{"family":"Rhie","given":"Arang"},{"family":"Balacco","given":"Jennifer"},{"family":"Haase","given":"Bettina"},{"family":"Mountcastle","given":"Jacquelyn"},{"family":"Fedrigo","given":"Olivier"},{"family":"Brown","given":"Samara"},{"family":"Capodiferro","given":"Marco Rosario"},{"family":"Al-Ajli","given":"Farooq O."},{"family":"Ambrosini","given":"Roberto"},{"family":"Houde","given":"Peter"},{"family":"Koren","given":"Sergey"},{"family":"Oliver","given":"Karen"},{"family":"Smith","given":"Michelle"},{"family":"Skelton","given":"Jason"},{"family":"Betteridge","given":"Emma"},{"family":"Dolucan","given":"Jale"},{"family":"Corton","given":"Craig"},{"family":"Bista","given":"Iliana"},{"family":"Torrance","given":"James"},{"family":"Tracey","given":"Alan"},{"family":"Wood","given":"Jonathan"},{"family":"Uliano-Silva","given":"Marcela"},{"family":"Howe","given":"Kerstin"},{"family":"McCarthy","given":"Shane"},{"family":"Winkler","given":"Sylke"},{"family":"Kwak","given":"Woori"},{"family":"Korlach","given":"Jonas"},{"family":"Fungtammasan","given":"Arkarachai"},{"family":"Fordham","given":"Daniel"},{"family":"Costa","given":"Vania"},{"family":"Mayes","given":"Simon"},{"family":"Chiara","given":"Matteo"},{"family":"Horner","given":"David S."},{"family":"Myers","given":"Eugene"},{"family":"Durbin","given":"Richard"},{"family":"Achilli","given":"Alessandro"},{"family":"Braun","given":"Edward L."},{"family":"Phillippy","given":"Adam M."},{"family":"Jarvis","given":"Erich D."},{"family":"Kirschel","given":"Alexander N. G."},{"family":"Digby","given":"Andrew"},{"family":"Veale","given":"Andrew"},{"family":"Bronikowski","given":"Anne"},{"family":"Murphy","given":"Bob"},{"family":"Robertson","given":"Bruce"},{"family":"Baker","given":"Clare"},{"family":"Mazzoni","given":"Camila"},{"family":"Balakrishnan","given":"Christopher"},{"family":"Lee","given":"Chul"},{"family":"Mead","given":"Daniel"},{"family":"Teeling","given":"Emma"},{"family":"Aiden","given":"Erez Lieberman"},{"family":"Todd","given":"Erica"},{"family":"Eichler","given":"Evan"},{"family":"Naylor","given":"Gavin J. P."},{"family":"Zhang","given":"Guojie"},{"family":"Smith","given":"Jeramiah"},{"family":"Wolf","given":"Jochen"},{"family":"Touchon","given":"Justin"},{"family":"Delmore","given":"Kira"},{"family":"Jakobsen","given":"Kjetill"},{"family":"Komoroske","given":"Lisa"},{"family":"Wilkinson","given":"Mark"},{"family":"Genner","given":"Martin"},{"family":"Pšenička","given":"Martin"},{"family":"Fuxjager","given":"Matthew"},{"family":"Stratton","given":"Mike"},{"family":"Liedvogel","given":"Miriam"},{"family":"Gemmell","given":"Neil"},{"family":"Minias","given":"Piotr"},{"family":"Dunn","given":"Peter O."},{"family":"Sudmant","given":"Peter"},{"family":"Morin","given":"Phil"},{"family":"Ayub","given":"Qasim"},{"family":"Kraus","given":"Robert"},{"family":"Vernes","given":"Sonja"},{"family":"Smith","given":"Steve"},{"family":"Lama","given":"Tanya"},{"family":"Edwards","given":"Taylor"},{"family":"Smith","given":"Tim"},{"family":"Gilbert","given":"Tom"},{"family":"Marques-Bonet","given":"Tomas"},{"family":"Einfeldt","given":"Tony"},{"family":"Venkatesh","given":"Byrappa"},{"family":"Johnson","given":"Warren"},{"family":"Warren","given":"Wes"},{"family":"Bukhman","given":"Yury"},{"literal":"The Vertebrate Genomes Project Consortium"}],"issued":{"date-parts":[["2021",4,29]]}}}],"schema":"https://github.com/citation-style-language/schema/raw/master/csl-citation.json"} </w:instrText>
      </w:r>
      <w:r w:rsidRPr="000572A3">
        <w:rPr>
          <w:lang w:val="en-US"/>
        </w:rPr>
        <w:fldChar w:fldCharType="separate"/>
      </w:r>
      <w:r>
        <w:rPr>
          <w:lang w:val="en-US"/>
        </w:rPr>
        <w:t>[134]</w:t>
      </w:r>
      <w:r w:rsidRPr="000572A3">
        <w:rPr>
          <w:lang w:val="en-US"/>
        </w:rPr>
        <w:fldChar w:fldCharType="end"/>
      </w:r>
      <w:r w:rsidRPr="000572A3">
        <w:rPr>
          <w:lang w:val="en-US"/>
        </w:rPr>
        <w:t xml:space="preserve"> or </w:t>
      </w:r>
      <w:proofErr w:type="spellStart"/>
      <w:r w:rsidRPr="000572A3">
        <w:rPr>
          <w:lang w:val="en-US"/>
        </w:rPr>
        <w:t>MitoHiFi</w:t>
      </w:r>
      <w:proofErr w:type="spellEnd"/>
      <w:r w:rsidRPr="000572A3">
        <w:rPr>
          <w:lang w:val="en-US"/>
        </w:rPr>
        <w:t xml:space="preserve"> </w:t>
      </w:r>
      <w:r w:rsidRPr="000572A3">
        <w:rPr>
          <w:lang w:val="en-US"/>
        </w:rPr>
        <w:fldChar w:fldCharType="begin"/>
      </w:r>
      <w:r>
        <w:rPr>
          <w:lang w:val="en-US"/>
        </w:rPr>
        <w:instrText xml:space="preserve"> ADDIN ZOTERO_ITEM CSL_CITATION {"citationID":"hBD1Wvyq","properties":{"formattedCitation":"[135]","plainCitation":"[135]","noteIndex":0},"citationItems":[{"id":559,"uris":["http://zotero.org/users/local/xidmNVtz/items/KTCNRV5K","http://zotero.org/users/18744110/items/KTCNRV5K"],"itemData":{"id":559,"type":"article-journal","abstract":"PacBio high fidelity (HiFi) sequencing reads are both long (15–20 kb) and highly accurate (&gt; Q20). Because of these properties, they have revolutionised genome assembly leading to more accurate and contiguous genomes. In eukaryotes the mitochondrial genome is sequenced alongside the nuclear genome often at very high coverage. A dedicated tool for mitochondrial genome assembly using HiFi reads is still missing.","container-title":"BMC Bioinformatics","DOI":"10.1186/s12859-023-05385-y","ISSN":"1471-2105","issue":"1","journalAbbreviation":"BMC Bioinformatics","page":"288","source":"BioMed Central","title":"MitoHiFi: a python pipeline for mitochondrial genome assembly from PacBio high fidelity reads","title-short":"MitoHiFi","volume":"24","author":[{"family":"Uliano-Silva","given":"Marcela"},{"family":"Ferreira","given":"João Gabriel R. N."},{"family":"Krasheninnikova","given":"Ksenia"},{"family":"Blaxter","given":"Mark"},{"family":"Mieszkowska","given":"Nova"},{"family":"Hall","given":"Neil"},{"family":"Holland","given":"Peter"},{"family":"Durbin","given":"Richard"},{"family":"Richards","given":"Thomas"},{"family":"Kersey","given":"Paul"},{"family":"Hollingsworth","given":"Peter"},{"family":"Wilson","given":"Willie"},{"family":"Twyford","given":"Alex"},{"family":"Gaya","given":"Ester"},{"family":"Lawniczak","given":"Mara"},{"family":"Lewis","given":"Owen"},{"family":"Broad","given":"Gavin"},{"family":"Martin","given":"Fergal"},{"family":"Hart","given":"Michelle"},{"family":"Barnes","given":"Ian"},{"family":"Formenti","given":"Giulio"},{"family":"Abueg","given":"Linelle"},{"family":"Torrance","given":"James"},{"family":"Myers","given":"Eugene W."},{"family":"Durbin","given":"Richard"},{"family":"Blaxter","given":"Mark"},{"family":"McCarthy","given":"Shane A."},{"literal":"Darwin Tree of Life Consortium"}],"issued":{"date-parts":[["2023",7,18]]}}}],"schema":"https://github.com/citation-style-language/schema/raw/master/csl-citation.json"} </w:instrText>
      </w:r>
      <w:r w:rsidRPr="000572A3">
        <w:rPr>
          <w:lang w:val="en-US"/>
        </w:rPr>
        <w:fldChar w:fldCharType="separate"/>
      </w:r>
      <w:r>
        <w:rPr>
          <w:lang w:val="en-US"/>
        </w:rPr>
        <w:t>[135]</w:t>
      </w:r>
      <w:r w:rsidRPr="000572A3">
        <w:rPr>
          <w:lang w:val="en-US"/>
        </w:rPr>
        <w:fldChar w:fldCharType="end"/>
      </w:r>
      <w:r w:rsidRPr="000572A3">
        <w:rPr>
          <w:lang w:val="en-US"/>
        </w:rPr>
        <w:t xml:space="preserve"> (see Additional file 5). The European hake was an exception, as the mitogenome was found to be fully assembled during the Flye assemblage stage, 16,968 bp in size, as would be expected from a complete mitogenome. Upon inspection, read depth distribution among the assemblies differed markedly (Additional file 2, Fig. S3); however, this is expected as HiFi reads (for European hake and Atlantic cod (NEAC)) are generated from collapsing sequencing reads, leaving fewer but highly accurate reads. </w:t>
      </w:r>
      <w:proofErr w:type="spellStart"/>
      <w:r w:rsidRPr="000572A3">
        <w:rPr>
          <w:lang w:val="en-US"/>
        </w:rPr>
        <w:t>MitoFish</w:t>
      </w:r>
      <w:proofErr w:type="spellEnd"/>
      <w:r w:rsidRPr="000572A3">
        <w:rPr>
          <w:lang w:val="en-US"/>
        </w:rPr>
        <w:t xml:space="preserve"> annotation of the mitogenome assemblies resulted in the identification of 13</w:t>
      </w:r>
      <w:r w:rsidRPr="000572A3">
        <w:rPr>
          <w:color w:val="C00000"/>
          <w:lang w:val="en-US"/>
        </w:rPr>
        <w:t xml:space="preserve"> </w:t>
      </w:r>
      <w:r w:rsidRPr="000572A3">
        <w:rPr>
          <w:lang w:val="en-US"/>
        </w:rPr>
        <w:t xml:space="preserve">mitochondrial protein-coding genes (PCGs) within all assemblies (Additional file 2, Fig. S2). In Arctic cod, the T-P spacer found before the D-Loop has been shown to contain duplicated repeat motifs </w:t>
      </w:r>
      <w:r w:rsidRPr="000572A3">
        <w:rPr>
          <w:lang w:val="en-US"/>
        </w:rPr>
        <w:fldChar w:fldCharType="begin"/>
      </w:r>
      <w:r>
        <w:rPr>
          <w:lang w:val="en-US"/>
        </w:rPr>
        <w:instrText xml:space="preserve"> ADDIN ZOTERO_ITEM CSL_CITATION {"citationID":"a22p61hlbr","properties":{"formattedCitation":"[198]","plainCitation":"[198]","noteIndex":0},"citationItems":[{"id":906,"uris":["http://zotero.org/users/local/xidmNVtz/items/4SXIFT56","http://zotero.org/users/18744110/items/4SXIFT56"],"itemData":{"id":906,"type":"article-journal","abstract":"A noncoding intergenic spacer has previously been reported in mtDNA of Gadiformes. Here we present sequence information from two other cod species and variation within three species to clarify the evolution of this region. A general feature of the T–P spacer is high variation and folding into two or three hairpins. The variation among species both in structure of the region and sequence variation reflects the phylogenetic relationship of the species. A unique pattern is found within Arctic cod, Arctogadus glacialis, in which tandem repeat motifs result in new stable secondary structures. There is large variation in size of the region both within (heteroplasmy) and among individuals. A duplicated insertion is found in Greenland cod, Gadus ogac, at the same position as a corresponding duplication in Atlantic cod, Gadus morhua.","container-title":"Marine Biotechnology","DOI":"10.1007/s10126-007-9058-5","ISSN":"1436-2236","issue":"3","journalAbbreviation":"Mar Biotechnol","language":"en","page":"270-277","source":"Springer Link","title":"Rapid Evolution of the Intergenic T–P Spacer in the mtDNA of Arctic Cod Arctogadus glacialis","volume":"10","author":[{"family":"Pálsson","given":"Snæbjörn"},{"family":"Paulsen","given":"Jonas"},{"family":"Árnason","given":"Einar"}],"issued":{"date-parts":[["2008",5,1]]}}}],"schema":"https://github.com/citation-style-language/schema/raw/master/csl-citation.json"} </w:instrText>
      </w:r>
      <w:r w:rsidRPr="000572A3">
        <w:rPr>
          <w:lang w:val="en-US"/>
        </w:rPr>
        <w:fldChar w:fldCharType="separate"/>
      </w:r>
      <w:r>
        <w:rPr>
          <w:lang w:val="en-US"/>
        </w:rPr>
        <w:t>[198]</w:t>
      </w:r>
      <w:r w:rsidRPr="000572A3">
        <w:rPr>
          <w:lang w:val="en-US"/>
        </w:rPr>
        <w:fldChar w:fldCharType="end"/>
      </w:r>
      <w:r w:rsidRPr="000572A3">
        <w:rPr>
          <w:lang w:val="en-US"/>
        </w:rPr>
        <w:t xml:space="preserve">. The length of this </w:t>
      </w:r>
      <w:r w:rsidRPr="000572A3">
        <w:rPr>
          <w:lang w:val="en-US"/>
        </w:rPr>
        <w:lastRenderedPageBreak/>
        <w:t xml:space="preserve">region is known to differ within individuals </w:t>
      </w:r>
      <w:r w:rsidRPr="000572A3">
        <w:rPr>
          <w:lang w:val="en-US"/>
        </w:rPr>
        <w:fldChar w:fldCharType="begin"/>
      </w:r>
      <w:r>
        <w:rPr>
          <w:lang w:val="en-US"/>
        </w:rPr>
        <w:instrText xml:space="preserve"> ADDIN ZOTERO_ITEM CSL_CITATION {"citationID":"I4TtI23V","properties":{"formattedCitation":"[198]","plainCitation":"[198]","noteIndex":0},"citationItems":[{"id":906,"uris":["http://zotero.org/users/local/xidmNVtz/items/4SXIFT56","http://zotero.org/users/18744110/items/4SXIFT56"],"itemData":{"id":906,"type":"article-journal","abstract":"A noncoding intergenic spacer has previously been reported in mtDNA of Gadiformes. Here we present sequence information from two other cod species and variation within three species to clarify the evolution of this region. A general feature of the T–P spacer is high variation and folding into two or three hairpins. The variation among species both in structure of the region and sequence variation reflects the phylogenetic relationship of the species. A unique pattern is found within Arctic cod, Arctogadus glacialis, in which tandem repeat motifs result in new stable secondary structures. There is large variation in size of the region both within (heteroplasmy) and among individuals. A duplicated insertion is found in Greenland cod, Gadus ogac, at the same position as a corresponding duplication in Atlantic cod, Gadus morhua.","container-title":"Marine Biotechnology","DOI":"10.1007/s10126-007-9058-5","ISSN":"1436-2236","issue":"3","journalAbbreviation":"Mar Biotechnol","language":"en","page":"270-277","source":"Springer Link","title":"Rapid Evolution of the Intergenic T–P Spacer in the mtDNA of Arctic Cod Arctogadus glacialis","volume":"10","author":[{"family":"Pálsson","given":"Snæbjörn"},{"family":"Paulsen","given":"Jonas"},{"family":"Árnason","given":"Einar"}],"issued":{"date-parts":[["2008",5,1]]}}}],"schema":"https://github.com/citation-style-language/schema/raw/master/csl-citation.json"} </w:instrText>
      </w:r>
      <w:r w:rsidRPr="000572A3">
        <w:rPr>
          <w:lang w:val="en-US"/>
        </w:rPr>
        <w:fldChar w:fldCharType="separate"/>
      </w:r>
      <w:r>
        <w:rPr>
          <w:lang w:val="en-US"/>
        </w:rPr>
        <w:t>[198]</w:t>
      </w:r>
      <w:r w:rsidRPr="000572A3">
        <w:rPr>
          <w:lang w:val="en-US"/>
        </w:rPr>
        <w:fldChar w:fldCharType="end"/>
      </w:r>
      <w:r w:rsidRPr="000572A3">
        <w:rPr>
          <w:lang w:val="en-US"/>
        </w:rPr>
        <w:t>. Interestingly, the Arctic cod mitogenome assembly was found to include a stretch of repeated sequence located between tRNA-</w:t>
      </w:r>
      <w:proofErr w:type="spellStart"/>
      <w:r w:rsidRPr="000572A3">
        <w:rPr>
          <w:lang w:val="en-US"/>
        </w:rPr>
        <w:t>Thr</w:t>
      </w:r>
      <w:proofErr w:type="spellEnd"/>
      <w:r w:rsidRPr="000572A3">
        <w:rPr>
          <w:lang w:val="en-US"/>
        </w:rPr>
        <w:t xml:space="preserve"> and tRNA-Pro (T-P spacer), and the sequence reads within this region varied with several large indels, an indication that this area could potentially represent mitochondrial </w:t>
      </w:r>
      <w:proofErr w:type="spellStart"/>
      <w:r w:rsidRPr="000572A3">
        <w:rPr>
          <w:lang w:val="en-US"/>
        </w:rPr>
        <w:t>heteroplasmy</w:t>
      </w:r>
      <w:proofErr w:type="spellEnd"/>
      <w:r w:rsidRPr="000572A3">
        <w:rPr>
          <w:lang w:val="en-US"/>
        </w:rPr>
        <w:t xml:space="preserve"> (Additional file 2, Fig. S4).</w:t>
      </w:r>
    </w:p>
    <w:p w14:paraId="7943FD94" w14:textId="70D93FC2" w:rsidR="0059779C" w:rsidRDefault="001C5830" w:rsidP="0059779C">
      <w:pPr>
        <w:ind w:firstLine="0"/>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p>
    <w:p w14:paraId="265C4A98" w14:textId="394B7B07" w:rsidR="0059779C" w:rsidRDefault="0059779C" w:rsidP="0059779C">
      <w:pPr>
        <w:ind w:firstLine="0"/>
        <w:rPr>
          <w:b/>
          <w:bCs/>
          <w:lang w:val="en-US"/>
        </w:rPr>
      </w:pPr>
      <w:r>
        <w:rPr>
          <w:b/>
          <w:bCs/>
          <w:lang w:val="en-US"/>
        </w:rPr>
        <w:lastRenderedPageBreak/>
        <w:t>R</w:t>
      </w:r>
      <w:r w:rsidRPr="0059779C">
        <w:rPr>
          <w:b/>
          <w:bCs/>
          <w:lang w:val="en-US"/>
        </w:rPr>
        <w:t>eferences</w:t>
      </w:r>
    </w:p>
    <w:p w14:paraId="47B30D09" w14:textId="77777777" w:rsidR="001E2C9C" w:rsidRPr="001E2C9C" w:rsidRDefault="001E2C9C" w:rsidP="001E2C9C">
      <w:pPr>
        <w:spacing w:after="240" w:line="240" w:lineRule="auto"/>
        <w:ind w:firstLine="0"/>
        <w:rPr>
          <w:lang w:val="en-US"/>
        </w:rPr>
      </w:pPr>
      <w:r w:rsidRPr="001E2C9C">
        <w:rPr>
          <w:lang w:val="en-US"/>
        </w:rPr>
        <w:t xml:space="preserve">60. </w:t>
      </w:r>
      <w:proofErr w:type="spellStart"/>
      <w:r w:rsidRPr="001E2C9C">
        <w:rPr>
          <w:lang w:val="en-US"/>
        </w:rPr>
        <w:t>Kirtiklis</w:t>
      </w:r>
      <w:proofErr w:type="spellEnd"/>
      <w:r w:rsidRPr="001E2C9C">
        <w:rPr>
          <w:lang w:val="en-US"/>
        </w:rPr>
        <w:t xml:space="preserve"> L, </w:t>
      </w:r>
      <w:proofErr w:type="spellStart"/>
      <w:r w:rsidRPr="001E2C9C">
        <w:rPr>
          <w:lang w:val="en-US"/>
        </w:rPr>
        <w:t>Kuciński</w:t>
      </w:r>
      <w:proofErr w:type="spellEnd"/>
      <w:r w:rsidRPr="001E2C9C">
        <w:rPr>
          <w:lang w:val="en-US"/>
        </w:rPr>
        <w:t xml:space="preserve"> M, </w:t>
      </w:r>
      <w:proofErr w:type="spellStart"/>
      <w:r w:rsidRPr="001E2C9C">
        <w:rPr>
          <w:lang w:val="en-US"/>
        </w:rPr>
        <w:t>Ocalewicz</w:t>
      </w:r>
      <w:proofErr w:type="spellEnd"/>
      <w:r w:rsidRPr="001E2C9C">
        <w:rPr>
          <w:lang w:val="en-US"/>
        </w:rPr>
        <w:t xml:space="preserve"> K, Liszewski T, </w:t>
      </w:r>
      <w:proofErr w:type="spellStart"/>
      <w:r w:rsidRPr="001E2C9C">
        <w:rPr>
          <w:lang w:val="en-US"/>
        </w:rPr>
        <w:t>Woźnicki</w:t>
      </w:r>
      <w:proofErr w:type="spellEnd"/>
      <w:r w:rsidRPr="001E2C9C">
        <w:rPr>
          <w:lang w:val="en-US"/>
        </w:rPr>
        <w:t xml:space="preserve"> P, Nowosad J, et al. Heterochromatin organization and chromosome mapping of rRNA genes and telomeric DNA sequences in the burbot</w:t>
      </w:r>
      <w:r w:rsidRPr="001E2C9C">
        <w:rPr>
          <w:i/>
          <w:iCs/>
          <w:lang w:val="en-US"/>
        </w:rPr>
        <w:t xml:space="preserve"> Lota </w:t>
      </w:r>
      <w:proofErr w:type="spellStart"/>
      <w:r w:rsidRPr="001E2C9C">
        <w:rPr>
          <w:i/>
          <w:iCs/>
          <w:lang w:val="en-US"/>
        </w:rPr>
        <w:t>lota</w:t>
      </w:r>
      <w:proofErr w:type="spellEnd"/>
      <w:r w:rsidRPr="001E2C9C">
        <w:rPr>
          <w:i/>
          <w:iCs/>
          <w:lang w:val="en-US"/>
        </w:rPr>
        <w:t xml:space="preserve"> </w:t>
      </w:r>
      <w:r w:rsidRPr="001E2C9C">
        <w:rPr>
          <w:lang w:val="en-US"/>
        </w:rPr>
        <w:t xml:space="preserve">(Linnaeus, 1758) (Teleostei: </w:t>
      </w:r>
      <w:proofErr w:type="spellStart"/>
      <w:r w:rsidRPr="001E2C9C">
        <w:rPr>
          <w:lang w:val="en-US"/>
        </w:rPr>
        <w:t>Gadiformes</w:t>
      </w:r>
      <w:proofErr w:type="spellEnd"/>
      <w:r w:rsidRPr="001E2C9C">
        <w:rPr>
          <w:lang w:val="en-US"/>
        </w:rPr>
        <w:t xml:space="preserve">: </w:t>
      </w:r>
      <w:proofErr w:type="spellStart"/>
      <w:r w:rsidRPr="001E2C9C">
        <w:rPr>
          <w:lang w:val="en-US"/>
        </w:rPr>
        <w:t>Lotidae</w:t>
      </w:r>
      <w:proofErr w:type="spellEnd"/>
      <w:r w:rsidRPr="001E2C9C">
        <w:rPr>
          <w:lang w:val="en-US"/>
        </w:rPr>
        <w:t xml:space="preserve">). </w:t>
      </w:r>
      <w:proofErr w:type="spellStart"/>
      <w:r w:rsidRPr="001E2C9C">
        <w:rPr>
          <w:lang w:val="en-US"/>
        </w:rPr>
        <w:t>Caryologia</w:t>
      </w:r>
      <w:proofErr w:type="spellEnd"/>
      <w:r w:rsidRPr="001E2C9C">
        <w:rPr>
          <w:lang w:val="en-US"/>
        </w:rPr>
        <w:t xml:space="preserve">. </w:t>
      </w:r>
      <w:proofErr w:type="gramStart"/>
      <w:r w:rsidRPr="001E2C9C">
        <w:rPr>
          <w:lang w:val="en-US"/>
        </w:rPr>
        <w:t>2017;70:15</w:t>
      </w:r>
      <w:proofErr w:type="gramEnd"/>
      <w:r w:rsidRPr="001E2C9C">
        <w:rPr>
          <w:lang w:val="en-US"/>
        </w:rPr>
        <w:t>–20. https://doi.org/10.1080/00087114.2016.1254453</w:t>
      </w:r>
    </w:p>
    <w:p w14:paraId="3B07ECA2" w14:textId="77777777" w:rsidR="001E2C9C" w:rsidRPr="001E2C9C" w:rsidRDefault="001E2C9C" w:rsidP="001E2C9C">
      <w:pPr>
        <w:spacing w:after="240" w:line="240" w:lineRule="auto"/>
        <w:ind w:firstLine="0"/>
        <w:rPr>
          <w:lang w:val="en-US"/>
        </w:rPr>
      </w:pPr>
      <w:r w:rsidRPr="001E2C9C">
        <w:rPr>
          <w:lang w:val="en-US"/>
        </w:rPr>
        <w:t xml:space="preserve">61. Zhou J, Jiang Y, Zhang L, Wang Y. Karyotype and morphological characteristics analysis of </w:t>
      </w:r>
      <w:r w:rsidRPr="001E2C9C">
        <w:rPr>
          <w:i/>
          <w:iCs/>
          <w:lang w:val="en-US"/>
        </w:rPr>
        <w:t xml:space="preserve">Lota </w:t>
      </w:r>
      <w:proofErr w:type="spellStart"/>
      <w:r w:rsidRPr="001E2C9C">
        <w:rPr>
          <w:i/>
          <w:iCs/>
          <w:lang w:val="en-US"/>
        </w:rPr>
        <w:t>lota</w:t>
      </w:r>
      <w:proofErr w:type="spellEnd"/>
      <w:r w:rsidRPr="001E2C9C">
        <w:rPr>
          <w:lang w:val="en-US"/>
        </w:rPr>
        <w:t xml:space="preserve">. </w:t>
      </w:r>
      <w:proofErr w:type="spellStart"/>
      <w:r w:rsidRPr="001E2C9C">
        <w:rPr>
          <w:lang w:val="en-US"/>
        </w:rPr>
        <w:t>Freshw</w:t>
      </w:r>
      <w:proofErr w:type="spellEnd"/>
      <w:r w:rsidRPr="001E2C9C">
        <w:rPr>
          <w:lang w:val="en-US"/>
        </w:rPr>
        <w:t xml:space="preserve"> Fish. </w:t>
      </w:r>
      <w:proofErr w:type="gramStart"/>
      <w:r w:rsidRPr="001E2C9C">
        <w:rPr>
          <w:lang w:val="en-US"/>
        </w:rPr>
        <w:t>2019;49:3</w:t>
      </w:r>
      <w:proofErr w:type="gramEnd"/>
      <w:r w:rsidRPr="001E2C9C">
        <w:rPr>
          <w:lang w:val="en-US"/>
        </w:rPr>
        <w:t>–8. https://doi.org/10.13721/j.cnki.dsyy.2019.04.001</w:t>
      </w:r>
    </w:p>
    <w:p w14:paraId="561972E0" w14:textId="77777777" w:rsidR="001E2C9C" w:rsidRPr="001C5830" w:rsidRDefault="001E2C9C" w:rsidP="001E2C9C">
      <w:pPr>
        <w:spacing w:after="240" w:line="240" w:lineRule="auto"/>
        <w:ind w:firstLine="0"/>
        <w:rPr>
          <w:lang w:val="nb-NO"/>
        </w:rPr>
      </w:pPr>
      <w:r w:rsidRPr="001E2C9C">
        <w:rPr>
          <w:lang w:val="en-US"/>
        </w:rPr>
        <w:t xml:space="preserve">134. </w:t>
      </w:r>
      <w:proofErr w:type="spellStart"/>
      <w:r w:rsidRPr="001E2C9C">
        <w:rPr>
          <w:lang w:val="en-US"/>
        </w:rPr>
        <w:t>Formenti</w:t>
      </w:r>
      <w:proofErr w:type="spellEnd"/>
      <w:r w:rsidRPr="001E2C9C">
        <w:rPr>
          <w:lang w:val="en-US"/>
        </w:rPr>
        <w:t xml:space="preserve"> G, Rhie A, </w:t>
      </w:r>
      <w:proofErr w:type="spellStart"/>
      <w:r w:rsidRPr="001E2C9C">
        <w:rPr>
          <w:lang w:val="en-US"/>
        </w:rPr>
        <w:t>Balacco</w:t>
      </w:r>
      <w:proofErr w:type="spellEnd"/>
      <w:r w:rsidRPr="001E2C9C">
        <w:rPr>
          <w:lang w:val="en-US"/>
        </w:rPr>
        <w:t xml:space="preserve"> J, Haase B, Mountcastle J, </w:t>
      </w:r>
      <w:proofErr w:type="spellStart"/>
      <w:r w:rsidRPr="001E2C9C">
        <w:rPr>
          <w:lang w:val="en-US"/>
        </w:rPr>
        <w:t>Fedrigo</w:t>
      </w:r>
      <w:proofErr w:type="spellEnd"/>
      <w:r w:rsidRPr="001E2C9C">
        <w:rPr>
          <w:lang w:val="en-US"/>
        </w:rPr>
        <w:t xml:space="preserve"> O, et al. Complete vertebrate mitogenomes reveal widespread repeats and gene duplications. </w:t>
      </w:r>
      <w:proofErr w:type="spellStart"/>
      <w:r w:rsidRPr="001C5830">
        <w:rPr>
          <w:lang w:val="nb-NO"/>
        </w:rPr>
        <w:t>Genome</w:t>
      </w:r>
      <w:proofErr w:type="spellEnd"/>
      <w:r w:rsidRPr="001C5830">
        <w:rPr>
          <w:lang w:val="nb-NO"/>
        </w:rPr>
        <w:t xml:space="preserve"> Biol. </w:t>
      </w:r>
      <w:proofErr w:type="gramStart"/>
      <w:r w:rsidRPr="001C5830">
        <w:rPr>
          <w:lang w:val="nb-NO"/>
        </w:rPr>
        <w:t>2021;22:120</w:t>
      </w:r>
      <w:proofErr w:type="gramEnd"/>
      <w:r w:rsidRPr="001C5830">
        <w:rPr>
          <w:lang w:val="nb-NO"/>
        </w:rPr>
        <w:t>. https://doi.org/10.1186/s13059-021-02336-9</w:t>
      </w:r>
    </w:p>
    <w:p w14:paraId="65DCEBFC" w14:textId="23D7D003" w:rsidR="001E2C9C" w:rsidRPr="001E2C9C" w:rsidRDefault="001E2C9C" w:rsidP="001E2C9C">
      <w:pPr>
        <w:spacing w:after="240" w:line="240" w:lineRule="auto"/>
        <w:ind w:firstLine="0"/>
        <w:rPr>
          <w:lang w:val="en-US"/>
        </w:rPr>
      </w:pPr>
      <w:r w:rsidRPr="001E2C9C">
        <w:rPr>
          <w:lang w:val="nb-NO"/>
        </w:rPr>
        <w:t xml:space="preserve">135. </w:t>
      </w:r>
      <w:proofErr w:type="spellStart"/>
      <w:r w:rsidRPr="001E2C9C">
        <w:rPr>
          <w:lang w:val="nb-NO"/>
        </w:rPr>
        <w:t>Uliano</w:t>
      </w:r>
      <w:proofErr w:type="spellEnd"/>
      <w:r w:rsidRPr="001E2C9C">
        <w:rPr>
          <w:lang w:val="nb-NO"/>
        </w:rPr>
        <w:t xml:space="preserve">-Silva M, Ferreira JGRN, </w:t>
      </w:r>
      <w:proofErr w:type="spellStart"/>
      <w:r w:rsidRPr="001E2C9C">
        <w:rPr>
          <w:lang w:val="nb-NO"/>
        </w:rPr>
        <w:t>Krasheninnikova</w:t>
      </w:r>
      <w:proofErr w:type="spellEnd"/>
      <w:r w:rsidRPr="001E2C9C">
        <w:rPr>
          <w:lang w:val="nb-NO"/>
        </w:rPr>
        <w:t xml:space="preserve"> K, </w:t>
      </w:r>
      <w:proofErr w:type="spellStart"/>
      <w:r w:rsidRPr="001E2C9C">
        <w:rPr>
          <w:lang w:val="nb-NO"/>
        </w:rPr>
        <w:t>Blaxter</w:t>
      </w:r>
      <w:proofErr w:type="spellEnd"/>
      <w:r w:rsidRPr="001E2C9C">
        <w:rPr>
          <w:lang w:val="nb-NO"/>
        </w:rPr>
        <w:t xml:space="preserve"> M, </w:t>
      </w:r>
      <w:proofErr w:type="spellStart"/>
      <w:r w:rsidRPr="001E2C9C">
        <w:rPr>
          <w:lang w:val="nb-NO"/>
        </w:rPr>
        <w:t>Mieszkowska</w:t>
      </w:r>
      <w:proofErr w:type="spellEnd"/>
      <w:r w:rsidRPr="001E2C9C">
        <w:rPr>
          <w:lang w:val="nb-NO"/>
        </w:rPr>
        <w:t xml:space="preserve"> N, Hall N, et al. </w:t>
      </w:r>
      <w:proofErr w:type="spellStart"/>
      <w:r w:rsidRPr="001E2C9C">
        <w:rPr>
          <w:lang w:val="en-US"/>
        </w:rPr>
        <w:t>MitoHiFi</w:t>
      </w:r>
      <w:proofErr w:type="spellEnd"/>
      <w:r w:rsidRPr="001E2C9C">
        <w:rPr>
          <w:lang w:val="en-US"/>
        </w:rPr>
        <w:t xml:space="preserve">: a python pipeline for mitochondrial genome assembly from PacBio high fidelity reads. BMC Bioinformatics. </w:t>
      </w:r>
      <w:proofErr w:type="gramStart"/>
      <w:r w:rsidRPr="001E2C9C">
        <w:rPr>
          <w:lang w:val="en-US"/>
        </w:rPr>
        <w:t>2023;24:288</w:t>
      </w:r>
      <w:proofErr w:type="gramEnd"/>
      <w:r w:rsidRPr="001E2C9C">
        <w:rPr>
          <w:lang w:val="en-US"/>
        </w:rPr>
        <w:t>. https://doi.org/10.1186/s12859-023-05385-y</w:t>
      </w:r>
    </w:p>
    <w:p w14:paraId="3A1D7097" w14:textId="77777777" w:rsidR="0059779C" w:rsidRPr="0059779C" w:rsidRDefault="0059779C" w:rsidP="0059779C">
      <w:pPr>
        <w:spacing w:after="240" w:line="240" w:lineRule="auto"/>
        <w:ind w:firstLine="0"/>
        <w:rPr>
          <w:lang w:val="en-US"/>
        </w:rPr>
      </w:pPr>
      <w:r w:rsidRPr="0059779C">
        <w:rPr>
          <w:lang w:val="en-US"/>
        </w:rPr>
        <w:t>195. Han Z, Liu M, Liu Q, Zhai H, Xiao S, Gao T. Chromosome-level genome assembly of burbot (</w:t>
      </w:r>
      <w:r w:rsidRPr="0059779C">
        <w:rPr>
          <w:i/>
          <w:iCs/>
          <w:lang w:val="en-US"/>
        </w:rPr>
        <w:t>Lota lota</w:t>
      </w:r>
      <w:r w:rsidRPr="0059779C">
        <w:rPr>
          <w:lang w:val="en-US"/>
        </w:rPr>
        <w:t xml:space="preserve">) provides insights into the evolutionary adaptations in freshwater. Mol </w:t>
      </w:r>
      <w:proofErr w:type="spellStart"/>
      <w:r w:rsidRPr="0059779C">
        <w:rPr>
          <w:lang w:val="en-US"/>
        </w:rPr>
        <w:t>Ecol</w:t>
      </w:r>
      <w:proofErr w:type="spellEnd"/>
      <w:r w:rsidRPr="0059779C">
        <w:rPr>
          <w:lang w:val="en-US"/>
        </w:rPr>
        <w:t xml:space="preserve"> </w:t>
      </w:r>
      <w:proofErr w:type="spellStart"/>
      <w:r w:rsidRPr="0059779C">
        <w:rPr>
          <w:lang w:val="en-US"/>
        </w:rPr>
        <w:t>Resour</w:t>
      </w:r>
      <w:proofErr w:type="spellEnd"/>
      <w:r w:rsidRPr="0059779C">
        <w:rPr>
          <w:lang w:val="en-US"/>
        </w:rPr>
        <w:t xml:space="preserve">. </w:t>
      </w:r>
      <w:proofErr w:type="gramStart"/>
      <w:r w:rsidRPr="0059779C">
        <w:rPr>
          <w:lang w:val="en-US"/>
        </w:rPr>
        <w:t>2021;21:2022</w:t>
      </w:r>
      <w:proofErr w:type="gramEnd"/>
      <w:r w:rsidRPr="0059779C">
        <w:rPr>
          <w:lang w:val="en-US"/>
        </w:rPr>
        <w:t>–33. https://doi.org/10.1111/1755-0998.13382</w:t>
      </w:r>
    </w:p>
    <w:p w14:paraId="167523CE" w14:textId="77777777" w:rsidR="0059779C" w:rsidRPr="0059779C" w:rsidRDefault="0059779C" w:rsidP="0059779C">
      <w:pPr>
        <w:spacing w:after="240" w:line="240" w:lineRule="auto"/>
        <w:ind w:firstLine="0"/>
        <w:rPr>
          <w:lang w:val="nb-NO"/>
        </w:rPr>
      </w:pPr>
      <w:r w:rsidRPr="0059779C">
        <w:rPr>
          <w:lang w:val="en-US"/>
        </w:rPr>
        <w:t xml:space="preserve">196. Song D, Qian Y, Meng M, Dong X, </w:t>
      </w:r>
      <w:proofErr w:type="spellStart"/>
      <w:r w:rsidRPr="0059779C">
        <w:rPr>
          <w:lang w:val="en-US"/>
        </w:rPr>
        <w:t>Lv</w:t>
      </w:r>
      <w:proofErr w:type="spellEnd"/>
      <w:r w:rsidRPr="0059779C">
        <w:rPr>
          <w:lang w:val="en-US"/>
        </w:rPr>
        <w:t xml:space="preserve"> W, Huo T. Chromosome-Level genome assembly of the burbot (</w:t>
      </w:r>
      <w:r w:rsidRPr="0059779C">
        <w:rPr>
          <w:i/>
          <w:iCs/>
          <w:lang w:val="en-US"/>
        </w:rPr>
        <w:t>Lota lota</w:t>
      </w:r>
      <w:r w:rsidRPr="0059779C">
        <w:rPr>
          <w:lang w:val="en-US"/>
        </w:rPr>
        <w:t xml:space="preserve">) using nanopore and Hi-C technologies. </w:t>
      </w:r>
      <w:r w:rsidRPr="0059779C">
        <w:rPr>
          <w:lang w:val="nb-NO"/>
        </w:rPr>
        <w:t>Front Genet. 2021;12. https://doi.org/10.3389/fgene.2021.747552</w:t>
      </w:r>
    </w:p>
    <w:p w14:paraId="26EB4C3C" w14:textId="77777777" w:rsidR="0059779C" w:rsidRPr="0059779C" w:rsidRDefault="0059779C" w:rsidP="0059779C">
      <w:pPr>
        <w:spacing w:after="240" w:line="240" w:lineRule="auto"/>
        <w:ind w:firstLine="0"/>
        <w:rPr>
          <w:lang w:val="en-US"/>
        </w:rPr>
      </w:pPr>
      <w:r w:rsidRPr="0059779C">
        <w:rPr>
          <w:lang w:val="nb-NO"/>
        </w:rPr>
        <w:t xml:space="preserve">197. </w:t>
      </w:r>
      <w:proofErr w:type="spellStart"/>
      <w:r w:rsidRPr="0059779C">
        <w:rPr>
          <w:lang w:val="nb-NO"/>
        </w:rPr>
        <w:t>Khrunyk</w:t>
      </w:r>
      <w:proofErr w:type="spellEnd"/>
      <w:r w:rsidRPr="0059779C">
        <w:rPr>
          <w:lang w:val="nb-NO"/>
        </w:rPr>
        <w:t xml:space="preserve"> YY, </w:t>
      </w:r>
      <w:proofErr w:type="spellStart"/>
      <w:r w:rsidRPr="0059779C">
        <w:rPr>
          <w:lang w:val="nb-NO"/>
        </w:rPr>
        <w:t>Borodin</w:t>
      </w:r>
      <w:proofErr w:type="spellEnd"/>
      <w:r w:rsidRPr="0059779C">
        <w:rPr>
          <w:lang w:val="nb-NO"/>
        </w:rPr>
        <w:t xml:space="preserve"> AV, </w:t>
      </w:r>
      <w:proofErr w:type="spellStart"/>
      <w:r w:rsidRPr="0059779C">
        <w:rPr>
          <w:lang w:val="nb-NO"/>
        </w:rPr>
        <w:t>Semerikov</w:t>
      </w:r>
      <w:proofErr w:type="spellEnd"/>
      <w:r w:rsidRPr="0059779C">
        <w:rPr>
          <w:lang w:val="nb-NO"/>
        </w:rPr>
        <w:t xml:space="preserve"> VL, </w:t>
      </w:r>
      <w:proofErr w:type="spellStart"/>
      <w:r w:rsidRPr="0059779C">
        <w:rPr>
          <w:lang w:val="nb-NO"/>
        </w:rPr>
        <w:t>Yalkovskaya</w:t>
      </w:r>
      <w:proofErr w:type="spellEnd"/>
      <w:r w:rsidRPr="0059779C">
        <w:rPr>
          <w:lang w:val="nb-NO"/>
        </w:rPr>
        <w:t xml:space="preserve"> LE, </w:t>
      </w:r>
      <w:proofErr w:type="spellStart"/>
      <w:r w:rsidRPr="0059779C">
        <w:rPr>
          <w:lang w:val="nb-NO"/>
        </w:rPr>
        <w:t>Koporikov</w:t>
      </w:r>
      <w:proofErr w:type="spellEnd"/>
      <w:r w:rsidRPr="0059779C">
        <w:rPr>
          <w:lang w:val="nb-NO"/>
        </w:rPr>
        <w:t xml:space="preserve"> AR, </w:t>
      </w:r>
      <w:proofErr w:type="spellStart"/>
      <w:r w:rsidRPr="0059779C">
        <w:rPr>
          <w:lang w:val="nb-NO"/>
        </w:rPr>
        <w:t>Rakitin</w:t>
      </w:r>
      <w:proofErr w:type="spellEnd"/>
      <w:r w:rsidRPr="0059779C">
        <w:rPr>
          <w:lang w:val="nb-NO"/>
        </w:rPr>
        <w:t xml:space="preserve"> SB, et al. </w:t>
      </w:r>
      <w:r w:rsidRPr="0059779C">
        <w:rPr>
          <w:lang w:val="en-US"/>
        </w:rPr>
        <w:t>First data on genetic diversity of burbot (</w:t>
      </w:r>
      <w:r w:rsidRPr="0059779C">
        <w:rPr>
          <w:i/>
          <w:iCs/>
          <w:lang w:val="en-US"/>
        </w:rPr>
        <w:t xml:space="preserve">Lota </w:t>
      </w:r>
      <w:proofErr w:type="spellStart"/>
      <w:r w:rsidRPr="0059779C">
        <w:rPr>
          <w:i/>
          <w:iCs/>
          <w:lang w:val="en-US"/>
        </w:rPr>
        <w:t>lota</w:t>
      </w:r>
      <w:proofErr w:type="spellEnd"/>
      <w:r w:rsidRPr="0059779C">
        <w:rPr>
          <w:i/>
          <w:iCs/>
          <w:lang w:val="en-US"/>
        </w:rPr>
        <w:t xml:space="preserve"> L</w:t>
      </w:r>
      <w:r w:rsidRPr="0059779C">
        <w:rPr>
          <w:lang w:val="en-US"/>
        </w:rPr>
        <w:t xml:space="preserve">.) in the Western Siberian. </w:t>
      </w:r>
      <w:proofErr w:type="spellStart"/>
      <w:r w:rsidRPr="0059779C">
        <w:rPr>
          <w:lang w:val="en-US"/>
        </w:rPr>
        <w:t>Dokl</w:t>
      </w:r>
      <w:proofErr w:type="spellEnd"/>
      <w:r w:rsidRPr="0059779C">
        <w:rPr>
          <w:lang w:val="en-US"/>
        </w:rPr>
        <w:t xml:space="preserve"> </w:t>
      </w:r>
      <w:proofErr w:type="spellStart"/>
      <w:r w:rsidRPr="0059779C">
        <w:rPr>
          <w:lang w:val="en-US"/>
        </w:rPr>
        <w:t>Biochem</w:t>
      </w:r>
      <w:proofErr w:type="spellEnd"/>
      <w:r w:rsidRPr="0059779C">
        <w:rPr>
          <w:lang w:val="en-US"/>
        </w:rPr>
        <w:t xml:space="preserve"> Biophys. </w:t>
      </w:r>
      <w:proofErr w:type="gramStart"/>
      <w:r w:rsidRPr="0059779C">
        <w:rPr>
          <w:lang w:val="en-US"/>
        </w:rPr>
        <w:t>2015;463:255</w:t>
      </w:r>
      <w:proofErr w:type="gramEnd"/>
      <w:r w:rsidRPr="0059779C">
        <w:rPr>
          <w:lang w:val="en-US"/>
        </w:rPr>
        <w:t>–8. https://doi.org/10.1134/S160767291504016X</w:t>
      </w:r>
    </w:p>
    <w:p w14:paraId="33CE785C" w14:textId="2953C447" w:rsidR="0059779C" w:rsidRPr="0092172F" w:rsidRDefault="0059779C" w:rsidP="001E2C9C">
      <w:pPr>
        <w:spacing w:after="240" w:line="240" w:lineRule="auto"/>
        <w:ind w:firstLine="0"/>
        <w:rPr>
          <w:lang w:val="en-US"/>
        </w:rPr>
      </w:pPr>
      <w:r w:rsidRPr="0059779C">
        <w:rPr>
          <w:lang w:val="en-US"/>
        </w:rPr>
        <w:t xml:space="preserve">198. Pálsson S, Paulsen J, Árnason E. Rapid evolution of the Intergenic T–P spacer in the mtDNA of Arctic cod </w:t>
      </w:r>
      <w:proofErr w:type="spellStart"/>
      <w:r w:rsidRPr="0059779C">
        <w:rPr>
          <w:i/>
          <w:iCs/>
          <w:lang w:val="en-US"/>
        </w:rPr>
        <w:t>Arctogadus</w:t>
      </w:r>
      <w:proofErr w:type="spellEnd"/>
      <w:r w:rsidRPr="0059779C">
        <w:rPr>
          <w:i/>
          <w:iCs/>
          <w:lang w:val="en-US"/>
        </w:rPr>
        <w:t xml:space="preserve"> glacialis</w:t>
      </w:r>
      <w:r w:rsidRPr="0059779C">
        <w:rPr>
          <w:lang w:val="en-US"/>
        </w:rPr>
        <w:t xml:space="preserve">. Mar </w:t>
      </w:r>
      <w:proofErr w:type="spellStart"/>
      <w:r w:rsidRPr="0059779C">
        <w:rPr>
          <w:lang w:val="en-US"/>
        </w:rPr>
        <w:t>Biotechnol</w:t>
      </w:r>
      <w:proofErr w:type="spellEnd"/>
      <w:r w:rsidRPr="0059779C">
        <w:rPr>
          <w:lang w:val="en-US"/>
        </w:rPr>
        <w:t xml:space="preserve">. </w:t>
      </w:r>
      <w:proofErr w:type="gramStart"/>
      <w:r w:rsidRPr="0059779C">
        <w:rPr>
          <w:lang w:val="en-US"/>
        </w:rPr>
        <w:t>2008;10:270</w:t>
      </w:r>
      <w:proofErr w:type="gramEnd"/>
      <w:r w:rsidRPr="0059779C">
        <w:rPr>
          <w:lang w:val="en-US"/>
        </w:rPr>
        <w:t>–7. https://doi.org/10.1007/s10126-007-9058-5</w:t>
      </w:r>
    </w:p>
    <w:sectPr w:rsidR="0059779C" w:rsidRPr="009217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50F"/>
    <w:rsid w:val="00021C1D"/>
    <w:rsid w:val="000E0A68"/>
    <w:rsid w:val="001C5830"/>
    <w:rsid w:val="001E2C9C"/>
    <w:rsid w:val="00395BA2"/>
    <w:rsid w:val="00452D96"/>
    <w:rsid w:val="00580E27"/>
    <w:rsid w:val="0059779C"/>
    <w:rsid w:val="007764C2"/>
    <w:rsid w:val="00833B4A"/>
    <w:rsid w:val="0092172F"/>
    <w:rsid w:val="009B720C"/>
    <w:rsid w:val="00A22BEF"/>
    <w:rsid w:val="00AC350F"/>
    <w:rsid w:val="00AD1F25"/>
    <w:rsid w:val="00D33A2B"/>
    <w:rsid w:val="00DC3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387BDB"/>
  <w15:chartTrackingRefBased/>
  <w15:docId w15:val="{38906012-59A0-5346-91E8-3BBF44DB7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72F"/>
    <w:pPr>
      <w:spacing w:after="0" w:line="360" w:lineRule="auto"/>
      <w:ind w:firstLine="720"/>
      <w:jc w:val="both"/>
    </w:pPr>
    <w:rPr>
      <w:rFonts w:ascii="Palatino Linotype" w:eastAsia="Palatino Linotype" w:hAnsi="Palatino Linotype" w:cs="Palatino Linotype"/>
      <w:kern w:val="0"/>
      <w:lang w:val="en"/>
      <w14:ligatures w14:val="none"/>
    </w:rPr>
  </w:style>
  <w:style w:type="paragraph" w:styleId="Heading1">
    <w:name w:val="heading 1"/>
    <w:basedOn w:val="Normal"/>
    <w:next w:val="Normal"/>
    <w:link w:val="Heading1Char"/>
    <w:uiPriority w:val="9"/>
    <w:qFormat/>
    <w:rsid w:val="00DC350F"/>
    <w:pPr>
      <w:keepNext/>
      <w:keepLines/>
      <w:spacing w:before="360" w:after="80" w:line="278" w:lineRule="auto"/>
      <w:ind w:firstLine="0"/>
      <w:jc w:val="left"/>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DC350F"/>
    <w:pPr>
      <w:keepNext/>
      <w:keepLines/>
      <w:spacing w:before="160" w:after="80" w:line="278" w:lineRule="auto"/>
      <w:ind w:firstLine="0"/>
      <w:jc w:val="left"/>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DC350F"/>
    <w:pPr>
      <w:keepNext/>
      <w:keepLines/>
      <w:spacing w:before="160" w:after="80" w:line="278" w:lineRule="auto"/>
      <w:ind w:firstLine="0"/>
      <w:jc w:val="left"/>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DC350F"/>
    <w:pPr>
      <w:keepNext/>
      <w:keepLines/>
      <w:spacing w:before="80" w:after="40" w:line="278" w:lineRule="auto"/>
      <w:ind w:firstLine="0"/>
      <w:jc w:val="left"/>
      <w:outlineLvl w:val="3"/>
    </w:pPr>
    <w:rPr>
      <w:rFonts w:asciiTheme="minorHAnsi" w:eastAsiaTheme="majorEastAsia" w:hAnsiTheme="minorHAnsi"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DC350F"/>
    <w:pPr>
      <w:keepNext/>
      <w:keepLines/>
      <w:spacing w:before="80" w:after="40" w:line="278" w:lineRule="auto"/>
      <w:ind w:firstLine="0"/>
      <w:jc w:val="left"/>
      <w:outlineLvl w:val="4"/>
    </w:pPr>
    <w:rPr>
      <w:rFonts w:asciiTheme="minorHAnsi" w:eastAsiaTheme="majorEastAsia" w:hAnsiTheme="minorHAnsi"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DC350F"/>
    <w:pPr>
      <w:keepNext/>
      <w:keepLines/>
      <w:spacing w:before="40" w:line="278" w:lineRule="auto"/>
      <w:ind w:firstLine="0"/>
      <w:jc w:val="left"/>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DC350F"/>
    <w:pPr>
      <w:keepNext/>
      <w:keepLines/>
      <w:spacing w:before="40" w:line="278" w:lineRule="auto"/>
      <w:ind w:firstLine="0"/>
      <w:jc w:val="left"/>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DC350F"/>
    <w:pPr>
      <w:keepNext/>
      <w:keepLines/>
      <w:spacing w:line="278" w:lineRule="auto"/>
      <w:ind w:firstLine="0"/>
      <w:jc w:val="left"/>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DC350F"/>
    <w:pPr>
      <w:keepNext/>
      <w:keepLines/>
      <w:spacing w:line="278" w:lineRule="auto"/>
      <w:ind w:firstLine="0"/>
      <w:jc w:val="left"/>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5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35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35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35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35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35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35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35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350F"/>
    <w:rPr>
      <w:rFonts w:eastAsiaTheme="majorEastAsia" w:cstheme="majorBidi"/>
      <w:color w:val="272727" w:themeColor="text1" w:themeTint="D8"/>
    </w:rPr>
  </w:style>
  <w:style w:type="paragraph" w:styleId="Title">
    <w:name w:val="Title"/>
    <w:basedOn w:val="Normal"/>
    <w:next w:val="Normal"/>
    <w:link w:val="TitleChar"/>
    <w:uiPriority w:val="10"/>
    <w:qFormat/>
    <w:rsid w:val="00DC350F"/>
    <w:pPr>
      <w:spacing w:after="80" w:line="240" w:lineRule="auto"/>
      <w:ind w:firstLine="0"/>
      <w:contextualSpacing/>
      <w:jc w:val="left"/>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DC35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350F"/>
    <w:pPr>
      <w:numPr>
        <w:ilvl w:val="1"/>
      </w:numPr>
      <w:spacing w:after="160" w:line="278" w:lineRule="auto"/>
      <w:ind w:firstLine="720"/>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DC35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350F"/>
    <w:pPr>
      <w:spacing w:before="160" w:after="160" w:line="278" w:lineRule="auto"/>
      <w:ind w:firstLine="0"/>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DC350F"/>
    <w:rPr>
      <w:i/>
      <w:iCs/>
      <w:color w:val="404040" w:themeColor="text1" w:themeTint="BF"/>
    </w:rPr>
  </w:style>
  <w:style w:type="paragraph" w:styleId="ListParagraph">
    <w:name w:val="List Paragraph"/>
    <w:basedOn w:val="Normal"/>
    <w:uiPriority w:val="34"/>
    <w:qFormat/>
    <w:rsid w:val="00DC350F"/>
    <w:pPr>
      <w:spacing w:after="160" w:line="278" w:lineRule="auto"/>
      <w:ind w:left="720" w:firstLine="0"/>
      <w:contextualSpacing/>
      <w:jc w:val="left"/>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DC350F"/>
    <w:rPr>
      <w:i/>
      <w:iCs/>
      <w:color w:val="0F4761" w:themeColor="accent1" w:themeShade="BF"/>
    </w:rPr>
  </w:style>
  <w:style w:type="paragraph" w:styleId="IntenseQuote">
    <w:name w:val="Intense Quote"/>
    <w:basedOn w:val="Normal"/>
    <w:next w:val="Normal"/>
    <w:link w:val="IntenseQuoteChar"/>
    <w:uiPriority w:val="30"/>
    <w:qFormat/>
    <w:rsid w:val="00DC350F"/>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DC350F"/>
    <w:rPr>
      <w:i/>
      <w:iCs/>
      <w:color w:val="0F4761" w:themeColor="accent1" w:themeShade="BF"/>
    </w:rPr>
  </w:style>
  <w:style w:type="character" w:styleId="IntenseReference">
    <w:name w:val="Intense Reference"/>
    <w:basedOn w:val="DefaultParagraphFont"/>
    <w:uiPriority w:val="32"/>
    <w:qFormat/>
    <w:rsid w:val="00DC350F"/>
    <w:rPr>
      <w:b/>
      <w:bCs/>
      <w:smallCaps/>
      <w:color w:val="0F4761" w:themeColor="accent1" w:themeShade="BF"/>
      <w:spacing w:val="5"/>
    </w:rPr>
  </w:style>
  <w:style w:type="paragraph" w:styleId="Bibliography">
    <w:name w:val="Bibliography"/>
    <w:basedOn w:val="Normal"/>
    <w:next w:val="Normal"/>
    <w:uiPriority w:val="37"/>
    <w:semiHidden/>
    <w:unhideWhenUsed/>
    <w:rsid w:val="005977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3473</Words>
  <Characters>19802</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 Nam Khang Hoff</dc:creator>
  <cp:keywords/>
  <dc:description/>
  <cp:lastModifiedBy>Siv Nam Khang Hoff</cp:lastModifiedBy>
  <cp:revision>6</cp:revision>
  <dcterms:created xsi:type="dcterms:W3CDTF">2026-01-12T14:44:00Z</dcterms:created>
  <dcterms:modified xsi:type="dcterms:W3CDTF">2026-02-06T15:28:00Z</dcterms:modified>
</cp:coreProperties>
</file>