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F391" w14:textId="205B9966" w:rsidR="00B77D38" w:rsidRPr="00B77D38" w:rsidRDefault="00B77D38" w:rsidP="00B77D38">
      <w:r w:rsidRPr="00B77D38">
        <w:rPr>
          <w:noProof/>
        </w:rPr>
        <w:drawing>
          <wp:inline distT="0" distB="0" distL="0" distR="0" wp14:anchorId="5BB18C0F" wp14:editId="4DC587B7">
            <wp:extent cx="5730684" cy="6446520"/>
            <wp:effectExtent l="0" t="0" r="3810" b="0"/>
            <wp:docPr id="4308329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3" b="7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89384" w14:textId="5F8CE5B0" w:rsidR="00446E51" w:rsidRDefault="002306A1" w:rsidP="00C74AD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74AD6">
        <w:rPr>
          <w:rFonts w:ascii="Arial" w:hAnsi="Arial" w:cs="Arial" w:hint="eastAsia"/>
          <w:b/>
          <w:bCs/>
          <w:color w:val="000000" w:themeColor="text1"/>
        </w:rPr>
        <w:t>Fig</w:t>
      </w:r>
      <w:r w:rsidR="00446E51" w:rsidRPr="00C74AD6">
        <w:rPr>
          <w:rFonts w:ascii="Arial" w:hAnsi="Arial" w:cs="Arial" w:hint="eastAsia"/>
          <w:b/>
          <w:bCs/>
          <w:color w:val="000000" w:themeColor="text1"/>
        </w:rPr>
        <w:t xml:space="preserve"> S1.</w:t>
      </w:r>
      <w:r w:rsidR="00446E51">
        <w:rPr>
          <w:rFonts w:ascii="Arial" w:hAnsi="Arial" w:cs="Arial" w:hint="eastAsia"/>
          <w:color w:val="000000" w:themeColor="text1"/>
        </w:rPr>
        <w:t xml:space="preserve"> </w:t>
      </w:r>
      <w:r w:rsidR="004179E0">
        <w:rPr>
          <w:rFonts w:ascii="Arial" w:hAnsi="Arial" w:cs="Arial" w:hint="eastAsia"/>
          <w:color w:val="000000" w:themeColor="text1"/>
        </w:rPr>
        <w:t>Characterization of primary neutrophils and differentiated neutrophil-like cells</w:t>
      </w:r>
      <w:r w:rsidR="00C74AD6">
        <w:rPr>
          <w:rFonts w:ascii="Arial" w:hAnsi="Arial" w:cs="Arial" w:hint="eastAsia"/>
          <w:color w:val="000000" w:themeColor="text1"/>
        </w:rPr>
        <w:t xml:space="preserve">. </w:t>
      </w:r>
      <w:r w:rsidR="00B12AE6" w:rsidRPr="00B97687">
        <w:rPr>
          <w:rFonts w:ascii="Arial" w:hAnsi="Arial" w:cs="Arial"/>
          <w:color w:val="000000" w:themeColor="text1"/>
        </w:rPr>
        <w:t>A) Venn diagram of protein IDs quantified in three independent NLC proteome analys</w:t>
      </w:r>
      <w:r w:rsidR="005A0BA0">
        <w:rPr>
          <w:rFonts w:ascii="Arial" w:hAnsi="Arial" w:cs="Arial" w:hint="eastAsia"/>
          <w:color w:val="000000" w:themeColor="text1"/>
        </w:rPr>
        <w:t>e</w:t>
      </w:r>
      <w:r w:rsidR="00B12AE6" w:rsidRPr="00B97687">
        <w:rPr>
          <w:rFonts w:ascii="Arial" w:hAnsi="Arial" w:cs="Arial"/>
          <w:color w:val="000000" w:themeColor="text1"/>
        </w:rPr>
        <w:t xml:space="preserve">s. B) Pearson correlation coefficients for protein quantifications of three independent NLC proteome analysis. Color </w:t>
      </w:r>
      <w:proofErr w:type="gramStart"/>
      <w:r w:rsidR="00B12AE6" w:rsidRPr="00B97687">
        <w:rPr>
          <w:rFonts w:ascii="Arial" w:hAnsi="Arial" w:cs="Arial"/>
          <w:color w:val="000000" w:themeColor="text1"/>
        </w:rPr>
        <w:t>bar represents</w:t>
      </w:r>
      <w:proofErr w:type="gramEnd"/>
      <w:r w:rsidR="00B12AE6" w:rsidRPr="00B97687">
        <w:rPr>
          <w:rFonts w:ascii="Arial" w:hAnsi="Arial" w:cs="Arial"/>
          <w:color w:val="000000" w:themeColor="text1"/>
        </w:rPr>
        <w:t xml:space="preserve"> </w:t>
      </w:r>
      <w:r w:rsidR="00B12AE6" w:rsidRPr="00B97687">
        <w:rPr>
          <w:rFonts w:ascii="Arial" w:hAnsi="Arial" w:cs="Arial" w:hint="eastAsia"/>
          <w:color w:val="000000" w:themeColor="text1"/>
        </w:rPr>
        <w:t xml:space="preserve">coefficient </w:t>
      </w:r>
      <w:r w:rsidR="00B12AE6" w:rsidRPr="00B97687">
        <w:rPr>
          <w:rFonts w:ascii="Arial" w:hAnsi="Arial" w:cs="Arial"/>
          <w:color w:val="000000" w:themeColor="text1"/>
        </w:rPr>
        <w:t xml:space="preserve">values from 0 to 1. C) </w:t>
      </w:r>
      <w:r w:rsidR="0042565A">
        <w:rPr>
          <w:rFonts w:ascii="Arial" w:hAnsi="Arial" w:cs="Arial" w:hint="eastAsia"/>
          <w:color w:val="000000" w:themeColor="text1"/>
        </w:rPr>
        <w:t>STRING</w:t>
      </w:r>
      <w:r w:rsidR="00B12AE6" w:rsidRPr="00B97687">
        <w:rPr>
          <w:rFonts w:ascii="Arial" w:hAnsi="Arial" w:cs="Arial"/>
          <w:color w:val="000000" w:themeColor="text1"/>
        </w:rPr>
        <w:t xml:space="preserve"> network of 10 top highly abundant proteins in neutrophils versus NLCs. D) </w:t>
      </w:r>
      <w:r w:rsidR="0042565A">
        <w:rPr>
          <w:rFonts w:ascii="Arial" w:hAnsi="Arial" w:cs="Arial" w:hint="eastAsia"/>
          <w:color w:val="000000" w:themeColor="text1"/>
        </w:rPr>
        <w:t>STRING</w:t>
      </w:r>
      <w:r w:rsidR="0042565A" w:rsidRPr="00B97687">
        <w:rPr>
          <w:rFonts w:ascii="Arial" w:hAnsi="Arial" w:cs="Arial"/>
          <w:color w:val="000000" w:themeColor="text1"/>
        </w:rPr>
        <w:t xml:space="preserve"> </w:t>
      </w:r>
      <w:r w:rsidR="00B12AE6" w:rsidRPr="00B97687">
        <w:rPr>
          <w:rFonts w:ascii="Arial" w:hAnsi="Arial" w:cs="Arial"/>
          <w:color w:val="000000" w:themeColor="text1"/>
        </w:rPr>
        <w:t>network of 144 proteins uniquely quantified in NLCs and neutrophils. Proteins with specific functions are highlighted: neutrophil degranulation (magenta), innate immune system (blue), and neutrophil activation surface markers (yellow). E) Flow cytometry analysis of CD15 and CD45 staining in HL-60 cells and NLCs. Bar plot represents CD15</w:t>
      </w:r>
      <w:r w:rsidR="00B12AE6" w:rsidRPr="00B97687">
        <w:rPr>
          <w:rFonts w:ascii="Arial" w:hAnsi="Arial" w:cs="Arial"/>
          <w:color w:val="000000" w:themeColor="text1"/>
          <w:vertAlign w:val="superscript"/>
        </w:rPr>
        <w:t>+</w:t>
      </w:r>
      <w:r w:rsidR="00B12AE6" w:rsidRPr="00B97687">
        <w:rPr>
          <w:rFonts w:ascii="Arial" w:hAnsi="Arial" w:cs="Arial"/>
          <w:color w:val="000000" w:themeColor="text1"/>
        </w:rPr>
        <w:t xml:space="preserve"> and CD45</w:t>
      </w:r>
      <w:r w:rsidR="00B12AE6" w:rsidRPr="00B97687">
        <w:rPr>
          <w:rFonts w:ascii="Arial" w:hAnsi="Arial" w:cs="Arial"/>
          <w:color w:val="000000" w:themeColor="text1"/>
          <w:vertAlign w:val="superscript"/>
        </w:rPr>
        <w:t>+</w:t>
      </w:r>
      <w:r w:rsidR="00B12AE6" w:rsidRPr="00B97687">
        <w:rPr>
          <w:rFonts w:ascii="Arial" w:hAnsi="Arial" w:cs="Arial"/>
          <w:color w:val="000000" w:themeColor="text1"/>
        </w:rPr>
        <w:t xml:space="preserve"> cell population from gated live cells.</w:t>
      </w:r>
      <w:r w:rsidR="00446E51">
        <w:rPr>
          <w:rFonts w:ascii="Arial" w:hAnsi="Arial" w:cs="Arial"/>
          <w:color w:val="000000" w:themeColor="text1"/>
        </w:rPr>
        <w:br w:type="page"/>
      </w:r>
    </w:p>
    <w:p w14:paraId="35DCB99F" w14:textId="5F41C2CC" w:rsidR="00172A17" w:rsidRPr="00172A17" w:rsidRDefault="00172A17" w:rsidP="00172A17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172A1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7E2E0F3" wp14:editId="6688A4FA">
            <wp:extent cx="5731116" cy="4466492"/>
            <wp:effectExtent l="0" t="0" r="3175" b="0"/>
            <wp:docPr id="4005652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8" b="3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F3795" w14:textId="1BB8E716" w:rsidR="00B12AE6" w:rsidRDefault="00C74AD6" w:rsidP="00C74AD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756B3D">
        <w:rPr>
          <w:rFonts w:ascii="Arial" w:hAnsi="Arial" w:cs="Arial" w:hint="eastAsia"/>
          <w:b/>
          <w:bCs/>
          <w:color w:val="000000" w:themeColor="text1"/>
        </w:rPr>
        <w:t>Fig S2.</w:t>
      </w:r>
      <w:r>
        <w:rPr>
          <w:rFonts w:ascii="Arial" w:hAnsi="Arial" w:cs="Arial" w:hint="eastAsia"/>
          <w:color w:val="000000" w:themeColor="text1"/>
        </w:rPr>
        <w:t xml:space="preserve"> </w:t>
      </w:r>
      <w:r w:rsidR="0095473A">
        <w:rPr>
          <w:rFonts w:ascii="Arial" w:hAnsi="Arial" w:cs="Arial" w:hint="eastAsia"/>
          <w:color w:val="000000" w:themeColor="text1"/>
        </w:rPr>
        <w:t xml:space="preserve">Effects of glucocorticoids </w:t>
      </w:r>
      <w:r w:rsidR="00AD6CC6">
        <w:rPr>
          <w:rFonts w:ascii="Arial" w:hAnsi="Arial" w:cs="Arial" w:hint="eastAsia"/>
          <w:color w:val="000000" w:themeColor="text1"/>
        </w:rPr>
        <w:t>on</w:t>
      </w:r>
      <w:r w:rsidR="00180510">
        <w:rPr>
          <w:rFonts w:ascii="Arial" w:hAnsi="Arial" w:cs="Arial" w:hint="eastAsia"/>
          <w:color w:val="000000" w:themeColor="text1"/>
        </w:rPr>
        <w:t xml:space="preserve"> </w:t>
      </w:r>
      <w:r w:rsidR="00570883">
        <w:rPr>
          <w:rFonts w:ascii="Arial" w:hAnsi="Arial" w:cs="Arial" w:hint="eastAsia"/>
          <w:color w:val="000000" w:themeColor="text1"/>
        </w:rPr>
        <w:t xml:space="preserve">neutrophil-like cells. </w:t>
      </w:r>
      <w:r w:rsidR="00B12AE6" w:rsidRPr="00B97687">
        <w:rPr>
          <w:rFonts w:ascii="Arial" w:hAnsi="Arial" w:cs="Arial"/>
          <w:color w:val="000000" w:themeColor="text1"/>
        </w:rPr>
        <w:t>A) GR mRNA levels represented as normalized transcript per million (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nTPM</w:t>
      </w:r>
      <w:proofErr w:type="spellEnd"/>
      <w:r w:rsidR="00B12AE6" w:rsidRPr="00B97687">
        <w:rPr>
          <w:rFonts w:ascii="Arial" w:hAnsi="Arial" w:cs="Arial"/>
          <w:color w:val="000000" w:themeColor="text1"/>
        </w:rPr>
        <w:t>) in human tissues. RNA-seq data was acquired from the Human Protein Atlas (HPA).  B) Apoptosis assay of NLCs after 24</w:t>
      </w:r>
      <w:r w:rsidR="0085557D">
        <w:rPr>
          <w:rFonts w:ascii="Arial" w:hAnsi="Arial" w:cs="Arial" w:hint="eastAsia"/>
          <w:color w:val="000000" w:themeColor="text1"/>
        </w:rPr>
        <w:t>-</w:t>
      </w:r>
      <w:r w:rsidR="00B12AE6" w:rsidRPr="00B97687">
        <w:rPr>
          <w:rFonts w:ascii="Arial" w:hAnsi="Arial" w:cs="Arial"/>
          <w:color w:val="000000" w:themeColor="text1"/>
        </w:rPr>
        <w:t xml:space="preserve">hour treatment of DEX </w:t>
      </w:r>
      <w:r w:rsidR="0085557D">
        <w:rPr>
          <w:rFonts w:ascii="Arial" w:hAnsi="Arial" w:cs="Arial" w:hint="eastAsia"/>
          <w:color w:val="000000" w:themeColor="text1"/>
        </w:rPr>
        <w:t>or</w:t>
      </w:r>
      <w:r w:rsidR="00B12AE6" w:rsidRPr="00B97687">
        <w:rPr>
          <w:rFonts w:ascii="Arial" w:hAnsi="Arial" w:cs="Arial"/>
          <w:color w:val="000000" w:themeColor="text1"/>
        </w:rPr>
        <w:t xml:space="preserve"> PRED. Cells were stained with propidium iodide and annexin V, then analyzed with flow cytometry. Bar plot represents live, early apoptosis, and late apoptosis cell populations from gated live cells. C-D)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GR phosphorylation at Thr-8 and </w:t>
      </w:r>
      <w:r w:rsidR="00CF2D49">
        <w:rPr>
          <w:rFonts w:ascii="Arial" w:hAnsi="Arial" w:cs="Arial" w:hint="eastAsia"/>
          <w:color w:val="000000" w:themeColor="text1"/>
        </w:rPr>
        <w:t>pan-protein level</w:t>
      </w:r>
      <w:r w:rsidR="00B12AE6" w:rsidRPr="00B97687">
        <w:rPr>
          <w:rFonts w:ascii="Arial" w:hAnsi="Arial" w:cs="Arial"/>
          <w:color w:val="000000" w:themeColor="text1"/>
        </w:rPr>
        <w:t xml:space="preserve"> after DEX (C) </w:t>
      </w:r>
      <w:r w:rsidR="00CF2D49">
        <w:rPr>
          <w:rFonts w:ascii="Arial" w:hAnsi="Arial" w:cs="Arial" w:hint="eastAsia"/>
          <w:color w:val="000000" w:themeColor="text1"/>
        </w:rPr>
        <w:t>or</w:t>
      </w:r>
      <w:r w:rsidR="00B12AE6" w:rsidRPr="00B97687">
        <w:rPr>
          <w:rFonts w:ascii="Arial" w:hAnsi="Arial" w:cs="Arial"/>
          <w:color w:val="000000" w:themeColor="text1"/>
        </w:rPr>
        <w:t xml:space="preserve"> PRED (D) treatments in NLCs. E)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FKBP5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 xml:space="preserve"> after DEX </w:t>
      </w:r>
      <w:r w:rsidR="00CF2D49">
        <w:rPr>
          <w:rFonts w:ascii="Arial" w:hAnsi="Arial" w:cs="Arial" w:hint="eastAsia"/>
          <w:color w:val="000000" w:themeColor="text1"/>
        </w:rPr>
        <w:t>or</w:t>
      </w:r>
      <w:r w:rsidR="00B12AE6" w:rsidRPr="00B97687">
        <w:rPr>
          <w:rFonts w:ascii="Arial" w:hAnsi="Arial" w:cs="Arial"/>
          <w:color w:val="000000" w:themeColor="text1"/>
        </w:rPr>
        <w:t xml:space="preserve"> PRED treatments in NLCs. One-way ANOVA with Tukey's HSD correction was used.</w:t>
      </w:r>
      <w:r w:rsidR="00B8331C" w:rsidRPr="00B8331C">
        <w:rPr>
          <w:rFonts w:ascii="Arial" w:hAnsi="Arial" w:cs="Arial" w:hint="eastAsia"/>
          <w:color w:val="000000" w:themeColor="text1"/>
        </w:rPr>
        <w:t xml:space="preserve"> </w:t>
      </w:r>
      <w:r w:rsidR="00B8331C">
        <w:rPr>
          <w:rFonts w:ascii="Arial" w:hAnsi="Arial" w:cs="Arial" w:hint="eastAsia"/>
          <w:color w:val="000000" w:themeColor="text1"/>
        </w:rPr>
        <w:t>FC: fold-change.</w:t>
      </w:r>
    </w:p>
    <w:p w14:paraId="5965C0E8" w14:textId="77777777" w:rsidR="00172A17" w:rsidRPr="00B97687" w:rsidRDefault="00172A17" w:rsidP="00B12AE6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F70F85B" w14:textId="4C899CC0" w:rsidR="00172A17" w:rsidRPr="00172A17" w:rsidRDefault="00172A17" w:rsidP="00172A17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172A1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4C32AF04" wp14:editId="254E7493">
            <wp:extent cx="5731419" cy="5263661"/>
            <wp:effectExtent l="0" t="0" r="3175" b="0"/>
            <wp:docPr id="3677585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5" b="1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6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A3725" w14:textId="47F7F8FC" w:rsidR="00B12AE6" w:rsidRDefault="00756B3D" w:rsidP="00756B3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180510">
        <w:rPr>
          <w:rFonts w:ascii="Arial" w:hAnsi="Arial" w:cs="Arial" w:hint="eastAsia"/>
          <w:b/>
          <w:bCs/>
          <w:color w:val="000000" w:themeColor="text1"/>
        </w:rPr>
        <w:t>Fig S3.</w:t>
      </w:r>
      <w:r>
        <w:rPr>
          <w:rFonts w:ascii="Arial" w:hAnsi="Arial" w:cs="Arial" w:hint="eastAsia"/>
          <w:color w:val="000000" w:themeColor="text1"/>
        </w:rPr>
        <w:t xml:space="preserve"> </w:t>
      </w:r>
      <w:r w:rsidR="0021336B">
        <w:rPr>
          <w:rFonts w:ascii="Arial" w:hAnsi="Arial" w:cs="Arial" w:hint="eastAsia"/>
          <w:color w:val="000000" w:themeColor="text1"/>
        </w:rPr>
        <w:t xml:space="preserve">Proteomic regulation </w:t>
      </w:r>
      <w:r w:rsidR="003B2BBF">
        <w:rPr>
          <w:rFonts w:ascii="Arial" w:hAnsi="Arial" w:cs="Arial" w:hint="eastAsia"/>
          <w:color w:val="000000" w:themeColor="text1"/>
        </w:rPr>
        <w:t>induced by</w:t>
      </w:r>
      <w:r w:rsidR="0021336B">
        <w:rPr>
          <w:rFonts w:ascii="Arial" w:hAnsi="Arial" w:cs="Arial" w:hint="eastAsia"/>
          <w:color w:val="000000" w:themeColor="text1"/>
        </w:rPr>
        <w:t xml:space="preserve"> </w:t>
      </w:r>
      <w:r w:rsidR="00180510">
        <w:rPr>
          <w:rFonts w:ascii="Arial" w:hAnsi="Arial" w:cs="Arial" w:hint="eastAsia"/>
          <w:color w:val="000000" w:themeColor="text1"/>
        </w:rPr>
        <w:t xml:space="preserve">glucocorticoids in neutrophil-like cells. </w:t>
      </w:r>
      <w:r w:rsidR="00B12AE6" w:rsidRPr="00B97687">
        <w:rPr>
          <w:rFonts w:ascii="Arial" w:hAnsi="Arial" w:cs="Arial"/>
          <w:color w:val="000000" w:themeColor="text1"/>
        </w:rPr>
        <w:t xml:space="preserve">A) Soft clustering analysis with statistically significant proteins (adjusted </w:t>
      </w:r>
      <w:r w:rsidR="00B12AE6" w:rsidRPr="00B97687">
        <w:rPr>
          <w:rFonts w:ascii="Arial" w:hAnsi="Arial" w:cs="Arial"/>
          <w:i/>
          <w:iCs/>
          <w:color w:val="000000" w:themeColor="text1"/>
        </w:rPr>
        <w:t>p</w:t>
      </w:r>
      <w:r w:rsidR="00B12AE6" w:rsidRPr="00B97687">
        <w:rPr>
          <w:rFonts w:ascii="Arial" w:hAnsi="Arial" w:cs="Arial"/>
          <w:color w:val="000000" w:themeColor="text1"/>
        </w:rPr>
        <w:t xml:space="preserve">-value &lt; 0.05, one-way ANOVA with Tukey's HSD correction) after PRED treatment in NLCs.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Mfuzz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clustering package was used with fuzzification factor </w:t>
      </w:r>
      <w:r w:rsidR="00B12AE6" w:rsidRPr="00B97687">
        <w:rPr>
          <w:rFonts w:ascii="Arial" w:hAnsi="Arial" w:cs="Arial"/>
          <w:i/>
          <w:iCs/>
          <w:color w:val="000000" w:themeColor="text1"/>
        </w:rPr>
        <w:t xml:space="preserve">m </w:t>
      </w:r>
      <w:r w:rsidR="00B12AE6" w:rsidRPr="00B97687">
        <w:rPr>
          <w:rFonts w:ascii="Arial" w:hAnsi="Arial" w:cs="Arial"/>
          <w:color w:val="000000" w:themeColor="text1"/>
        </w:rPr>
        <w:t>=</w:t>
      </w:r>
      <w:r w:rsidR="00B12AE6" w:rsidRPr="00B97687">
        <w:rPr>
          <w:rFonts w:ascii="Arial" w:hAnsi="Arial" w:cs="Arial"/>
          <w:i/>
          <w:iCs/>
          <w:color w:val="000000" w:themeColor="text1"/>
        </w:rPr>
        <w:t xml:space="preserve"> </w:t>
      </w:r>
      <w:r w:rsidR="00B12AE6" w:rsidRPr="00B97687">
        <w:rPr>
          <w:rFonts w:ascii="Arial" w:hAnsi="Arial" w:cs="Arial"/>
          <w:color w:val="000000" w:themeColor="text1"/>
        </w:rPr>
        <w:t xml:space="preserve">1.5 and cluster number 8. B) Functional enrichment of proteins in cluster 1 using </w:t>
      </w:r>
      <w:r w:rsidR="0042565A">
        <w:rPr>
          <w:rFonts w:ascii="Arial" w:hAnsi="Arial" w:cs="Arial" w:hint="eastAsia"/>
          <w:color w:val="000000" w:themeColor="text1"/>
        </w:rPr>
        <w:t>STRING</w:t>
      </w:r>
      <w:r w:rsidR="0042565A" w:rsidRPr="00B97687">
        <w:rPr>
          <w:rFonts w:ascii="Arial" w:hAnsi="Arial" w:cs="Arial"/>
          <w:color w:val="000000" w:themeColor="text1"/>
        </w:rPr>
        <w:t xml:space="preserve"> </w:t>
      </w:r>
      <w:r w:rsidR="00B12AE6" w:rsidRPr="00B97687">
        <w:rPr>
          <w:rFonts w:ascii="Arial" w:hAnsi="Arial" w:cs="Arial"/>
          <w:color w:val="000000" w:themeColor="text1"/>
        </w:rPr>
        <w:t>analysis after PRED treatment. Dot size represents the number of proteins and dot color represents FDR values. Heatmap represents proteins in TLR cascades with z-scored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quantification, colors showing z scores between -1 and 1. C-D)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TLR2, PER1, and FPR1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 xml:space="preserve">s after DEX (C) </w:t>
      </w:r>
      <w:r w:rsidR="007948F9">
        <w:rPr>
          <w:rFonts w:ascii="Arial" w:hAnsi="Arial" w:cs="Arial" w:hint="eastAsia"/>
          <w:color w:val="000000" w:themeColor="text1"/>
        </w:rPr>
        <w:t>or</w:t>
      </w:r>
      <w:r w:rsidR="00B12AE6" w:rsidRPr="00B97687">
        <w:rPr>
          <w:rFonts w:ascii="Arial" w:hAnsi="Arial" w:cs="Arial"/>
          <w:color w:val="000000" w:themeColor="text1"/>
        </w:rPr>
        <w:t xml:space="preserve"> PRED (D) treatments. E) Heatmap representing proteins with statistically significant differences</w:t>
      </w:r>
      <w:r w:rsidR="000268B2">
        <w:rPr>
          <w:rFonts w:ascii="Arial" w:hAnsi="Arial" w:cs="Arial" w:hint="eastAsia"/>
          <w:color w:val="000000" w:themeColor="text1"/>
        </w:rPr>
        <w:t xml:space="preserve"> from proteome</w:t>
      </w:r>
      <w:r w:rsidR="00B12AE6" w:rsidRPr="00B97687">
        <w:rPr>
          <w:rFonts w:ascii="Arial" w:hAnsi="Arial" w:cs="Arial"/>
          <w:color w:val="000000" w:themeColor="text1"/>
        </w:rPr>
        <w:t xml:space="preserve"> (adjusted </w:t>
      </w:r>
      <w:r w:rsidR="00B12AE6" w:rsidRPr="00B97687">
        <w:rPr>
          <w:rFonts w:ascii="Arial" w:hAnsi="Arial" w:cs="Arial"/>
          <w:i/>
          <w:iCs/>
          <w:color w:val="000000" w:themeColor="text1"/>
        </w:rPr>
        <w:t>p</w:t>
      </w:r>
      <w:r w:rsidR="00B12AE6" w:rsidRPr="00B97687">
        <w:rPr>
          <w:rFonts w:ascii="Arial" w:hAnsi="Arial" w:cs="Arial"/>
          <w:color w:val="000000" w:themeColor="text1"/>
        </w:rPr>
        <w:t>-value &lt; 0.05 and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>FC &gt; |1|) in either DEX or DEX+MIF treatment compared to DMSO control. One-way ANOVA with Tukey's HSD correction was used.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was averaged by median of each condition, z-scored, and represented in colors ranging from -1.2 to 1.2.</w:t>
      </w:r>
      <w:r w:rsidR="00B8331C" w:rsidRPr="00B8331C">
        <w:rPr>
          <w:rFonts w:ascii="Arial" w:hAnsi="Arial" w:cs="Arial" w:hint="eastAsia"/>
          <w:color w:val="000000" w:themeColor="text1"/>
        </w:rPr>
        <w:t xml:space="preserve"> </w:t>
      </w:r>
      <w:r w:rsidR="00B8331C">
        <w:rPr>
          <w:rFonts w:ascii="Arial" w:hAnsi="Arial" w:cs="Arial" w:hint="eastAsia"/>
          <w:color w:val="000000" w:themeColor="text1"/>
        </w:rPr>
        <w:t>FC: fold-change.</w:t>
      </w:r>
    </w:p>
    <w:p w14:paraId="6EFBB304" w14:textId="4D5BC8F8" w:rsidR="007E22E9" w:rsidRPr="007E22E9" w:rsidRDefault="007E22E9" w:rsidP="007E22E9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7E22E9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0EB2733D" wp14:editId="183C1EF6">
            <wp:extent cx="5731510" cy="5041900"/>
            <wp:effectExtent l="0" t="0" r="2540" b="6350"/>
            <wp:docPr id="13486524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8" b="23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D6E14" w14:textId="4231315D" w:rsidR="00B12AE6" w:rsidRPr="00B97687" w:rsidRDefault="003B2BBF" w:rsidP="00A37CF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37CFA">
        <w:rPr>
          <w:rFonts w:ascii="Arial" w:hAnsi="Arial" w:cs="Arial" w:hint="eastAsia"/>
          <w:b/>
          <w:bCs/>
          <w:color w:val="000000" w:themeColor="text1"/>
        </w:rPr>
        <w:t>Fig S4.</w:t>
      </w:r>
      <w:r>
        <w:rPr>
          <w:rFonts w:ascii="Arial" w:hAnsi="Arial" w:cs="Arial" w:hint="eastAsia"/>
          <w:color w:val="000000" w:themeColor="text1"/>
        </w:rPr>
        <w:t xml:space="preserve"> </w:t>
      </w:r>
      <w:r w:rsidR="00A37CFA">
        <w:rPr>
          <w:rFonts w:ascii="Arial" w:hAnsi="Arial" w:cs="Arial" w:hint="eastAsia"/>
          <w:color w:val="000000" w:themeColor="text1"/>
        </w:rPr>
        <w:t xml:space="preserve">Protein phosphorylation changes </w:t>
      </w:r>
      <w:r w:rsidR="006C70EC">
        <w:rPr>
          <w:rFonts w:ascii="Arial" w:hAnsi="Arial" w:cs="Arial" w:hint="eastAsia"/>
          <w:color w:val="000000" w:themeColor="text1"/>
        </w:rPr>
        <w:t>after</w:t>
      </w:r>
      <w:r w:rsidR="00A37CFA">
        <w:rPr>
          <w:rFonts w:ascii="Arial" w:hAnsi="Arial" w:cs="Arial" w:hint="eastAsia"/>
          <w:color w:val="000000" w:themeColor="text1"/>
        </w:rPr>
        <w:t xml:space="preserve"> glucocorticoid</w:t>
      </w:r>
      <w:r w:rsidR="006C70EC">
        <w:rPr>
          <w:rFonts w:ascii="Arial" w:hAnsi="Arial" w:cs="Arial" w:hint="eastAsia"/>
          <w:color w:val="000000" w:themeColor="text1"/>
        </w:rPr>
        <w:t xml:space="preserve"> treatments</w:t>
      </w:r>
      <w:r w:rsidR="00A37CFA">
        <w:rPr>
          <w:rFonts w:ascii="Arial" w:hAnsi="Arial" w:cs="Arial" w:hint="eastAsia"/>
          <w:color w:val="000000" w:themeColor="text1"/>
        </w:rPr>
        <w:t xml:space="preserve">. </w:t>
      </w:r>
      <w:r w:rsidR="00B12AE6" w:rsidRPr="00B97687">
        <w:rPr>
          <w:rFonts w:ascii="Arial" w:hAnsi="Arial" w:cs="Arial"/>
          <w:color w:val="000000" w:themeColor="text1"/>
        </w:rPr>
        <w:t>A-B)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MYH9 (A) and CXCR4 (B) 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after DEX treatment</w:t>
      </w:r>
      <w:r w:rsidR="00B12AE6" w:rsidRPr="00B97687">
        <w:rPr>
          <w:rFonts w:ascii="Arial" w:hAnsi="Arial" w:cs="Arial" w:hint="eastAsia"/>
          <w:color w:val="000000" w:themeColor="text1"/>
        </w:rPr>
        <w:t xml:space="preserve"> in NLCs</w:t>
      </w:r>
      <w:r w:rsidR="00B12AE6" w:rsidRPr="00B97687">
        <w:rPr>
          <w:rFonts w:ascii="Arial" w:hAnsi="Arial" w:cs="Arial"/>
          <w:color w:val="000000" w:themeColor="text1"/>
        </w:rPr>
        <w:t>. C) Kinase activity analysis of 2-hour DEX-treated neutrophils using</w:t>
      </w:r>
      <w:r w:rsidR="002A70ED">
        <w:rPr>
          <w:rFonts w:ascii="Arial" w:hAnsi="Arial" w:cs="Arial" w:hint="eastAsia"/>
          <w:color w:val="000000" w:themeColor="text1"/>
        </w:rPr>
        <w:t xml:space="preserve"> the</w:t>
      </w:r>
      <w:r w:rsidR="00B12AE6" w:rsidRPr="00B97687">
        <w:rPr>
          <w:rFonts w:ascii="Arial" w:hAnsi="Arial" w:cs="Arial"/>
          <w:color w:val="000000" w:themeColor="text1"/>
        </w:rPr>
        <w:t xml:space="preserve">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RoKAI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app. D) Box plots showing individual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of CXCR4 serine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phosphosites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in neutrophils. E) Heatmap representing phosphorylated MAPK and AKT proteins after DEX treatment. Statistically significant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phosphosites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(adjusted </w:t>
      </w:r>
      <w:r w:rsidR="00B12AE6" w:rsidRPr="00B97687">
        <w:rPr>
          <w:rFonts w:ascii="Arial" w:hAnsi="Arial" w:cs="Arial"/>
          <w:i/>
          <w:iCs/>
          <w:color w:val="000000" w:themeColor="text1"/>
        </w:rPr>
        <w:t>p</w:t>
      </w:r>
      <w:r w:rsidR="00B12AE6" w:rsidRPr="00B97687">
        <w:rPr>
          <w:rFonts w:ascii="Arial" w:hAnsi="Arial" w:cs="Arial"/>
          <w:color w:val="000000" w:themeColor="text1"/>
        </w:rPr>
        <w:t>-value &lt; 0.05 and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>FC &gt; |1|) are marked compared to DMSO control. One-way ANOVA with Tukey's HSD correction was used.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was averaged by median of each condition, z-scored, and represented in colors ranging from -1.2 to 1.4. F) Immunoblotting analysis of MAPK signaling proteins after time-dependent treatment of 1 µM DEX (1, 2, 4, 8 hours). G-H)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ADAM17 (G) and GSK3B (H) 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after DEX treatment</w:t>
      </w:r>
      <w:r w:rsidR="00B12AE6" w:rsidRPr="00B97687">
        <w:rPr>
          <w:rFonts w:ascii="Arial" w:hAnsi="Arial" w:cs="Arial" w:hint="eastAsia"/>
          <w:color w:val="000000" w:themeColor="text1"/>
        </w:rPr>
        <w:t xml:space="preserve"> in NLCs</w:t>
      </w:r>
      <w:r w:rsidR="00B12AE6" w:rsidRPr="00B97687">
        <w:rPr>
          <w:rFonts w:ascii="Arial" w:hAnsi="Arial" w:cs="Arial"/>
          <w:color w:val="000000" w:themeColor="text1"/>
        </w:rPr>
        <w:t>. One-way ANOVA with Tukey's HSD correction was used.</w:t>
      </w:r>
      <w:r w:rsidR="00B8331C" w:rsidRPr="00B8331C">
        <w:rPr>
          <w:rFonts w:ascii="Arial" w:hAnsi="Arial" w:cs="Arial" w:hint="eastAsia"/>
          <w:color w:val="000000" w:themeColor="text1"/>
        </w:rPr>
        <w:t xml:space="preserve"> </w:t>
      </w:r>
      <w:r w:rsidR="00B8331C">
        <w:rPr>
          <w:rFonts w:ascii="Arial" w:hAnsi="Arial" w:cs="Arial" w:hint="eastAsia"/>
          <w:color w:val="000000" w:themeColor="text1"/>
        </w:rPr>
        <w:t>FC: fold-change.</w:t>
      </w:r>
    </w:p>
    <w:p w14:paraId="5D0F43CA" w14:textId="270C19CB" w:rsidR="002E3A7D" w:rsidRPr="002E3A7D" w:rsidRDefault="002E3A7D" w:rsidP="002E3A7D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2E3A7D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24D3667B" wp14:editId="32D00587">
            <wp:extent cx="5731510" cy="6224954"/>
            <wp:effectExtent l="0" t="0" r="2540" b="4445"/>
            <wp:docPr id="7731365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5" b="1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2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ABE77" w14:textId="5A89BE0F" w:rsidR="008F40B3" w:rsidRDefault="00A37CFA" w:rsidP="00A37CF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53F7F">
        <w:rPr>
          <w:rFonts w:ascii="Arial" w:hAnsi="Arial" w:cs="Arial" w:hint="eastAsia"/>
          <w:b/>
          <w:bCs/>
          <w:color w:val="000000" w:themeColor="text1"/>
        </w:rPr>
        <w:t>Fig S5.</w:t>
      </w:r>
      <w:r>
        <w:rPr>
          <w:rFonts w:ascii="Arial" w:hAnsi="Arial" w:cs="Arial" w:hint="eastAsia"/>
          <w:color w:val="000000" w:themeColor="text1"/>
        </w:rPr>
        <w:t xml:space="preserve"> </w:t>
      </w:r>
      <w:r w:rsidR="00D53F7F">
        <w:rPr>
          <w:rFonts w:ascii="Arial" w:hAnsi="Arial" w:cs="Arial" w:hint="eastAsia"/>
          <w:color w:val="000000" w:themeColor="text1"/>
        </w:rPr>
        <w:t xml:space="preserve">Rho GTPase-related phosphorylation reprogramming by glucocorticoids. </w:t>
      </w:r>
      <w:r w:rsidR="00B12AE6" w:rsidRPr="00B97687">
        <w:rPr>
          <w:rFonts w:ascii="Arial" w:hAnsi="Arial" w:cs="Arial"/>
          <w:color w:val="000000" w:themeColor="text1"/>
        </w:rPr>
        <w:t xml:space="preserve">A) Functional enrichment of proteins in cluster 4 using </w:t>
      </w:r>
      <w:r w:rsidR="0042565A">
        <w:rPr>
          <w:rFonts w:ascii="Arial" w:hAnsi="Arial" w:cs="Arial" w:hint="eastAsia"/>
          <w:color w:val="000000" w:themeColor="text1"/>
        </w:rPr>
        <w:t>STRING</w:t>
      </w:r>
      <w:r w:rsidR="0042565A" w:rsidRPr="00B97687">
        <w:rPr>
          <w:rFonts w:ascii="Arial" w:hAnsi="Arial" w:cs="Arial"/>
          <w:color w:val="000000" w:themeColor="text1"/>
        </w:rPr>
        <w:t xml:space="preserve"> </w:t>
      </w:r>
      <w:r w:rsidR="00B12AE6" w:rsidRPr="00B97687">
        <w:rPr>
          <w:rFonts w:ascii="Arial" w:hAnsi="Arial" w:cs="Arial"/>
          <w:color w:val="000000" w:themeColor="text1"/>
        </w:rPr>
        <w:t>analysis after PRED treatment</w:t>
      </w:r>
      <w:r w:rsidR="00B12AE6" w:rsidRPr="00B97687">
        <w:rPr>
          <w:rFonts w:ascii="Arial" w:hAnsi="Arial" w:cs="Arial" w:hint="eastAsia"/>
          <w:color w:val="000000" w:themeColor="text1"/>
        </w:rPr>
        <w:t xml:space="preserve"> in NLCs</w:t>
      </w:r>
      <w:r w:rsidR="00B12AE6" w:rsidRPr="00B97687">
        <w:rPr>
          <w:rFonts w:ascii="Arial" w:hAnsi="Arial" w:cs="Arial"/>
          <w:color w:val="000000" w:themeColor="text1"/>
        </w:rPr>
        <w:t>. Dot size represents the number of proteins and dot color represents FDR values. B) Volcano plot comparing phosphorylation expressions of 24</w:t>
      </w:r>
      <w:r w:rsidR="000A57C8">
        <w:rPr>
          <w:rFonts w:ascii="Arial" w:hAnsi="Arial" w:cs="Arial" w:hint="eastAsia"/>
          <w:color w:val="000000" w:themeColor="text1"/>
        </w:rPr>
        <w:t>-</w:t>
      </w:r>
      <w:r w:rsidR="00B12AE6" w:rsidRPr="00B97687">
        <w:rPr>
          <w:rFonts w:ascii="Arial" w:hAnsi="Arial" w:cs="Arial"/>
          <w:color w:val="000000" w:themeColor="text1"/>
        </w:rPr>
        <w:t xml:space="preserve">hour </w:t>
      </w:r>
      <w:r w:rsidR="000A57C8" w:rsidRPr="00B97687">
        <w:rPr>
          <w:rFonts w:ascii="Arial" w:hAnsi="Arial" w:cs="Arial"/>
          <w:color w:val="000000" w:themeColor="text1"/>
        </w:rPr>
        <w:t xml:space="preserve">DEX </w:t>
      </w:r>
      <w:r w:rsidR="00B12AE6" w:rsidRPr="00B97687">
        <w:rPr>
          <w:rFonts w:ascii="Arial" w:hAnsi="Arial" w:cs="Arial"/>
          <w:color w:val="000000" w:themeColor="text1"/>
        </w:rPr>
        <w:t>treatment versus 0</w:t>
      </w:r>
      <w:r w:rsidR="000A57C8">
        <w:rPr>
          <w:rFonts w:ascii="Arial" w:hAnsi="Arial" w:cs="Arial" w:hint="eastAsia"/>
          <w:color w:val="000000" w:themeColor="text1"/>
        </w:rPr>
        <w:t>-</w:t>
      </w:r>
      <w:r w:rsidR="00B12AE6" w:rsidRPr="00B97687">
        <w:rPr>
          <w:rFonts w:ascii="Arial" w:hAnsi="Arial" w:cs="Arial"/>
          <w:color w:val="000000" w:themeColor="text1"/>
        </w:rPr>
        <w:t>hour control in NLCs using one-way ANOVA with Tukey's HSD correction. Dots highlighted in orange are substrates of PAKs and dots in green are substrates of ROCKs. C, F) Box plots showing individual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of WASP (C) and RIPOR2 </w:t>
      </w:r>
      <w:r w:rsidR="000500B4" w:rsidRPr="00B97687">
        <w:rPr>
          <w:rFonts w:ascii="Arial" w:hAnsi="Arial" w:cs="Arial"/>
          <w:color w:val="000000" w:themeColor="text1"/>
        </w:rPr>
        <w:t xml:space="preserve">(F) </w:t>
      </w:r>
      <w:r w:rsidR="00B12AE6" w:rsidRPr="00B97687">
        <w:rPr>
          <w:rFonts w:ascii="Arial" w:hAnsi="Arial" w:cs="Arial"/>
          <w:color w:val="000000" w:themeColor="text1"/>
        </w:rPr>
        <w:t xml:space="preserve">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after DEX treatment in NLCs. D, G)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WASP (D) and RIPOR2 </w:t>
      </w:r>
      <w:r w:rsidR="000500B4" w:rsidRPr="00B97687">
        <w:rPr>
          <w:rFonts w:ascii="Arial" w:hAnsi="Arial" w:cs="Arial"/>
          <w:color w:val="000000" w:themeColor="text1"/>
        </w:rPr>
        <w:t xml:space="preserve">(G) </w:t>
      </w:r>
      <w:r w:rsidR="00B12AE6" w:rsidRPr="00B97687">
        <w:rPr>
          <w:rFonts w:ascii="Arial" w:hAnsi="Arial" w:cs="Arial"/>
          <w:color w:val="000000" w:themeColor="text1"/>
        </w:rPr>
        <w:t xml:space="preserve">phosphorylation and protein expressions after DEX treatment in NLCs. E) Volcano plot comparing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of 2</w:t>
      </w:r>
      <w:r w:rsidR="00991945">
        <w:rPr>
          <w:rFonts w:ascii="Arial" w:hAnsi="Arial" w:cs="Arial" w:hint="eastAsia"/>
          <w:color w:val="000000" w:themeColor="text1"/>
        </w:rPr>
        <w:t>-</w:t>
      </w:r>
      <w:r w:rsidR="00B12AE6" w:rsidRPr="00B97687">
        <w:rPr>
          <w:rFonts w:ascii="Arial" w:hAnsi="Arial" w:cs="Arial"/>
          <w:color w:val="000000" w:themeColor="text1"/>
        </w:rPr>
        <w:t>hour</w:t>
      </w:r>
      <w:r w:rsidR="00991945">
        <w:rPr>
          <w:rFonts w:ascii="Arial" w:hAnsi="Arial" w:cs="Arial" w:hint="eastAsia"/>
          <w:color w:val="000000" w:themeColor="text1"/>
        </w:rPr>
        <w:t xml:space="preserve"> </w:t>
      </w:r>
      <w:r w:rsidR="00991945" w:rsidRPr="00B97687">
        <w:rPr>
          <w:rFonts w:ascii="Arial" w:hAnsi="Arial" w:cs="Arial"/>
          <w:color w:val="000000" w:themeColor="text1"/>
        </w:rPr>
        <w:lastRenderedPageBreak/>
        <w:t xml:space="preserve">DEX </w:t>
      </w:r>
      <w:r w:rsidR="00B12AE6" w:rsidRPr="00B97687">
        <w:rPr>
          <w:rFonts w:ascii="Arial" w:hAnsi="Arial" w:cs="Arial"/>
          <w:color w:val="000000" w:themeColor="text1"/>
        </w:rPr>
        <w:t xml:space="preserve">treatment versus DMSO control in neutrophils using one-way ANOVA with Tukey's HSD correction. Blue dots represent proteins with statistically significant differences (adjusted </w:t>
      </w:r>
      <w:r w:rsidR="00B12AE6" w:rsidRPr="00B97687">
        <w:rPr>
          <w:rFonts w:ascii="Arial" w:hAnsi="Arial" w:cs="Arial"/>
          <w:i/>
          <w:iCs/>
          <w:color w:val="000000" w:themeColor="text1"/>
        </w:rPr>
        <w:t>p</w:t>
      </w:r>
      <w:r w:rsidR="00B12AE6" w:rsidRPr="00B97687">
        <w:rPr>
          <w:rFonts w:ascii="Arial" w:hAnsi="Arial" w:cs="Arial"/>
          <w:color w:val="000000" w:themeColor="text1"/>
        </w:rPr>
        <w:t>-value &lt; 0.05 and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FC &gt; |1|). </w:t>
      </w:r>
      <w:proofErr w:type="gramStart"/>
      <w:r w:rsidR="00B12AE6" w:rsidRPr="00B97687">
        <w:rPr>
          <w:rFonts w:ascii="Arial" w:hAnsi="Arial" w:cs="Arial"/>
          <w:color w:val="000000" w:themeColor="text1"/>
        </w:rPr>
        <w:t>H) Box</w:t>
      </w:r>
      <w:proofErr w:type="gramEnd"/>
      <w:r w:rsidR="00B12AE6" w:rsidRPr="00B97687">
        <w:rPr>
          <w:rFonts w:ascii="Arial" w:hAnsi="Arial" w:cs="Arial"/>
          <w:color w:val="000000" w:themeColor="text1"/>
        </w:rPr>
        <w:t xml:space="preserve"> plots showing individual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of RIPOR2 serine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pho</w:t>
      </w:r>
      <w:r w:rsidR="00991945">
        <w:rPr>
          <w:rFonts w:ascii="Arial" w:hAnsi="Arial" w:cs="Arial" w:hint="eastAsia"/>
          <w:color w:val="000000" w:themeColor="text1"/>
        </w:rPr>
        <w:t>s</w:t>
      </w:r>
      <w:r w:rsidR="00B12AE6" w:rsidRPr="00B97687">
        <w:rPr>
          <w:rFonts w:ascii="Arial" w:hAnsi="Arial" w:cs="Arial"/>
          <w:color w:val="000000" w:themeColor="text1"/>
        </w:rPr>
        <w:t>ph</w:t>
      </w:r>
      <w:r w:rsidR="00991945">
        <w:rPr>
          <w:rFonts w:ascii="Arial" w:hAnsi="Arial" w:cs="Arial" w:hint="eastAsia"/>
          <w:color w:val="000000" w:themeColor="text1"/>
        </w:rPr>
        <w:t>o</w:t>
      </w:r>
      <w:r w:rsidR="00B12AE6" w:rsidRPr="00B97687">
        <w:rPr>
          <w:rFonts w:ascii="Arial" w:hAnsi="Arial" w:cs="Arial"/>
          <w:color w:val="000000" w:themeColor="text1"/>
        </w:rPr>
        <w:t>sites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after PRED treatment in NLCs. I)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RIPOR2 serine phosphorylation after PRED treatment in NLCs. One-way ANOVA with Dunnett’s multiple comparisons test was used for box plot analysis and one-way ANOVA with Tukey's HSD correction was used for bar plot analysis.</w:t>
      </w:r>
      <w:r w:rsidR="003E4825" w:rsidRPr="003E4825">
        <w:rPr>
          <w:rFonts w:ascii="Arial" w:hAnsi="Arial" w:cs="Arial" w:hint="eastAsia"/>
          <w:color w:val="000000" w:themeColor="text1"/>
        </w:rPr>
        <w:t xml:space="preserve"> </w:t>
      </w:r>
      <w:r w:rsidR="003E4825">
        <w:rPr>
          <w:rFonts w:ascii="Arial" w:hAnsi="Arial" w:cs="Arial" w:hint="eastAsia"/>
          <w:color w:val="000000" w:themeColor="text1"/>
        </w:rPr>
        <w:t>FC: fold-change.</w:t>
      </w:r>
      <w:r w:rsidR="008F40B3">
        <w:rPr>
          <w:rFonts w:ascii="Arial" w:hAnsi="Arial" w:cs="Arial"/>
          <w:color w:val="000000" w:themeColor="text1"/>
        </w:rPr>
        <w:br w:type="page"/>
      </w:r>
    </w:p>
    <w:p w14:paraId="39C87572" w14:textId="1E9506E2" w:rsidR="009863EA" w:rsidRPr="009863EA" w:rsidRDefault="009863EA" w:rsidP="002E1104">
      <w:pPr>
        <w:spacing w:after="0" w:line="480" w:lineRule="auto"/>
        <w:jc w:val="both"/>
        <w:rPr>
          <w:rFonts w:ascii="Arial" w:hAnsi="Arial" w:cs="Arial"/>
          <w:color w:val="000000" w:themeColor="text1"/>
        </w:rPr>
      </w:pPr>
      <w:r w:rsidRPr="009863EA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8CDC9ED" wp14:editId="71B7A4AE">
            <wp:extent cx="5730240" cy="5282418"/>
            <wp:effectExtent l="0" t="0" r="3810" b="0"/>
            <wp:docPr id="20344968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3" b="22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8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70FFE" w14:textId="23B0BDAF" w:rsidR="004C61AD" w:rsidRPr="008F40B3" w:rsidRDefault="008F40B3" w:rsidP="008F40B3">
      <w:pPr>
        <w:spacing w:line="360" w:lineRule="auto"/>
        <w:jc w:val="both"/>
        <w:rPr>
          <w:rFonts w:ascii="Arial" w:hAnsi="Arial" w:cs="Arial" w:hint="eastAsia"/>
          <w:color w:val="000000" w:themeColor="text1"/>
        </w:rPr>
      </w:pPr>
      <w:r w:rsidRPr="002E1104">
        <w:rPr>
          <w:rFonts w:ascii="Arial" w:hAnsi="Arial" w:cs="Arial" w:hint="eastAsia"/>
          <w:b/>
          <w:bCs/>
          <w:color w:val="000000" w:themeColor="text1"/>
        </w:rPr>
        <w:t>Fig S6.</w:t>
      </w:r>
      <w:r w:rsidR="002E1104">
        <w:rPr>
          <w:rFonts w:ascii="Arial" w:hAnsi="Arial" w:cs="Arial" w:hint="eastAsia"/>
          <w:color w:val="000000" w:themeColor="text1"/>
        </w:rPr>
        <w:t xml:space="preserve"> Effects of glucocorticoids on RIPOR2 phosphorylation.</w:t>
      </w:r>
      <w:r>
        <w:rPr>
          <w:rFonts w:ascii="Arial" w:hAnsi="Arial" w:cs="Arial" w:hint="eastAsia"/>
          <w:color w:val="000000" w:themeColor="text1"/>
        </w:rPr>
        <w:t xml:space="preserve"> </w:t>
      </w:r>
      <w:r w:rsidR="00B12AE6" w:rsidRPr="00B97687">
        <w:rPr>
          <w:rFonts w:ascii="Arial" w:hAnsi="Arial" w:cs="Arial"/>
          <w:color w:val="000000" w:themeColor="text1"/>
        </w:rPr>
        <w:t>A) RIPOR2 mRNA levels represented as normalized transcript per million (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nTPM</w:t>
      </w:r>
      <w:proofErr w:type="spellEnd"/>
      <w:r w:rsidR="00B12AE6" w:rsidRPr="00B97687">
        <w:rPr>
          <w:rFonts w:ascii="Arial" w:hAnsi="Arial" w:cs="Arial"/>
          <w:color w:val="000000" w:themeColor="text1"/>
        </w:rPr>
        <w:t>) in human tissues. RNA-seq data was acquired from the Human Protein Atlas (HPA). B) Box plots showing individual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of FOXO3 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after DEX treatment. C) Bar plots showing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fold changes of FOXO3 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 xml:space="preserve">s after DEX treatment. One-way ANOVA with Dunnett’s multiple comparisons test was used for box plot analysis and one-way ANOVA with Tukey's HSD correction was used for bar plot analysis. D) Fisher enrichment analysis of DEX-treated neutrophils using the Kinase Library. Differential phosphorylation was selected for serine/threonine kinases with percentile rank of 15 and nominal </w:t>
      </w:r>
      <w:r w:rsidR="00B12AE6" w:rsidRPr="00B97687">
        <w:rPr>
          <w:rFonts w:ascii="Arial" w:hAnsi="Arial" w:cs="Arial"/>
          <w:i/>
          <w:iCs/>
          <w:color w:val="000000" w:themeColor="text1"/>
        </w:rPr>
        <w:t>p</w:t>
      </w:r>
      <w:r w:rsidR="00B12AE6" w:rsidRPr="00B97687">
        <w:rPr>
          <w:rFonts w:ascii="Arial" w:hAnsi="Arial" w:cs="Arial"/>
          <w:color w:val="000000" w:themeColor="text1"/>
        </w:rPr>
        <w:t>-value of 0.05. E) Box plots showing individual log</w:t>
      </w:r>
      <w:r w:rsidR="00B12AE6" w:rsidRPr="00B97687">
        <w:rPr>
          <w:rFonts w:ascii="Arial" w:hAnsi="Arial" w:cs="Arial"/>
          <w:color w:val="000000" w:themeColor="text1"/>
          <w:vertAlign w:val="subscript"/>
        </w:rPr>
        <w:t>2</w:t>
      </w:r>
      <w:r w:rsidR="00B12AE6" w:rsidRPr="00B97687">
        <w:rPr>
          <w:rFonts w:ascii="Arial" w:hAnsi="Arial" w:cs="Arial"/>
          <w:color w:val="000000" w:themeColor="text1"/>
        </w:rPr>
        <w:t xml:space="preserve"> transformed label-free quantification of RIPOR2 phosphorylation and </w:t>
      </w:r>
      <w:r w:rsidR="0042565A">
        <w:rPr>
          <w:rFonts w:ascii="Arial" w:hAnsi="Arial" w:cs="Arial"/>
          <w:color w:val="000000" w:themeColor="text1"/>
        </w:rPr>
        <w:t>protein level</w:t>
      </w:r>
      <w:r w:rsidR="00B12AE6" w:rsidRPr="00B97687">
        <w:rPr>
          <w:rFonts w:ascii="Arial" w:hAnsi="Arial" w:cs="Arial"/>
          <w:color w:val="000000" w:themeColor="text1"/>
        </w:rPr>
        <w:t>s after DEX treatment in neutrophils. F) Pie charts showing the proportion of serine</w:t>
      </w:r>
      <w:r w:rsidR="00BB7F52">
        <w:rPr>
          <w:rFonts w:ascii="Arial" w:hAnsi="Arial" w:cs="Arial" w:hint="eastAsia"/>
          <w:color w:val="000000" w:themeColor="text1"/>
        </w:rPr>
        <w:t xml:space="preserve"> (S)</w:t>
      </w:r>
      <w:r w:rsidR="00B12AE6" w:rsidRPr="00B97687">
        <w:rPr>
          <w:rFonts w:ascii="Arial" w:hAnsi="Arial" w:cs="Arial"/>
          <w:color w:val="000000" w:themeColor="text1"/>
        </w:rPr>
        <w:t>, threonine</w:t>
      </w:r>
      <w:r w:rsidR="00BB7F52">
        <w:rPr>
          <w:rFonts w:ascii="Arial" w:hAnsi="Arial" w:cs="Arial" w:hint="eastAsia"/>
          <w:color w:val="000000" w:themeColor="text1"/>
        </w:rPr>
        <w:t xml:space="preserve"> (T)</w:t>
      </w:r>
      <w:r w:rsidR="00B12AE6" w:rsidRPr="00B97687">
        <w:rPr>
          <w:rFonts w:ascii="Arial" w:hAnsi="Arial" w:cs="Arial"/>
          <w:color w:val="000000" w:themeColor="text1"/>
        </w:rPr>
        <w:t xml:space="preserve">, and tyrosine </w:t>
      </w:r>
      <w:r w:rsidR="00BB7F52">
        <w:rPr>
          <w:rFonts w:ascii="Arial" w:hAnsi="Arial" w:cs="Arial" w:hint="eastAsia"/>
          <w:color w:val="000000" w:themeColor="text1"/>
        </w:rPr>
        <w:t xml:space="preserve">(Y) </w:t>
      </w:r>
      <w:r w:rsidR="00B12AE6" w:rsidRPr="00B97687">
        <w:rPr>
          <w:rFonts w:ascii="Arial" w:hAnsi="Arial" w:cs="Arial"/>
          <w:color w:val="000000" w:themeColor="text1"/>
        </w:rPr>
        <w:t xml:space="preserve">in </w:t>
      </w:r>
      <w:proofErr w:type="spellStart"/>
      <w:r w:rsidR="00B12AE6" w:rsidRPr="00B97687">
        <w:rPr>
          <w:rFonts w:ascii="Arial" w:hAnsi="Arial" w:cs="Arial"/>
          <w:color w:val="000000" w:themeColor="text1"/>
        </w:rPr>
        <w:t>phosphoproteome</w:t>
      </w:r>
      <w:proofErr w:type="spellEnd"/>
      <w:r w:rsidR="00B12AE6" w:rsidRPr="00B97687">
        <w:rPr>
          <w:rFonts w:ascii="Arial" w:hAnsi="Arial" w:cs="Arial"/>
          <w:color w:val="000000" w:themeColor="text1"/>
        </w:rPr>
        <w:t xml:space="preserve"> after DEX and PRED treatments in HL-60 cells and NLCs.</w:t>
      </w:r>
      <w:r w:rsidR="00B8331C">
        <w:rPr>
          <w:rFonts w:ascii="Arial" w:hAnsi="Arial" w:cs="Arial" w:hint="eastAsia"/>
          <w:color w:val="000000" w:themeColor="text1"/>
        </w:rPr>
        <w:t xml:space="preserve"> </w:t>
      </w:r>
      <w:r w:rsidR="00B8331C">
        <w:rPr>
          <w:rFonts w:ascii="Arial" w:hAnsi="Arial" w:cs="Arial" w:hint="eastAsia"/>
          <w:color w:val="000000" w:themeColor="text1"/>
        </w:rPr>
        <w:t>FC: fold-change.</w:t>
      </w:r>
    </w:p>
    <w:sectPr w:rsidR="004C61AD" w:rsidRPr="008F40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E6"/>
    <w:rsid w:val="000268B2"/>
    <w:rsid w:val="000500B4"/>
    <w:rsid w:val="000A57C8"/>
    <w:rsid w:val="00115092"/>
    <w:rsid w:val="00127CAB"/>
    <w:rsid w:val="00172A17"/>
    <w:rsid w:val="00180510"/>
    <w:rsid w:val="001A4260"/>
    <w:rsid w:val="0021336B"/>
    <w:rsid w:val="002227F2"/>
    <w:rsid w:val="002306A1"/>
    <w:rsid w:val="002A1246"/>
    <w:rsid w:val="002A70ED"/>
    <w:rsid w:val="002E1104"/>
    <w:rsid w:val="002E3A7D"/>
    <w:rsid w:val="00360F72"/>
    <w:rsid w:val="003B2BBF"/>
    <w:rsid w:val="003D4FDD"/>
    <w:rsid w:val="003E4825"/>
    <w:rsid w:val="00414013"/>
    <w:rsid w:val="004179E0"/>
    <w:rsid w:val="00417E85"/>
    <w:rsid w:val="0042565A"/>
    <w:rsid w:val="00442CE9"/>
    <w:rsid w:val="00446E51"/>
    <w:rsid w:val="00491A1D"/>
    <w:rsid w:val="004C61AD"/>
    <w:rsid w:val="00570883"/>
    <w:rsid w:val="00597EC4"/>
    <w:rsid w:val="005A0BA0"/>
    <w:rsid w:val="006256AF"/>
    <w:rsid w:val="006C70EC"/>
    <w:rsid w:val="0074541A"/>
    <w:rsid w:val="00756B3D"/>
    <w:rsid w:val="007948F9"/>
    <w:rsid w:val="007E22E9"/>
    <w:rsid w:val="00812C04"/>
    <w:rsid w:val="00817C78"/>
    <w:rsid w:val="00827B4B"/>
    <w:rsid w:val="0085557D"/>
    <w:rsid w:val="0088175A"/>
    <w:rsid w:val="008F40B3"/>
    <w:rsid w:val="008F5725"/>
    <w:rsid w:val="00951E25"/>
    <w:rsid w:val="0095473A"/>
    <w:rsid w:val="009863EA"/>
    <w:rsid w:val="00991945"/>
    <w:rsid w:val="009D31A5"/>
    <w:rsid w:val="00A37CFA"/>
    <w:rsid w:val="00A526C4"/>
    <w:rsid w:val="00AD6CC6"/>
    <w:rsid w:val="00B12AE6"/>
    <w:rsid w:val="00B77D38"/>
    <w:rsid w:val="00B8331C"/>
    <w:rsid w:val="00BB7F52"/>
    <w:rsid w:val="00C74AD6"/>
    <w:rsid w:val="00CA4904"/>
    <w:rsid w:val="00CF2D49"/>
    <w:rsid w:val="00D53F7F"/>
    <w:rsid w:val="00DD0E60"/>
    <w:rsid w:val="00F33CF1"/>
    <w:rsid w:val="00F3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7C056"/>
  <w15:chartTrackingRefBased/>
  <w15:docId w15:val="{3D14C2ED-208E-4F16-97BB-C33925D6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AE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2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955</Words>
  <Characters>5735</Characters>
  <Application>Microsoft Office Word</Application>
  <DocSecurity>0</DocSecurity>
  <Lines>124</Lines>
  <Paragraphs>12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Hayoung Cho</dc:creator>
  <cp:keywords/>
  <dc:description/>
  <cp:lastModifiedBy>Hayoung Cho</cp:lastModifiedBy>
  <cp:revision>48</cp:revision>
  <dcterms:created xsi:type="dcterms:W3CDTF">2026-01-16T09:35:00Z</dcterms:created>
  <dcterms:modified xsi:type="dcterms:W3CDTF">2026-01-19T10:44:00Z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