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ntTable.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480" w:before="240" w:after="240"/>
        <w:rPr>
          <w:rFonts w:ascii="Liberation Serif" w:hAnsi="Liberation Serif"/>
          <w:b/>
          <w:bCs/>
          <w:sz w:val="32"/>
          <w:szCs w:val="32"/>
        </w:rPr>
      </w:pPr>
      <w:r>
        <w:rPr>
          <w:rFonts w:ascii="Liberation Serif" w:hAnsi="Liberation Serif"/>
          <w:b/>
          <w:bCs/>
          <w:sz w:val="32"/>
          <w:szCs w:val="32"/>
        </w:rPr>
        <w:t>Additional File 1: Supplemental information</w:t>
      </w:r>
    </w:p>
    <w:p>
      <w:pPr>
        <w:pStyle w:val="normal1"/>
        <w:spacing w:lineRule="auto" w:line="480" w:before="240" w:after="240"/>
        <w:rPr>
          <w:rFonts w:ascii="Liberation Serif" w:hAnsi="Liberation Serif"/>
          <w:sz w:val="28"/>
          <w:szCs w:val="28"/>
        </w:rPr>
      </w:pPr>
      <w:r>
        <w:rPr>
          <w:rFonts w:ascii="Liberation Serif" w:hAnsi="Liberation Serif"/>
          <w:sz w:val="28"/>
          <w:szCs w:val="28"/>
        </w:rPr>
      </w:r>
    </w:p>
    <w:p>
      <w:pPr>
        <w:pStyle w:val="normal1"/>
        <w:spacing w:lineRule="auto" w:line="480" w:before="240" w:after="240"/>
        <w:rPr>
          <w:rFonts w:ascii="Liberation Serif" w:hAnsi="Liberation Serif"/>
          <w:sz w:val="28"/>
          <w:szCs w:val="28"/>
        </w:rPr>
      </w:pPr>
      <w:r>
        <w:rPr>
          <w:rFonts w:ascii="Liberation Serif" w:hAnsi="Liberation Serif"/>
          <w:b/>
          <w:bCs/>
          <w:sz w:val="28"/>
          <w:szCs w:val="28"/>
        </w:rPr>
        <w:t>Supplemental information A: Binning ancient metagenome-assembled genomes (MAG)</w:t>
      </w:r>
    </w:p>
    <w:p>
      <w:pPr>
        <w:pStyle w:val="normal1"/>
        <w:spacing w:lineRule="auto" w:line="480" w:before="240" w:after="240"/>
        <w:rPr>
          <w:rFonts w:ascii="Liberation Serif" w:hAnsi="Liberation Serif"/>
          <w:sz w:val="24"/>
          <w:szCs w:val="24"/>
        </w:rPr>
      </w:pPr>
      <w:r>
        <w:rPr>
          <w:rFonts w:ascii="Liberation Serif" w:hAnsi="Liberation Serif"/>
          <w:sz w:val="24"/>
          <w:szCs w:val="24"/>
        </w:rPr>
        <w:t>The MAG contig bins were aimed to be collected with sensitive settings since false positives could be filtered out downstream during MAG refinement, whereas false negatives would be irrevocably lost. The “completion” and “redundancy” in the bin was ascertained by the percentage complete set of and redundant copies of single-copy core genes (SCG), which had been compiled by anv’io for prokaryotes from The Genome Taxonomy Database (GTDB)</w:t>
      </w:r>
      <w:r>
        <w:rPr>
          <w:rFonts w:ascii="Liberation Serif" w:hAnsi="Liberation Serif"/>
          <w:sz w:val="24"/>
          <w:szCs w:val="24"/>
          <w:vertAlign w:val="superscript"/>
        </w:rPr>
        <w:t xml:space="preserve">56,79 </w:t>
      </w:r>
      <w:r>
        <w:rPr>
          <w:rFonts w:ascii="Liberation Serif" w:hAnsi="Liberation Serif"/>
          <w:position w:val="0"/>
          <w:sz w:val="24"/>
          <w:sz w:val="24"/>
          <w:szCs w:val="24"/>
          <w:vertAlign w:val="baseline"/>
        </w:rPr>
        <w:t>(Additional file 3: Table 3)</w:t>
      </w:r>
      <w:r>
        <w:rPr>
          <w:rFonts w:ascii="Liberation Serif" w:hAnsi="Liberation Serif"/>
          <w:sz w:val="24"/>
          <w:szCs w:val="24"/>
        </w:rPr>
        <w:t>.</w:t>
      </w:r>
    </w:p>
    <w:p>
      <w:pPr>
        <w:pStyle w:val="normal1"/>
        <w:spacing w:lineRule="auto" w:line="480" w:before="240" w:after="240"/>
        <w:rPr>
          <w:rFonts w:ascii="Liberation Serif" w:hAnsi="Liberation Serif"/>
          <w:sz w:val="24"/>
          <w:szCs w:val="24"/>
        </w:rPr>
      </w:pPr>
      <w:r>
        <w:rPr>
          <w:rFonts w:ascii="Liberation Serif" w:hAnsi="Liberation Serif"/>
          <w:sz w:val="24"/>
          <w:szCs w:val="24"/>
        </w:rPr>
        <w:t xml:space="preserve">During manual refinement, contigs that stand out are identified as contaminant and removed, until “redundancy” is minimised at minimum detriment to the “completion” score so the total length of sequences in the contigs and GC content align with the taxa being recovered </w:t>
      </w:r>
      <w:r>
        <w:rPr>
          <w:rFonts w:ascii="Liberation Serif" w:hAnsi="Liberation Serif"/>
          <w:position w:val="0"/>
          <w:sz w:val="24"/>
          <w:sz w:val="24"/>
          <w:szCs w:val="24"/>
          <w:vertAlign w:val="baseline"/>
        </w:rPr>
        <w:t>(Additional file 2: Fig. S11)</w:t>
      </w:r>
      <w:r>
        <w:rPr>
          <w:rFonts w:ascii="Liberation Serif" w:hAnsi="Liberation Serif"/>
          <w:sz w:val="24"/>
          <w:szCs w:val="24"/>
          <w:vertAlign w:val="superscript"/>
        </w:rPr>
        <w:t>80</w:t>
      </w:r>
      <w:r>
        <w:rPr>
          <w:rFonts w:ascii="Liberation Serif" w:hAnsi="Liberation Serif"/>
          <w:sz w:val="24"/>
          <w:szCs w:val="24"/>
        </w:rPr>
        <w:t>.</w:t>
      </w:r>
    </w:p>
    <w:p>
      <w:pPr>
        <w:pStyle w:val="normal1"/>
        <w:spacing w:lineRule="auto" w:line="480" w:before="240" w:after="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non-redundant” contaminant contigs that only have genes which convey a non-critical function, can still be present after manual refinement. This type of contamination is assumed to be present, if there is an abnormal amount of genes called in the MAG, relative to the normal span of quantity of genes found in the taxa being recovered.  This contamination is detected using gunc, which assigns each detected gene in the contigs to a taxonomic lineage. How well genes fit with those in the database is quantified by the reference representation score (RRS).</w:t>
      </w:r>
    </w:p>
    <w:p>
      <w:pPr>
        <w:pStyle w:val="normal1"/>
        <w:spacing w:lineRule="auto" w:line="480" w:before="240" w:after="240"/>
        <w:rPr>
          <w:rFonts w:ascii="Liberation Serif" w:hAnsi="Liberation Serif"/>
          <w:sz w:val="24"/>
          <w:szCs w:val="24"/>
        </w:rPr>
      </w:pPr>
      <w:r>
        <w:rPr>
          <w:rFonts w:ascii="Liberation Serif" w:hAnsi="Liberation Serif"/>
          <w:sz w:val="24"/>
          <w:szCs w:val="24"/>
        </w:rPr>
        <w:t xml:space="preserve">Provided there is a high RRS (&gt;0.5), it is possible to quantify the chimerism of contigs by the cluster separation score (CSS), which is the diversity of taxonomic lineages of genes in a contig, compared with the diversity of lineages across the MAG overall. If this score is at all taxonomic levels from kingdom to genus &lt;=0.45, and the genes assigned to other taxonomic clades than the major clade is &lt;0.02, a MAG will pass the gunc filter (Additional file 3: Table </w:t>
      </w:r>
      <w:r>
        <w:rPr>
          <w:rFonts w:ascii="Liberation Serif" w:hAnsi="Liberation Serif"/>
          <w:sz w:val="24"/>
          <w:szCs w:val="24"/>
        </w:rPr>
        <w:t>1</w:t>
      </w:r>
      <w:r>
        <w:rPr>
          <w:rFonts w:ascii="Liberation Serif" w:hAnsi="Liberation Serif"/>
          <w:sz w:val="24"/>
          <w:szCs w:val="24"/>
        </w:rPr>
        <w:t>)</w:t>
      </w:r>
      <w:r>
        <w:rPr>
          <w:rFonts w:ascii="Liberation Serif" w:hAnsi="Liberation Serif"/>
          <w:sz w:val="24"/>
          <w:szCs w:val="24"/>
          <w:vertAlign w:val="superscript"/>
        </w:rPr>
        <w:t>61</w:t>
      </w:r>
      <w:r>
        <w:rPr>
          <w:rFonts w:ascii="Liberation Serif" w:hAnsi="Liberation Serif"/>
          <w:sz w:val="24"/>
          <w:szCs w:val="24"/>
        </w:rPr>
        <w:t>. Otherwise, contigs detected as having heightened chimerism are removed as “non-redundant” contamination, until the filter is passed (</w:t>
      </w:r>
      <w:r>
        <w:rPr>
          <w:rFonts w:ascii="Liberation Serif" w:hAnsi="Liberation Serif"/>
          <w:position w:val="0"/>
          <w:sz w:val="24"/>
          <w:sz w:val="24"/>
          <w:szCs w:val="24"/>
          <w:vertAlign w:val="baseline"/>
        </w:rPr>
        <w:t>Additional file 2: Fig. S17</w:t>
      </w:r>
      <w:r>
        <w:rPr>
          <w:rFonts w:ascii="Liberation Serif" w:hAnsi="Liberation Serif"/>
          <w:sz w:val="24"/>
          <w:szCs w:val="24"/>
        </w:rPr>
        <w:t>).</w:t>
      </w:r>
    </w:p>
    <w:p>
      <w:pPr>
        <w:pStyle w:val="normal1"/>
        <w:spacing w:lineRule="auto" w:line="480" w:before="240" w:after="240"/>
        <w:rPr>
          <w:rFonts w:ascii="Liberation Serif" w:hAnsi="Liberation Serif"/>
          <w:sz w:val="24"/>
          <w:szCs w:val="24"/>
        </w:rPr>
      </w:pPr>
      <w:r>
        <w:rPr>
          <w:rFonts w:ascii="Liberation Serif" w:hAnsi="Liberation Serif"/>
          <w:sz w:val="24"/>
          <w:szCs w:val="24"/>
        </w:rPr>
        <w:t>Since we do not know fully what there is to know about all the genes that exist in biology, it is impossible to be completely sure, when you have the perfect MAG. Refining a comprehensive bin down the final assembly of contigs is a balancing act between minimising the amount of false positives, without increasing false negatives.</w:t>
      </w:r>
    </w:p>
    <w:p>
      <w:pPr>
        <w:pStyle w:val="normal1"/>
        <w:spacing w:lineRule="auto" w:line="480" w:before="240" w:after="240"/>
        <w:rPr>
          <w:rFonts w:ascii="Liberation Serif" w:hAnsi="Liberation Serif"/>
          <w:sz w:val="24"/>
          <w:szCs w:val="24"/>
        </w:rPr>
      </w:pPr>
      <w:r>
        <w:rPr>
          <w:rFonts w:ascii="Liberation Serif" w:hAnsi="Liberation Serif"/>
          <w:sz w:val="24"/>
          <w:szCs w:val="24"/>
        </w:rPr>
      </w:r>
    </w:p>
    <w:p>
      <w:pPr>
        <w:pStyle w:val="normal1"/>
        <w:spacing w:lineRule="auto" w:line="480" w:before="240" w:after="240"/>
        <w:rPr>
          <w:rFonts w:ascii="Liberation Serif" w:hAnsi="Liberation Serif"/>
          <w:sz w:val="24"/>
          <w:szCs w:val="24"/>
        </w:rPr>
      </w:pPr>
      <w:r>
        <w:rPr>
          <w:rFonts w:ascii="Liberation Serif" w:hAnsi="Liberation Serif"/>
          <w:sz w:val="24"/>
          <w:szCs w:val="24"/>
        </w:rPr>
      </w:r>
    </w:p>
    <w:p>
      <w:pPr>
        <w:pStyle w:val="normal1"/>
        <w:spacing w:lineRule="auto" w:line="480" w:before="240" w:after="240"/>
        <w:rPr>
          <w:rFonts w:ascii="Liberation Serif" w:hAnsi="Liberation Serif"/>
          <w:sz w:val="24"/>
          <w:szCs w:val="24"/>
        </w:rPr>
      </w:pPr>
      <w:r>
        <w:rPr>
          <w:rFonts w:ascii="Liberation Serif" w:hAnsi="Liberation Serif"/>
          <w:sz w:val="24"/>
          <w:szCs w:val="24"/>
        </w:rPr>
      </w:r>
    </w:p>
    <w:p>
      <w:pPr>
        <w:pStyle w:val="normal1"/>
        <w:spacing w:lineRule="auto" w:line="480" w:before="240" w:after="240"/>
        <w:rPr>
          <w:rFonts w:ascii="Liberation Serif" w:hAnsi="Liberation Serif"/>
          <w:sz w:val="24"/>
          <w:szCs w:val="24"/>
        </w:rPr>
      </w:pPr>
      <w:r>
        <w:rPr>
          <w:rFonts w:ascii="Liberation Serif" w:hAnsi="Liberation Serif"/>
          <w:sz w:val="24"/>
          <w:szCs w:val="24"/>
        </w:rPr>
      </w:r>
    </w:p>
    <w:p>
      <w:pPr>
        <w:pStyle w:val="normal1"/>
        <w:spacing w:lineRule="auto" w:line="480" w:before="240" w:after="240"/>
        <w:rPr>
          <w:rFonts w:ascii="Liberation Serif" w:hAnsi="Liberation Serif"/>
          <w:sz w:val="24"/>
          <w:szCs w:val="24"/>
        </w:rPr>
      </w:pPr>
      <w:r>
        <w:rPr>
          <w:rFonts w:ascii="Liberation Serif" w:hAnsi="Liberation Serif"/>
          <w:sz w:val="24"/>
          <w:szCs w:val="24"/>
        </w:rPr>
      </w:r>
    </w:p>
    <w:p>
      <w:pPr>
        <w:pStyle w:val="normal1"/>
        <w:spacing w:lineRule="auto" w:line="480" w:before="240" w:after="240"/>
        <w:rPr>
          <w:rFonts w:ascii="Liberation Serif" w:hAnsi="Liberation Serif"/>
          <w:sz w:val="24"/>
          <w:szCs w:val="24"/>
        </w:rPr>
      </w:pPr>
      <w:r>
        <w:rPr>
          <w:rFonts w:ascii="Liberation Serif" w:hAnsi="Liberation Serif"/>
          <w:sz w:val="24"/>
          <w:szCs w:val="24"/>
        </w:rPr>
      </w:r>
    </w:p>
    <w:p>
      <w:pPr>
        <w:pStyle w:val="normal1"/>
        <w:spacing w:lineRule="auto" w:line="480" w:before="240" w:after="240"/>
        <w:rPr>
          <w:rFonts w:ascii="Liberation Serif" w:hAnsi="Liberation Serif"/>
          <w:sz w:val="24"/>
          <w:szCs w:val="24"/>
        </w:rPr>
      </w:pPr>
      <w:r>
        <w:rPr>
          <w:rFonts w:ascii="Liberation Serif" w:hAnsi="Liberation Serif"/>
          <w:sz w:val="24"/>
          <w:szCs w:val="24"/>
        </w:rPr>
      </w:r>
    </w:p>
    <w:p>
      <w:pPr>
        <w:pStyle w:val="normal1"/>
        <w:spacing w:lineRule="auto" w:line="480" w:before="240" w:after="240"/>
        <w:rPr>
          <w:rFonts w:ascii="Liberation Serif" w:hAnsi="Liberation Serif"/>
          <w:sz w:val="24"/>
          <w:szCs w:val="24"/>
        </w:rPr>
      </w:pPr>
      <w:r>
        <w:rPr>
          <w:rFonts w:ascii="Liberation Serif" w:hAnsi="Liberation Serif"/>
          <w:sz w:val="24"/>
          <w:szCs w:val="24"/>
        </w:rPr>
      </w:r>
    </w:p>
    <w:p>
      <w:pPr>
        <w:pStyle w:val="normal1"/>
        <w:spacing w:lineRule="auto" w:line="480" w:before="240" w:after="240"/>
        <w:rPr>
          <w:rFonts w:ascii="Liberation Serif" w:hAnsi="Liberation Serif"/>
          <w:sz w:val="24"/>
          <w:szCs w:val="24"/>
        </w:rPr>
      </w:pPr>
      <w:r>
        <w:rPr>
          <w:rFonts w:ascii="Liberation Serif" w:hAnsi="Liberation Serif"/>
          <w:sz w:val="24"/>
          <w:szCs w:val="24"/>
        </w:rPr>
      </w:r>
    </w:p>
    <w:p>
      <w:pPr>
        <w:pStyle w:val="normal1"/>
        <w:spacing w:lineRule="auto" w:line="480" w:before="0" w:after="0"/>
        <w:rPr>
          <w:rFonts w:ascii="Liberation Serif" w:hAnsi="Liberation Serif"/>
          <w:sz w:val="28"/>
          <w:szCs w:val="28"/>
        </w:rPr>
      </w:pPr>
      <w:r>
        <w:rPr>
          <w:rFonts w:ascii="Liberation Serif" w:hAnsi="Liberation Serif"/>
          <w:b/>
          <w:bCs/>
          <w:sz w:val="28"/>
          <w:szCs w:val="28"/>
        </w:rPr>
        <w:t>Supplemental information B: Bootstrapping</w:t>
      </w:r>
    </w:p>
    <w:p>
      <w:pPr>
        <w:pStyle w:val="normal1"/>
        <w:spacing w:lineRule="auto" w:line="480" w:before="240" w:after="240"/>
        <w:rPr>
          <w:rFonts w:ascii="Liberation Serif" w:hAnsi="Liberation Serif"/>
          <w:sz w:val="24"/>
          <w:szCs w:val="24"/>
        </w:rPr>
      </w:pPr>
      <w:r>
        <w:rPr>
          <w:rFonts w:ascii="Liberation Serif" w:hAnsi="Liberation Serif"/>
          <w:sz w:val="24"/>
          <w:szCs w:val="24"/>
        </w:rPr>
        <w:t>We used the standard Felsenstein bootstrap metric offered by RAxML-ng (Additional file 2: Fig S4)</w:t>
      </w:r>
      <w:r>
        <w:rPr>
          <w:rFonts w:ascii="Liberation Serif" w:hAnsi="Liberation Serif"/>
          <w:sz w:val="24"/>
          <w:szCs w:val="24"/>
          <w:vertAlign w:val="superscript"/>
        </w:rPr>
        <w:t xml:space="preserve">83  </w:t>
      </w:r>
      <w:r>
        <w:rPr>
          <w:rFonts w:ascii="Liberation Serif" w:hAnsi="Liberation Serif"/>
          <w:sz w:val="24"/>
          <w:szCs w:val="24"/>
        </w:rPr>
        <w:t xml:space="preserve"> for checking the statistical support of the branches in our phylogenetic trees,.</w:t>
      </w:r>
    </w:p>
    <w:p>
      <w:pPr>
        <w:pStyle w:val="normal1"/>
        <w:spacing w:lineRule="auto" w:line="480" w:before="240" w:after="240"/>
        <w:rPr>
          <w:rFonts w:ascii="Liberation Serif" w:hAnsi="Liberation Serif"/>
          <w:sz w:val="24"/>
          <w:szCs w:val="24"/>
        </w:rPr>
      </w:pPr>
      <w:r>
        <w:rPr>
          <w:rFonts w:ascii="Liberation Serif" w:hAnsi="Liberation Serif"/>
          <w:sz w:val="24"/>
          <w:szCs w:val="24"/>
        </w:rPr>
        <w:t>Bootstrapping is based on resampling with replacement from the loci included in the Multiple Sequence Alignment (MSA) to check for sampling variance. Since we are computing our tree on a genome wide core genome defined by 500k bp out of a genome of 1.8m bp, bootstrapping branch support is more likely to warn us about the presence of low quality samples, rather than the biological validity of our MSA</w:t>
      </w:r>
      <w:r>
        <w:rPr>
          <w:rFonts w:ascii="Liberation Serif" w:hAnsi="Liberation Serif"/>
          <w:sz w:val="24"/>
          <w:szCs w:val="24"/>
          <w:vertAlign w:val="superscript"/>
        </w:rPr>
        <w:t>83,84</w:t>
      </w:r>
      <w:r>
        <w:rPr>
          <w:rFonts w:ascii="Liberation Serif" w:hAnsi="Liberation Serif"/>
          <w:sz w:val="24"/>
          <w:szCs w:val="24"/>
        </w:rPr>
        <w:t>.</w:t>
      </w:r>
    </w:p>
    <w:p>
      <w:pPr>
        <w:pStyle w:val="normal1"/>
        <w:spacing w:lineRule="auto" w:line="480" w:before="240" w:after="240"/>
        <w:rPr>
          <w:rFonts w:ascii="Liberation Serif" w:hAnsi="Liberation Serif"/>
          <w:sz w:val="24"/>
          <w:szCs w:val="24"/>
        </w:rPr>
      </w:pPr>
      <w:r>
        <w:rPr>
          <w:rFonts w:ascii="Liberation Serif" w:hAnsi="Liberation Serif"/>
          <w:sz w:val="24"/>
          <w:szCs w:val="24"/>
        </w:rPr>
        <w:t>An alternative way to validate our tree is to quantify genealogical concordance through site Concordance Factor (sCF), which quantifies how many decisive loci agree with a branch in a tree</w:t>
      </w:r>
      <w:r>
        <w:rPr>
          <w:rFonts w:ascii="Liberation Serif" w:hAnsi="Liberation Serif"/>
          <w:sz w:val="24"/>
          <w:szCs w:val="24"/>
          <w:vertAlign w:val="superscript"/>
        </w:rPr>
        <w:t>85</w:t>
      </w:r>
      <w:r>
        <w:rPr>
          <w:rFonts w:ascii="Liberation Serif" w:hAnsi="Liberation Serif"/>
          <w:sz w:val="24"/>
          <w:szCs w:val="24"/>
        </w:rPr>
        <w:t>. We calculated this using IQTree2 on our final phylogenetic tree which used the Gubbins-masked MSA:</w:t>
      </w:r>
    </w:p>
    <w:p>
      <w:pPr>
        <w:pStyle w:val="normal1"/>
        <w:spacing w:lineRule="auto" w:line="480" w:before="240" w:after="240"/>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iqtree -te strep_mutans_asm5_4.GCF_009738105.1_ASM973810v1.raxml.bestTree -s strep_mutans_asm5_4.GCF_009738105.1_ASM973810v1.masked.aln --scfl 100 --prefix strep_mutans_asm5_4 -T AUTO”</w:t>
      </w:r>
    </w:p>
    <w:p>
      <w:pPr>
        <w:pStyle w:val="normal1"/>
        <w:spacing w:lineRule="auto" w:line="480" w:before="240" w:after="240"/>
        <w:rPr>
          <w:rFonts w:ascii="Liberation Serif" w:hAnsi="Liberation Serif"/>
          <w:sz w:val="24"/>
          <w:szCs w:val="24"/>
        </w:rPr>
      </w:pPr>
      <w:r>
        <w:rPr>
          <w:rFonts w:ascii="Liberation Serif" w:hAnsi="Liberation Serif"/>
          <w:sz w:val="24"/>
          <w:szCs w:val="24"/>
        </w:rPr>
        <w:t>IQtree built a tree based on the “TVM+F+I+R5” substitution model using our final RaxML-ng tree (“GTR+G” substitution model) as a starting tree and computed sCF values for each non-terminal branch in the tree.</w:t>
      </w:r>
    </w:p>
    <w:p>
      <w:pPr>
        <w:pStyle w:val="normal1"/>
        <w:spacing w:lineRule="auto" w:line="480" w:before="240" w:after="240"/>
        <w:rPr>
          <w:rFonts w:ascii="Liberation Serif" w:hAnsi="Liberation Serif"/>
          <w:sz w:val="24"/>
          <w:szCs w:val="24"/>
        </w:rPr>
      </w:pPr>
      <w:r>
        <w:rPr>
          <w:rFonts w:eastAsia="Arial Unicode MS" w:cs="Arial Unicode MS" w:ascii="Liberation Serif" w:hAnsi="Liberation Serif"/>
          <w:sz w:val="24"/>
          <w:szCs w:val="24"/>
        </w:rPr>
        <w:t>In additional file 2: Fig S18 for the shallow branches of the IQ-Tree, the sCF is either ≃100% or &gt;33%. Since sCF is calculated by sampling quartets from internal nodes, this means that only three alternative models are tested for the decisive loci. In the case where there is no consensus between the loci, we would expect an sCF ≃33%. When the sCF is below that, the likelihood favors a different branch split than the one in the tree</w:t>
      </w:r>
      <w:r>
        <w:rPr>
          <w:rFonts w:eastAsia="Arial Unicode MS" w:cs="Arial Unicode MS" w:ascii="Liberation Serif" w:hAnsi="Liberation Serif"/>
          <w:sz w:val="24"/>
          <w:szCs w:val="24"/>
          <w:vertAlign w:val="superscript"/>
        </w:rPr>
        <w:t>86</w:t>
      </w:r>
      <w:r>
        <w:rPr>
          <w:rFonts w:ascii="Liberation Serif" w:hAnsi="Liberation Serif"/>
          <w:sz w:val="24"/>
          <w:szCs w:val="24"/>
        </w:rPr>
        <w:t>. Since we get high bootstrap values at the same branches, they must be statistically consistent across our resampled MSA, but the actual site-level signal for it is weak or highly conflicted. This could indicate that at the variable sites which define these branches, there is still a significant level of recombination, which had not been adequately masked by 20 iterations of the Gubbins algorithm on the original MSA</w:t>
      </w:r>
      <w:r>
        <w:rPr>
          <w:rFonts w:ascii="Liberation Serif" w:hAnsi="Liberation Serif"/>
          <w:sz w:val="24"/>
          <w:szCs w:val="24"/>
          <w:vertAlign w:val="superscript"/>
        </w:rPr>
        <w:t>85</w:t>
      </w:r>
      <w:r>
        <w:rPr>
          <w:rFonts w:ascii="Liberation Serif" w:hAnsi="Liberation Serif"/>
          <w:sz w:val="24"/>
          <w:szCs w:val="24"/>
        </w:rPr>
        <w:t>.</w:t>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rPr>
          <w:rFonts w:ascii="Liberation Serif" w:hAnsi="Liberation Serif"/>
          <w:b/>
          <w:bCs/>
          <w:sz w:val="24"/>
          <w:szCs w:val="24"/>
        </w:rPr>
      </w:pPr>
      <w:r>
        <w:rPr>
          <w:rFonts w:ascii="Liberation Serif" w:hAnsi="Liberation Serif"/>
          <w:b/>
          <w:bCs/>
          <w:sz w:val="24"/>
          <w:szCs w:val="24"/>
        </w:rPr>
      </w:r>
    </w:p>
    <w:p>
      <w:pPr>
        <w:pStyle w:val="normal1"/>
        <w:spacing w:lineRule="auto" w:line="480" w:before="0" w:after="240"/>
        <w:rPr>
          <w:rFonts w:ascii="Liberation Serif" w:hAnsi="Liberation Serif"/>
          <w:sz w:val="28"/>
          <w:szCs w:val="28"/>
        </w:rPr>
      </w:pPr>
      <w:r>
        <w:rPr>
          <w:rFonts w:ascii="Liberation Serif" w:hAnsi="Liberation Serif"/>
          <w:b/>
          <w:bCs/>
          <w:sz w:val="28"/>
          <w:szCs w:val="28"/>
        </w:rPr>
        <w:t xml:space="preserve">Supplemental information C: Molecular dating of </w:t>
      </w:r>
      <w:r>
        <w:rPr>
          <w:rFonts w:ascii="Liberation Serif" w:hAnsi="Liberation Serif"/>
          <w:b/>
          <w:bCs/>
          <w:i/>
          <w:iCs/>
          <w:sz w:val="28"/>
          <w:szCs w:val="28"/>
        </w:rPr>
        <w:t>S. mutans</w:t>
      </w:r>
    </w:p>
    <w:p>
      <w:pPr>
        <w:pStyle w:val="normal1"/>
        <w:spacing w:lineRule="auto" w:line="480" w:before="240" w:after="240"/>
        <w:rPr>
          <w:rFonts w:ascii="Liberation Serif" w:hAnsi="Liberation Serif"/>
          <w:sz w:val="24"/>
          <w:szCs w:val="24"/>
        </w:rPr>
      </w:pPr>
      <w:r>
        <w:rPr>
          <w:rFonts w:ascii="Liberation Serif" w:hAnsi="Liberation Serif"/>
          <w:sz w:val="24"/>
          <w:szCs w:val="24"/>
        </w:rPr>
        <w:t xml:space="preserve">Working with ancient </w:t>
      </w:r>
      <w:r>
        <w:rPr>
          <w:rFonts w:ascii="Liberation Serif" w:hAnsi="Liberation Serif"/>
          <w:i/>
          <w:iCs/>
          <w:sz w:val="24"/>
          <w:szCs w:val="24"/>
        </w:rPr>
        <w:t>Streptococcus</w:t>
      </w:r>
      <w:r>
        <w:rPr>
          <w:rFonts w:ascii="Liberation Serif" w:hAnsi="Liberation Serif"/>
          <w:sz w:val="24"/>
          <w:szCs w:val="24"/>
        </w:rPr>
        <w:t xml:space="preserve"> presents two challenges in finding a molecular clock:</w:t>
      </w:r>
    </w:p>
    <w:p>
      <w:pPr>
        <w:pStyle w:val="normal1"/>
        <w:numPr>
          <w:ilvl w:val="0"/>
          <w:numId w:val="1"/>
        </w:numPr>
        <w:spacing w:lineRule="auto" w:line="480" w:before="240" w:afterAutospacing="0" w:after="0"/>
        <w:ind w:hanging="360" w:left="720"/>
        <w:rPr>
          <w:rFonts w:ascii="Liberation Serif" w:hAnsi="Liberation Serif"/>
          <w:sz w:val="24"/>
          <w:szCs w:val="24"/>
        </w:rPr>
      </w:pPr>
      <w:r>
        <w:rPr>
          <w:rFonts w:ascii="Liberation Serif" w:hAnsi="Liberation Serif"/>
          <w:i/>
          <w:iCs/>
          <w:sz w:val="24"/>
          <w:szCs w:val="24"/>
        </w:rPr>
        <w:t>Streptococcus</w:t>
      </w:r>
      <w:r>
        <w:rPr>
          <w:rFonts w:ascii="Liberation Serif" w:hAnsi="Liberation Serif"/>
          <w:sz w:val="24"/>
          <w:szCs w:val="24"/>
        </w:rPr>
        <w:t xml:space="preserve"> species exchange DNA through horizontal transfer, which artificially inflates the rate of substitutions in some regions of the genome, as a result of homologous recombination.</w:t>
      </w:r>
    </w:p>
    <w:p>
      <w:pPr>
        <w:pStyle w:val="normal1"/>
        <w:numPr>
          <w:ilvl w:val="0"/>
          <w:numId w:val="1"/>
        </w:numPr>
        <w:spacing w:lineRule="auto" w:line="480" w:beforeAutospacing="0" w:before="0" w:after="240"/>
        <w:ind w:hanging="360" w:left="720"/>
        <w:rPr>
          <w:rFonts w:ascii="Liberation Serif" w:hAnsi="Liberation Serif"/>
          <w:sz w:val="24"/>
          <w:szCs w:val="24"/>
        </w:rPr>
      </w:pPr>
      <w:r>
        <w:rPr>
          <w:rFonts w:ascii="Liberation Serif" w:hAnsi="Liberation Serif"/>
          <w:sz w:val="24"/>
          <w:szCs w:val="24"/>
        </w:rPr>
        <w:t>aDNA is short and damaged, and is only recovered from metagenomic samples, which can have many different strains of the same organism present in a sample. Which can lead to a detection of false positive substitutions.</w:t>
      </w:r>
    </w:p>
    <w:p>
      <w:pPr>
        <w:pStyle w:val="normal1"/>
        <w:spacing w:lineRule="auto" w:line="480" w:before="240" w:after="240"/>
        <w:ind w:hanging="0" w:left="0"/>
        <w:rPr>
          <w:rFonts w:ascii="Liberation Serif" w:hAnsi="Liberation Serif"/>
          <w:sz w:val="24"/>
          <w:szCs w:val="24"/>
        </w:rPr>
      </w:pPr>
      <w:r>
        <w:rPr>
          <w:rFonts w:ascii="Liberation Serif" w:hAnsi="Liberation Serif"/>
          <w:sz w:val="24"/>
          <w:szCs w:val="24"/>
        </w:rPr>
        <w:t xml:space="preserve">To deal with the first issue, we used the recombination-corrected tree obtained from Gubbins. To deal with the second issue, this tree only included ancient samples that had a high depth of coverage, which would smooth over the random accumulation of sequencing errors. We also only chose samples with a low multi-allele  rate in genotype calls, to ensure that the </w:t>
      </w:r>
      <w:r>
        <w:rPr>
          <w:rFonts w:ascii="Liberation Serif" w:hAnsi="Liberation Serif"/>
          <w:i/>
          <w:iCs/>
          <w:sz w:val="24"/>
          <w:szCs w:val="24"/>
        </w:rPr>
        <w:t xml:space="preserve">S. mutans </w:t>
      </w:r>
      <w:r>
        <w:rPr>
          <w:rFonts w:ascii="Liberation Serif" w:hAnsi="Liberation Serif"/>
          <w:sz w:val="24"/>
          <w:szCs w:val="24"/>
        </w:rPr>
        <w:t xml:space="preserve">reads were not from a chimeric mix of different strains. </w:t>
      </w:r>
    </w:p>
    <w:p>
      <w:pPr>
        <w:pStyle w:val="normal1"/>
        <w:spacing w:lineRule="auto" w:line="480" w:before="240" w:after="240"/>
        <w:rPr>
          <w:rFonts w:ascii="Liberation Serif" w:hAnsi="Liberation Serif"/>
          <w:sz w:val="24"/>
          <w:szCs w:val="24"/>
        </w:rPr>
      </w:pPr>
      <w:r>
        <w:rPr>
          <w:rFonts w:ascii="Liberation Serif" w:hAnsi="Liberation Serif"/>
          <w:sz w:val="24"/>
          <w:szCs w:val="24"/>
        </w:rPr>
        <w:t>As a baseline model, we rerooted the phylogenetic tree by maximising the root-to-tip correlation with the known sample dates, and estimated an evolutionary rate and root-date through a linear regression analysis. This gave an R2 value of 0.54 and a Most-Recent-Common-Ancestor estimate approximately the same as our oldest sample included. With this approach NEO137 is placed near the root, which is inconsistent with the phylogenetic results in this and previous studies</w:t>
      </w:r>
      <w:r>
        <w:rPr>
          <w:rFonts w:ascii="Liberation Serif" w:hAnsi="Liberation Serif"/>
          <w:sz w:val="24"/>
          <w:szCs w:val="24"/>
          <w:vertAlign w:val="superscript"/>
        </w:rPr>
        <w:t>10</w:t>
      </w:r>
      <w:r>
        <w:rPr>
          <w:rFonts w:ascii="Liberation Serif" w:hAnsi="Liberation Serif"/>
          <w:position w:val="0"/>
          <w:sz w:val="24"/>
          <w:sz w:val="24"/>
          <w:szCs w:val="24"/>
          <w:vertAlign w:val="baseline"/>
        </w:rPr>
        <w:t xml:space="preserve"> (Additional file 2: Fig. S19)</w:t>
      </w:r>
      <w:r>
        <w:rPr>
          <w:rFonts w:ascii="Liberation Serif" w:hAnsi="Liberation Serif"/>
          <w:sz w:val="24"/>
          <w:szCs w:val="24"/>
        </w:rPr>
        <w:t>.</w:t>
      </w:r>
    </w:p>
    <w:p>
      <w:pPr>
        <w:pStyle w:val="normal1"/>
        <w:spacing w:lineRule="auto" w:line="480" w:before="240" w:after="240"/>
        <w:rPr>
          <w:rFonts w:ascii="Liberation Serif" w:hAnsi="Liberation Serif"/>
          <w:sz w:val="24"/>
          <w:szCs w:val="24"/>
        </w:rPr>
      </w:pPr>
      <w:r>
        <w:rPr>
          <w:rFonts w:ascii="Liberation Serif" w:hAnsi="Liberation Serif"/>
          <w:sz w:val="24"/>
          <w:szCs w:val="24"/>
        </w:rPr>
        <w:t>We calculated a molecular clock model through bayesian statistics using Bactdating</w:t>
      </w:r>
      <w:r>
        <w:rPr>
          <w:rFonts w:ascii="Liberation Serif" w:hAnsi="Liberation Serif"/>
          <w:sz w:val="24"/>
          <w:szCs w:val="24"/>
          <w:vertAlign w:val="superscript"/>
        </w:rPr>
        <w:t>81</w:t>
      </w:r>
      <w:r>
        <w:rPr>
          <w:rFonts w:ascii="Liberation Serif" w:hAnsi="Liberation Serif"/>
          <w:sz w:val="24"/>
          <w:szCs w:val="24"/>
        </w:rPr>
        <w:t>, which gave us a proposed root date magnitudes higher than our baseline model around 70.000B.P. As can be seen in the trace plots in additional file 2: Fig. S20, the model was unable to converge to neither a stable root-branch, nor a clock-rate nor a root date.</w:t>
      </w:r>
    </w:p>
    <w:p>
      <w:pPr>
        <w:pStyle w:val="normal1"/>
        <w:spacing w:lineRule="auto" w:line="480" w:before="240" w:after="240"/>
        <w:rPr>
          <w:rFonts w:ascii="Liberation Serif" w:hAnsi="Liberation Serif"/>
          <w:sz w:val="24"/>
          <w:szCs w:val="24"/>
        </w:rPr>
      </w:pPr>
      <w:r>
        <w:rPr>
          <w:rFonts w:ascii="Liberation Serif" w:hAnsi="Liberation Serif"/>
          <w:sz w:val="24"/>
          <w:szCs w:val="24"/>
        </w:rPr>
        <w:t>To evaluate whether the temporal signal was stronger at a smaller evolutionary scale, we reran the analysis on an individual clade of the phylogenetic tree. We chose the clade assigned to chromopainter cluster D, as it included among 38 samples, 3 of our 4 ancient samples. As with the whole phylogeny, we recomputed both the linear regression and bayesian statistical models for a molecular clock, the results of which are summarised in additional file 3: Table S3 and S4.</w:t>
      </w:r>
    </w:p>
    <w:p>
      <w:pPr>
        <w:pStyle w:val="normal1"/>
        <w:spacing w:lineRule="auto" w:line="480" w:before="240" w:after="240"/>
        <w:rPr>
          <w:rFonts w:ascii="Liberation Serif" w:hAnsi="Liberation Serif"/>
          <w:sz w:val="24"/>
          <w:szCs w:val="24"/>
        </w:rPr>
      </w:pPr>
      <w:r>
        <w:rPr>
          <w:rFonts w:ascii="Liberation Serif" w:hAnsi="Liberation Serif"/>
          <w:sz w:val="24"/>
          <w:szCs w:val="24"/>
        </w:rPr>
        <w:t xml:space="preserve">The large disparity in root estimates between model types, and its similarity between the whole tree and the subtree, lead us to believe that we could not find a robust temporal signal. We suspect that the primary reason it is difficult to establish a molecular clock for </w:t>
      </w:r>
      <w:r>
        <w:rPr>
          <w:rFonts w:ascii="Liberation Serif" w:hAnsi="Liberation Serif"/>
          <w:i/>
          <w:iCs/>
          <w:sz w:val="24"/>
          <w:szCs w:val="24"/>
        </w:rPr>
        <w:t>S. mutans</w:t>
      </w:r>
      <w:r>
        <w:rPr>
          <w:rFonts w:ascii="Liberation Serif" w:hAnsi="Liberation Serif"/>
          <w:sz w:val="24"/>
          <w:szCs w:val="24"/>
        </w:rPr>
        <w:t xml:space="preserve"> is because of the high rate of recombination</w:t>
      </w:r>
      <w:r>
        <w:rPr>
          <w:rFonts w:ascii="Liberation Serif" w:hAnsi="Liberation Serif"/>
          <w:sz w:val="24"/>
          <w:szCs w:val="24"/>
          <w:vertAlign w:val="superscript"/>
        </w:rPr>
        <w:t>82</w:t>
      </w:r>
      <w:r>
        <w:rPr>
          <w:rFonts w:ascii="Liberation Serif" w:hAnsi="Liberation Serif"/>
          <w:sz w:val="24"/>
          <w:szCs w:val="24"/>
        </w:rPr>
        <w:t xml:space="preserve">. </w:t>
      </w:r>
    </w:p>
    <w:p>
      <w:pPr>
        <w:pStyle w:val="normal1"/>
        <w:spacing w:lineRule="auto" w:line="480" w:before="0" w:after="0"/>
        <w:rPr>
          <w:rFonts w:ascii="Liberation Serif" w:hAnsi="Liberation Serif"/>
          <w:sz w:val="24"/>
          <w:szCs w:val="24"/>
        </w:rPr>
      </w:pPr>
      <w:r>
        <w:rPr>
          <w:rFonts w:ascii="Liberation Serif" w:hAnsi="Liberation Serif"/>
          <w:sz w:val="24"/>
          <w:szCs w:val="24"/>
        </w:rPr>
      </w:r>
    </w:p>
    <w:p>
      <w:pPr>
        <w:pStyle w:val="normal1"/>
        <w:spacing w:lineRule="auto" w:line="480"/>
        <w:rPr>
          <w:rFonts w:ascii="Liberation Serif" w:hAnsi="Liberation Serif"/>
          <w:sz w:val="28"/>
          <w:szCs w:val="28"/>
        </w:rPr>
      </w:pPr>
      <w:r>
        <w:rPr>
          <w:rFonts w:ascii="Liberation Serif" w:hAnsi="Liberation Serif"/>
          <w:b/>
          <w:bCs/>
          <w:sz w:val="28"/>
          <w:szCs w:val="28"/>
        </w:rPr>
        <w:t>Supplemental information D: CGG101233</w:t>
      </w:r>
    </w:p>
    <w:p>
      <w:pPr>
        <w:pStyle w:val="normal1"/>
        <w:spacing w:lineRule="auto" w:line="480"/>
        <w:rPr>
          <w:rFonts w:ascii="Liberation Serif" w:hAnsi="Liberation Serif"/>
          <w:sz w:val="24"/>
          <w:szCs w:val="24"/>
        </w:rPr>
      </w:pPr>
      <w:r>
        <w:rPr>
          <w:rFonts w:ascii="Liberation Serif" w:hAnsi="Liberation Serif"/>
          <w:sz w:val="24"/>
          <w:szCs w:val="24"/>
        </w:rPr>
      </w:r>
    </w:p>
    <w:p>
      <w:pPr>
        <w:pStyle w:val="normal1"/>
        <w:spacing w:lineRule="auto" w:line="480"/>
        <w:rPr>
          <w:rFonts w:ascii="Liberation Serif" w:hAnsi="Liberation Serif"/>
          <w:sz w:val="24"/>
          <w:szCs w:val="24"/>
        </w:rPr>
      </w:pPr>
      <w:r>
        <w:rPr>
          <w:rFonts w:ascii="Liberation Serif" w:hAnsi="Liberation Serif"/>
          <w:sz w:val="24"/>
          <w:szCs w:val="24"/>
        </w:rPr>
        <w:t xml:space="preserve">We got a remarkable coverage for </w:t>
      </w:r>
      <w:r>
        <w:rPr>
          <w:rFonts w:ascii="Liberation Serif" w:hAnsi="Liberation Serif"/>
          <w:i/>
          <w:iCs/>
          <w:sz w:val="24"/>
          <w:szCs w:val="24"/>
        </w:rPr>
        <w:t>S. mutans</w:t>
      </w:r>
      <w:r>
        <w:rPr>
          <w:rFonts w:ascii="Liberation Serif" w:hAnsi="Liberation Serif"/>
          <w:sz w:val="24"/>
          <w:szCs w:val="24"/>
        </w:rPr>
        <w:t xml:space="preserve"> from sample CGG101233 unprecedented in ancient paleomicrobiology (Additional file 3: Table 1). Although the metaDMG Z-score authenticates it as ancient, it has remarkably well preserved reads, which is why we could assemble it from only 23 contigs.</w:t>
      </w:r>
    </w:p>
    <w:p>
      <w:pPr>
        <w:pStyle w:val="normal1"/>
        <w:spacing w:lineRule="auto" w:line="480" w:before="240" w:after="240"/>
        <w:rPr>
          <w:rFonts w:ascii="Liberation Serif" w:hAnsi="Liberation Serif"/>
          <w:sz w:val="24"/>
          <w:szCs w:val="24"/>
        </w:rPr>
      </w:pPr>
      <w:r>
        <w:rPr>
          <w:rFonts w:ascii="Liberation Serif" w:hAnsi="Liberation Serif"/>
          <w:sz w:val="24"/>
          <w:szCs w:val="24"/>
        </w:rPr>
        <w:t xml:space="preserve">It is well-known from the literature that </w:t>
      </w:r>
      <w:r>
        <w:rPr>
          <w:rFonts w:ascii="Liberation Serif" w:hAnsi="Liberation Serif"/>
          <w:i/>
          <w:iCs/>
          <w:sz w:val="24"/>
          <w:szCs w:val="24"/>
        </w:rPr>
        <w:t>Streptococcus mutans</w:t>
      </w:r>
      <w:r>
        <w:rPr>
          <w:rFonts w:ascii="Liberation Serif" w:hAnsi="Liberation Serif"/>
          <w:sz w:val="24"/>
          <w:szCs w:val="24"/>
        </w:rPr>
        <w:t xml:space="preserve"> is strongly associated with cavitated lesions predominantly in dentin</w:t>
      </w:r>
      <w:r>
        <w:rPr>
          <w:rFonts w:ascii="Liberation Serif" w:hAnsi="Liberation Serif"/>
          <w:sz w:val="24"/>
          <w:szCs w:val="24"/>
          <w:vertAlign w:val="superscript"/>
        </w:rPr>
        <w:t>8</w:t>
      </w:r>
      <w:r>
        <w:rPr>
          <w:rFonts w:ascii="Liberation Serif" w:hAnsi="Liberation Serif"/>
          <w:sz w:val="24"/>
          <w:szCs w:val="24"/>
        </w:rPr>
        <w:t xml:space="preserve">. The reason for that is that </w:t>
      </w:r>
      <w:r>
        <w:rPr>
          <w:rFonts w:ascii="Liberation Serif" w:hAnsi="Liberation Serif"/>
          <w:i/>
          <w:iCs/>
          <w:sz w:val="24"/>
          <w:szCs w:val="24"/>
        </w:rPr>
        <w:t xml:space="preserve">S. mutans </w:t>
      </w:r>
      <w:r>
        <w:rPr>
          <w:rFonts w:ascii="Liberation Serif" w:hAnsi="Liberation Serif"/>
          <w:sz w:val="24"/>
          <w:szCs w:val="24"/>
        </w:rPr>
        <w:t>possess the virulence factors needed to thrive in the acidic and anaerobic environment of the deep caries lesion</w:t>
      </w:r>
      <w:r>
        <w:rPr>
          <w:rFonts w:ascii="Liberation Serif" w:hAnsi="Liberation Serif"/>
          <w:sz w:val="24"/>
          <w:szCs w:val="24"/>
          <w:vertAlign w:val="superscript"/>
        </w:rPr>
        <w:t>87,7</w:t>
      </w:r>
      <w:r>
        <w:rPr>
          <w:rFonts w:ascii="Liberation Serif" w:hAnsi="Liberation Serif"/>
          <w:sz w:val="24"/>
          <w:szCs w:val="24"/>
        </w:rPr>
        <w:t>.</w:t>
      </w:r>
    </w:p>
    <w:p>
      <w:pPr>
        <w:pStyle w:val="normal1"/>
        <w:spacing w:lineRule="auto" w:line="480" w:before="240" w:after="160"/>
        <w:rPr>
          <w:rFonts w:ascii="Liberation Serif" w:hAnsi="Liberation Serif"/>
          <w:sz w:val="24"/>
          <w:szCs w:val="24"/>
        </w:rPr>
      </w:pPr>
      <w:r>
        <w:rPr>
          <w:rFonts w:ascii="Liberation Serif" w:hAnsi="Liberation Serif"/>
          <w:sz w:val="24"/>
          <w:szCs w:val="24"/>
        </w:rPr>
        <w:t xml:space="preserve">Hence, the most obvious reason for the finding of a hitherto unprecedented coverage of </w:t>
      </w:r>
      <w:r>
        <w:rPr>
          <w:rFonts w:ascii="Liberation Serif" w:hAnsi="Liberation Serif"/>
          <w:i/>
          <w:iCs/>
          <w:sz w:val="24"/>
          <w:szCs w:val="24"/>
        </w:rPr>
        <w:t>S. mutans</w:t>
      </w:r>
      <w:r>
        <w:rPr>
          <w:rFonts w:ascii="Liberation Serif" w:hAnsi="Liberation Serif"/>
          <w:sz w:val="24"/>
          <w:szCs w:val="24"/>
        </w:rPr>
        <w:t xml:space="preserve"> in the present ancient tooth is that this most likely was affected by a deep caries lesion, wherein the bacteria was entombed and preserved. Although the root of CGG101233 was destroyed during sampling , we still had access to the crown of the tooth (Additional file 2: Fig. S21). From the top of the crown, it can be seen that one of the occlusal fissures is more dark and rough in texture (yellow arrow) as compared to the other fissure, which appears more smooth and lighter in color. These findings suggest presence of a caries lesion corresponding to the dark fissure, which would be an excellent habitat for </w:t>
      </w:r>
      <w:r>
        <w:rPr>
          <w:rFonts w:ascii="Liberation Serif" w:hAnsi="Liberation Serif"/>
          <w:i/>
          <w:iCs/>
          <w:sz w:val="24"/>
          <w:szCs w:val="24"/>
        </w:rPr>
        <w:t>S. mutans.</w:t>
      </w:r>
    </w:p>
    <w:p>
      <w:pPr>
        <w:pStyle w:val="normal1"/>
        <w:spacing w:lineRule="auto" w:line="480" w:before="240" w:after="160"/>
        <w:rPr>
          <w:rFonts w:ascii="Liberation Serif" w:hAnsi="Liberation Serif"/>
          <w:sz w:val="24"/>
          <w:szCs w:val="24"/>
        </w:rPr>
      </w:pPr>
      <w:r>
        <w:rPr>
          <w:rFonts w:ascii="Liberation Serif" w:hAnsi="Liberation Serif"/>
          <w:sz w:val="24"/>
          <w:szCs w:val="24"/>
        </w:rPr>
        <w:t xml:space="preserve">It is known from the literature that </w:t>
      </w:r>
      <w:r>
        <w:rPr>
          <w:rFonts w:ascii="Liberation Serif" w:hAnsi="Liberation Serif"/>
          <w:i/>
          <w:iCs/>
          <w:sz w:val="24"/>
          <w:szCs w:val="24"/>
        </w:rPr>
        <w:t xml:space="preserve">S. mutans </w:t>
      </w:r>
      <w:r>
        <w:rPr>
          <w:rFonts w:ascii="Liberation Serif" w:hAnsi="Liberation Serif"/>
          <w:sz w:val="24"/>
          <w:szCs w:val="24"/>
        </w:rPr>
        <w:t>is known to be able to invade dentin tubules</w:t>
      </w:r>
      <w:r>
        <w:rPr>
          <w:rFonts w:ascii="Liberation Serif" w:hAnsi="Liberation Serif"/>
          <w:sz w:val="24"/>
          <w:szCs w:val="24"/>
          <w:vertAlign w:val="superscript"/>
        </w:rPr>
        <w:t>88,89</w:t>
      </w:r>
      <w:r>
        <w:rPr>
          <w:rFonts w:ascii="Liberation Serif" w:hAnsi="Liberation Serif"/>
          <w:sz w:val="24"/>
          <w:szCs w:val="24"/>
        </w:rPr>
        <w:t xml:space="preserve">, and subsequently the pulp, which would be a possible explanation for our findings of a high </w:t>
      </w:r>
      <w:r>
        <w:rPr>
          <w:rFonts w:ascii="Liberation Serif" w:hAnsi="Liberation Serif"/>
          <w:i/>
          <w:iCs/>
          <w:sz w:val="24"/>
          <w:szCs w:val="24"/>
        </w:rPr>
        <w:t xml:space="preserve">S. mutans </w:t>
      </w:r>
      <w:r>
        <w:rPr>
          <w:rFonts w:ascii="Liberation Serif" w:hAnsi="Liberation Serif"/>
          <w:sz w:val="24"/>
          <w:szCs w:val="24"/>
        </w:rPr>
        <w:t>coverage, despite that the actual caries lesion was not part of the material sampled.</w:t>
      </w:r>
    </w:p>
    <w:p>
      <w:pPr>
        <w:pStyle w:val="normal1"/>
        <w:spacing w:lineRule="auto" w:line="480" w:before="240" w:after="160"/>
        <w:rPr>
          <w:rFonts w:ascii="Liberation Serif" w:hAnsi="Liberation Serif"/>
          <w:sz w:val="24"/>
          <w:szCs w:val="24"/>
        </w:rPr>
      </w:pPr>
      <w:r>
        <w:rPr>
          <w:rFonts w:ascii="Liberation Serif" w:hAnsi="Liberation Serif"/>
          <w:sz w:val="24"/>
          <w:szCs w:val="24"/>
        </w:rPr>
      </w:r>
    </w:p>
    <w:p>
      <w:pPr>
        <w:pStyle w:val="normal1"/>
        <w:spacing w:lineRule="auto" w:line="480" w:before="240" w:after="160"/>
        <w:rPr/>
      </w:pPr>
      <w:r>
        <w:rPr>
          <w:rFonts w:ascii="Liberation Serif" w:hAnsi="Liberation Serif"/>
          <w:b/>
          <w:bCs/>
          <w:sz w:val="28"/>
          <w:szCs w:val="28"/>
        </w:rPr>
        <w:t>Supplemental information E: Archaeological Information</w:t>
      </w:r>
    </w:p>
    <w:p>
      <w:pPr>
        <w:pStyle w:val="Heading3"/>
        <w:spacing w:lineRule="auto" w:line="480"/>
        <w:jc w:val="both"/>
        <w:rPr>
          <w:rFonts w:ascii="Liberation Serif" w:hAnsi="Liberation Serif"/>
        </w:rPr>
      </w:pPr>
      <w:bookmarkStart w:id="0" w:name="_oa8191575i1i"/>
      <w:bookmarkEnd w:id="0"/>
      <w:r>
        <w:rPr>
          <w:rFonts w:eastAsia="Times New Roman" w:cs="Times New Roman" w:ascii="Liberation Serif" w:hAnsi="Liberation Serif"/>
          <w:b/>
          <w:color w:val="000000"/>
          <w:sz w:val="24"/>
          <w:szCs w:val="24"/>
        </w:rPr>
        <w:t>Sample processing and library preparation:</w:t>
      </w:r>
    </w:p>
    <w:p>
      <w:pPr>
        <w:pStyle w:val="LO-normal"/>
        <w:spacing w:lineRule="auto" w:line="480"/>
        <w:jc w:val="both"/>
        <w:rPr>
          <w:rFonts w:ascii="Liberation Serif" w:hAnsi="Liberation Serif"/>
        </w:rPr>
      </w:pPr>
      <w:r>
        <w:rPr>
          <w:rFonts w:eastAsia="Times New Roman" w:cs="Times New Roman" w:ascii="Liberation Serif" w:hAnsi="Liberation Serif"/>
          <w:sz w:val="24"/>
          <w:szCs w:val="24"/>
        </w:rPr>
        <w:t>Total amount of 70-120mg of the drilled tooth or petrous bones have been used for aDNA extraction following</w:t>
      </w:r>
      <w:r>
        <w:rPr>
          <w:rFonts w:eastAsia="Times New Roman" w:cs="Times New Roman" w:ascii="Liberation Serif" w:hAnsi="Liberation Serif"/>
          <w:sz w:val="24"/>
          <w:szCs w:val="24"/>
          <w:vertAlign w:val="superscript"/>
        </w:rPr>
        <w:t>90</w:t>
      </w:r>
      <w:r>
        <w:rPr>
          <w:rFonts w:eastAsia="Times New Roman" w:cs="Times New Roman" w:ascii="Liberation Serif" w:hAnsi="Liberation Serif"/>
          <w:sz w:val="24"/>
          <w:szCs w:val="24"/>
        </w:rPr>
        <w:t xml:space="preserve"> in a dedicated aDNA clean room at the Centre for GeoGenetics. Pre-digestion step has been carried out before DNA extraction in order to increase the chance of retrieving more endogenous DNA with less surface contamination</w:t>
      </w:r>
      <w:r>
        <w:rPr>
          <w:rFonts w:eastAsia="Times New Roman" w:cs="Times New Roman" w:ascii="Liberation Serif" w:hAnsi="Liberation Serif"/>
          <w:sz w:val="24"/>
          <w:szCs w:val="24"/>
          <w:vertAlign w:val="superscript"/>
        </w:rPr>
        <w:t>90</w:t>
      </w:r>
      <w:r>
        <w:rPr>
          <w:rFonts w:eastAsia="Times New Roman" w:cs="Times New Roman" w:ascii="Liberation Serif" w:hAnsi="Liberation Serif"/>
          <w:sz w:val="24"/>
          <w:szCs w:val="24"/>
        </w:rPr>
        <w:t>. To confirm the presence of aDNA damage and fragments, a blunt-end non-user-treated library has been built for each extraction based on</w:t>
      </w:r>
      <w:r>
        <w:rPr>
          <w:rFonts w:eastAsia="Times New Roman" w:cs="Times New Roman" w:ascii="Liberation Serif" w:hAnsi="Liberation Serif"/>
          <w:sz w:val="24"/>
          <w:szCs w:val="24"/>
          <w:vertAlign w:val="superscript"/>
        </w:rPr>
        <w:t>91</w:t>
      </w:r>
      <w:r>
        <w:rPr>
          <w:rFonts w:eastAsia="Times New Roman" w:cs="Times New Roman" w:ascii="Liberation Serif" w:hAnsi="Liberation Serif"/>
          <w:sz w:val="24"/>
          <w:szCs w:val="24"/>
        </w:rPr>
        <w:t xml:space="preserve">. Two different user-treated library methodologies have been used for the extractions with authenticated aDNA endogenous molecules such as double and single-stranded libraries. </w:t>
      </w:r>
    </w:p>
    <w:p>
      <w:pPr>
        <w:pStyle w:val="LO-normal"/>
        <w:spacing w:lineRule="auto" w:line="480"/>
        <w:jc w:val="both"/>
        <w:rPr>
          <w:rFonts w:ascii="Liberation Serif" w:hAnsi="Liberation Serif"/>
        </w:rPr>
      </w:pPr>
      <w:r>
        <w:rPr>
          <w:rFonts w:eastAsia="Times New Roman" w:cs="Times New Roman" w:ascii="Liberation Serif" w:hAnsi="Liberation Serif"/>
          <w:sz w:val="24"/>
          <w:szCs w:val="24"/>
        </w:rPr>
        <w:t>Total amount of 15-20 ul of the extracted has been used to build each dslib while this amount was around 7-10 ul for sslib2.0.</w:t>
      </w:r>
    </w:p>
    <w:p>
      <w:pPr>
        <w:pStyle w:val="LO-normal"/>
        <w:spacing w:lineRule="auto" w:line="480"/>
        <w:jc w:val="both"/>
        <w:rPr>
          <w:rFonts w:ascii="Liberation Serif" w:hAnsi="Liberation Serif"/>
        </w:rPr>
      </w:pPr>
      <w:r>
        <w:rPr>
          <w:rFonts w:eastAsia="Times New Roman" w:cs="Times New Roman" w:ascii="Liberation Serif" w:hAnsi="Liberation Serif"/>
          <w:sz w:val="24"/>
          <w:szCs w:val="24"/>
        </w:rPr>
        <w:t>Single-stranded libraries have been mostly used in this case with the purpose of increasing the ancient endogenous yield following</w:t>
      </w:r>
      <w:r>
        <w:rPr>
          <w:rFonts w:eastAsia="Times New Roman" w:cs="Times New Roman" w:ascii="Liberation Serif" w:hAnsi="Liberation Serif"/>
          <w:sz w:val="24"/>
          <w:szCs w:val="24"/>
          <w:vertAlign w:val="superscript"/>
        </w:rPr>
        <w:t>92</w:t>
      </w:r>
      <w:r>
        <w:rPr>
          <w:rFonts w:eastAsia="Times New Roman" w:cs="Times New Roman" w:ascii="Liberation Serif" w:hAnsi="Liberation Serif"/>
          <w:sz w:val="24"/>
          <w:szCs w:val="24"/>
        </w:rPr>
        <w:t>. Thereafter, qPCR step was carried out on each library to determine the concentration of the fragments that could turn into library fragments and next, they were dual-indexed based on qPCR results. Quality and concentration of library fragments have been measured using a fragment analyser instrument. Finally, Sequencing has been done on each library using Novaseq 6000 by the Danish National High-Throughput DNA Sequencing Centre.</w:t>
      </w:r>
    </w:p>
    <w:p>
      <w:pPr>
        <w:pStyle w:val="LO-normal"/>
        <w:spacing w:lineRule="auto" w:line="480"/>
        <w:jc w:val="both"/>
        <w:rPr>
          <w:rFonts w:eastAsia="Times New Roman" w:cs="Times New Roman"/>
          <w:b/>
          <w:sz w:val="24"/>
          <w:szCs w:val="24"/>
        </w:rPr>
      </w:pPr>
      <w:r>
        <w:rPr>
          <w:rFonts w:eastAsia="Times New Roman" w:cs="Times New Roman"/>
          <w:b/>
          <w:sz w:val="24"/>
          <w:szCs w:val="24"/>
        </w:rPr>
      </w:r>
    </w:p>
    <w:p>
      <w:pPr>
        <w:pStyle w:val="LO-normal"/>
        <w:spacing w:lineRule="auto" w:line="480"/>
        <w:jc w:val="both"/>
        <w:rPr>
          <w:rFonts w:ascii="Liberation Serif" w:hAnsi="Liberation Serif" w:eastAsia="Times New Roman" w:cs="Times New Roman"/>
          <w:b/>
          <w:sz w:val="24"/>
          <w:szCs w:val="24"/>
        </w:rPr>
      </w:pPr>
      <w:r>
        <w:rPr>
          <w:rFonts w:eastAsia="Times New Roman" w:cs="Times New Roman" w:ascii="Liberation Serif" w:hAnsi="Liberation Serif"/>
          <w:b/>
          <w:sz w:val="24"/>
          <w:szCs w:val="24"/>
        </w:rPr>
      </w:r>
    </w:p>
    <w:p>
      <w:pPr>
        <w:pStyle w:val="LO-normal"/>
        <w:spacing w:lineRule="auto" w:line="480"/>
        <w:jc w:val="both"/>
        <w:rPr>
          <w:rFonts w:ascii="Liberation Serif" w:hAnsi="Liberation Serif"/>
        </w:rPr>
      </w:pPr>
      <w:r>
        <w:rPr>
          <w:rFonts w:eastAsia="Times New Roman" w:cs="Times New Roman" w:ascii="Liberation Serif" w:hAnsi="Liberation Serif"/>
          <w:b/>
          <w:sz w:val="24"/>
          <w:szCs w:val="24"/>
        </w:rPr>
        <w:t>Context information for the samples:</w:t>
      </w:r>
    </w:p>
    <w:p>
      <w:pPr>
        <w:pStyle w:val="LO-normal"/>
        <w:spacing w:lineRule="auto" w:line="480"/>
        <w:jc w:val="both"/>
        <w:rPr>
          <w:rFonts w:ascii="Liberation Serif" w:hAnsi="Liberation Serif"/>
        </w:rPr>
      </w:pPr>
      <w:r>
        <w:rPr>
          <w:rFonts w:eastAsia="Times New Roman" w:cs="Times New Roman" w:ascii="Liberation Serif" w:hAnsi="Liberation Serif"/>
          <w:b/>
          <w:sz w:val="24"/>
          <w:szCs w:val="24"/>
          <w:highlight w:val="white"/>
        </w:rPr>
        <w:t>CGG101233:</w:t>
      </w:r>
    </w:p>
    <w:p>
      <w:pPr>
        <w:pStyle w:val="LO-normal"/>
        <w:spacing w:lineRule="auto" w:line="480"/>
        <w:jc w:val="both"/>
        <w:rPr>
          <w:rFonts w:ascii="Liberation Serif" w:hAnsi="Liberation Serif"/>
        </w:rPr>
      </w:pPr>
      <w:r>
        <w:rPr>
          <w:rFonts w:eastAsia="Times New Roman" w:cs="Times New Roman" w:ascii="Liberation Serif" w:hAnsi="Liberation Serif"/>
          <w:b/>
          <w:sz w:val="24"/>
          <w:szCs w:val="24"/>
        </w:rPr>
        <w:t>Shahr‐ i Gholgholah</w:t>
      </w:r>
      <w:r>
        <w:rPr>
          <w:rFonts w:eastAsia="Times New Roman" w:cs="Times New Roman" w:ascii="Liberation Serif" w:hAnsi="Liberation Serif"/>
          <w:sz w:val="24"/>
          <w:szCs w:val="24"/>
        </w:rPr>
        <w:t xml:space="preserve"> </w:t>
      </w:r>
    </w:p>
    <w:p>
      <w:pPr>
        <w:pStyle w:val="LO-normal"/>
        <w:spacing w:lineRule="auto" w:line="480"/>
        <w:jc w:val="both"/>
        <w:rPr>
          <w:rFonts w:ascii="Liberation Serif" w:hAnsi="Liberation Serif"/>
        </w:rPr>
      </w:pPr>
      <w:r>
        <w:rPr>
          <w:rFonts w:eastAsia="Times New Roman" w:cs="Times New Roman" w:ascii="Liberation Serif" w:hAnsi="Liberation Serif"/>
          <w:sz w:val="24"/>
          <w:szCs w:val="24"/>
        </w:rPr>
        <w:t>The fortified citadel of Shahr‐ i Gholgholah covers an area of 400mx400m (160.000m²=16ha). It is located on a natural hill in the center of the Bamiyan Valley where the Kakrak Valley joins Bamiyan Valley overlooking the main cliff to the north‐ west. The site of Shahr-i Gholghola, located at 34.82 latitude and 67.83 longitude, is traditionally considered the Islamic capital of the territories of Bamiyan. It is assumed that the city dates to the Islamic Ghurid or Ghaznavid period (11th12th century CE). It is a town in the center of the Bamiyan Valley that sits atop a natural hill rising to more than 2600 m in altitude. It is a strongly fortified city surrounded by several large stone masonry and mudbrick walls (Additional file 2: Fig. S22). Nowadays, the city has an oval-shaped ground plan and stands on a hill approximately 150m above the average ground level of Bamiyan Valley</w:t>
      </w:r>
      <w:r>
        <w:rPr>
          <w:rFonts w:eastAsia="Times New Roman" w:cs="Times New Roman" w:ascii="Liberation Serif" w:hAnsi="Liberation Serif"/>
          <w:sz w:val="24"/>
          <w:szCs w:val="24"/>
          <w:vertAlign w:val="superscript"/>
        </w:rPr>
        <w:t>93,94</w:t>
      </w:r>
      <w:r>
        <w:rPr>
          <w:rFonts w:eastAsia="Times New Roman" w:cs="Times New Roman" w:ascii="Liberation Serif" w:hAnsi="Liberation Serif"/>
          <w:sz w:val="24"/>
          <w:szCs w:val="24"/>
        </w:rPr>
        <w:t>.</w:t>
      </w:r>
    </w:p>
    <w:p>
      <w:pPr>
        <w:pStyle w:val="LO-normal"/>
        <w:spacing w:lineRule="auto" w:line="480"/>
        <w:jc w:val="both"/>
        <w:rPr>
          <w:rFonts w:ascii="Liberation Serif" w:hAnsi="Liberation Serif"/>
        </w:rPr>
      </w:pPr>
      <w:r>
        <w:rPr>
          <w:rFonts w:eastAsia="Times New Roman" w:cs="Times New Roman" w:ascii="Liberation Serif" w:hAnsi="Liberation Serif"/>
          <w:sz w:val="24"/>
          <w:szCs w:val="24"/>
        </w:rPr>
        <w:t xml:space="preserve"> </w:t>
      </w:r>
    </w:p>
    <w:p>
      <w:pPr>
        <w:pStyle w:val="LO-normal"/>
        <w:spacing w:lineRule="auto" w:line="480"/>
        <w:jc w:val="both"/>
        <w:rPr>
          <w:rFonts w:ascii="Liberation Serif" w:hAnsi="Liberation Serif"/>
        </w:rPr>
      </w:pPr>
      <w:r>
        <w:rPr>
          <w:rFonts w:eastAsia="Times New Roman" w:cs="Times New Roman" w:ascii="Liberation Serif" w:hAnsi="Liberation Serif"/>
          <w:sz w:val="24"/>
          <w:szCs w:val="24"/>
        </w:rPr>
        <w:t>It is at the top of the site, excavation no. 2, at a depth of more than 1 m, under the rubble and layers of collapsed debris, that a pile of human bones was discovered (Additional file 2: Fig. S23). These were from three incomplete individuals (3 adults and a child). The studied individual, SG18_S01_CH2_SEP, dates back to 1042-1222 CE with 95,4% confidence.</w:t>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sz w:val="24"/>
          <w:szCs w:val="24"/>
        </w:rPr>
      </w:pPr>
      <w:r>
        <w:rPr>
          <w:rFonts w:eastAsia="Times New Roman" w:cs="Times New Roman" w:ascii="Liberation Serif" w:hAnsi="Liberation Serif"/>
          <w:b/>
          <w:bCs/>
          <w:sz w:val="24"/>
          <w:szCs w:val="24"/>
        </w:rPr>
        <w:t>CGG100272</w:t>
      </w:r>
    </w:p>
    <w:p>
      <w:pPr>
        <w:pStyle w:val="LO-normal"/>
        <w:spacing w:lineRule="auto" w:line="480"/>
        <w:jc w:val="both"/>
        <w:rPr>
          <w:rFonts w:ascii="Liberation Serif" w:hAnsi="Liberation Serif"/>
          <w:sz w:val="24"/>
          <w:szCs w:val="24"/>
        </w:rPr>
      </w:pPr>
      <w:r>
        <w:rPr>
          <w:rFonts w:eastAsia="Times New Roman" w:cs="Times New Roman" w:ascii="Liberation Serif" w:hAnsi="Liberation Serif"/>
          <w:b/>
          <w:bCs/>
          <w:sz w:val="24"/>
          <w:szCs w:val="24"/>
        </w:rPr>
        <w:t>Kültepe Sareyn</w:t>
      </w:r>
    </w:p>
    <w:p>
      <w:pPr>
        <w:pStyle w:val="LO-normal"/>
        <w:spacing w:lineRule="auto" w:line="480"/>
        <w:jc w:val="both"/>
        <w:rPr>
          <w:rFonts w:ascii="Liberation Serif" w:hAnsi="Liberation Serif"/>
          <w:sz w:val="24"/>
          <w:szCs w:val="24"/>
        </w:rPr>
      </w:pPr>
      <w:r>
        <w:rPr>
          <w:rFonts w:eastAsia="Times New Roman" w:cs="Times New Roman" w:ascii="Liberation Serif" w:hAnsi="Liberation Serif"/>
          <w:sz w:val="24"/>
          <w:szCs w:val="24"/>
        </w:rPr>
        <w:t>Kültepe Sareyn is a multi-period mounded site in the Sabalan Mountain highlands, 35 kilometers west of the city of Ardabil. It comprises a mound and a Medieval Islamic Cemetery, located in the western part of the modern city of Sareyn (Additional file 2: Fig. S24), covering about 2 hectares and rising nearly 15 meters at its highest point</w:t>
      </w:r>
      <w:r>
        <w:rPr>
          <w:rFonts w:eastAsia="Times New Roman" w:cs="Times New Roman" w:ascii="Liberation Serif" w:hAnsi="Liberation Serif"/>
          <w:sz w:val="24"/>
          <w:szCs w:val="24"/>
          <w:vertAlign w:val="superscript"/>
        </w:rPr>
        <w:t>95</w:t>
      </w:r>
      <w:r>
        <w:rPr>
          <w:rFonts w:eastAsia="Times New Roman" w:cs="Times New Roman" w:ascii="Liberation Serif" w:hAnsi="Liberation Serif"/>
          <w:sz w:val="24"/>
          <w:szCs w:val="24"/>
        </w:rPr>
        <w:t xml:space="preserve">. The site is situated atop a natural elevation at geographic coordinates approximately 48.02 longitude and 38.03 latitude. There are nine perennial warm water springs within a distance of less than 500 meters to the east of this site, with varying discharge rates </w:t>
      </w:r>
      <w:r>
        <w:rPr>
          <w:rFonts w:eastAsia="Times New Roman" w:cs="Times New Roman" w:ascii="Liberation Serif" w:hAnsi="Liberation Serif"/>
          <w:sz w:val="24"/>
          <w:szCs w:val="24"/>
          <w:vertAlign w:val="superscript"/>
        </w:rPr>
        <w:t>96,97</w:t>
      </w:r>
      <w:r>
        <w:rPr>
          <w:rFonts w:eastAsia="Times New Roman" w:cs="Times New Roman" w:ascii="Liberation Serif" w:hAnsi="Liberation Serif"/>
          <w:sz w:val="24"/>
          <w:szCs w:val="24"/>
        </w:rPr>
        <w:t>, and the formation of settlements in this region in different eras is due to the existence of this boiling spring from prehistoric times until now. The first season of Kültepe Sareyn excavation was carried out in summer 2019. The initial aim was to expose a stratigraphically defined sequence of occupations at this site and provide a preliminary insight into the cultural sequence of Ardabil Plain.</w:t>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sz w:val="24"/>
          <w:szCs w:val="24"/>
        </w:rPr>
      </w:pPr>
      <w:r>
        <w:rPr>
          <w:rFonts w:eastAsia="Times New Roman" w:cs="Times New Roman" w:ascii="Liberation Serif" w:hAnsi="Liberation Serif"/>
          <w:b/>
          <w:bCs/>
          <w:sz w:val="24"/>
          <w:szCs w:val="24"/>
        </w:rPr>
        <w:t>Kültepe Cultural Sequence</w:t>
      </w:r>
    </w:p>
    <w:p>
      <w:pPr>
        <w:pStyle w:val="LO-normal"/>
        <w:spacing w:lineRule="auto" w:line="480"/>
        <w:jc w:val="both"/>
        <w:rPr>
          <w:rFonts w:ascii="Liberation Serif" w:hAnsi="Liberation Serif"/>
          <w:sz w:val="24"/>
          <w:szCs w:val="24"/>
        </w:rPr>
      </w:pPr>
      <w:r>
        <w:rPr>
          <w:rFonts w:eastAsia="Times New Roman" w:cs="Times New Roman" w:ascii="Liberation Serif" w:hAnsi="Liberation Serif"/>
          <w:sz w:val="24"/>
          <w:szCs w:val="24"/>
        </w:rPr>
        <w:t>Kültepe Sareyn was first occupied in the Early Bronze Age by Kura-Araxes Communities at the beginning of the early third millennium B.C. The artifacts from this period are recognized by their rounded architecture and Black Burnished and Brown potteries</w:t>
      </w:r>
      <w:r>
        <w:rPr>
          <w:rFonts w:eastAsia="Times New Roman" w:cs="Times New Roman" w:ascii="Liberation Serif" w:hAnsi="Liberation Serif"/>
          <w:sz w:val="24"/>
          <w:szCs w:val="24"/>
          <w:vertAlign w:val="superscript"/>
        </w:rPr>
        <w:t>98</w:t>
      </w:r>
      <w:r>
        <w:rPr>
          <w:rFonts w:eastAsia="Times New Roman" w:cs="Times New Roman" w:ascii="Liberation Serif" w:hAnsi="Liberation Serif"/>
          <w:sz w:val="24"/>
          <w:szCs w:val="24"/>
        </w:rPr>
        <w:t>. Overlying the latest layers of the Early Bronze Age (Kura-Araxes III phase), specific and clear architectural phases from the Late Iron Age period with distinctive huge stone buildings have been established</w:t>
      </w:r>
      <w:r>
        <w:rPr>
          <w:rFonts w:eastAsia="Times New Roman" w:cs="Times New Roman" w:ascii="Liberation Serif" w:hAnsi="Liberation Serif"/>
          <w:sz w:val="24"/>
          <w:szCs w:val="24"/>
          <w:vertAlign w:val="superscript"/>
        </w:rPr>
        <w:t>95</w:t>
      </w:r>
      <w:r>
        <w:rPr>
          <w:rFonts w:eastAsia="Times New Roman" w:cs="Times New Roman" w:ascii="Liberation Serif" w:hAnsi="Liberation Serif"/>
          <w:sz w:val="24"/>
          <w:szCs w:val="24"/>
        </w:rPr>
        <w:t>. Seven architectural phases dating back to the Iron Age until the Late antiquity (Sassanid) and Medieval Islamic have been identified in Trench I. Based on architectural developments as well as comparative ceramic studies, the Late Iron Age layers exhibit only a huge deposit. This phase includes a stone architecture constructed with large stone slabs comparable to Late Iron Age defensive settlements in the Ardabil region</w:t>
      </w:r>
      <w:r>
        <w:rPr>
          <w:rFonts w:eastAsia="Times New Roman" w:cs="Times New Roman" w:ascii="Liberation Serif" w:hAnsi="Liberation Serif"/>
          <w:sz w:val="24"/>
          <w:szCs w:val="24"/>
          <w:vertAlign w:val="superscript"/>
        </w:rPr>
        <w:t>99-102</w:t>
      </w:r>
      <w:r>
        <w:rPr>
          <w:rFonts w:eastAsia="Times New Roman" w:cs="Times New Roman" w:ascii="Liberation Serif" w:hAnsi="Liberation Serif"/>
          <w:position w:val="0"/>
          <w:sz w:val="24"/>
          <w:sz w:val="24"/>
          <w:szCs w:val="24"/>
          <w:vertAlign w:val="baseline"/>
        </w:rPr>
        <w:t>.</w:t>
      </w:r>
      <w:r>
        <w:rPr>
          <w:rFonts w:eastAsia="Times New Roman" w:cs="Times New Roman" w:ascii="Liberation Serif" w:hAnsi="Liberation Serif"/>
          <w:sz w:val="24"/>
          <w:szCs w:val="24"/>
        </w:rPr>
        <w:t xml:space="preserve"> With a short gap, this mound was occupied again in the Post-Achaemenid and Sassanid periods, and it is recognized by a type of decorated pottery known as Triangular Ware and the Ardabil Style pottery</w:t>
      </w:r>
      <w:r>
        <w:rPr>
          <w:rFonts w:eastAsia="Times New Roman" w:cs="Times New Roman" w:ascii="Liberation Serif" w:hAnsi="Liberation Serif"/>
          <w:sz w:val="24"/>
          <w:szCs w:val="24"/>
          <w:vertAlign w:val="superscript"/>
        </w:rPr>
        <w:t>95,103</w:t>
      </w:r>
      <w:r>
        <w:rPr>
          <w:rFonts w:eastAsia="Times New Roman" w:cs="Times New Roman" w:ascii="Liberation Serif" w:hAnsi="Liberation Serif"/>
          <w:sz w:val="24"/>
          <w:szCs w:val="24"/>
        </w:rPr>
        <w:t>.</w:t>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sz w:val="24"/>
          <w:szCs w:val="24"/>
        </w:rPr>
      </w:pPr>
      <w:r>
        <w:rPr>
          <w:rFonts w:eastAsia="Times New Roman" w:cs="Times New Roman" w:ascii="Liberation Serif" w:hAnsi="Liberation Serif"/>
          <w:b/>
          <w:bCs/>
          <w:sz w:val="24"/>
          <w:szCs w:val="24"/>
        </w:rPr>
        <w:t>Burial 182</w:t>
      </w:r>
    </w:p>
    <w:p>
      <w:pPr>
        <w:pStyle w:val="LO-normal"/>
        <w:spacing w:lineRule="auto" w:line="480"/>
        <w:jc w:val="both"/>
        <w:rPr>
          <w:rFonts w:ascii="Liberation Serif" w:hAnsi="Liberation Serif"/>
        </w:rPr>
      </w:pPr>
      <w:r>
        <w:rPr>
          <w:rFonts w:eastAsia="Times New Roman" w:cs="Times New Roman" w:ascii="Liberation Serif" w:hAnsi="Liberation Serif"/>
          <w:sz w:val="24"/>
          <w:szCs w:val="24"/>
        </w:rPr>
        <w:t>This burial represents the last evidence of human settlement from the final phase of the Iron Age at Trench I. The burial pit was simple, and no burial pattern can be inferred for this skeleton (Additional file 2: Fig. S25). The evidence and the manner of placement of the bone specimens suggest secondary burial practices for this grave, and no cultural materials or burial offerings were found together with the skeleton. The pottery fragments recovered from the layer of this burial (Additional file 2: Fig. S26) are more comparable to the pottery of Iron Age II and III commonly found in the northwestern regions of Iran, especially in the Ardabil and Qarah Dagh regions</w:t>
      </w:r>
      <w:r>
        <w:rPr>
          <w:rFonts w:eastAsia="Times New Roman" w:cs="Times New Roman" w:ascii="Liberation Serif" w:hAnsi="Liberation Serif"/>
          <w:sz w:val="24"/>
          <w:szCs w:val="24"/>
          <w:vertAlign w:val="superscript"/>
        </w:rPr>
        <w:t>100</w:t>
      </w:r>
      <w:r>
        <w:rPr>
          <w:rFonts w:eastAsia="Times New Roman" w:cs="Times New Roman" w:ascii="Liberation Serif" w:hAnsi="Liberation Serif"/>
          <w:sz w:val="24"/>
          <w:szCs w:val="24"/>
        </w:rPr>
        <w:t>. This individual has been dated to 761-540 CalBC with 95% confidence.</w:t>
      </w:r>
      <w:r>
        <w:rPr>
          <w:rFonts w:eastAsia="Times New Roman" w:cs="Times New Roman" w:ascii="Liberation Serif" w:hAnsi="Liberation Serif"/>
        </w:rPr>
        <w:t xml:space="preserve"> </w:t>
      </w:r>
    </w:p>
    <w:p>
      <w:pPr>
        <w:pStyle w:val="normal1"/>
        <w:rPr>
          <w:b/>
          <w:bCs/>
          <w:sz w:val="30"/>
          <w:szCs w:val="30"/>
        </w:rPr>
      </w:pPr>
      <w:r>
        <w:rPr>
          <w:b/>
          <w:bCs/>
          <w:sz w:val="30"/>
          <w:szCs w:val="30"/>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40" w:right="1440" w:gutter="0" w:header="720" w:top="1440" w:footer="72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Arial">
    <w:charset w:val="01"/>
    <w:family w:val="roman"/>
    <w:pitch w:val="variable"/>
  </w:font>
  <w:font w:name="Liberation Sans">
    <w:altName w:val="Arial"/>
    <w:charset w:val="01"/>
    <w:family w:val="roman"/>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jc w:val="right"/>
      <w:rPr/>
    </w:pPr>
    <w:r>
      <w:rPr/>
      <w:fldChar w:fldCharType="begin"/>
    </w:r>
    <w:r>
      <w:rPr/>
      <w:instrText xml:space="preserve"> PAGE </w:instrText>
    </w:r>
    <w:r>
      <w:rPr/>
      <w:fldChar w:fldCharType="separate"/>
    </w:r>
    <w:r>
      <w:rPr/>
      <w:t>10</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jc w:val="right"/>
      <w:rPr/>
    </w:pPr>
    <w:r>
      <w:rPr/>
      <w:fldChar w:fldCharType="begin"/>
    </w:r>
    <w:r>
      <w:rPr/>
      <w:instrText xml:space="preserve"> PAGE </w:instrText>
    </w:r>
    <w:r>
      <w:rPr/>
      <w:fldChar w:fldCharType="separate"/>
    </w:r>
    <w:r>
      <w:rPr/>
      <w:t>10</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72"/>
  <w:embedTrueTypeFonts/>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da-DK"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da-DK"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character" w:styleId="Hyperlink">
    <w:name w:val="Hyperlink"/>
    <w:rPr>
      <w:color w:val="000080"/>
      <w:u w:val="single"/>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normal1" w:default="1">
    <w:name w:val="normal1"/>
    <w:qFormat/>
    <w:pPr>
      <w:widowControl/>
      <w:suppressAutoHyphens w:val="true"/>
      <w:bidi w:val="0"/>
      <w:spacing w:lineRule="auto" w:line="276" w:before="0" w:after="0"/>
      <w:jc w:val="left"/>
    </w:pPr>
    <w:rPr>
      <w:rFonts w:ascii="Arial" w:hAnsi="Arial" w:eastAsia="Arial" w:cs="Arial"/>
      <w:color w:val="auto"/>
      <w:kern w:val="0"/>
      <w:sz w:val="22"/>
      <w:szCs w:val="22"/>
      <w:lang w:val="da-DK"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paragraph" w:styleId="LO-normal">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326</TotalTime>
  <Application>LibreOffice/24.2.7.2$Linux_X86_64 LibreOffice_project/420$Build-2</Application>
  <AppVersion>15.0000</AppVersion>
  <Pages>10</Pages>
  <Words>2324</Words>
  <Characters>12257</Characters>
  <CharactersWithSpaces>14538</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2026-02-18T12:35:12Z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