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EA8D3" w14:textId="7DEA4AAC" w:rsidR="00DE5D35" w:rsidRPr="007B7AE6" w:rsidRDefault="00DE5D35" w:rsidP="00DE5D35">
      <w:pPr>
        <w:spacing w:after="0" w:line="257" w:lineRule="auto"/>
        <w:jc w:val="center"/>
        <w:rPr>
          <w:rFonts w:ascii="Times New Roman" w:eastAsia="Times New Roman" w:hAnsi="Times New Roman" w:cs="Times New Roman"/>
          <w:sz w:val="20"/>
          <w:szCs w:val="20"/>
        </w:rPr>
      </w:pPr>
      <w:r w:rsidRPr="007B7AE6">
        <w:rPr>
          <w:rFonts w:ascii="Times New Roman" w:eastAsia="Times New Roman" w:hAnsi="Times New Roman" w:cs="Times New Roman"/>
          <w:sz w:val="20"/>
          <w:szCs w:val="20"/>
        </w:rPr>
        <w:t>Supplementary information for</w:t>
      </w:r>
    </w:p>
    <w:p w14:paraId="141761B2" w14:textId="4EEE2CFA" w:rsidR="006C29F9" w:rsidRDefault="008E5217" w:rsidP="007B7AE6">
      <w:pPr>
        <w:spacing w:after="0" w:line="257" w:lineRule="auto"/>
        <w:jc w:val="center"/>
      </w:pPr>
      <w:r w:rsidRPr="008E5217">
        <w:rPr>
          <w:rFonts w:ascii="Times New Roman" w:eastAsia="Times New Roman" w:hAnsi="Times New Roman" w:cs="Times New Roman"/>
          <w:b/>
          <w:bCs/>
          <w:sz w:val="22"/>
          <w:szCs w:val="22"/>
        </w:rPr>
        <w:t>ImmuSeeker: Deep mining of immune-related gene family signatures through lineage reconstruction</w:t>
      </w:r>
    </w:p>
    <w:p w14:paraId="3C1903E5" w14:textId="4161E378" w:rsidR="00195BB0" w:rsidRDefault="00195BB0" w:rsidP="00195BB0">
      <w:pPr>
        <w:pStyle w:val="paragraph"/>
        <w:spacing w:before="0" w:beforeAutospacing="0" w:after="0" w:afterAutospacing="0"/>
        <w:ind w:left="-30" w:right="-30"/>
        <w:jc w:val="center"/>
        <w:textAlignment w:val="baseline"/>
        <w:rPr>
          <w:rStyle w:val="eop"/>
          <w:sz w:val="18"/>
          <w:szCs w:val="18"/>
        </w:rPr>
      </w:pPr>
      <w:r w:rsidRPr="00857155">
        <w:rPr>
          <w:rStyle w:val="normaltextrun"/>
          <w:sz w:val="18"/>
          <w:szCs w:val="18"/>
        </w:rPr>
        <w:t>Limin Jiang</w:t>
      </w:r>
      <w:r w:rsidRPr="00857155">
        <w:rPr>
          <w:rStyle w:val="normaltextrun"/>
          <w:sz w:val="18"/>
          <w:szCs w:val="18"/>
          <w:vertAlign w:val="superscript"/>
        </w:rPr>
        <w:t>1</w:t>
      </w:r>
      <w:r w:rsidRPr="00857155">
        <w:rPr>
          <w:rStyle w:val="normaltextrun"/>
          <w:sz w:val="18"/>
          <w:szCs w:val="18"/>
        </w:rPr>
        <w:t>, Ivy Hurwitz</w:t>
      </w:r>
      <w:r w:rsidRPr="00857155">
        <w:rPr>
          <w:rStyle w:val="normaltextrun"/>
          <w:sz w:val="18"/>
          <w:szCs w:val="18"/>
          <w:vertAlign w:val="superscript"/>
        </w:rPr>
        <w:t>2</w:t>
      </w:r>
      <w:r w:rsidRPr="00857155">
        <w:rPr>
          <w:rStyle w:val="normaltextrun"/>
          <w:sz w:val="18"/>
          <w:szCs w:val="18"/>
        </w:rPr>
        <w:t>, Lukasz S. Wylezinski</w:t>
      </w:r>
      <w:r w:rsidRPr="00857155">
        <w:rPr>
          <w:rStyle w:val="normaltextrun"/>
          <w:sz w:val="18"/>
          <w:szCs w:val="18"/>
          <w:vertAlign w:val="superscript"/>
        </w:rPr>
        <w:t>3,4</w:t>
      </w:r>
      <w:r w:rsidRPr="00857155">
        <w:rPr>
          <w:rStyle w:val="normaltextrun"/>
          <w:sz w:val="18"/>
          <w:szCs w:val="18"/>
        </w:rPr>
        <w:t>; Michael K. Racke</w:t>
      </w:r>
      <w:r w:rsidRPr="00857155">
        <w:rPr>
          <w:rStyle w:val="normaltextrun"/>
          <w:sz w:val="18"/>
          <w:szCs w:val="18"/>
          <w:vertAlign w:val="superscript"/>
        </w:rPr>
        <w:t>5</w:t>
      </w:r>
      <w:r w:rsidRPr="00857155">
        <w:rPr>
          <w:rStyle w:val="normaltextrun"/>
          <w:sz w:val="18"/>
          <w:szCs w:val="18"/>
        </w:rPr>
        <w:t xml:space="preserve">; </w:t>
      </w:r>
      <w:r>
        <w:rPr>
          <w:rStyle w:val="normaltextrun"/>
          <w:sz w:val="18"/>
          <w:szCs w:val="18"/>
        </w:rPr>
        <w:t>Fengyao Yan</w:t>
      </w:r>
      <w:r>
        <w:rPr>
          <w:rStyle w:val="normaltextrun"/>
          <w:sz w:val="18"/>
          <w:szCs w:val="18"/>
          <w:vertAlign w:val="superscript"/>
        </w:rPr>
        <w:t>1</w:t>
      </w:r>
      <w:r>
        <w:rPr>
          <w:rStyle w:val="normaltextrun"/>
          <w:sz w:val="18"/>
          <w:szCs w:val="18"/>
        </w:rPr>
        <w:t>,</w:t>
      </w:r>
      <w:r w:rsidRPr="00857155">
        <w:rPr>
          <w:rStyle w:val="normaltextrun"/>
          <w:sz w:val="18"/>
          <w:szCs w:val="18"/>
        </w:rPr>
        <w:t xml:space="preserve"> Fei Ye</w:t>
      </w:r>
      <w:r>
        <w:rPr>
          <w:rStyle w:val="normaltextrun"/>
          <w:sz w:val="18"/>
          <w:szCs w:val="18"/>
          <w:vertAlign w:val="superscript"/>
        </w:rPr>
        <w:t>1</w:t>
      </w:r>
      <w:r w:rsidRPr="00857155">
        <w:rPr>
          <w:rStyle w:val="normaltextrun"/>
          <w:sz w:val="18"/>
          <w:szCs w:val="18"/>
        </w:rPr>
        <w:t>, Quanhu Sheng</w:t>
      </w:r>
      <w:r w:rsidRPr="00857155">
        <w:rPr>
          <w:rStyle w:val="normaltextrun"/>
          <w:sz w:val="18"/>
          <w:szCs w:val="18"/>
          <w:vertAlign w:val="superscript"/>
        </w:rPr>
        <w:t>6</w:t>
      </w:r>
      <w:r>
        <w:rPr>
          <w:rStyle w:val="normaltextrun"/>
          <w:sz w:val="18"/>
          <w:szCs w:val="18"/>
        </w:rPr>
        <w:t xml:space="preserve">, </w:t>
      </w:r>
      <w:r w:rsidRPr="009A6593">
        <w:rPr>
          <w:rStyle w:val="normaltextrun"/>
          <w:sz w:val="18"/>
          <w:szCs w:val="18"/>
        </w:rPr>
        <w:t>Shuguang</w:t>
      </w:r>
      <w:r w:rsidRPr="00857155">
        <w:rPr>
          <w:rStyle w:val="normaltextrun"/>
          <w:sz w:val="18"/>
          <w:szCs w:val="18"/>
        </w:rPr>
        <w:t xml:space="preserve"> Leng</w:t>
      </w:r>
      <w:r w:rsidRPr="00857155">
        <w:rPr>
          <w:rStyle w:val="normaltextrun"/>
          <w:sz w:val="18"/>
          <w:szCs w:val="18"/>
          <w:vertAlign w:val="superscript"/>
        </w:rPr>
        <w:t>7</w:t>
      </w:r>
      <w:r w:rsidRPr="00857155">
        <w:rPr>
          <w:rStyle w:val="normaltextrun"/>
          <w:sz w:val="18"/>
          <w:szCs w:val="18"/>
        </w:rPr>
        <w:t>, Cecilia</w:t>
      </w:r>
      <w:r w:rsidR="00800351">
        <w:rPr>
          <w:rStyle w:val="normaltextrun"/>
          <w:sz w:val="18"/>
          <w:szCs w:val="18"/>
        </w:rPr>
        <w:t xml:space="preserve"> P.</w:t>
      </w:r>
      <w:r w:rsidRPr="00857155">
        <w:rPr>
          <w:rStyle w:val="normaltextrun"/>
          <w:sz w:val="18"/>
          <w:szCs w:val="18"/>
        </w:rPr>
        <w:t xml:space="preserve"> Chung</w:t>
      </w:r>
      <w:r w:rsidRPr="00857155">
        <w:rPr>
          <w:rStyle w:val="normaltextrun"/>
          <w:sz w:val="18"/>
          <w:szCs w:val="18"/>
          <w:vertAlign w:val="superscript"/>
        </w:rPr>
        <w:t>8</w:t>
      </w:r>
      <w:r w:rsidRPr="00857155">
        <w:rPr>
          <w:rStyle w:val="normaltextrun"/>
          <w:sz w:val="18"/>
          <w:szCs w:val="18"/>
        </w:rPr>
        <w:t>, C</w:t>
      </w:r>
      <w:r w:rsidR="00800351">
        <w:rPr>
          <w:rStyle w:val="normaltextrun"/>
          <w:sz w:val="18"/>
          <w:szCs w:val="18"/>
        </w:rPr>
        <w:t>.</w:t>
      </w:r>
      <w:r w:rsidRPr="00857155">
        <w:rPr>
          <w:rStyle w:val="normaltextrun"/>
          <w:sz w:val="18"/>
          <w:szCs w:val="18"/>
        </w:rPr>
        <w:t xml:space="preserve"> </w:t>
      </w:r>
      <w:r w:rsidR="00800351" w:rsidRPr="00800351">
        <w:rPr>
          <w:rStyle w:val="normaltextrun"/>
          <w:sz w:val="18"/>
          <w:szCs w:val="18"/>
        </w:rPr>
        <w:t>Michael</w:t>
      </w:r>
      <w:r w:rsidRPr="00857155">
        <w:rPr>
          <w:rStyle w:val="normaltextrun"/>
          <w:sz w:val="18"/>
          <w:szCs w:val="18"/>
        </w:rPr>
        <w:t xml:space="preserve"> Stein</w:t>
      </w:r>
      <w:r w:rsidRPr="00857155">
        <w:rPr>
          <w:rStyle w:val="normaltextrun"/>
          <w:sz w:val="18"/>
          <w:szCs w:val="18"/>
          <w:vertAlign w:val="superscript"/>
        </w:rPr>
        <w:t>9</w:t>
      </w:r>
      <w:r w:rsidRPr="00857155">
        <w:rPr>
          <w:rStyle w:val="normaltextrun"/>
          <w:sz w:val="18"/>
          <w:szCs w:val="18"/>
        </w:rPr>
        <w:t xml:space="preserve">, </w:t>
      </w:r>
      <w:r>
        <w:rPr>
          <w:rStyle w:val="normaltextrun"/>
          <w:sz w:val="18"/>
          <w:szCs w:val="18"/>
        </w:rPr>
        <w:t>Chung-I Li</w:t>
      </w:r>
      <w:r>
        <w:rPr>
          <w:rStyle w:val="normaltextrun"/>
          <w:sz w:val="18"/>
          <w:szCs w:val="18"/>
          <w:vertAlign w:val="superscript"/>
        </w:rPr>
        <w:t>10</w:t>
      </w:r>
      <w:r>
        <w:rPr>
          <w:rStyle w:val="normaltextrun"/>
          <w:sz w:val="18"/>
          <w:szCs w:val="18"/>
        </w:rPr>
        <w:t>, Naresh Kumar</w:t>
      </w:r>
      <w:r>
        <w:rPr>
          <w:rStyle w:val="normaltextrun"/>
          <w:sz w:val="18"/>
          <w:szCs w:val="18"/>
          <w:vertAlign w:val="superscript"/>
        </w:rPr>
        <w:t>1</w:t>
      </w:r>
      <w:r>
        <w:rPr>
          <w:rStyle w:val="normaltextrun"/>
          <w:sz w:val="18"/>
          <w:szCs w:val="18"/>
        </w:rPr>
        <w:t xml:space="preserve">, </w:t>
      </w:r>
      <w:r w:rsidRPr="00857155">
        <w:rPr>
          <w:rStyle w:val="normaltextrun"/>
          <w:sz w:val="18"/>
          <w:szCs w:val="18"/>
        </w:rPr>
        <w:t>Michele Ceccarelli</w:t>
      </w:r>
      <w:r w:rsidRPr="00857155">
        <w:rPr>
          <w:rStyle w:val="normaltextrun"/>
          <w:sz w:val="18"/>
          <w:szCs w:val="18"/>
          <w:vertAlign w:val="superscript"/>
        </w:rPr>
        <w:t>1</w:t>
      </w:r>
      <w:r w:rsidRPr="00857155">
        <w:rPr>
          <w:rStyle w:val="normaltextrun"/>
          <w:sz w:val="18"/>
          <w:szCs w:val="18"/>
        </w:rPr>
        <w:t xml:space="preserve">, Steven </w:t>
      </w:r>
      <w:r>
        <w:rPr>
          <w:rStyle w:val="normaltextrun"/>
          <w:sz w:val="18"/>
          <w:szCs w:val="18"/>
        </w:rPr>
        <w:t xml:space="preserve">F. </w:t>
      </w:r>
      <w:r w:rsidRPr="00857155">
        <w:rPr>
          <w:rStyle w:val="normaltextrun"/>
          <w:sz w:val="18"/>
          <w:szCs w:val="18"/>
        </w:rPr>
        <w:t>Baker</w:t>
      </w:r>
      <w:r w:rsidRPr="00857155">
        <w:rPr>
          <w:rStyle w:val="normaltextrun"/>
          <w:sz w:val="18"/>
          <w:szCs w:val="18"/>
          <w:vertAlign w:val="superscript"/>
        </w:rPr>
        <w:t>1</w:t>
      </w:r>
      <w:r>
        <w:rPr>
          <w:rStyle w:val="normaltextrun"/>
          <w:sz w:val="18"/>
          <w:szCs w:val="18"/>
          <w:vertAlign w:val="superscript"/>
        </w:rPr>
        <w:t>1</w:t>
      </w:r>
      <w:r w:rsidRPr="00857155">
        <w:rPr>
          <w:rStyle w:val="normaltextrun"/>
          <w:sz w:val="18"/>
          <w:szCs w:val="18"/>
          <w:vertAlign w:val="superscript"/>
        </w:rPr>
        <w:t>,1</w:t>
      </w:r>
      <w:r>
        <w:rPr>
          <w:rStyle w:val="normaltextrun"/>
          <w:sz w:val="18"/>
          <w:szCs w:val="18"/>
          <w:vertAlign w:val="superscript"/>
        </w:rPr>
        <w:t>2</w:t>
      </w:r>
      <w:r w:rsidRPr="00857155">
        <w:rPr>
          <w:rStyle w:val="normaltextrun"/>
          <w:sz w:val="18"/>
          <w:szCs w:val="18"/>
        </w:rPr>
        <w:t>, Douglas J. Perkins</w:t>
      </w:r>
      <w:r w:rsidRPr="00857155">
        <w:rPr>
          <w:rStyle w:val="normaltextrun"/>
          <w:sz w:val="18"/>
          <w:szCs w:val="18"/>
          <w:vertAlign w:val="superscript"/>
        </w:rPr>
        <w:t>2,1</w:t>
      </w:r>
      <w:r>
        <w:rPr>
          <w:rStyle w:val="normaltextrun"/>
          <w:sz w:val="18"/>
          <w:szCs w:val="18"/>
          <w:vertAlign w:val="superscript"/>
        </w:rPr>
        <w:t>3</w:t>
      </w:r>
      <w:r w:rsidRPr="00857155">
        <w:rPr>
          <w:rStyle w:val="normaltextrun"/>
          <w:sz w:val="18"/>
          <w:szCs w:val="18"/>
        </w:rPr>
        <w:t>, Charles F. Spurlock, III*</w:t>
      </w:r>
      <w:r w:rsidRPr="00857155">
        <w:rPr>
          <w:rStyle w:val="normaltextrun"/>
          <w:sz w:val="18"/>
          <w:szCs w:val="18"/>
          <w:vertAlign w:val="superscript"/>
        </w:rPr>
        <w:t>3,4,1</w:t>
      </w:r>
      <w:r>
        <w:rPr>
          <w:rStyle w:val="normaltextrun"/>
          <w:sz w:val="18"/>
          <w:szCs w:val="18"/>
          <w:vertAlign w:val="superscript"/>
        </w:rPr>
        <w:t>4</w:t>
      </w:r>
      <w:r w:rsidRPr="00857155">
        <w:rPr>
          <w:rStyle w:val="normaltextrun"/>
          <w:sz w:val="18"/>
          <w:szCs w:val="18"/>
        </w:rPr>
        <w:t xml:space="preserve">, </w:t>
      </w:r>
      <w:r>
        <w:rPr>
          <w:rStyle w:val="normaltextrun"/>
          <w:sz w:val="18"/>
          <w:szCs w:val="18"/>
        </w:rPr>
        <w:t>Leng Han</w:t>
      </w:r>
      <w:r w:rsidRPr="00857155">
        <w:rPr>
          <w:rStyle w:val="normaltextrun"/>
          <w:sz w:val="18"/>
          <w:szCs w:val="18"/>
        </w:rPr>
        <w:t>*</w:t>
      </w:r>
      <w:r>
        <w:rPr>
          <w:rStyle w:val="normaltextrun"/>
          <w:sz w:val="18"/>
          <w:szCs w:val="18"/>
          <w:vertAlign w:val="superscript"/>
        </w:rPr>
        <w:t>15</w:t>
      </w:r>
      <w:r>
        <w:rPr>
          <w:rStyle w:val="normaltextrun"/>
          <w:sz w:val="18"/>
          <w:szCs w:val="18"/>
        </w:rPr>
        <w:t xml:space="preserve">, </w:t>
      </w:r>
      <w:r w:rsidRPr="00857155">
        <w:rPr>
          <w:rStyle w:val="normaltextrun"/>
          <w:sz w:val="18"/>
          <w:szCs w:val="18"/>
        </w:rPr>
        <w:t>Yan Guo*</w:t>
      </w:r>
      <w:r w:rsidRPr="00857155">
        <w:rPr>
          <w:rStyle w:val="normaltextrun"/>
          <w:sz w:val="18"/>
          <w:szCs w:val="18"/>
          <w:vertAlign w:val="superscript"/>
        </w:rPr>
        <w:t>1</w:t>
      </w:r>
    </w:p>
    <w:p w14:paraId="4C687573" w14:textId="239217A7" w:rsidR="006C29F9" w:rsidRDefault="006C29F9" w:rsidP="007B7AE6">
      <w:pPr>
        <w:spacing w:after="0"/>
        <w:ind w:left="-30" w:right="-30"/>
        <w:jc w:val="center"/>
      </w:pPr>
    </w:p>
    <w:p w14:paraId="5284A5F8" w14:textId="7049B1C6"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w:t>
      </w:r>
      <w:r w:rsidRPr="58C0D73E">
        <w:rPr>
          <w:rFonts w:ascii="Times New Roman" w:eastAsia="Times New Roman" w:hAnsi="Times New Roman" w:cs="Times New Roman"/>
          <w:sz w:val="18"/>
          <w:szCs w:val="18"/>
        </w:rPr>
        <w:t>Department of Public Health Sciences, University of Miami, Miami, FL 33136, USA</w:t>
      </w:r>
    </w:p>
    <w:p w14:paraId="534E5EB7" w14:textId="058781CB"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2</w:t>
      </w:r>
      <w:r w:rsidRPr="58C0D73E">
        <w:rPr>
          <w:rFonts w:ascii="Times New Roman" w:eastAsia="Times New Roman" w:hAnsi="Times New Roman" w:cs="Times New Roman"/>
          <w:sz w:val="18"/>
          <w:szCs w:val="18"/>
        </w:rPr>
        <w:t>Center for Global Health, University of New Mexico, Albuquerque, NM 87131, USA</w:t>
      </w:r>
    </w:p>
    <w:p w14:paraId="7FADA941" w14:textId="3A8B0DFB"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3</w:t>
      </w:r>
      <w:r w:rsidRPr="58C0D73E">
        <w:rPr>
          <w:rFonts w:ascii="Times New Roman" w:eastAsia="Times New Roman" w:hAnsi="Times New Roman" w:cs="Times New Roman"/>
          <w:sz w:val="18"/>
          <w:szCs w:val="18"/>
        </w:rPr>
        <w:t>Decode Health, Inc., Nashville, TN 37203, USA</w:t>
      </w:r>
    </w:p>
    <w:p w14:paraId="6ED0D8D9" w14:textId="03A429BC"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 xml:space="preserve">4 </w:t>
      </w:r>
      <w:r w:rsidRPr="58C0D73E">
        <w:rPr>
          <w:rFonts w:ascii="Times New Roman" w:eastAsia="Times New Roman" w:hAnsi="Times New Roman" w:cs="Times New Roman"/>
          <w:sz w:val="18"/>
          <w:szCs w:val="18"/>
        </w:rPr>
        <w:t>Department of Medicine, Vanderbilt /University School of Medicine, Nashville, TN 37203, USA</w:t>
      </w:r>
    </w:p>
    <w:p w14:paraId="12A426DB" w14:textId="4BE1B2B7"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 xml:space="preserve">5 </w:t>
      </w:r>
      <w:r w:rsidRPr="58C0D73E">
        <w:rPr>
          <w:rFonts w:ascii="Times New Roman" w:eastAsia="Times New Roman" w:hAnsi="Times New Roman" w:cs="Times New Roman"/>
          <w:sz w:val="18"/>
          <w:szCs w:val="18"/>
        </w:rPr>
        <w:t>Quest Diagnostics, Secaucus, NJ 07094, USA</w:t>
      </w:r>
    </w:p>
    <w:p w14:paraId="2CE5DF4C" w14:textId="2C91F0C5"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6</w:t>
      </w:r>
      <w:r w:rsidRPr="58C0D73E">
        <w:rPr>
          <w:rFonts w:ascii="Times New Roman" w:eastAsia="Times New Roman" w:hAnsi="Times New Roman" w:cs="Times New Roman"/>
          <w:sz w:val="18"/>
          <w:szCs w:val="18"/>
        </w:rPr>
        <w:t>Department of Biostatistics, Vanderbilt University Medical Center, Nashville, TN 37212, USA</w:t>
      </w:r>
    </w:p>
    <w:p w14:paraId="45C2DBB2" w14:textId="75CE8AAF"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7</w:t>
      </w:r>
      <w:r w:rsidRPr="58C0D73E">
        <w:rPr>
          <w:rFonts w:ascii="Times New Roman" w:eastAsia="Times New Roman" w:hAnsi="Times New Roman" w:cs="Times New Roman"/>
          <w:sz w:val="18"/>
          <w:szCs w:val="18"/>
        </w:rPr>
        <w:t>Department of Internal Medicine, University of New Mexico, Albuquerque, NM 87131, USA</w:t>
      </w:r>
    </w:p>
    <w:p w14:paraId="610504F3" w14:textId="0FAB429B"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8</w:t>
      </w:r>
      <w:r w:rsidRPr="58C0D73E">
        <w:rPr>
          <w:rFonts w:ascii="Times New Roman" w:eastAsia="Times New Roman" w:hAnsi="Times New Roman" w:cs="Times New Roman"/>
          <w:sz w:val="18"/>
          <w:szCs w:val="18"/>
        </w:rPr>
        <w:t>Department of Rheumatology, University of Miami, Miami, FL 33136, USA</w:t>
      </w:r>
    </w:p>
    <w:p w14:paraId="51E38196" w14:textId="3826DE7E"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9</w:t>
      </w:r>
      <w:r w:rsidRPr="58C0D73E">
        <w:rPr>
          <w:rFonts w:ascii="Times New Roman" w:eastAsia="Times New Roman" w:hAnsi="Times New Roman" w:cs="Times New Roman"/>
          <w:sz w:val="18"/>
          <w:szCs w:val="18"/>
        </w:rPr>
        <w:t>Department of Pharmacology, Vanderbilt University School of Medicine, Nashville, TN 37203, USA</w:t>
      </w:r>
    </w:p>
    <w:p w14:paraId="7829237B" w14:textId="46326BBA" w:rsidR="006C29F9" w:rsidRDefault="03389010" w:rsidP="007B7AE6">
      <w:pPr>
        <w:spacing w:after="0"/>
        <w:ind w:left="-30" w:right="-30"/>
        <w:jc w:val="center"/>
      </w:pPr>
      <w:r w:rsidRPr="58C0D73E">
        <w:rPr>
          <w:rFonts w:ascii="Times New Roman" w:eastAsia="Times New Roman" w:hAnsi="Times New Roman" w:cs="Times New Roman"/>
          <w:color w:val="000000" w:themeColor="text1"/>
          <w:sz w:val="18"/>
          <w:szCs w:val="18"/>
          <w:vertAlign w:val="superscript"/>
        </w:rPr>
        <w:t>10</w:t>
      </w:r>
      <w:r w:rsidRPr="58C0D73E">
        <w:rPr>
          <w:rFonts w:ascii="Times New Roman" w:eastAsia="Times New Roman" w:hAnsi="Times New Roman" w:cs="Times New Roman"/>
          <w:color w:val="000000" w:themeColor="text1"/>
          <w:sz w:val="18"/>
          <w:szCs w:val="18"/>
        </w:rPr>
        <w:t>Department of Statistics, National Cheng Kung University, Tainan 701401, Taiwan</w:t>
      </w:r>
    </w:p>
    <w:p w14:paraId="12F90998" w14:textId="175BA440"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11</w:t>
      </w:r>
      <w:r w:rsidRPr="58C0D73E">
        <w:rPr>
          <w:rFonts w:ascii="Times New Roman" w:eastAsia="Times New Roman" w:hAnsi="Times New Roman" w:cs="Times New Roman"/>
          <w:sz w:val="18"/>
          <w:szCs w:val="18"/>
        </w:rPr>
        <w:t>Infectious Disease Program, Lovelace Biomedical Research Institute, Albuquerque, NM 87</w:t>
      </w:r>
      <w:r w:rsidR="007127F6">
        <w:rPr>
          <w:rFonts w:ascii="Times New Roman" w:eastAsia="Times New Roman" w:hAnsi="Times New Roman" w:cs="Times New Roman"/>
          <w:sz w:val="18"/>
          <w:szCs w:val="18"/>
        </w:rPr>
        <w:t>108</w:t>
      </w:r>
      <w:r w:rsidRPr="58C0D73E">
        <w:rPr>
          <w:rFonts w:ascii="Times New Roman" w:eastAsia="Times New Roman" w:hAnsi="Times New Roman" w:cs="Times New Roman"/>
          <w:sz w:val="18"/>
          <w:szCs w:val="18"/>
        </w:rPr>
        <w:t>, USA</w:t>
      </w:r>
    </w:p>
    <w:p w14:paraId="3208CAEE" w14:textId="31B8F162"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12</w:t>
      </w:r>
      <w:r w:rsidRPr="58C0D73E">
        <w:rPr>
          <w:rFonts w:ascii="Times New Roman" w:eastAsia="Times New Roman" w:hAnsi="Times New Roman" w:cs="Times New Roman"/>
          <w:sz w:val="18"/>
          <w:szCs w:val="18"/>
        </w:rPr>
        <w:t>Department of Molecular Genetics &amp; Microbiology, University of New Mexico, Albuquerque, NM 87131, USA</w:t>
      </w:r>
    </w:p>
    <w:p w14:paraId="3B84E6DA" w14:textId="14F2A80A"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13</w:t>
      </w:r>
      <w:r w:rsidRPr="58C0D73E">
        <w:rPr>
          <w:rFonts w:ascii="Times New Roman" w:eastAsia="Times New Roman" w:hAnsi="Times New Roman" w:cs="Times New Roman"/>
          <w:sz w:val="18"/>
          <w:szCs w:val="18"/>
        </w:rPr>
        <w:t>University of New Mexico-Kenya Global Health Programs, Kisumu and Siaya, Kenya</w:t>
      </w:r>
    </w:p>
    <w:p w14:paraId="352CCF90" w14:textId="1F11170B"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14</w:t>
      </w:r>
      <w:r w:rsidRPr="58C0D73E">
        <w:rPr>
          <w:rFonts w:ascii="Times New Roman" w:eastAsia="Times New Roman" w:hAnsi="Times New Roman" w:cs="Times New Roman"/>
          <w:sz w:val="18"/>
          <w:szCs w:val="18"/>
        </w:rPr>
        <w:t xml:space="preserve"> Wagner School of Public Service, New York University, New York, NY 10012, USA</w:t>
      </w:r>
    </w:p>
    <w:p w14:paraId="35474733" w14:textId="0A7E5831" w:rsidR="006C29F9" w:rsidRDefault="03389010" w:rsidP="007B7AE6">
      <w:pPr>
        <w:spacing w:after="0"/>
        <w:ind w:left="-30" w:right="-30"/>
        <w:jc w:val="center"/>
      </w:pPr>
      <w:r w:rsidRPr="58C0D73E">
        <w:rPr>
          <w:rFonts w:ascii="Times New Roman" w:eastAsia="Times New Roman" w:hAnsi="Times New Roman" w:cs="Times New Roman"/>
          <w:sz w:val="18"/>
          <w:szCs w:val="18"/>
          <w:vertAlign w:val="superscript"/>
        </w:rPr>
        <w:t>15</w:t>
      </w:r>
      <w:r w:rsidRPr="58C0D73E">
        <w:rPr>
          <w:rFonts w:ascii="Times New Roman" w:eastAsia="Times New Roman" w:hAnsi="Times New Roman" w:cs="Times New Roman"/>
          <w:sz w:val="18"/>
          <w:szCs w:val="18"/>
        </w:rPr>
        <w:t>Department of Biostatistics and Health Data, Indiana University, IN 46202 USA</w:t>
      </w:r>
    </w:p>
    <w:p w14:paraId="5725F26A" w14:textId="3DC1B37A" w:rsidR="00EE2761" w:rsidRDefault="03389010" w:rsidP="00EE2761">
      <w:pPr>
        <w:spacing w:after="0"/>
        <w:ind w:left="-30" w:right="-30"/>
        <w:jc w:val="center"/>
      </w:pPr>
      <w:r w:rsidRPr="58C0D73E">
        <w:rPr>
          <w:rFonts w:ascii="Times New Roman" w:eastAsia="Times New Roman" w:hAnsi="Times New Roman" w:cs="Times New Roman"/>
          <w:b/>
          <w:bCs/>
          <w:sz w:val="18"/>
          <w:szCs w:val="18"/>
        </w:rPr>
        <w:t>*</w:t>
      </w:r>
      <w:r w:rsidRPr="58C0D73E">
        <w:rPr>
          <w:rFonts w:ascii="Times New Roman" w:eastAsia="Times New Roman" w:hAnsi="Times New Roman" w:cs="Times New Roman"/>
          <w:sz w:val="18"/>
          <w:szCs w:val="18"/>
        </w:rPr>
        <w:t>Corresponding authors</w:t>
      </w:r>
      <w:r w:rsidR="00EE2761">
        <w:rPr>
          <w:rFonts w:ascii="Times New Roman" w:eastAsia="Times New Roman" w:hAnsi="Times New Roman" w:cs="Times New Roman"/>
          <w:sz w:val="18"/>
          <w:szCs w:val="18"/>
        </w:rPr>
        <w:t xml:space="preserve">: </w:t>
      </w:r>
      <w:r w:rsidR="00EE2761" w:rsidRPr="58C0D73E">
        <w:rPr>
          <w:rFonts w:ascii="Times New Roman" w:eastAsia="Times New Roman" w:hAnsi="Times New Roman" w:cs="Times New Roman"/>
          <w:sz w:val="18"/>
          <w:szCs w:val="18"/>
        </w:rPr>
        <w:t>Charles F. Spurlock, III</w:t>
      </w:r>
      <w:r w:rsidR="008D33AA">
        <w:rPr>
          <w:rFonts w:ascii="Times New Roman" w:eastAsia="Times New Roman" w:hAnsi="Times New Roman" w:cs="Times New Roman"/>
          <w:sz w:val="18"/>
          <w:szCs w:val="18"/>
        </w:rPr>
        <w:t xml:space="preserve"> (</w:t>
      </w:r>
      <w:r w:rsidR="008D33AA" w:rsidRPr="008D33AA">
        <w:rPr>
          <w:rFonts w:ascii="Times New Roman" w:eastAsia="Times New Roman" w:hAnsi="Times New Roman" w:cs="Times New Roman"/>
          <w:sz w:val="18"/>
          <w:szCs w:val="18"/>
        </w:rPr>
        <w:t>chase@decodehealth.ai</w:t>
      </w:r>
      <w:r w:rsidR="008D33AA">
        <w:rPr>
          <w:rFonts w:ascii="Times New Roman" w:eastAsia="Times New Roman" w:hAnsi="Times New Roman" w:cs="Times New Roman"/>
          <w:sz w:val="18"/>
          <w:szCs w:val="18"/>
        </w:rPr>
        <w:t>)</w:t>
      </w:r>
      <w:r w:rsidR="00EE2761" w:rsidRPr="58C0D73E">
        <w:rPr>
          <w:rFonts w:ascii="Times New Roman" w:eastAsia="Times New Roman" w:hAnsi="Times New Roman" w:cs="Times New Roman"/>
          <w:sz w:val="18"/>
          <w:szCs w:val="18"/>
        </w:rPr>
        <w:t>, Leng Han</w:t>
      </w:r>
      <w:r w:rsidR="00F94E33">
        <w:rPr>
          <w:rFonts w:ascii="Times New Roman" w:eastAsia="Times New Roman" w:hAnsi="Times New Roman" w:cs="Times New Roman"/>
          <w:sz w:val="18"/>
          <w:szCs w:val="18"/>
        </w:rPr>
        <w:t xml:space="preserve"> (</w:t>
      </w:r>
      <w:r w:rsidR="00F94E33" w:rsidRPr="00F94E33">
        <w:rPr>
          <w:rFonts w:ascii="Times New Roman" w:eastAsia="Times New Roman" w:hAnsi="Times New Roman" w:cs="Times New Roman"/>
          <w:sz w:val="18"/>
          <w:szCs w:val="18"/>
        </w:rPr>
        <w:t>lenghan@iu.edu</w:t>
      </w:r>
      <w:r w:rsidR="00F94E33">
        <w:rPr>
          <w:rFonts w:ascii="Times New Roman" w:eastAsia="Times New Roman" w:hAnsi="Times New Roman" w:cs="Times New Roman"/>
          <w:sz w:val="18"/>
          <w:szCs w:val="18"/>
        </w:rPr>
        <w:t>)</w:t>
      </w:r>
      <w:r w:rsidR="00EE2761" w:rsidRPr="58C0D73E">
        <w:rPr>
          <w:rFonts w:ascii="Times New Roman" w:eastAsia="Times New Roman" w:hAnsi="Times New Roman" w:cs="Times New Roman"/>
          <w:sz w:val="18"/>
          <w:szCs w:val="18"/>
        </w:rPr>
        <w:t>, Yan Guo</w:t>
      </w:r>
      <w:r w:rsidR="008B79DD">
        <w:rPr>
          <w:rFonts w:ascii="Times New Roman" w:eastAsia="Times New Roman" w:hAnsi="Times New Roman" w:cs="Times New Roman"/>
          <w:sz w:val="18"/>
          <w:szCs w:val="18"/>
        </w:rPr>
        <w:t xml:space="preserve"> (</w:t>
      </w:r>
      <w:r w:rsidR="008B79DD" w:rsidRPr="008B79DD">
        <w:rPr>
          <w:rFonts w:ascii="Times New Roman" w:eastAsia="Times New Roman" w:hAnsi="Times New Roman" w:cs="Times New Roman"/>
          <w:sz w:val="18"/>
          <w:szCs w:val="18"/>
        </w:rPr>
        <w:t>yxg835@med.miami.edu</w:t>
      </w:r>
      <w:r w:rsidR="008B79DD">
        <w:rPr>
          <w:rFonts w:ascii="Times New Roman" w:eastAsia="Times New Roman" w:hAnsi="Times New Roman" w:cs="Times New Roman"/>
          <w:sz w:val="18"/>
          <w:szCs w:val="18"/>
        </w:rPr>
        <w:t>)</w:t>
      </w:r>
    </w:p>
    <w:p w14:paraId="6F357404" w14:textId="65D19EED" w:rsidR="006C29F9" w:rsidRDefault="006C29F9" w:rsidP="007B7AE6">
      <w:pPr>
        <w:spacing w:after="0"/>
        <w:ind w:left="-30" w:right="-30"/>
        <w:jc w:val="center"/>
      </w:pPr>
    </w:p>
    <w:p w14:paraId="563CA7D0" w14:textId="5F4AE976" w:rsidR="006C29F9" w:rsidRDefault="006C29F9" w:rsidP="58C0D73E">
      <w:pPr>
        <w:spacing w:after="0"/>
        <w:rPr>
          <w:rFonts w:ascii="Calibri" w:eastAsia="Calibri" w:hAnsi="Calibri" w:cs="Calibri"/>
          <w:sz w:val="22"/>
          <w:szCs w:val="22"/>
        </w:rPr>
      </w:pPr>
    </w:p>
    <w:p w14:paraId="11797BA7" w14:textId="77777777" w:rsidR="001512CF" w:rsidRDefault="001512CF" w:rsidP="58C0D73E">
      <w:pPr>
        <w:spacing w:after="0"/>
        <w:rPr>
          <w:rFonts w:ascii="Calibri" w:eastAsia="Calibri" w:hAnsi="Calibri" w:cs="Calibri"/>
          <w:sz w:val="22"/>
          <w:szCs w:val="22"/>
        </w:rPr>
      </w:pPr>
    </w:p>
    <w:p w14:paraId="396B8417" w14:textId="5109E9A5" w:rsidR="001512CF" w:rsidRDefault="001512CF" w:rsidP="001512CF">
      <w:pPr>
        <w:jc w:val="both"/>
        <w:rPr>
          <w:rFonts w:ascii="Times New Roman" w:hAnsi="Times New Roman" w:cs="Times New Roman"/>
        </w:rPr>
      </w:pPr>
      <w:r w:rsidRPr="00000373">
        <w:rPr>
          <w:rFonts w:ascii="Times New Roman" w:hAnsi="Times New Roman" w:cs="Times New Roman"/>
          <w:b/>
          <w:bCs/>
        </w:rPr>
        <w:t xml:space="preserve">Evaluation of ImmuSeeker on </w:t>
      </w:r>
      <w:r w:rsidR="00126324">
        <w:rPr>
          <w:rFonts w:ascii="Times New Roman" w:hAnsi="Times New Roman" w:cs="Times New Roman"/>
          <w:b/>
          <w:bCs/>
        </w:rPr>
        <w:t xml:space="preserve">a </w:t>
      </w:r>
      <w:r w:rsidR="002E6E8A" w:rsidRPr="002E6E8A">
        <w:rPr>
          <w:rFonts w:ascii="Times New Roman" w:hAnsi="Times New Roman" w:cs="Times New Roman"/>
          <w:b/>
          <w:bCs/>
        </w:rPr>
        <w:t>COVID-19 cohort</w:t>
      </w:r>
    </w:p>
    <w:p w14:paraId="449F4744" w14:textId="1A08DD35" w:rsidR="00E517DB" w:rsidRDefault="00E517DB" w:rsidP="00E517DB">
      <w:pPr>
        <w:jc w:val="both"/>
        <w:rPr>
          <w:rFonts w:ascii="Times New Roman" w:hAnsi="Times New Roman" w:cs="Times New Roman"/>
        </w:rPr>
      </w:pPr>
      <w:r w:rsidRPr="00E517DB">
        <w:rPr>
          <w:rFonts w:ascii="Times New Roman" w:hAnsi="Times New Roman" w:cs="Times New Roman"/>
        </w:rPr>
        <w:t>The COVID-19 dataset comprises 15 hospitalized patients with PCR-confirmed SARS-CoV-2 infections, recruited from the University of New Mexico Hospital between April 23, 2020, and December 14, 2021. RNA sequencing (RNA-seq) was performed on mRNA isolated from peripheral blood mononuclear cells (PBMCs) collected at multiple time points (days 0, 1, 2, 3, 6, 9, and 14) following study enrollment. This cohort was used to assess the performance of ImmuSeeker in terms of its consistency and to investigate discrepancies in detected HLA alleles across different methods.</w:t>
      </w:r>
    </w:p>
    <w:p w14:paraId="21CC495C" w14:textId="589FD215" w:rsidR="00E517DB" w:rsidRDefault="00E517DB" w:rsidP="00E517DB">
      <w:pPr>
        <w:jc w:val="both"/>
        <w:rPr>
          <w:rFonts w:ascii="Times New Roman" w:hAnsi="Times New Roman" w:cs="Times New Roman"/>
        </w:rPr>
      </w:pPr>
      <w:r w:rsidRPr="00E517DB">
        <w:rPr>
          <w:rFonts w:ascii="Times New Roman" w:hAnsi="Times New Roman" w:cs="Times New Roman"/>
        </w:rPr>
        <w:t>First, we evaluated the zygosity detection consistency of ten HLA typing tools for HLA-A, HLA-B, and HLA-C using data from all 15 patients (</w:t>
      </w:r>
      <w:r w:rsidR="00D312EA" w:rsidRPr="00D312EA">
        <w:rPr>
          <w:rFonts w:ascii="Times New Roman" w:hAnsi="Times New Roman" w:cs="Times New Roman"/>
        </w:rPr>
        <w:t>Fig. S1</w:t>
      </w:r>
      <w:r w:rsidRPr="00E517DB">
        <w:rPr>
          <w:rFonts w:ascii="Times New Roman" w:hAnsi="Times New Roman" w:cs="Times New Roman"/>
        </w:rPr>
        <w:t>A</w:t>
      </w:r>
      <w:r w:rsidR="005F5A3E">
        <w:rPr>
          <w:rFonts w:ascii="Times New Roman" w:hAnsi="Times New Roman" w:cs="Times New Roman"/>
        </w:rPr>
        <w:t xml:space="preserve"> and </w:t>
      </w:r>
      <w:r w:rsidR="00181613" w:rsidRPr="00181613">
        <w:rPr>
          <w:rFonts w:ascii="Times New Roman" w:hAnsi="Times New Roman" w:cs="Times New Roman"/>
        </w:rPr>
        <w:t>Additional file 5: Table S4</w:t>
      </w:r>
      <w:r w:rsidRPr="00E517DB">
        <w:rPr>
          <w:rFonts w:ascii="Times New Roman" w:hAnsi="Times New Roman" w:cs="Times New Roman"/>
        </w:rPr>
        <w:t>). Each HLA gene is expected to yield two candidate alleles at the one-field resolution level: identical alleles indicate homozygosity, while distinct alleles denote heterozygosity. Consistency across all time points for a given patient was visualized using a color-coded scheme: green for consistent calls, red for inconsistencies, and gray when no allele was detected.</w:t>
      </w:r>
      <w:r w:rsidR="00537537">
        <w:rPr>
          <w:rFonts w:ascii="Times New Roman" w:hAnsi="Times New Roman" w:cs="Times New Roman"/>
        </w:rPr>
        <w:t xml:space="preserve"> </w:t>
      </w:r>
      <w:r w:rsidR="00C57AB2">
        <w:rPr>
          <w:rFonts w:ascii="Times New Roman" w:hAnsi="Times New Roman" w:cs="Times New Roman"/>
        </w:rPr>
        <w:t>The</w:t>
      </w:r>
      <w:r w:rsidR="00B73DC3">
        <w:rPr>
          <w:rFonts w:ascii="Times New Roman" w:hAnsi="Times New Roman" w:cs="Times New Roman"/>
        </w:rPr>
        <w:t xml:space="preserve"> hla-polysolver </w:t>
      </w:r>
      <w:r w:rsidR="00546A99" w:rsidRPr="00546A99">
        <w:rPr>
          <w:rFonts w:ascii="Times New Roman" w:hAnsi="Times New Roman" w:cs="Times New Roman"/>
        </w:rPr>
        <w:t>consistently assigned HLA-A</w:t>
      </w:r>
      <w:r w:rsidR="00B9234B">
        <w:rPr>
          <w:rFonts w:ascii="Times New Roman" w:hAnsi="Times New Roman" w:cs="Times New Roman"/>
        </w:rPr>
        <w:t>*</w:t>
      </w:r>
      <w:r w:rsidR="00546A99" w:rsidRPr="00546A99">
        <w:rPr>
          <w:rFonts w:ascii="Times New Roman" w:hAnsi="Times New Roman" w:cs="Times New Roman"/>
        </w:rPr>
        <w:t>01, HLA-B</w:t>
      </w:r>
      <w:r w:rsidR="00B9234B">
        <w:rPr>
          <w:rFonts w:ascii="Times New Roman" w:hAnsi="Times New Roman" w:cs="Times New Roman"/>
        </w:rPr>
        <w:t>*</w:t>
      </w:r>
      <w:r w:rsidR="00546A99" w:rsidRPr="00546A99">
        <w:rPr>
          <w:rFonts w:ascii="Times New Roman" w:hAnsi="Times New Roman" w:cs="Times New Roman"/>
        </w:rPr>
        <w:t xml:space="preserve">07, and HLA-C*01 alleles across all samples, necessitating further discussion to understand this outcome. Excluding </w:t>
      </w:r>
      <w:r w:rsidR="00B9234B">
        <w:rPr>
          <w:rFonts w:ascii="Times New Roman" w:hAnsi="Times New Roman" w:cs="Times New Roman"/>
        </w:rPr>
        <w:t>hla-polysolver</w:t>
      </w:r>
      <w:r w:rsidR="00546A99" w:rsidRPr="00546A99">
        <w:rPr>
          <w:rFonts w:ascii="Times New Roman" w:hAnsi="Times New Roman" w:cs="Times New Roman"/>
        </w:rPr>
        <w:t>, our results show that ImmuSeeker achieved the highest consistency rate (9</w:t>
      </w:r>
      <w:r w:rsidR="003C39F3">
        <w:rPr>
          <w:rFonts w:ascii="Times New Roman" w:hAnsi="Times New Roman" w:cs="Times New Roman"/>
        </w:rPr>
        <w:t>7</w:t>
      </w:r>
      <w:r w:rsidR="00546A99" w:rsidRPr="00546A99">
        <w:rPr>
          <w:rFonts w:ascii="Times New Roman" w:hAnsi="Times New Roman" w:cs="Times New Roman"/>
        </w:rPr>
        <w:t>.</w:t>
      </w:r>
      <w:r w:rsidR="003C39F3">
        <w:rPr>
          <w:rFonts w:ascii="Times New Roman" w:hAnsi="Times New Roman" w:cs="Times New Roman"/>
        </w:rPr>
        <w:t>8</w:t>
      </w:r>
      <w:r w:rsidR="00546A99" w:rsidRPr="00546A99">
        <w:rPr>
          <w:rFonts w:ascii="Times New Roman" w:hAnsi="Times New Roman" w:cs="Times New Roman"/>
        </w:rPr>
        <w:t>%) among nine other methods, demonstrating its robustness in allele detection.</w:t>
      </w:r>
    </w:p>
    <w:p w14:paraId="56C2C461" w14:textId="064B48F3" w:rsidR="00761AFD" w:rsidRDefault="00E517DB" w:rsidP="00761AFD">
      <w:pPr>
        <w:jc w:val="both"/>
        <w:rPr>
          <w:rFonts w:ascii="Times New Roman" w:hAnsi="Times New Roman" w:cs="Times New Roman"/>
        </w:rPr>
      </w:pPr>
      <w:r w:rsidRPr="00E517DB">
        <w:rPr>
          <w:rFonts w:ascii="Times New Roman" w:hAnsi="Times New Roman" w:cs="Times New Roman"/>
        </w:rPr>
        <w:lastRenderedPageBreak/>
        <w:t xml:space="preserve">Next, we compared the detected alleles across the ten tools for HLA-A, HLA-B, and HLA-C. Consistency was defined as the overlap rate between detected allele pairs. The comparative results for each gene are presented in </w:t>
      </w:r>
      <w:r w:rsidR="00AC09EB" w:rsidRPr="00AC09EB">
        <w:rPr>
          <w:rFonts w:ascii="Times New Roman" w:hAnsi="Times New Roman" w:cs="Times New Roman"/>
        </w:rPr>
        <w:t>Fig. S</w:t>
      </w:r>
      <w:r w:rsidRPr="00E517DB">
        <w:rPr>
          <w:rFonts w:ascii="Times New Roman" w:hAnsi="Times New Roman" w:cs="Times New Roman"/>
        </w:rPr>
        <w:t xml:space="preserve">1B, </w:t>
      </w:r>
      <w:r w:rsidR="00AC09EB" w:rsidRPr="00AC09EB">
        <w:rPr>
          <w:rFonts w:ascii="Times New Roman" w:hAnsi="Times New Roman" w:cs="Times New Roman"/>
        </w:rPr>
        <w:t>Fig. S</w:t>
      </w:r>
      <w:r w:rsidRPr="00E517DB">
        <w:rPr>
          <w:rFonts w:ascii="Times New Roman" w:hAnsi="Times New Roman" w:cs="Times New Roman"/>
        </w:rPr>
        <w:t xml:space="preserve">1C, and </w:t>
      </w:r>
      <w:r w:rsidR="00AC09EB" w:rsidRPr="00AC09EB">
        <w:rPr>
          <w:rFonts w:ascii="Times New Roman" w:hAnsi="Times New Roman" w:cs="Times New Roman"/>
        </w:rPr>
        <w:t>Fig. S</w:t>
      </w:r>
      <w:r w:rsidRPr="00E517DB">
        <w:rPr>
          <w:rFonts w:ascii="Times New Roman" w:hAnsi="Times New Roman" w:cs="Times New Roman"/>
        </w:rPr>
        <w:t xml:space="preserve">1D. ImmuSeeker exhibited high concordance </w:t>
      </w:r>
      <w:r w:rsidR="001753A3" w:rsidRPr="00E517DB">
        <w:rPr>
          <w:rFonts w:ascii="Times New Roman" w:hAnsi="Times New Roman" w:cs="Times New Roman"/>
        </w:rPr>
        <w:t>with other methods for HLA-A</w:t>
      </w:r>
      <w:r w:rsidR="00F12D09">
        <w:rPr>
          <w:rFonts w:ascii="Times New Roman" w:hAnsi="Times New Roman" w:cs="Times New Roman"/>
        </w:rPr>
        <w:t>,</w:t>
      </w:r>
      <w:r w:rsidR="001753A3" w:rsidRPr="00E517DB">
        <w:rPr>
          <w:rFonts w:ascii="Times New Roman" w:hAnsi="Times New Roman" w:cs="Times New Roman"/>
        </w:rPr>
        <w:t xml:space="preserve"> HLA-B and HLA-C. </w:t>
      </w:r>
    </w:p>
    <w:p w14:paraId="08F48F10" w14:textId="282B14DE" w:rsidR="00761AFD" w:rsidRDefault="003C39F3" w:rsidP="00761AFD">
      <w:r>
        <w:rPr>
          <w:noProof/>
        </w:rPr>
        <w:drawing>
          <wp:inline distT="0" distB="0" distL="0" distR="0" wp14:anchorId="5F24D98B" wp14:editId="2824624C">
            <wp:extent cx="5935345" cy="3264535"/>
            <wp:effectExtent l="0" t="0" r="8255" b="0"/>
            <wp:docPr id="11248004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5345" cy="3264535"/>
                    </a:xfrm>
                    <a:prstGeom prst="rect">
                      <a:avLst/>
                    </a:prstGeom>
                    <a:noFill/>
                    <a:ln>
                      <a:noFill/>
                    </a:ln>
                  </pic:spPr>
                </pic:pic>
              </a:graphicData>
            </a:graphic>
          </wp:inline>
        </w:drawing>
      </w:r>
    </w:p>
    <w:p w14:paraId="7E61DD91" w14:textId="113A332D" w:rsidR="00E517DB" w:rsidRDefault="00E77C85" w:rsidP="00CA57B6">
      <w:pPr>
        <w:jc w:val="both"/>
        <w:rPr>
          <w:rFonts w:ascii="Times New Roman" w:hAnsi="Times New Roman" w:cs="Times New Roman"/>
        </w:rPr>
      </w:pPr>
      <w:r w:rsidRPr="00E77C85">
        <w:rPr>
          <w:rFonts w:ascii="Times New Roman" w:eastAsia="Calibri" w:hAnsi="Times New Roman" w:cs="Times New Roman"/>
          <w:b/>
          <w:sz w:val="22"/>
          <w:szCs w:val="22"/>
        </w:rPr>
        <w:t>Fig</w:t>
      </w:r>
      <w:r>
        <w:rPr>
          <w:rFonts w:ascii="Times New Roman" w:eastAsia="Calibri" w:hAnsi="Times New Roman" w:cs="Times New Roman"/>
          <w:b/>
          <w:sz w:val="22"/>
          <w:szCs w:val="22"/>
        </w:rPr>
        <w:t>.</w:t>
      </w:r>
      <w:r w:rsidRPr="00E77C85">
        <w:rPr>
          <w:rFonts w:ascii="Times New Roman" w:eastAsia="Calibri" w:hAnsi="Times New Roman" w:cs="Times New Roman"/>
          <w:b/>
          <w:sz w:val="22"/>
          <w:szCs w:val="22"/>
        </w:rPr>
        <w:t xml:space="preserve"> S</w:t>
      </w:r>
      <w:r w:rsidR="00761AFD" w:rsidRPr="001753A3">
        <w:rPr>
          <w:rFonts w:ascii="Times New Roman" w:eastAsia="Calibri" w:hAnsi="Times New Roman" w:cs="Times New Roman"/>
          <w:b/>
          <w:sz w:val="22"/>
          <w:szCs w:val="22"/>
        </w:rPr>
        <w:t>1</w:t>
      </w:r>
      <w:r w:rsidR="00761AFD" w:rsidRPr="001753A3">
        <w:rPr>
          <w:rFonts w:ascii="Times New Roman" w:eastAsia="Calibri" w:hAnsi="Times New Roman" w:cs="Times New Roman"/>
          <w:sz w:val="22"/>
          <w:szCs w:val="22"/>
        </w:rPr>
        <w:t xml:space="preserve">. Results from the COVID-19 cohort. (A). A heatmap representation of zygosity inference differences among the evaluated tools.  (B-D). Consistency heatmaps depicting the detected HLA alleles across different tools for HLA-A, HLA-B, and HLA-C. </w:t>
      </w:r>
    </w:p>
    <w:p w14:paraId="44B2EE50" w14:textId="2D36948B" w:rsidR="007F16E9" w:rsidRDefault="007F16E9" w:rsidP="001F2AD2">
      <w:pPr>
        <w:rPr>
          <w:rFonts w:ascii="Times New Roman" w:hAnsi="Times New Roman" w:cs="Times New Roman"/>
          <w:b/>
          <w:bCs/>
        </w:rPr>
      </w:pPr>
      <w:r w:rsidRPr="007F16E9">
        <w:rPr>
          <w:rFonts w:ascii="Times New Roman" w:hAnsi="Times New Roman" w:cs="Times New Roman"/>
          <w:b/>
          <w:bCs/>
        </w:rPr>
        <w:t xml:space="preserve">Evaluation of ImmuSeeker’s </w:t>
      </w:r>
      <w:r>
        <w:rPr>
          <w:rFonts w:ascii="Times New Roman" w:hAnsi="Times New Roman" w:cs="Times New Roman"/>
          <w:b/>
          <w:bCs/>
        </w:rPr>
        <w:t>r</w:t>
      </w:r>
      <w:r w:rsidRPr="007F16E9">
        <w:rPr>
          <w:rFonts w:ascii="Times New Roman" w:hAnsi="Times New Roman" w:cs="Times New Roman"/>
          <w:b/>
          <w:bCs/>
        </w:rPr>
        <w:t>un</w:t>
      </w:r>
      <w:r w:rsidR="005C3A63">
        <w:rPr>
          <w:rFonts w:ascii="Times New Roman" w:hAnsi="Times New Roman" w:cs="Times New Roman"/>
          <w:b/>
          <w:bCs/>
        </w:rPr>
        <w:t xml:space="preserve">ning </w:t>
      </w:r>
      <w:r w:rsidRPr="007F16E9">
        <w:rPr>
          <w:rFonts w:ascii="Times New Roman" w:hAnsi="Times New Roman" w:cs="Times New Roman"/>
          <w:b/>
          <w:bCs/>
        </w:rPr>
        <w:t xml:space="preserve">time and </w:t>
      </w:r>
      <w:r w:rsidR="005C3A63">
        <w:rPr>
          <w:rFonts w:ascii="Times New Roman" w:hAnsi="Times New Roman" w:cs="Times New Roman"/>
          <w:b/>
          <w:bCs/>
        </w:rPr>
        <w:t>m</w:t>
      </w:r>
      <w:r w:rsidRPr="007F16E9">
        <w:rPr>
          <w:rFonts w:ascii="Times New Roman" w:hAnsi="Times New Roman" w:cs="Times New Roman"/>
          <w:b/>
          <w:bCs/>
        </w:rPr>
        <w:t xml:space="preserve">emory </w:t>
      </w:r>
      <w:r w:rsidR="005C3A63">
        <w:rPr>
          <w:rFonts w:ascii="Times New Roman" w:hAnsi="Times New Roman" w:cs="Times New Roman"/>
          <w:b/>
          <w:bCs/>
        </w:rPr>
        <w:t>u</w:t>
      </w:r>
      <w:r w:rsidRPr="007F16E9">
        <w:rPr>
          <w:rFonts w:ascii="Times New Roman" w:hAnsi="Times New Roman" w:cs="Times New Roman"/>
          <w:b/>
          <w:bCs/>
        </w:rPr>
        <w:t>sage</w:t>
      </w:r>
    </w:p>
    <w:p w14:paraId="43390F0B" w14:textId="00A4E97E" w:rsidR="005C3A63" w:rsidRPr="005C3A63" w:rsidRDefault="005C3A63" w:rsidP="001506C5">
      <w:pPr>
        <w:jc w:val="both"/>
        <w:rPr>
          <w:rFonts w:ascii="Times New Roman" w:hAnsi="Times New Roman" w:cs="Times New Roman"/>
        </w:rPr>
      </w:pPr>
      <w:r w:rsidRPr="005C3A63">
        <w:rPr>
          <w:rFonts w:ascii="Times New Roman" w:hAnsi="Times New Roman" w:cs="Times New Roman"/>
        </w:rPr>
        <w:t>To assess the computational efficiency of ImmuSeeker, we evaluated its run</w:t>
      </w:r>
      <w:r w:rsidR="007669AA">
        <w:rPr>
          <w:rFonts w:ascii="Times New Roman" w:hAnsi="Times New Roman" w:cs="Times New Roman"/>
        </w:rPr>
        <w:t xml:space="preserve">ning </w:t>
      </w:r>
      <w:r w:rsidRPr="005C3A63">
        <w:rPr>
          <w:rFonts w:ascii="Times New Roman" w:hAnsi="Times New Roman" w:cs="Times New Roman"/>
        </w:rPr>
        <w:t>time and memory consumption across different sequencing depths</w:t>
      </w:r>
      <w:r w:rsidR="00236193">
        <w:rPr>
          <w:rFonts w:ascii="Times New Roman" w:hAnsi="Times New Roman" w:cs="Times New Roman"/>
        </w:rPr>
        <w:t xml:space="preserve"> data</w:t>
      </w:r>
      <w:r w:rsidRPr="005C3A63">
        <w:rPr>
          <w:rFonts w:ascii="Times New Roman" w:hAnsi="Times New Roman" w:cs="Times New Roman"/>
        </w:rPr>
        <w:t>. We generated reduced-depth sequencing datasets by subsampling reads at 20%, 40%, 60%, and 80% of the total read count from A549 mock-infected data. These datasets were processed using ten HLA typing tools on an Ubuntu 20.04.6 system equipped with dual 24-core Intel Xeon E5 Gold 5220R processors, 64 GB of RAM, and a 2.20 GHz CPU.</w:t>
      </w:r>
    </w:p>
    <w:p w14:paraId="157CA4C4" w14:textId="5DDD3986" w:rsidR="000638AA" w:rsidRPr="005C3A63" w:rsidRDefault="005C3A63" w:rsidP="001506C5">
      <w:pPr>
        <w:jc w:val="both"/>
        <w:rPr>
          <w:rFonts w:ascii="Times New Roman" w:hAnsi="Times New Roman" w:cs="Times New Roman"/>
        </w:rPr>
      </w:pPr>
      <w:r w:rsidRPr="005C3A63">
        <w:rPr>
          <w:rFonts w:ascii="Times New Roman" w:hAnsi="Times New Roman" w:cs="Times New Roman"/>
        </w:rPr>
        <w:t>Memory usage (</w:t>
      </w:r>
      <w:r w:rsidR="000F2C90" w:rsidRPr="000F2C90">
        <w:rPr>
          <w:rFonts w:ascii="Times New Roman" w:hAnsi="Times New Roman" w:cs="Times New Roman"/>
        </w:rPr>
        <w:t>Fig. S</w:t>
      </w:r>
      <w:r w:rsidRPr="005C3A63">
        <w:rPr>
          <w:rFonts w:ascii="Times New Roman" w:hAnsi="Times New Roman" w:cs="Times New Roman"/>
        </w:rPr>
        <w:t>2A) and execution time (</w:t>
      </w:r>
      <w:r w:rsidR="000F2C90" w:rsidRPr="000F2C90">
        <w:rPr>
          <w:rFonts w:ascii="Times New Roman" w:hAnsi="Times New Roman" w:cs="Times New Roman"/>
        </w:rPr>
        <w:t>Fig. S</w:t>
      </w:r>
      <w:r w:rsidRPr="005C3A63">
        <w:rPr>
          <w:rFonts w:ascii="Times New Roman" w:hAnsi="Times New Roman" w:cs="Times New Roman"/>
        </w:rPr>
        <w:t xml:space="preserve">2B) were measured using the /usr/bin/time command. The results indicate that ImmuSeeker requires higher memory compared to tools such as </w:t>
      </w:r>
      <w:r w:rsidR="00D24D89">
        <w:rPr>
          <w:rFonts w:ascii="Times New Roman" w:hAnsi="Times New Roman" w:cs="Times New Roman"/>
        </w:rPr>
        <w:t>hla</w:t>
      </w:r>
      <w:r w:rsidRPr="005C3A63">
        <w:rPr>
          <w:rFonts w:ascii="Times New Roman" w:hAnsi="Times New Roman" w:cs="Times New Roman"/>
        </w:rPr>
        <w:t xml:space="preserve">-Polysolver, arcasHLA, HLAreporter, seq2HLA, and xHLA. </w:t>
      </w:r>
      <w:r w:rsidR="000638AA" w:rsidRPr="000638AA">
        <w:rPr>
          <w:rFonts w:ascii="Times New Roman" w:hAnsi="Times New Roman" w:cs="Times New Roman"/>
        </w:rPr>
        <w:t>However, it achieves shorter runtimes compared to the other eight tools evaluated, demonstrating a significant advantage in computational speed.</w:t>
      </w:r>
    </w:p>
    <w:p w14:paraId="7B5B9AA3" w14:textId="18C80708" w:rsidR="000305A6" w:rsidRDefault="00F72662" w:rsidP="00B775B0">
      <w:pPr>
        <w:jc w:val="both"/>
        <w:rPr>
          <w:rFonts w:ascii="Times New Roman" w:eastAsia="Calibri" w:hAnsi="Times New Roman" w:cs="Times New Roman"/>
        </w:rPr>
      </w:pPr>
      <w:r w:rsidRPr="00F72662">
        <w:rPr>
          <w:rFonts w:ascii="Times New Roman" w:hAnsi="Times New Roman" w:cs="Times New Roman"/>
        </w:rPr>
        <w:t xml:space="preserve">The increased memory consumption is primarily due to ImmuSeeker’s comprehensive alignment strategy, which maps all reads within the HLA gene regions to the IPD-IMGT/HLA database. </w:t>
      </w:r>
      <w:r w:rsidRPr="00F72662">
        <w:rPr>
          <w:rFonts w:ascii="Times New Roman" w:hAnsi="Times New Roman" w:cs="Times New Roman"/>
        </w:rPr>
        <w:lastRenderedPageBreak/>
        <w:t>Given the high sequence similarity among HLA alleles, this process generates a substantial number of intermediate alignments, resulting in greater computational overhead. Future development efforts will focus on improving the tool’s memory efficiency to enhance scalability for large-scale datasets.</w:t>
      </w:r>
    </w:p>
    <w:p w14:paraId="65F4AF76" w14:textId="54BF04EE" w:rsidR="000305A6" w:rsidRDefault="003816D7" w:rsidP="003816D7">
      <w:pPr>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59B0351B" wp14:editId="36531637">
            <wp:extent cx="4067175" cy="4067175"/>
            <wp:effectExtent l="0" t="0" r="9525" b="9525"/>
            <wp:docPr id="9235804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67175" cy="4067175"/>
                    </a:xfrm>
                    <a:prstGeom prst="rect">
                      <a:avLst/>
                    </a:prstGeom>
                    <a:noFill/>
                    <a:ln>
                      <a:noFill/>
                    </a:ln>
                  </pic:spPr>
                </pic:pic>
              </a:graphicData>
            </a:graphic>
          </wp:inline>
        </w:drawing>
      </w:r>
    </w:p>
    <w:p w14:paraId="6F577010" w14:textId="0AF4AE17" w:rsidR="001331AB" w:rsidRDefault="00633BE1" w:rsidP="00B775B0">
      <w:pPr>
        <w:jc w:val="both"/>
        <w:rPr>
          <w:rFonts w:ascii="Times New Roman" w:hAnsi="Times New Roman" w:cs="Times New Roman"/>
          <w:lang w:eastAsia="zh-CN"/>
        </w:rPr>
      </w:pPr>
      <w:r w:rsidRPr="00633BE1">
        <w:rPr>
          <w:rFonts w:ascii="Times New Roman" w:eastAsia="Calibri" w:hAnsi="Times New Roman" w:cs="Times New Roman"/>
          <w:b/>
        </w:rPr>
        <w:t>Fig. S</w:t>
      </w:r>
      <w:r w:rsidR="00E856FD" w:rsidRPr="00E856FD">
        <w:rPr>
          <w:rFonts w:ascii="Times New Roman" w:eastAsia="Calibri" w:hAnsi="Times New Roman" w:cs="Times New Roman"/>
          <w:b/>
        </w:rPr>
        <w:t>2</w:t>
      </w:r>
      <w:r w:rsidR="000305A6" w:rsidRPr="000305A6">
        <w:rPr>
          <w:rFonts w:ascii="Times New Roman" w:eastAsia="Calibri" w:hAnsi="Times New Roman" w:cs="Times New Roman"/>
        </w:rPr>
        <w:t xml:space="preserve">. </w:t>
      </w:r>
      <w:r w:rsidR="005C6240" w:rsidRPr="005C6240">
        <w:rPr>
          <w:rFonts w:ascii="Times New Roman" w:eastAsia="Calibri" w:hAnsi="Times New Roman" w:cs="Times New Roman"/>
        </w:rPr>
        <w:t xml:space="preserve">Comparison of </w:t>
      </w:r>
      <w:r w:rsidR="00F45043">
        <w:rPr>
          <w:rFonts w:ascii="Times New Roman" w:eastAsia="Calibri" w:hAnsi="Times New Roman" w:cs="Times New Roman"/>
        </w:rPr>
        <w:t>m</w:t>
      </w:r>
      <w:r w:rsidR="005C6240" w:rsidRPr="005C6240">
        <w:rPr>
          <w:rFonts w:ascii="Times New Roman" w:eastAsia="Calibri" w:hAnsi="Times New Roman" w:cs="Times New Roman"/>
        </w:rPr>
        <w:t xml:space="preserve">emory </w:t>
      </w:r>
      <w:r w:rsidR="00F45043">
        <w:rPr>
          <w:rFonts w:ascii="Times New Roman" w:eastAsia="Calibri" w:hAnsi="Times New Roman" w:cs="Times New Roman"/>
        </w:rPr>
        <w:t>u</w:t>
      </w:r>
      <w:r w:rsidR="005C6240" w:rsidRPr="005C6240">
        <w:rPr>
          <w:rFonts w:ascii="Times New Roman" w:eastAsia="Calibri" w:hAnsi="Times New Roman" w:cs="Times New Roman"/>
        </w:rPr>
        <w:t xml:space="preserve">sage and </w:t>
      </w:r>
      <w:r w:rsidR="00F45043">
        <w:rPr>
          <w:rFonts w:ascii="Times New Roman" w:eastAsia="Calibri" w:hAnsi="Times New Roman" w:cs="Times New Roman"/>
        </w:rPr>
        <w:t>running</w:t>
      </w:r>
      <w:r w:rsidR="005C6240" w:rsidRPr="005C6240">
        <w:rPr>
          <w:rFonts w:ascii="Times New Roman" w:eastAsia="Calibri" w:hAnsi="Times New Roman" w:cs="Times New Roman"/>
        </w:rPr>
        <w:t xml:space="preserve"> </w:t>
      </w:r>
      <w:r w:rsidR="00F45043">
        <w:rPr>
          <w:rFonts w:ascii="Times New Roman" w:eastAsia="Calibri" w:hAnsi="Times New Roman" w:cs="Times New Roman"/>
        </w:rPr>
        <w:t>t</w:t>
      </w:r>
      <w:r w:rsidR="005C6240" w:rsidRPr="005C6240">
        <w:rPr>
          <w:rFonts w:ascii="Times New Roman" w:eastAsia="Calibri" w:hAnsi="Times New Roman" w:cs="Times New Roman"/>
        </w:rPr>
        <w:t xml:space="preserve">ime. </w:t>
      </w:r>
      <w:r w:rsidR="000305A6" w:rsidRPr="000305A6">
        <w:rPr>
          <w:rFonts w:ascii="Times New Roman" w:eastAsia="Calibri" w:hAnsi="Times New Roman" w:cs="Times New Roman"/>
        </w:rPr>
        <w:t>(</w:t>
      </w:r>
      <w:r w:rsidR="002663C6">
        <w:rPr>
          <w:rFonts w:ascii="Times New Roman" w:eastAsia="Calibri" w:hAnsi="Times New Roman" w:cs="Times New Roman"/>
        </w:rPr>
        <w:t>A</w:t>
      </w:r>
      <w:r w:rsidR="000305A6" w:rsidRPr="000305A6">
        <w:rPr>
          <w:rFonts w:ascii="Times New Roman" w:eastAsia="Calibri" w:hAnsi="Times New Roman" w:cs="Times New Roman"/>
        </w:rPr>
        <w:t xml:space="preserve">) </w:t>
      </w:r>
      <w:r w:rsidR="001866FE">
        <w:rPr>
          <w:rFonts w:ascii="Times New Roman" w:eastAsia="Calibri" w:hAnsi="Times New Roman" w:cs="Times New Roman"/>
        </w:rPr>
        <w:t>A</w:t>
      </w:r>
      <w:r w:rsidR="000305A6" w:rsidRPr="000305A6">
        <w:rPr>
          <w:rFonts w:ascii="Times New Roman" w:eastAsia="Calibri" w:hAnsi="Times New Roman" w:cs="Times New Roman"/>
        </w:rPr>
        <w:t>nalysis of maximum memory usage</w:t>
      </w:r>
      <w:r w:rsidR="000C7E22">
        <w:rPr>
          <w:rFonts w:ascii="Times New Roman" w:eastAsia="Calibri" w:hAnsi="Times New Roman" w:cs="Times New Roman"/>
        </w:rPr>
        <w:t xml:space="preserve"> </w:t>
      </w:r>
      <w:r w:rsidR="000C7E22" w:rsidRPr="000305A6">
        <w:rPr>
          <w:rFonts w:ascii="Times New Roman" w:eastAsia="Calibri" w:hAnsi="Times New Roman" w:cs="Times New Roman"/>
        </w:rPr>
        <w:t>across varying sequencing depths data</w:t>
      </w:r>
      <w:r w:rsidR="002663C6" w:rsidRPr="000305A6">
        <w:rPr>
          <w:rFonts w:ascii="Times New Roman" w:eastAsia="Calibri" w:hAnsi="Times New Roman" w:cs="Times New Roman"/>
        </w:rPr>
        <w:t>. (</w:t>
      </w:r>
      <w:r w:rsidR="002663C6">
        <w:rPr>
          <w:rFonts w:ascii="Times New Roman" w:eastAsia="Calibri" w:hAnsi="Times New Roman" w:cs="Times New Roman"/>
        </w:rPr>
        <w:t>B</w:t>
      </w:r>
      <w:r w:rsidR="002663C6" w:rsidRPr="000305A6">
        <w:rPr>
          <w:rFonts w:ascii="Times New Roman" w:eastAsia="Calibri" w:hAnsi="Times New Roman" w:cs="Times New Roman"/>
        </w:rPr>
        <w:t xml:space="preserve">) </w:t>
      </w:r>
      <w:r w:rsidR="00603CDA" w:rsidRPr="00603CDA">
        <w:rPr>
          <w:rFonts w:ascii="Times New Roman" w:eastAsia="Calibri" w:hAnsi="Times New Roman" w:cs="Times New Roman"/>
        </w:rPr>
        <w:t xml:space="preserve">Evaluation </w:t>
      </w:r>
      <w:r w:rsidR="002663C6" w:rsidRPr="000305A6">
        <w:rPr>
          <w:rFonts w:ascii="Times New Roman" w:eastAsia="Calibri" w:hAnsi="Times New Roman" w:cs="Times New Roman"/>
        </w:rPr>
        <w:t>of</w:t>
      </w:r>
      <w:r w:rsidR="00603CDA">
        <w:rPr>
          <w:rFonts w:ascii="Times New Roman" w:eastAsia="Calibri" w:hAnsi="Times New Roman" w:cs="Times New Roman"/>
        </w:rPr>
        <w:t xml:space="preserve"> execut</w:t>
      </w:r>
      <w:r w:rsidR="00601E7D">
        <w:rPr>
          <w:rFonts w:ascii="Times New Roman" w:eastAsia="Calibri" w:hAnsi="Times New Roman" w:cs="Times New Roman"/>
        </w:rPr>
        <w:t>ion</w:t>
      </w:r>
      <w:r w:rsidR="000305A6" w:rsidRPr="000305A6">
        <w:rPr>
          <w:rFonts w:ascii="Times New Roman" w:eastAsia="Calibri" w:hAnsi="Times New Roman" w:cs="Times New Roman"/>
        </w:rPr>
        <w:t xml:space="preserve"> time across varying sequencing depths data</w:t>
      </w:r>
      <w:r w:rsidR="002663C6">
        <w:rPr>
          <w:rFonts w:ascii="Times New Roman" w:eastAsia="Calibri" w:hAnsi="Times New Roman" w:cs="Times New Roman"/>
        </w:rPr>
        <w:t>.</w:t>
      </w:r>
    </w:p>
    <w:p w14:paraId="258F34F3" w14:textId="0C549875" w:rsidR="00E4523C" w:rsidRPr="00FC3928" w:rsidRDefault="00CC5A45" w:rsidP="00B775B0">
      <w:pPr>
        <w:jc w:val="both"/>
        <w:rPr>
          <w:rFonts w:ascii="Times New Roman" w:hAnsi="Times New Roman" w:cs="Times New Roman"/>
          <w:b/>
          <w:bCs/>
        </w:rPr>
      </w:pPr>
      <w:r w:rsidRPr="00FC3928">
        <w:rPr>
          <w:rFonts w:ascii="Times New Roman" w:hAnsi="Times New Roman" w:cs="Times New Roman"/>
          <w:b/>
          <w:bCs/>
        </w:rPr>
        <w:t xml:space="preserve">Evaluation of </w:t>
      </w:r>
      <w:r w:rsidR="00692E5D">
        <w:rPr>
          <w:rFonts w:ascii="Times New Roman" w:hAnsi="Times New Roman" w:cs="Times New Roman" w:hint="eastAsia"/>
          <w:b/>
          <w:bCs/>
          <w:lang w:eastAsia="zh-CN"/>
        </w:rPr>
        <w:t>a</w:t>
      </w:r>
      <w:r w:rsidRPr="00FC3928">
        <w:rPr>
          <w:rFonts w:ascii="Times New Roman" w:hAnsi="Times New Roman" w:cs="Times New Roman"/>
          <w:b/>
          <w:bCs/>
        </w:rPr>
        <w:t>llele-</w:t>
      </w:r>
      <w:r w:rsidR="00692E5D">
        <w:rPr>
          <w:rFonts w:ascii="Times New Roman" w:hAnsi="Times New Roman" w:cs="Times New Roman"/>
          <w:b/>
          <w:bCs/>
        </w:rPr>
        <w:t>s</w:t>
      </w:r>
      <w:r w:rsidRPr="00FC3928">
        <w:rPr>
          <w:rFonts w:ascii="Times New Roman" w:hAnsi="Times New Roman" w:cs="Times New Roman"/>
          <w:b/>
          <w:bCs/>
        </w:rPr>
        <w:t xml:space="preserve">pecific TPM </w:t>
      </w:r>
      <w:r w:rsidR="00692E5D">
        <w:rPr>
          <w:rFonts w:ascii="Times New Roman" w:hAnsi="Times New Roman" w:cs="Times New Roman"/>
          <w:b/>
          <w:bCs/>
        </w:rPr>
        <w:t>e</w:t>
      </w:r>
      <w:r w:rsidRPr="00FC3928">
        <w:rPr>
          <w:rFonts w:ascii="Times New Roman" w:hAnsi="Times New Roman" w:cs="Times New Roman"/>
          <w:b/>
          <w:bCs/>
        </w:rPr>
        <w:t xml:space="preserve">stimation </w:t>
      </w:r>
      <w:r w:rsidR="00692E5D">
        <w:rPr>
          <w:rFonts w:ascii="Times New Roman" w:hAnsi="Times New Roman" w:cs="Times New Roman"/>
          <w:b/>
          <w:bCs/>
        </w:rPr>
        <w:t>ac</w:t>
      </w:r>
      <w:r w:rsidRPr="00FC3928">
        <w:rPr>
          <w:rFonts w:ascii="Times New Roman" w:hAnsi="Times New Roman" w:cs="Times New Roman"/>
          <w:b/>
          <w:bCs/>
        </w:rPr>
        <w:t xml:space="preserve">ross </w:t>
      </w:r>
      <w:r w:rsidR="00692E5D">
        <w:rPr>
          <w:rFonts w:ascii="Times New Roman" w:hAnsi="Times New Roman" w:cs="Times New Roman"/>
          <w:b/>
          <w:bCs/>
        </w:rPr>
        <w:t>r</w:t>
      </w:r>
      <w:r w:rsidRPr="00FC3928">
        <w:rPr>
          <w:rFonts w:ascii="Times New Roman" w:hAnsi="Times New Roman" w:cs="Times New Roman"/>
          <w:b/>
          <w:bCs/>
        </w:rPr>
        <w:t>ead-</w:t>
      </w:r>
      <w:r w:rsidR="00692E5D">
        <w:rPr>
          <w:rFonts w:ascii="Times New Roman" w:hAnsi="Times New Roman" w:cs="Times New Roman"/>
          <w:b/>
          <w:bCs/>
        </w:rPr>
        <w:t>a</w:t>
      </w:r>
      <w:r w:rsidRPr="00FC3928">
        <w:rPr>
          <w:rFonts w:ascii="Times New Roman" w:hAnsi="Times New Roman" w:cs="Times New Roman"/>
          <w:b/>
          <w:bCs/>
        </w:rPr>
        <w:t xml:space="preserve">ssignment </w:t>
      </w:r>
      <w:r w:rsidR="00692E5D">
        <w:rPr>
          <w:rFonts w:ascii="Times New Roman" w:hAnsi="Times New Roman" w:cs="Times New Roman"/>
          <w:b/>
          <w:bCs/>
        </w:rPr>
        <w:t>s</w:t>
      </w:r>
      <w:r w:rsidRPr="00FC3928">
        <w:rPr>
          <w:rFonts w:ascii="Times New Roman" w:hAnsi="Times New Roman" w:cs="Times New Roman"/>
          <w:b/>
          <w:bCs/>
        </w:rPr>
        <w:t>trategies</w:t>
      </w:r>
    </w:p>
    <w:p w14:paraId="391D988D" w14:textId="77777777" w:rsidR="00467670" w:rsidRPr="00467670" w:rsidRDefault="00467670" w:rsidP="00467670">
      <w:pPr>
        <w:jc w:val="both"/>
        <w:rPr>
          <w:rFonts w:ascii="Times New Roman" w:hAnsi="Times New Roman" w:cs="Times New Roman"/>
          <w:lang w:eastAsia="zh-CN"/>
        </w:rPr>
      </w:pPr>
      <w:r w:rsidRPr="00467670">
        <w:rPr>
          <w:rFonts w:ascii="Times New Roman" w:hAnsi="Times New Roman" w:cs="Times New Roman"/>
          <w:lang w:eastAsia="zh-CN"/>
        </w:rPr>
        <w:t>Accurately estimating allele-specific TPM is indeed a critical component of HLA expression quantification, particularly in the presence of extensive sequence similarity among alleles. To evaluate TPM estimation, we implemented four complementary read-assignment strategies:</w:t>
      </w:r>
    </w:p>
    <w:p w14:paraId="3F721E4F" w14:textId="43D17CA6" w:rsidR="00467670" w:rsidRPr="00FC3928" w:rsidRDefault="00467670" w:rsidP="00FC3928">
      <w:pPr>
        <w:pStyle w:val="ListParagraph"/>
        <w:numPr>
          <w:ilvl w:val="0"/>
          <w:numId w:val="1"/>
        </w:numPr>
        <w:jc w:val="both"/>
        <w:rPr>
          <w:rFonts w:ascii="Times New Roman" w:hAnsi="Times New Roman" w:cs="Times New Roman"/>
          <w:lang w:eastAsia="zh-CN"/>
        </w:rPr>
      </w:pPr>
      <w:r w:rsidRPr="00FC3928">
        <w:rPr>
          <w:rFonts w:ascii="Times New Roman" w:hAnsi="Times New Roman" w:cs="Times New Roman"/>
          <w:lang w:eastAsia="zh-CN"/>
        </w:rPr>
        <w:t>Full-based assignment: Each read is assigned to all alleles to which it maps.</w:t>
      </w:r>
    </w:p>
    <w:p w14:paraId="1801824F" w14:textId="45035EB4" w:rsidR="00467670" w:rsidRPr="00FC3928" w:rsidRDefault="00467670" w:rsidP="00FC3928">
      <w:pPr>
        <w:pStyle w:val="ListParagraph"/>
        <w:numPr>
          <w:ilvl w:val="0"/>
          <w:numId w:val="1"/>
        </w:numPr>
        <w:jc w:val="both"/>
        <w:rPr>
          <w:rFonts w:ascii="Times New Roman" w:hAnsi="Times New Roman" w:cs="Times New Roman"/>
          <w:lang w:eastAsia="zh-CN"/>
        </w:rPr>
      </w:pPr>
      <w:r w:rsidRPr="00FC3928">
        <w:rPr>
          <w:rFonts w:ascii="Times New Roman" w:hAnsi="Times New Roman" w:cs="Times New Roman"/>
          <w:lang w:eastAsia="zh-CN"/>
        </w:rPr>
        <w:t>Fractional-based assignment: For a read mapping to k alleles, a fractional weight of 1/k is added to each allele.</w:t>
      </w:r>
    </w:p>
    <w:p w14:paraId="0CF0E0BA" w14:textId="51E2F4F0" w:rsidR="00467670" w:rsidRPr="00FC3928" w:rsidRDefault="00467670" w:rsidP="00FC3928">
      <w:pPr>
        <w:pStyle w:val="ListParagraph"/>
        <w:numPr>
          <w:ilvl w:val="0"/>
          <w:numId w:val="1"/>
        </w:numPr>
        <w:jc w:val="both"/>
        <w:rPr>
          <w:rFonts w:ascii="Times New Roman" w:hAnsi="Times New Roman" w:cs="Times New Roman"/>
          <w:lang w:eastAsia="zh-CN"/>
        </w:rPr>
      </w:pPr>
      <w:r w:rsidRPr="00FC3928">
        <w:rPr>
          <w:rFonts w:ascii="Times New Roman" w:hAnsi="Times New Roman" w:cs="Times New Roman"/>
          <w:lang w:eastAsia="zh-CN"/>
        </w:rPr>
        <w:t>Unique-based assignment: Only reads that uniquely map to a single allele are counted; ambiguous reads are discarded.</w:t>
      </w:r>
    </w:p>
    <w:p w14:paraId="0FE9F2C0" w14:textId="7F96F4FB" w:rsidR="00467670" w:rsidRPr="00FC3928" w:rsidRDefault="00467670" w:rsidP="00FC3928">
      <w:pPr>
        <w:pStyle w:val="ListParagraph"/>
        <w:numPr>
          <w:ilvl w:val="0"/>
          <w:numId w:val="1"/>
        </w:numPr>
        <w:jc w:val="both"/>
        <w:rPr>
          <w:rFonts w:ascii="Times New Roman" w:hAnsi="Times New Roman" w:cs="Times New Roman"/>
          <w:lang w:eastAsia="zh-CN"/>
        </w:rPr>
      </w:pPr>
      <w:r w:rsidRPr="00FC3928">
        <w:rPr>
          <w:rFonts w:ascii="Times New Roman" w:hAnsi="Times New Roman" w:cs="Times New Roman"/>
          <w:lang w:eastAsia="zh-CN"/>
        </w:rPr>
        <w:lastRenderedPageBreak/>
        <w:t>EM-based probabilistic assignment: Allele abundances are iteratively estimated using an Expectation–Maximization framework, with ambiguous reads reassigned probabilistically based on current allele abundance estimates.</w:t>
      </w:r>
    </w:p>
    <w:p w14:paraId="1D12658D" w14:textId="67C75037" w:rsidR="00467670" w:rsidRPr="00467670" w:rsidRDefault="00467670" w:rsidP="00467670">
      <w:pPr>
        <w:jc w:val="both"/>
        <w:rPr>
          <w:rFonts w:ascii="Times New Roman" w:hAnsi="Times New Roman" w:cs="Times New Roman"/>
          <w:lang w:eastAsia="zh-CN"/>
        </w:rPr>
      </w:pPr>
      <w:r w:rsidRPr="00467670">
        <w:rPr>
          <w:rFonts w:ascii="Times New Roman" w:hAnsi="Times New Roman" w:cs="Times New Roman"/>
          <w:lang w:eastAsia="zh-CN"/>
        </w:rPr>
        <w:t xml:space="preserve">Because no publicly available bulk RNA-seq dataset provides experimentally validated allele-specific TPMs across a broad range of HLA alleles, we assessed the reliability of TPM estimation through internal consistency analysis. Using an autoimmune disease cohort of 226 samples, we applied the four TPM strategies and computed pairwise Pearson correlation coefficients for alleles detected in at least 50 samples. A total of 56 alleles (24 one-field and 32 two-field) met this criterion. Results for the one-field and two-field alleles are presented in </w:t>
      </w:r>
      <w:r w:rsidR="00E6379F" w:rsidRPr="00E6379F">
        <w:rPr>
          <w:rFonts w:ascii="Times New Roman" w:hAnsi="Times New Roman" w:cs="Times New Roman"/>
          <w:lang w:eastAsia="zh-CN"/>
        </w:rPr>
        <w:t>Fig. S</w:t>
      </w:r>
      <w:r w:rsidR="002641C6">
        <w:rPr>
          <w:rFonts w:ascii="Times New Roman" w:hAnsi="Times New Roman" w:cs="Times New Roman"/>
          <w:lang w:eastAsia="zh-CN"/>
        </w:rPr>
        <w:t>3</w:t>
      </w:r>
      <w:r w:rsidRPr="00467670">
        <w:rPr>
          <w:rFonts w:ascii="Times New Roman" w:hAnsi="Times New Roman" w:cs="Times New Roman"/>
          <w:lang w:eastAsia="zh-CN"/>
        </w:rPr>
        <w:t xml:space="preserve"> and </w:t>
      </w:r>
      <w:r w:rsidR="00E6379F" w:rsidRPr="00E6379F">
        <w:rPr>
          <w:rFonts w:ascii="Times New Roman" w:hAnsi="Times New Roman" w:cs="Times New Roman"/>
          <w:lang w:eastAsia="zh-CN"/>
        </w:rPr>
        <w:t>Fig. S</w:t>
      </w:r>
      <w:r w:rsidR="002641C6">
        <w:rPr>
          <w:rFonts w:ascii="Times New Roman" w:hAnsi="Times New Roman" w:cs="Times New Roman"/>
          <w:lang w:eastAsia="zh-CN"/>
        </w:rPr>
        <w:t>4</w:t>
      </w:r>
      <w:r w:rsidRPr="00467670">
        <w:rPr>
          <w:rFonts w:ascii="Times New Roman" w:hAnsi="Times New Roman" w:cs="Times New Roman"/>
          <w:lang w:eastAsia="zh-CN"/>
        </w:rPr>
        <w:t>, respectively.</w:t>
      </w:r>
    </w:p>
    <w:p w14:paraId="65CE95BB" w14:textId="214B5FFB" w:rsidR="00467670" w:rsidRPr="00467670" w:rsidRDefault="000E39A3" w:rsidP="00FC3928">
      <w:pPr>
        <w:jc w:val="center"/>
        <w:rPr>
          <w:rFonts w:ascii="Times New Roman" w:hAnsi="Times New Roman" w:cs="Times New Roman"/>
          <w:lang w:eastAsia="zh-CN"/>
        </w:rPr>
      </w:pPr>
      <w:r w:rsidRPr="00775380">
        <w:rPr>
          <w:rFonts w:ascii="Times New Roman" w:eastAsia="Merriweather Sans" w:hAnsi="Times New Roman" w:cs="Times New Roman"/>
          <w:i/>
          <w:iCs/>
          <w:noProof/>
          <w:color w:val="215E99" w:themeColor="text2" w:themeTint="BF"/>
        </w:rPr>
        <w:drawing>
          <wp:inline distT="0" distB="0" distL="0" distR="0" wp14:anchorId="64C6A94C" wp14:editId="03518DBD">
            <wp:extent cx="3510643" cy="2632324"/>
            <wp:effectExtent l="0" t="0" r="0" b="0"/>
            <wp:docPr id="1675748847" name="Picture 1" descr="A diagram of different types of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48847" name="Picture 1" descr="A diagram of different types of normal distributi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7571" cy="2645017"/>
                    </a:xfrm>
                    <a:prstGeom prst="rect">
                      <a:avLst/>
                    </a:prstGeom>
                    <a:noFill/>
                    <a:ln>
                      <a:noFill/>
                    </a:ln>
                  </pic:spPr>
                </pic:pic>
              </a:graphicData>
            </a:graphic>
          </wp:inline>
        </w:drawing>
      </w:r>
    </w:p>
    <w:p w14:paraId="41531A06" w14:textId="645D4018" w:rsidR="00467670" w:rsidRPr="00467670" w:rsidRDefault="00262613" w:rsidP="00467670">
      <w:pPr>
        <w:jc w:val="both"/>
        <w:rPr>
          <w:rFonts w:ascii="Times New Roman" w:hAnsi="Times New Roman" w:cs="Times New Roman"/>
          <w:lang w:eastAsia="zh-CN"/>
        </w:rPr>
      </w:pPr>
      <w:r w:rsidRPr="00730896">
        <w:rPr>
          <w:rFonts w:ascii="Times New Roman" w:hAnsi="Times New Roman" w:cs="Times New Roman"/>
          <w:b/>
          <w:bCs/>
          <w:lang w:eastAsia="zh-CN"/>
        </w:rPr>
        <w:t>Fig. S</w:t>
      </w:r>
      <w:r w:rsidR="002641C6" w:rsidRPr="00730896">
        <w:rPr>
          <w:rFonts w:ascii="Times New Roman" w:hAnsi="Times New Roman" w:cs="Times New Roman"/>
          <w:b/>
          <w:bCs/>
          <w:lang w:eastAsia="zh-CN"/>
        </w:rPr>
        <w:t>3</w:t>
      </w:r>
      <w:r w:rsidR="00467670" w:rsidRPr="00467670">
        <w:rPr>
          <w:rFonts w:ascii="Times New Roman" w:hAnsi="Times New Roman" w:cs="Times New Roman" w:hint="eastAsia"/>
          <w:lang w:eastAsia="zh-CN"/>
        </w:rPr>
        <w:t xml:space="preserve">. Pairwise Pearson correlation analysis of TPM estimates across four read-assignment strategies (full-based, fractional-based, unique-based, and EM-based) for 24 one-field HLA alleles detected in </w:t>
      </w:r>
      <w:r w:rsidR="00467670" w:rsidRPr="00467670">
        <w:rPr>
          <w:rFonts w:ascii="Times New Roman" w:hAnsi="Times New Roman" w:cs="Times New Roman" w:hint="eastAsia"/>
          <w:lang w:eastAsia="zh-CN"/>
        </w:rPr>
        <w:t>≥</w:t>
      </w:r>
      <w:r w:rsidR="00467670" w:rsidRPr="00467670">
        <w:rPr>
          <w:rFonts w:ascii="Times New Roman" w:hAnsi="Times New Roman" w:cs="Times New Roman" w:hint="eastAsia"/>
          <w:lang w:eastAsia="zh-CN"/>
        </w:rPr>
        <w:t xml:space="preserve">50 samples. The red dashed line indicates the mean </w:t>
      </w:r>
      <w:r w:rsidR="00467670" w:rsidRPr="00467670">
        <w:rPr>
          <w:rFonts w:ascii="Times New Roman" w:hAnsi="Times New Roman" w:cs="Times New Roman"/>
          <w:lang w:eastAsia="zh-CN"/>
        </w:rPr>
        <w:t>correlation coefficient for each method pair. Overall, one-field alleles exhibit high consistency across quantification strategies, with EM-based, fractional-based, and full-based TPMs showing the strongest agreement.</w:t>
      </w:r>
    </w:p>
    <w:p w14:paraId="2C1A3205" w14:textId="1F52DF48" w:rsidR="00467670" w:rsidRPr="00467670" w:rsidRDefault="006A7AFA" w:rsidP="00FC3928">
      <w:pPr>
        <w:jc w:val="center"/>
        <w:rPr>
          <w:rFonts w:ascii="Times New Roman" w:hAnsi="Times New Roman" w:cs="Times New Roman"/>
          <w:lang w:eastAsia="zh-CN"/>
        </w:rPr>
      </w:pPr>
      <w:r w:rsidRPr="00775380">
        <w:rPr>
          <w:rFonts w:ascii="Times New Roman" w:eastAsia="Merriweather Sans" w:hAnsi="Times New Roman" w:cs="Times New Roman"/>
          <w:i/>
          <w:iCs/>
          <w:noProof/>
          <w:color w:val="215E99" w:themeColor="text2" w:themeTint="BF"/>
        </w:rPr>
        <w:lastRenderedPageBreak/>
        <w:drawing>
          <wp:inline distT="0" distB="0" distL="0" distR="0" wp14:anchorId="15D6C067" wp14:editId="0D67C7A1">
            <wp:extent cx="3512799" cy="2633472"/>
            <wp:effectExtent l="0" t="0" r="0" b="0"/>
            <wp:docPr id="382409383" name="Picture 2" descr="A diagram of different types of normal distrib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409383" name="Picture 2" descr="A diagram of different types of normal distributi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799" cy="2633472"/>
                    </a:xfrm>
                    <a:prstGeom prst="rect">
                      <a:avLst/>
                    </a:prstGeom>
                    <a:noFill/>
                    <a:ln>
                      <a:noFill/>
                    </a:ln>
                  </pic:spPr>
                </pic:pic>
              </a:graphicData>
            </a:graphic>
          </wp:inline>
        </w:drawing>
      </w:r>
    </w:p>
    <w:p w14:paraId="03FDBB7E" w14:textId="6870CB0F" w:rsidR="00467670" w:rsidRPr="00467670" w:rsidRDefault="00817362" w:rsidP="00467670">
      <w:pPr>
        <w:jc w:val="both"/>
        <w:rPr>
          <w:rFonts w:ascii="Times New Roman" w:hAnsi="Times New Roman" w:cs="Times New Roman"/>
          <w:lang w:eastAsia="zh-CN"/>
        </w:rPr>
      </w:pPr>
      <w:r w:rsidRPr="00730896">
        <w:rPr>
          <w:rFonts w:ascii="Times New Roman" w:hAnsi="Times New Roman" w:cs="Times New Roman"/>
          <w:b/>
          <w:bCs/>
          <w:lang w:eastAsia="zh-CN"/>
        </w:rPr>
        <w:t>Fig. S</w:t>
      </w:r>
      <w:r w:rsidR="002641C6" w:rsidRPr="00730896">
        <w:rPr>
          <w:rFonts w:ascii="Times New Roman" w:hAnsi="Times New Roman" w:cs="Times New Roman"/>
          <w:b/>
          <w:bCs/>
          <w:lang w:eastAsia="zh-CN"/>
        </w:rPr>
        <w:t>4</w:t>
      </w:r>
      <w:r w:rsidR="00467670" w:rsidRPr="00467670">
        <w:rPr>
          <w:rFonts w:ascii="Times New Roman" w:hAnsi="Times New Roman" w:cs="Times New Roman" w:hint="eastAsia"/>
          <w:lang w:eastAsia="zh-CN"/>
        </w:rPr>
        <w:t xml:space="preserve">. Pairwise Pearson correlation analysis of TPM estimates across four read-assignment strategies for 32 two-field HLA alleles detected in </w:t>
      </w:r>
      <w:r w:rsidR="00467670" w:rsidRPr="00467670">
        <w:rPr>
          <w:rFonts w:ascii="Times New Roman" w:hAnsi="Times New Roman" w:cs="Times New Roman" w:hint="eastAsia"/>
          <w:lang w:eastAsia="zh-CN"/>
        </w:rPr>
        <w:t>≥</w:t>
      </w:r>
      <w:r w:rsidR="00467670" w:rsidRPr="00467670">
        <w:rPr>
          <w:rFonts w:ascii="Times New Roman" w:hAnsi="Times New Roman" w:cs="Times New Roman" w:hint="eastAsia"/>
          <w:lang w:eastAsia="zh-CN"/>
        </w:rPr>
        <w:t>50 samples. The red dashed line indicates the mean correlation coefficient for each method pair. In contrast t</w:t>
      </w:r>
      <w:r w:rsidR="00467670" w:rsidRPr="00467670">
        <w:rPr>
          <w:rFonts w:ascii="Times New Roman" w:hAnsi="Times New Roman" w:cs="Times New Roman"/>
          <w:lang w:eastAsia="zh-CN"/>
        </w:rPr>
        <w:t>o one-field alleles, TPM estimates for two-field alleles show substantial divergence across methods, reflecting the high sequence similarity and extensive read ambiguity that challenge allele-specific TPM quantification at higher resolution.</w:t>
      </w:r>
    </w:p>
    <w:p w14:paraId="380E83CD" w14:textId="77777777" w:rsidR="00467670" w:rsidRPr="00467670" w:rsidRDefault="00467670" w:rsidP="00467670">
      <w:pPr>
        <w:jc w:val="both"/>
        <w:rPr>
          <w:rFonts w:ascii="Times New Roman" w:hAnsi="Times New Roman" w:cs="Times New Roman"/>
          <w:lang w:eastAsia="zh-CN"/>
        </w:rPr>
      </w:pPr>
      <w:r w:rsidRPr="00467670">
        <w:rPr>
          <w:rFonts w:ascii="Times New Roman" w:hAnsi="Times New Roman" w:cs="Times New Roman"/>
          <w:lang w:eastAsia="zh-CN"/>
        </w:rPr>
        <w:t xml:space="preserve">Our analysis revealed three key findings: (1) Unique-based TPMs exhibited slightly lower correlations with other quantification strategies. This reduction reflects the systematic exclusion of ambiguous reads, highlighting that the handling of multi-mapping reads has a measurable impact on TPM estimation. (2) Correlations among TPM estimates were substantially higher at the one-field level than at the two-field level. For one-field alleles, EM-based TPMs demonstrated the highest overall consistency, with mean Pearson correlations of 0.976 with fractional-based TPMs and 0.876 with full-based TPMs. Fractional-based and full-based TPMs were also strongly correlated (mean r = 0.915), indicating that when ambiguous reads are retained, TPM quantification is generally robust at the one-field resolution. (3) At the two-field allele resolution, TPM estimates diverged markedly across quantification strategies. Except for the unique-based method, which lacked sufficient read support for reliable comparison, EM-based TPMs achieved only modest maximum correlations (mean r = 0.396 with fractional-based TPMs and 0.241 with full-based TPMs). </w:t>
      </w:r>
    </w:p>
    <w:p w14:paraId="1FE31DB3" w14:textId="77777777" w:rsidR="00467670" w:rsidRPr="00467670" w:rsidRDefault="00467670" w:rsidP="00467670">
      <w:pPr>
        <w:jc w:val="both"/>
        <w:rPr>
          <w:rFonts w:ascii="Times New Roman" w:hAnsi="Times New Roman" w:cs="Times New Roman"/>
          <w:lang w:eastAsia="zh-CN"/>
        </w:rPr>
      </w:pPr>
      <w:r w:rsidRPr="00467670">
        <w:rPr>
          <w:rFonts w:ascii="Times New Roman" w:hAnsi="Times New Roman" w:cs="Times New Roman"/>
          <w:lang w:eastAsia="zh-CN"/>
        </w:rPr>
        <w:t>This divergence reflects the high sequence similarity among alleles within the same one-field group, which leads to extensive read ambiguity and increased uncertainty in assigning reads to specific two-field alleles. As a result, TPM values at the two-field resolution become highly sensitive to the quantification strategy used.</w:t>
      </w:r>
    </w:p>
    <w:p w14:paraId="2FFDDC70" w14:textId="66F727C7" w:rsidR="00CC5A45" w:rsidRPr="00FC3928" w:rsidRDefault="00467670" w:rsidP="00467670">
      <w:pPr>
        <w:jc w:val="both"/>
        <w:rPr>
          <w:rFonts w:ascii="Times New Roman" w:hAnsi="Times New Roman" w:cs="Times New Roman"/>
          <w:lang w:eastAsia="zh-CN"/>
        </w:rPr>
      </w:pPr>
      <w:r w:rsidRPr="00467670">
        <w:rPr>
          <w:rFonts w:ascii="Times New Roman" w:hAnsi="Times New Roman" w:cs="Times New Roman"/>
          <w:lang w:eastAsia="zh-CN"/>
        </w:rPr>
        <w:t xml:space="preserve">Given these findings, we selected the full-based TPM strategy for downstream analyses. HLA alleles, particularly at the two-field resolution, share nearly identical sequences, causing a large </w:t>
      </w:r>
      <w:r w:rsidRPr="00467670">
        <w:rPr>
          <w:rFonts w:ascii="Times New Roman" w:hAnsi="Times New Roman" w:cs="Times New Roman"/>
          <w:lang w:eastAsia="zh-CN"/>
        </w:rPr>
        <w:lastRenderedPageBreak/>
        <w:t>fraction of reads to map to multiple alleles. Approaches that exclude or heavily downweight these ambiguous reads (unique-based or fractional-based) lead to unstable estimates, increased variance, and systematic underestimation of total expression. In contrast, full-based assignment retains all observed reads, providing the most stable, robust, and biologically interpretable estimate of overall HLA expression. This strategy is especially appropriate for our downstream applications, which focus on capturing total allelic expression patterns rather than resolving minimal sequence differences between highly similar alleles.</w:t>
      </w:r>
    </w:p>
    <w:sectPr w:rsidR="00CC5A45" w:rsidRPr="00FC3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erriweather Sans">
    <w:charset w:val="00"/>
    <w:family w:val="auto"/>
    <w:pitch w:val="variable"/>
    <w:sig w:usb0="A00004FF" w:usb1="4000207B" w:usb2="00000000"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F464C"/>
    <w:multiLevelType w:val="hybridMultilevel"/>
    <w:tmpl w:val="562AD956"/>
    <w:lvl w:ilvl="0" w:tplc="9044F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728DF"/>
    <w:multiLevelType w:val="hybridMultilevel"/>
    <w:tmpl w:val="705AB4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1743578">
    <w:abstractNumId w:val="1"/>
  </w:num>
  <w:num w:numId="2" w16cid:durableId="160838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Numbered&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5CDBB0C3"/>
    <w:rsid w:val="00015255"/>
    <w:rsid w:val="000305A6"/>
    <w:rsid w:val="0004074F"/>
    <w:rsid w:val="00042025"/>
    <w:rsid w:val="000638AA"/>
    <w:rsid w:val="0008008E"/>
    <w:rsid w:val="000855B6"/>
    <w:rsid w:val="000A07FD"/>
    <w:rsid w:val="000C7E22"/>
    <w:rsid w:val="000E39A3"/>
    <w:rsid w:val="000F2C90"/>
    <w:rsid w:val="00110F4C"/>
    <w:rsid w:val="00126324"/>
    <w:rsid w:val="00131662"/>
    <w:rsid w:val="001331AB"/>
    <w:rsid w:val="0014269C"/>
    <w:rsid w:val="001457C9"/>
    <w:rsid w:val="001506C5"/>
    <w:rsid w:val="001512CF"/>
    <w:rsid w:val="00153B3A"/>
    <w:rsid w:val="00157BAC"/>
    <w:rsid w:val="001753A3"/>
    <w:rsid w:val="00181613"/>
    <w:rsid w:val="001831D6"/>
    <w:rsid w:val="001866FE"/>
    <w:rsid w:val="00195BB0"/>
    <w:rsid w:val="001B71DC"/>
    <w:rsid w:val="001F2AD2"/>
    <w:rsid w:val="00220840"/>
    <w:rsid w:val="00236193"/>
    <w:rsid w:val="0025340B"/>
    <w:rsid w:val="00254838"/>
    <w:rsid w:val="00262613"/>
    <w:rsid w:val="002641C6"/>
    <w:rsid w:val="002663C6"/>
    <w:rsid w:val="00276F77"/>
    <w:rsid w:val="0029231B"/>
    <w:rsid w:val="002968CD"/>
    <w:rsid w:val="002D2015"/>
    <w:rsid w:val="002E077E"/>
    <w:rsid w:val="002E6E8A"/>
    <w:rsid w:val="00307B4D"/>
    <w:rsid w:val="003129D8"/>
    <w:rsid w:val="0033311B"/>
    <w:rsid w:val="00336A21"/>
    <w:rsid w:val="00340691"/>
    <w:rsid w:val="0037060D"/>
    <w:rsid w:val="00371B76"/>
    <w:rsid w:val="003754B2"/>
    <w:rsid w:val="003816D7"/>
    <w:rsid w:val="00385D4D"/>
    <w:rsid w:val="00395BEB"/>
    <w:rsid w:val="003B0DBB"/>
    <w:rsid w:val="003B24A6"/>
    <w:rsid w:val="003B3824"/>
    <w:rsid w:val="003C39F3"/>
    <w:rsid w:val="003C771D"/>
    <w:rsid w:val="003E4C40"/>
    <w:rsid w:val="003E7022"/>
    <w:rsid w:val="00407579"/>
    <w:rsid w:val="00412EE0"/>
    <w:rsid w:val="00420A66"/>
    <w:rsid w:val="00424639"/>
    <w:rsid w:val="00450F8F"/>
    <w:rsid w:val="00462697"/>
    <w:rsid w:val="00467670"/>
    <w:rsid w:val="00472B16"/>
    <w:rsid w:val="004826E3"/>
    <w:rsid w:val="004859A5"/>
    <w:rsid w:val="00495682"/>
    <w:rsid w:val="004C465E"/>
    <w:rsid w:val="004C4812"/>
    <w:rsid w:val="004E2BAD"/>
    <w:rsid w:val="004F6575"/>
    <w:rsid w:val="00510C38"/>
    <w:rsid w:val="00537537"/>
    <w:rsid w:val="00546A99"/>
    <w:rsid w:val="00581EC1"/>
    <w:rsid w:val="0058333A"/>
    <w:rsid w:val="0058473D"/>
    <w:rsid w:val="00587760"/>
    <w:rsid w:val="005B5A32"/>
    <w:rsid w:val="005C2333"/>
    <w:rsid w:val="005C3A63"/>
    <w:rsid w:val="005C6240"/>
    <w:rsid w:val="005D2C69"/>
    <w:rsid w:val="005F3EB8"/>
    <w:rsid w:val="005F5A3E"/>
    <w:rsid w:val="005F7A0B"/>
    <w:rsid w:val="00601E20"/>
    <w:rsid w:val="00601E7D"/>
    <w:rsid w:val="006025BF"/>
    <w:rsid w:val="00603CDA"/>
    <w:rsid w:val="00633BE1"/>
    <w:rsid w:val="00641988"/>
    <w:rsid w:val="006431F0"/>
    <w:rsid w:val="0065158E"/>
    <w:rsid w:val="0067361B"/>
    <w:rsid w:val="0068169C"/>
    <w:rsid w:val="0068457C"/>
    <w:rsid w:val="00692E5D"/>
    <w:rsid w:val="006A7AFA"/>
    <w:rsid w:val="006B47E2"/>
    <w:rsid w:val="006C29F9"/>
    <w:rsid w:val="006C2D6C"/>
    <w:rsid w:val="00702143"/>
    <w:rsid w:val="00707FEC"/>
    <w:rsid w:val="007112FA"/>
    <w:rsid w:val="007127F6"/>
    <w:rsid w:val="00715610"/>
    <w:rsid w:val="00730896"/>
    <w:rsid w:val="00760116"/>
    <w:rsid w:val="00761AFD"/>
    <w:rsid w:val="007669AA"/>
    <w:rsid w:val="0079614E"/>
    <w:rsid w:val="007B0730"/>
    <w:rsid w:val="007B0E96"/>
    <w:rsid w:val="007B7AE6"/>
    <w:rsid w:val="007C26F3"/>
    <w:rsid w:val="007F16E9"/>
    <w:rsid w:val="007F538A"/>
    <w:rsid w:val="00800351"/>
    <w:rsid w:val="008028C4"/>
    <w:rsid w:val="00817362"/>
    <w:rsid w:val="008A548A"/>
    <w:rsid w:val="008B028B"/>
    <w:rsid w:val="008B79DD"/>
    <w:rsid w:val="008C7320"/>
    <w:rsid w:val="008D33AA"/>
    <w:rsid w:val="008D3424"/>
    <w:rsid w:val="008D66CA"/>
    <w:rsid w:val="008E5217"/>
    <w:rsid w:val="008F062B"/>
    <w:rsid w:val="008F1F48"/>
    <w:rsid w:val="00982F4E"/>
    <w:rsid w:val="00986703"/>
    <w:rsid w:val="00992E2F"/>
    <w:rsid w:val="009A6E11"/>
    <w:rsid w:val="009B3B76"/>
    <w:rsid w:val="009F6C85"/>
    <w:rsid w:val="00A0293D"/>
    <w:rsid w:val="00A04B20"/>
    <w:rsid w:val="00A14854"/>
    <w:rsid w:val="00A30434"/>
    <w:rsid w:val="00A34B75"/>
    <w:rsid w:val="00A4210A"/>
    <w:rsid w:val="00A54A2A"/>
    <w:rsid w:val="00A82BCF"/>
    <w:rsid w:val="00A87F6F"/>
    <w:rsid w:val="00A94F4F"/>
    <w:rsid w:val="00AC09EB"/>
    <w:rsid w:val="00AC4228"/>
    <w:rsid w:val="00AE39D0"/>
    <w:rsid w:val="00AE7D4E"/>
    <w:rsid w:val="00AF3B20"/>
    <w:rsid w:val="00B06A0F"/>
    <w:rsid w:val="00B30D35"/>
    <w:rsid w:val="00B373BA"/>
    <w:rsid w:val="00B403AD"/>
    <w:rsid w:val="00B42A98"/>
    <w:rsid w:val="00B64553"/>
    <w:rsid w:val="00B67CA4"/>
    <w:rsid w:val="00B73DC3"/>
    <w:rsid w:val="00B76519"/>
    <w:rsid w:val="00B775B0"/>
    <w:rsid w:val="00B9234B"/>
    <w:rsid w:val="00B9684B"/>
    <w:rsid w:val="00BE5905"/>
    <w:rsid w:val="00C1336F"/>
    <w:rsid w:val="00C17284"/>
    <w:rsid w:val="00C32946"/>
    <w:rsid w:val="00C41E9B"/>
    <w:rsid w:val="00C435DF"/>
    <w:rsid w:val="00C447C7"/>
    <w:rsid w:val="00C45741"/>
    <w:rsid w:val="00C57AB2"/>
    <w:rsid w:val="00C860E2"/>
    <w:rsid w:val="00C86454"/>
    <w:rsid w:val="00CA57B6"/>
    <w:rsid w:val="00CC5A45"/>
    <w:rsid w:val="00CD42A0"/>
    <w:rsid w:val="00CE3342"/>
    <w:rsid w:val="00CE50C5"/>
    <w:rsid w:val="00CE794A"/>
    <w:rsid w:val="00CF79FC"/>
    <w:rsid w:val="00D02485"/>
    <w:rsid w:val="00D0415A"/>
    <w:rsid w:val="00D12AE1"/>
    <w:rsid w:val="00D15BA4"/>
    <w:rsid w:val="00D24D89"/>
    <w:rsid w:val="00D312EA"/>
    <w:rsid w:val="00D7175C"/>
    <w:rsid w:val="00D72189"/>
    <w:rsid w:val="00D765DE"/>
    <w:rsid w:val="00D83E47"/>
    <w:rsid w:val="00D92867"/>
    <w:rsid w:val="00D946B2"/>
    <w:rsid w:val="00D960B9"/>
    <w:rsid w:val="00DA4B49"/>
    <w:rsid w:val="00DE1B77"/>
    <w:rsid w:val="00DE475B"/>
    <w:rsid w:val="00DE5D35"/>
    <w:rsid w:val="00E03496"/>
    <w:rsid w:val="00E24909"/>
    <w:rsid w:val="00E26CFD"/>
    <w:rsid w:val="00E4523C"/>
    <w:rsid w:val="00E517DB"/>
    <w:rsid w:val="00E5238F"/>
    <w:rsid w:val="00E56E07"/>
    <w:rsid w:val="00E6379F"/>
    <w:rsid w:val="00E77C85"/>
    <w:rsid w:val="00E856FD"/>
    <w:rsid w:val="00E9723D"/>
    <w:rsid w:val="00EA0AC9"/>
    <w:rsid w:val="00EA3F3A"/>
    <w:rsid w:val="00EC1934"/>
    <w:rsid w:val="00EE2761"/>
    <w:rsid w:val="00F12D09"/>
    <w:rsid w:val="00F20F58"/>
    <w:rsid w:val="00F305E4"/>
    <w:rsid w:val="00F32134"/>
    <w:rsid w:val="00F33CDC"/>
    <w:rsid w:val="00F45043"/>
    <w:rsid w:val="00F568A9"/>
    <w:rsid w:val="00F67B80"/>
    <w:rsid w:val="00F72662"/>
    <w:rsid w:val="00F9294F"/>
    <w:rsid w:val="00F94E33"/>
    <w:rsid w:val="00FA7594"/>
    <w:rsid w:val="00FB6FC8"/>
    <w:rsid w:val="00FC3928"/>
    <w:rsid w:val="00FC6DBC"/>
    <w:rsid w:val="00FD0C60"/>
    <w:rsid w:val="00FD47C2"/>
    <w:rsid w:val="00FE3A01"/>
    <w:rsid w:val="00FF470C"/>
    <w:rsid w:val="03389010"/>
    <w:rsid w:val="58C0D73E"/>
    <w:rsid w:val="5CDBB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BB0C3"/>
  <w15:chartTrackingRefBased/>
  <w15:docId w15:val="{70AD6237-AC77-4970-A77B-C4955E2E8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EndNoteBibliographyTitle">
    <w:name w:val="EndNote Bibliography Title"/>
    <w:basedOn w:val="Normal"/>
    <w:link w:val="EndNoteBibliographyTitleChar"/>
    <w:rsid w:val="001331AB"/>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331AB"/>
    <w:rPr>
      <w:rFonts w:ascii="Aptos" w:hAnsi="Aptos"/>
      <w:noProof/>
    </w:rPr>
  </w:style>
  <w:style w:type="paragraph" w:customStyle="1" w:styleId="EndNoteBibliography">
    <w:name w:val="EndNote Bibliography"/>
    <w:basedOn w:val="Normal"/>
    <w:link w:val="EndNoteBibliographyChar"/>
    <w:rsid w:val="001331AB"/>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1331AB"/>
    <w:rPr>
      <w:rFonts w:ascii="Aptos" w:hAnsi="Aptos"/>
      <w:noProof/>
    </w:rPr>
  </w:style>
  <w:style w:type="paragraph" w:styleId="Revision">
    <w:name w:val="Revision"/>
    <w:hidden/>
    <w:uiPriority w:val="99"/>
    <w:semiHidden/>
    <w:rsid w:val="003C39F3"/>
    <w:pPr>
      <w:spacing w:after="0" w:line="240" w:lineRule="auto"/>
    </w:pPr>
  </w:style>
  <w:style w:type="paragraph" w:styleId="ListParagraph">
    <w:name w:val="List Paragraph"/>
    <w:basedOn w:val="Normal"/>
    <w:uiPriority w:val="34"/>
    <w:qFormat/>
    <w:rsid w:val="00467670"/>
    <w:pPr>
      <w:ind w:left="720"/>
      <w:contextualSpacing/>
    </w:pPr>
  </w:style>
  <w:style w:type="character" w:customStyle="1" w:styleId="normaltextrun">
    <w:name w:val="normaltextrun"/>
    <w:basedOn w:val="DefaultParagraphFont"/>
    <w:rsid w:val="00195BB0"/>
  </w:style>
  <w:style w:type="paragraph" w:customStyle="1" w:styleId="paragraph">
    <w:name w:val="paragraph"/>
    <w:basedOn w:val="Normal"/>
    <w:rsid w:val="00195BB0"/>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eop">
    <w:name w:val="eop"/>
    <w:basedOn w:val="DefaultParagraphFont"/>
    <w:rsid w:val="00195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3180</TotalTime>
  <Pages>6</Pages>
  <Words>1417</Words>
  <Characters>8828</Characters>
  <Application>Microsoft Office Word</Application>
  <DocSecurity>0</DocSecurity>
  <Lines>133</Lines>
  <Paragraphs>47</Paragraphs>
  <ScaleCrop>false</ScaleCrop>
  <Company/>
  <LinksUpToDate>false</LinksUpToDate>
  <CharactersWithSpaces>10198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 Limin</dc:creator>
  <cp:keywords/>
  <dc:description/>
  <cp:lastModifiedBy>Jiang, Limin</cp:lastModifiedBy>
  <cp:revision>456</cp:revision>
  <dcterms:created xsi:type="dcterms:W3CDTF">2025-02-01T17:42:00Z</dcterms:created>
  <dcterms:modified xsi:type="dcterms:W3CDTF">2026-03-17T18:55:00Z</dcterms:modified>
</cp:coreProperties>
</file>