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D4902" w14:textId="40F885F5" w:rsidR="002A794A" w:rsidRPr="00011CBA" w:rsidRDefault="00F60B2B" w:rsidP="00F60B2B">
      <w:pPr>
        <w:spacing w:line="480" w:lineRule="auto"/>
        <w:jc w:val="both"/>
        <w:rPr>
          <w:rFonts w:ascii="Times New Roman" w:hAnsi="Times New Roman" w:cs="Times New Roman"/>
          <w:b/>
          <w:color w:val="000000" w:themeColor="text1"/>
          <w:sz w:val="24"/>
          <w:szCs w:val="24"/>
        </w:rPr>
      </w:pPr>
      <w:r w:rsidRPr="00011CBA">
        <w:rPr>
          <w:rFonts w:ascii="Times New Roman" w:hAnsi="Times New Roman" w:cs="Times New Roman"/>
          <w:b/>
          <w:color w:val="000000" w:themeColor="text1"/>
          <w:sz w:val="24"/>
          <w:szCs w:val="24"/>
        </w:rPr>
        <w:t>Supplementa</w:t>
      </w:r>
      <w:r w:rsidR="00AC0B5F" w:rsidRPr="00011CBA">
        <w:rPr>
          <w:rFonts w:ascii="Times New Roman" w:hAnsi="Times New Roman" w:cs="Times New Roman"/>
          <w:b/>
          <w:color w:val="000000" w:themeColor="text1"/>
          <w:sz w:val="24"/>
          <w:szCs w:val="24"/>
        </w:rPr>
        <w:t>l</w:t>
      </w:r>
      <w:r w:rsidRPr="00011CBA">
        <w:rPr>
          <w:rFonts w:ascii="Times New Roman" w:hAnsi="Times New Roman" w:cs="Times New Roman"/>
          <w:b/>
          <w:color w:val="000000" w:themeColor="text1"/>
          <w:sz w:val="24"/>
          <w:szCs w:val="24"/>
        </w:rPr>
        <w:t xml:space="preserve"> </w:t>
      </w:r>
      <w:r w:rsidR="00037CAA" w:rsidRPr="00011CBA">
        <w:rPr>
          <w:rFonts w:ascii="Times New Roman" w:hAnsi="Times New Roman" w:cs="Times New Roman"/>
          <w:b/>
          <w:color w:val="000000" w:themeColor="text1"/>
          <w:sz w:val="24"/>
          <w:szCs w:val="24"/>
        </w:rPr>
        <w:t>information</w:t>
      </w:r>
    </w:p>
    <w:p w14:paraId="1A4427E2" w14:textId="77777777" w:rsidR="00037CAA" w:rsidRPr="00011CBA" w:rsidRDefault="00037CAA" w:rsidP="00F60B2B">
      <w:pPr>
        <w:spacing w:line="480" w:lineRule="auto"/>
        <w:jc w:val="both"/>
        <w:rPr>
          <w:rFonts w:ascii="Times New Roman" w:hAnsi="Times New Roman" w:cs="Times New Roman"/>
          <w:bCs/>
          <w:color w:val="000000" w:themeColor="text1"/>
          <w:sz w:val="24"/>
          <w:szCs w:val="24"/>
        </w:rPr>
      </w:pPr>
    </w:p>
    <w:p w14:paraId="7D843E07" w14:textId="3EEF14CF" w:rsidR="002A794A" w:rsidRPr="00011CBA" w:rsidRDefault="009202DD" w:rsidP="00F60B2B">
      <w:pPr>
        <w:spacing w:line="480" w:lineRule="auto"/>
        <w:jc w:val="center"/>
        <w:rPr>
          <w:rFonts w:ascii="Times New Roman" w:hAnsi="Times New Roman" w:cs="Times New Roman"/>
          <w:b/>
          <w:color w:val="000000" w:themeColor="text1"/>
          <w:sz w:val="24"/>
          <w:szCs w:val="24"/>
        </w:rPr>
      </w:pPr>
      <w:r w:rsidRPr="00011CBA">
        <w:rPr>
          <w:rFonts w:ascii="Times New Roman" w:eastAsia="Times New Roman" w:hAnsi="Times New Roman" w:cs="Times New Roman"/>
          <w:b/>
          <w:color w:val="000000" w:themeColor="text1"/>
          <w:sz w:val="24"/>
          <w:szCs w:val="24"/>
        </w:rPr>
        <w:t>Proteogenomic decoding of chemotherapy resistance in patients</w:t>
      </w:r>
      <w:r w:rsidR="00103930" w:rsidRPr="00011CBA">
        <w:rPr>
          <w:rFonts w:ascii="Times New Roman" w:hAnsi="Times New Roman" w:cs="Times New Roman"/>
          <w:b/>
          <w:color w:val="000000" w:themeColor="text1"/>
          <w:sz w:val="24"/>
          <w:szCs w:val="24"/>
        </w:rPr>
        <w:br/>
      </w:r>
      <w:r w:rsidRPr="00011CBA">
        <w:rPr>
          <w:rFonts w:ascii="Times New Roman" w:eastAsia="Times New Roman" w:hAnsi="Times New Roman" w:cs="Times New Roman"/>
          <w:b/>
          <w:color w:val="000000" w:themeColor="text1"/>
          <w:sz w:val="24"/>
          <w:szCs w:val="24"/>
        </w:rPr>
        <w:t xml:space="preserve"> with triple-negative breast cancer </w:t>
      </w:r>
    </w:p>
    <w:p w14:paraId="12E1F70E" w14:textId="14EB9572" w:rsidR="00037CAA" w:rsidRPr="00011CBA" w:rsidRDefault="00D57CE9" w:rsidP="005F0F4D">
      <w:pPr>
        <w:spacing w:line="480" w:lineRule="auto"/>
        <w:jc w:val="both"/>
        <w:rPr>
          <w:rFonts w:ascii="Times New Roman" w:eastAsia="Times New Roman" w:hAnsi="Times New Roman" w:cs="Times New Roman"/>
          <w:b/>
          <w:bCs/>
          <w:color w:val="000000" w:themeColor="text1"/>
          <w:sz w:val="24"/>
          <w:szCs w:val="24"/>
        </w:rPr>
      </w:pPr>
      <w:bookmarkStart w:id="0" w:name="_Hlk213270207"/>
      <w:r w:rsidRPr="00011CBA">
        <w:rPr>
          <w:rFonts w:ascii="Times New Roman" w:eastAsia="Times New Roman" w:hAnsi="Times New Roman" w:cs="Times New Roman"/>
          <w:color w:val="000000" w:themeColor="text1"/>
          <w:sz w:val="24"/>
          <w:szCs w:val="24"/>
        </w:rPr>
        <w:t>Dong Ki Lee</w:t>
      </w:r>
      <w:r w:rsidRPr="00011CBA">
        <w:rPr>
          <w:rFonts w:ascii="Times New Roman" w:eastAsia="Times New Roman" w:hAnsi="Times New Roman" w:cs="Times New Roman"/>
          <w:color w:val="000000" w:themeColor="text1"/>
          <w:sz w:val="24"/>
          <w:szCs w:val="24"/>
          <w:vertAlign w:val="superscript"/>
        </w:rPr>
        <w:t>1,†</w:t>
      </w:r>
      <w:r w:rsidRPr="00011CBA">
        <w:rPr>
          <w:rFonts w:ascii="Times New Roman" w:eastAsia="Times New Roman" w:hAnsi="Times New Roman" w:cs="Times New Roman"/>
          <w:color w:val="000000" w:themeColor="text1"/>
          <w:sz w:val="24"/>
          <w:szCs w:val="24"/>
        </w:rPr>
        <w:t>, Min Hwan Kim</w:t>
      </w:r>
      <w:r w:rsidRPr="00011CBA">
        <w:rPr>
          <w:rFonts w:ascii="Times New Roman" w:eastAsia="Times New Roman" w:hAnsi="Times New Roman" w:cs="Times New Roman"/>
          <w:color w:val="000000" w:themeColor="text1"/>
          <w:sz w:val="24"/>
          <w:szCs w:val="24"/>
          <w:vertAlign w:val="superscript"/>
        </w:rPr>
        <w:t>2,†</w:t>
      </w:r>
      <w:r w:rsidRPr="00011CBA">
        <w:rPr>
          <w:rFonts w:ascii="Times New Roman" w:eastAsia="Times New Roman" w:hAnsi="Times New Roman" w:cs="Times New Roman"/>
          <w:color w:val="000000" w:themeColor="text1"/>
          <w:sz w:val="24"/>
          <w:szCs w:val="24"/>
        </w:rPr>
        <w:t>, Yumi Hwang</w:t>
      </w:r>
      <w:r w:rsidRPr="00011CBA">
        <w:rPr>
          <w:rFonts w:ascii="Times New Roman" w:eastAsia="Times New Roman" w:hAnsi="Times New Roman" w:cs="Times New Roman"/>
          <w:color w:val="000000" w:themeColor="text1"/>
          <w:sz w:val="24"/>
          <w:szCs w:val="24"/>
          <w:vertAlign w:val="superscript"/>
        </w:rPr>
        <w:t>3</w:t>
      </w:r>
      <w:r w:rsidRPr="00011CBA">
        <w:rPr>
          <w:rFonts w:ascii="Times New Roman" w:eastAsia="Times New Roman" w:hAnsi="Times New Roman" w:cs="Times New Roman"/>
          <w:color w:val="000000" w:themeColor="text1"/>
          <w:sz w:val="24"/>
          <w:szCs w:val="24"/>
        </w:rPr>
        <w:t>, Seul-Gi Kim</w:t>
      </w:r>
      <w:r w:rsidRPr="00011CBA">
        <w:rPr>
          <w:rFonts w:ascii="Times New Roman" w:hAnsi="Times New Roman" w:cs="Times New Roman"/>
          <w:color w:val="000000" w:themeColor="text1"/>
          <w:sz w:val="24"/>
          <w:szCs w:val="24"/>
          <w:vertAlign w:val="superscript"/>
        </w:rPr>
        <w:t>4</w:t>
      </w:r>
      <w:r w:rsidRPr="00011CBA">
        <w:rPr>
          <w:rFonts w:ascii="Times New Roman" w:eastAsia="Times New Roman" w:hAnsi="Times New Roman" w:cs="Times New Roman"/>
          <w:color w:val="000000" w:themeColor="text1"/>
          <w:sz w:val="24"/>
          <w:szCs w:val="24"/>
        </w:rPr>
        <w:t>, Won-Ji Ryu</w:t>
      </w:r>
      <w:r w:rsidRPr="00011CBA">
        <w:rPr>
          <w:rFonts w:ascii="Times New Roman" w:eastAsia="Times New Roman" w:hAnsi="Times New Roman" w:cs="Times New Roman"/>
          <w:color w:val="000000" w:themeColor="text1"/>
          <w:sz w:val="24"/>
          <w:szCs w:val="24"/>
          <w:vertAlign w:val="superscript"/>
        </w:rPr>
        <w:t>3</w:t>
      </w:r>
      <w:r w:rsidRPr="00011CBA">
        <w:rPr>
          <w:rFonts w:ascii="Times New Roman" w:eastAsia="Times New Roman" w:hAnsi="Times New Roman" w:cs="Times New Roman"/>
          <w:color w:val="000000" w:themeColor="text1"/>
          <w:sz w:val="24"/>
          <w:szCs w:val="24"/>
        </w:rPr>
        <w:t xml:space="preserve">, </w:t>
      </w:r>
      <w:r w:rsidR="00247531" w:rsidRPr="00011CBA">
        <w:rPr>
          <w:rFonts w:ascii="Times New Roman" w:hAnsi="Times New Roman" w:cs="Times New Roman"/>
          <w:color w:val="000000" w:themeColor="text1"/>
          <w:sz w:val="24"/>
          <w:szCs w:val="24"/>
        </w:rPr>
        <w:t>Geon-Uk Kim</w:t>
      </w:r>
      <w:r w:rsidRPr="00011CBA">
        <w:rPr>
          <w:rFonts w:ascii="Times New Roman" w:eastAsia="Times New Roman" w:hAnsi="Times New Roman" w:cs="Times New Roman"/>
          <w:color w:val="000000" w:themeColor="text1"/>
          <w:sz w:val="24"/>
          <w:szCs w:val="24"/>
          <w:vertAlign w:val="superscript"/>
        </w:rPr>
        <w:t>3</w:t>
      </w:r>
      <w:r w:rsidRPr="00011CBA">
        <w:rPr>
          <w:rFonts w:ascii="Times New Roman" w:hAnsi="Times New Roman" w:cs="Times New Roman"/>
          <w:color w:val="000000" w:themeColor="text1"/>
          <w:sz w:val="24"/>
          <w:szCs w:val="24"/>
        </w:rPr>
        <w:t>, Hyun</w:t>
      </w:r>
      <w:r w:rsidR="00F50E02" w:rsidRPr="00011CBA">
        <w:rPr>
          <w:rFonts w:ascii="Times New Roman" w:hAnsi="Times New Roman" w:cs="Times New Roman" w:hint="eastAsia"/>
          <w:color w:val="000000" w:themeColor="text1"/>
          <w:sz w:val="24"/>
          <w:szCs w:val="24"/>
        </w:rPr>
        <w:t xml:space="preserve"> M</w:t>
      </w:r>
      <w:r w:rsidRPr="00011CBA">
        <w:rPr>
          <w:rFonts w:ascii="Times New Roman" w:hAnsi="Times New Roman" w:cs="Times New Roman"/>
          <w:color w:val="000000" w:themeColor="text1"/>
          <w:sz w:val="24"/>
          <w:szCs w:val="24"/>
        </w:rPr>
        <w:t>young Y</w:t>
      </w:r>
      <w:r w:rsidR="00BA5926" w:rsidRPr="00011CBA">
        <w:rPr>
          <w:rFonts w:ascii="Times New Roman" w:hAnsi="Times New Roman" w:cs="Times New Roman"/>
          <w:color w:val="000000" w:themeColor="text1"/>
          <w:sz w:val="24"/>
          <w:szCs w:val="24"/>
        </w:rPr>
        <w:t>u</w:t>
      </w:r>
      <w:r w:rsidRPr="00011CBA">
        <w:rPr>
          <w:rFonts w:ascii="Times New Roman" w:hAnsi="Times New Roman" w:cs="Times New Roman"/>
          <w:color w:val="000000" w:themeColor="text1"/>
          <w:sz w:val="24"/>
          <w:szCs w:val="24"/>
        </w:rPr>
        <w:t>n</w:t>
      </w:r>
      <w:r w:rsidRPr="00011CBA">
        <w:rPr>
          <w:rFonts w:ascii="Times New Roman" w:eastAsia="Times New Roman" w:hAnsi="Times New Roman" w:cs="Times New Roman"/>
          <w:color w:val="000000" w:themeColor="text1"/>
          <w:sz w:val="24"/>
          <w:szCs w:val="24"/>
          <w:vertAlign w:val="superscript"/>
        </w:rPr>
        <w:t>3</w:t>
      </w:r>
      <w:r w:rsidRPr="00011CBA">
        <w:rPr>
          <w:rFonts w:ascii="Times New Roman" w:hAnsi="Times New Roman" w:cs="Times New Roman"/>
          <w:color w:val="000000" w:themeColor="text1"/>
          <w:sz w:val="24"/>
          <w:szCs w:val="24"/>
        </w:rPr>
        <w:t>, Shin Young Park</w:t>
      </w:r>
      <w:r w:rsidRPr="00011CBA">
        <w:rPr>
          <w:rFonts w:ascii="Times New Roman" w:eastAsia="Times New Roman" w:hAnsi="Times New Roman" w:cs="Times New Roman"/>
          <w:color w:val="000000" w:themeColor="text1"/>
          <w:sz w:val="24"/>
          <w:szCs w:val="24"/>
          <w:vertAlign w:val="superscript"/>
        </w:rPr>
        <w:t>3</w:t>
      </w:r>
      <w:r w:rsidRPr="00011CBA">
        <w:rPr>
          <w:rFonts w:ascii="Times New Roman" w:hAnsi="Times New Roman" w:cs="Times New Roman"/>
          <w:color w:val="000000" w:themeColor="text1"/>
          <w:sz w:val="24"/>
          <w:szCs w:val="24"/>
        </w:rPr>
        <w:t>, Jeong Dong Lee</w:t>
      </w:r>
      <w:r w:rsidRPr="00011CBA">
        <w:rPr>
          <w:rFonts w:ascii="Times New Roman" w:eastAsia="Times New Roman" w:hAnsi="Times New Roman" w:cs="Times New Roman"/>
          <w:color w:val="000000" w:themeColor="text1"/>
          <w:sz w:val="24"/>
          <w:szCs w:val="24"/>
          <w:vertAlign w:val="superscript"/>
        </w:rPr>
        <w:t>3</w:t>
      </w:r>
      <w:r w:rsidRPr="00011CBA">
        <w:rPr>
          <w:rFonts w:ascii="Times New Roman" w:hAnsi="Times New Roman" w:cs="Times New Roman"/>
          <w:color w:val="000000" w:themeColor="text1"/>
          <w:sz w:val="24"/>
          <w:szCs w:val="24"/>
        </w:rPr>
        <w:t xml:space="preserve">, </w:t>
      </w:r>
      <w:r w:rsidRPr="00011CBA">
        <w:rPr>
          <w:rFonts w:ascii="Times New Roman" w:eastAsia="Times New Roman" w:hAnsi="Times New Roman" w:cs="Times New Roman"/>
          <w:color w:val="000000" w:themeColor="text1"/>
          <w:sz w:val="24"/>
          <w:szCs w:val="24"/>
        </w:rPr>
        <w:t>Hyun Ju Han</w:t>
      </w:r>
      <w:r w:rsidRPr="00011CBA">
        <w:rPr>
          <w:rFonts w:ascii="Times New Roman" w:eastAsia="Times New Roman" w:hAnsi="Times New Roman" w:cs="Times New Roman"/>
          <w:color w:val="000000" w:themeColor="text1"/>
          <w:sz w:val="24"/>
          <w:szCs w:val="24"/>
          <w:vertAlign w:val="superscript"/>
        </w:rPr>
        <w:t>3</w:t>
      </w:r>
      <w:r w:rsidRPr="00011CBA">
        <w:rPr>
          <w:rFonts w:ascii="Times New Roman" w:eastAsia="Times New Roman" w:hAnsi="Times New Roman" w:cs="Times New Roman"/>
          <w:color w:val="000000" w:themeColor="text1"/>
          <w:sz w:val="24"/>
          <w:szCs w:val="24"/>
        </w:rPr>
        <w:t>, Gun Min Kim</w:t>
      </w:r>
      <w:r w:rsidRPr="00011CBA">
        <w:rPr>
          <w:rFonts w:ascii="Times New Roman" w:eastAsia="Times New Roman" w:hAnsi="Times New Roman" w:cs="Times New Roman"/>
          <w:color w:val="000000" w:themeColor="text1"/>
          <w:sz w:val="24"/>
          <w:szCs w:val="24"/>
          <w:vertAlign w:val="superscript"/>
        </w:rPr>
        <w:t>2</w:t>
      </w:r>
      <w:r w:rsidRPr="00011CBA">
        <w:rPr>
          <w:rFonts w:ascii="Times New Roman" w:eastAsia="Times New Roman" w:hAnsi="Times New Roman" w:cs="Times New Roman"/>
          <w:color w:val="000000" w:themeColor="text1"/>
          <w:sz w:val="24"/>
          <w:szCs w:val="24"/>
        </w:rPr>
        <w:t>, Kyung-Hee Kim</w:t>
      </w:r>
      <w:r w:rsidRPr="00011CBA">
        <w:rPr>
          <w:rFonts w:ascii="Times New Roman" w:hAnsi="Times New Roman" w:cs="Times New Roman"/>
          <w:color w:val="000000" w:themeColor="text1"/>
          <w:sz w:val="24"/>
          <w:szCs w:val="24"/>
          <w:vertAlign w:val="superscript"/>
        </w:rPr>
        <w:t>5</w:t>
      </w:r>
      <w:r w:rsidRPr="00011CBA">
        <w:rPr>
          <w:rFonts w:ascii="Times New Roman" w:eastAsia="Times New Roman" w:hAnsi="Times New Roman" w:cs="Times New Roman"/>
          <w:color w:val="000000" w:themeColor="text1"/>
          <w:sz w:val="24"/>
          <w:szCs w:val="24"/>
        </w:rPr>
        <w:t>, Jong Bae Park</w:t>
      </w:r>
      <w:r w:rsidRPr="00011CBA">
        <w:rPr>
          <w:rFonts w:ascii="Times New Roman" w:hAnsi="Times New Roman" w:cs="Times New Roman"/>
          <w:color w:val="000000" w:themeColor="text1"/>
          <w:sz w:val="24"/>
          <w:szCs w:val="24"/>
          <w:vertAlign w:val="superscript"/>
        </w:rPr>
        <w:t>6</w:t>
      </w:r>
      <w:r w:rsidRPr="00011CBA">
        <w:rPr>
          <w:rFonts w:ascii="Times New Roman" w:eastAsia="Times New Roman" w:hAnsi="Times New Roman" w:cs="Times New Roman"/>
          <w:color w:val="000000" w:themeColor="text1"/>
          <w:sz w:val="24"/>
          <w:szCs w:val="24"/>
        </w:rPr>
        <w:t>, Min Jung Kim</w:t>
      </w:r>
      <w:r w:rsidRPr="00011CBA">
        <w:rPr>
          <w:rFonts w:ascii="Times New Roman" w:hAnsi="Times New Roman" w:cs="Times New Roman"/>
          <w:color w:val="000000" w:themeColor="text1"/>
          <w:sz w:val="24"/>
          <w:szCs w:val="24"/>
          <w:vertAlign w:val="superscript"/>
        </w:rPr>
        <w:t>7</w:t>
      </w:r>
      <w:r w:rsidRPr="00011CBA">
        <w:rPr>
          <w:rFonts w:ascii="Times New Roman" w:eastAsia="Times New Roman" w:hAnsi="Times New Roman" w:cs="Times New Roman"/>
          <w:color w:val="000000" w:themeColor="text1"/>
          <w:sz w:val="24"/>
          <w:szCs w:val="24"/>
        </w:rPr>
        <w:t>,</w:t>
      </w:r>
      <w:r w:rsidRPr="00011CBA">
        <w:rPr>
          <w:rFonts w:ascii="Times New Roman" w:hAnsi="Times New Roman" w:cs="Times New Roman"/>
          <w:color w:val="000000" w:themeColor="text1"/>
          <w:sz w:val="24"/>
          <w:szCs w:val="24"/>
        </w:rPr>
        <w:t xml:space="preserve"> Ja Seung Koo</w:t>
      </w:r>
      <w:r w:rsidRPr="00011CBA">
        <w:rPr>
          <w:rFonts w:ascii="Times New Roman" w:hAnsi="Times New Roman" w:cs="Times New Roman"/>
          <w:color w:val="000000" w:themeColor="text1"/>
          <w:sz w:val="24"/>
          <w:szCs w:val="24"/>
          <w:vertAlign w:val="superscript"/>
        </w:rPr>
        <w:t>8</w:t>
      </w:r>
      <w:r w:rsidRPr="00011CBA">
        <w:rPr>
          <w:rFonts w:ascii="Times New Roman" w:hAnsi="Times New Roman" w:cs="Times New Roman"/>
          <w:color w:val="000000" w:themeColor="text1"/>
          <w:sz w:val="24"/>
          <w:szCs w:val="24"/>
        </w:rPr>
        <w:t>,</w:t>
      </w:r>
      <w:r w:rsidRPr="00011CBA">
        <w:rPr>
          <w:rFonts w:ascii="Times New Roman" w:eastAsia="Times New Roman" w:hAnsi="Times New Roman" w:cs="Times New Roman"/>
          <w:color w:val="000000" w:themeColor="text1"/>
          <w:sz w:val="24"/>
          <w:szCs w:val="24"/>
        </w:rPr>
        <w:t xml:space="preserve"> Jee Ye Kim</w:t>
      </w:r>
      <w:r w:rsidRPr="00011CBA">
        <w:rPr>
          <w:rFonts w:ascii="Times New Roman" w:hAnsi="Times New Roman" w:cs="Times New Roman"/>
          <w:color w:val="000000" w:themeColor="text1"/>
          <w:sz w:val="24"/>
          <w:szCs w:val="24"/>
          <w:vertAlign w:val="superscript"/>
        </w:rPr>
        <w:t>9</w:t>
      </w:r>
      <w:r w:rsidRPr="00011CBA">
        <w:rPr>
          <w:rFonts w:ascii="Times New Roman" w:eastAsia="Times New Roman" w:hAnsi="Times New Roman" w:cs="Times New Roman"/>
          <w:color w:val="000000" w:themeColor="text1"/>
          <w:sz w:val="24"/>
          <w:szCs w:val="24"/>
        </w:rPr>
        <w:t>, Hyung Seok Park</w:t>
      </w:r>
      <w:r w:rsidRPr="00011CBA">
        <w:rPr>
          <w:rFonts w:ascii="Times New Roman" w:hAnsi="Times New Roman" w:cs="Times New Roman"/>
          <w:color w:val="000000" w:themeColor="text1"/>
          <w:sz w:val="24"/>
          <w:szCs w:val="24"/>
          <w:vertAlign w:val="superscript"/>
        </w:rPr>
        <w:t>9</w:t>
      </w:r>
      <w:r w:rsidRPr="00011CBA">
        <w:rPr>
          <w:rFonts w:ascii="Times New Roman" w:eastAsia="Times New Roman" w:hAnsi="Times New Roman" w:cs="Times New Roman"/>
          <w:color w:val="000000" w:themeColor="text1"/>
          <w:sz w:val="24"/>
          <w:szCs w:val="24"/>
        </w:rPr>
        <w:t>, Seung Il Kim</w:t>
      </w:r>
      <w:r w:rsidRPr="00011CBA">
        <w:rPr>
          <w:rFonts w:ascii="Times New Roman" w:hAnsi="Times New Roman" w:cs="Times New Roman"/>
          <w:color w:val="000000" w:themeColor="text1"/>
          <w:sz w:val="24"/>
          <w:szCs w:val="24"/>
          <w:vertAlign w:val="superscript"/>
        </w:rPr>
        <w:t>9</w:t>
      </w:r>
      <w:r w:rsidRPr="00011CBA">
        <w:rPr>
          <w:rFonts w:ascii="Times New Roman" w:eastAsia="Times New Roman" w:hAnsi="Times New Roman" w:cs="Times New Roman"/>
          <w:color w:val="000000" w:themeColor="text1"/>
          <w:sz w:val="24"/>
          <w:szCs w:val="24"/>
        </w:rPr>
        <w:t xml:space="preserve">, </w:t>
      </w:r>
      <w:proofErr w:type="spellStart"/>
      <w:r w:rsidRPr="00011CBA">
        <w:rPr>
          <w:rFonts w:ascii="Times New Roman" w:eastAsia="Times New Roman" w:hAnsi="Times New Roman" w:cs="Times New Roman"/>
          <w:color w:val="000000" w:themeColor="text1"/>
          <w:sz w:val="24"/>
          <w:szCs w:val="24"/>
        </w:rPr>
        <w:t>Heon</w:t>
      </w:r>
      <w:proofErr w:type="spellEnd"/>
      <w:r w:rsidRPr="00011CBA">
        <w:rPr>
          <w:rFonts w:ascii="Times New Roman" w:eastAsia="Times New Roman" w:hAnsi="Times New Roman" w:cs="Times New Roman"/>
          <w:color w:val="000000" w:themeColor="text1"/>
          <w:sz w:val="24"/>
          <w:szCs w:val="24"/>
        </w:rPr>
        <w:t xml:space="preserve"> Yung Gee</w:t>
      </w:r>
      <w:r w:rsidRPr="00011CBA">
        <w:rPr>
          <w:rFonts w:ascii="Times New Roman" w:eastAsia="Times New Roman" w:hAnsi="Times New Roman" w:cs="Times New Roman"/>
          <w:color w:val="000000" w:themeColor="text1"/>
          <w:sz w:val="24"/>
          <w:szCs w:val="24"/>
          <w:vertAlign w:val="superscript"/>
        </w:rPr>
        <w:t>1</w:t>
      </w:r>
      <w:r w:rsidRPr="00011CBA">
        <w:rPr>
          <w:rFonts w:ascii="Times New Roman" w:eastAsia="Times New Roman" w:hAnsi="Times New Roman" w:cs="Times New Roman"/>
          <w:color w:val="000000" w:themeColor="text1"/>
          <w:sz w:val="24"/>
          <w:szCs w:val="24"/>
        </w:rPr>
        <w:t xml:space="preserve">, </w:t>
      </w:r>
      <w:proofErr w:type="spellStart"/>
      <w:r w:rsidRPr="00011CBA">
        <w:rPr>
          <w:rFonts w:ascii="Times New Roman" w:eastAsia="Times New Roman" w:hAnsi="Times New Roman" w:cs="Times New Roman"/>
          <w:color w:val="000000" w:themeColor="text1"/>
          <w:sz w:val="24"/>
          <w:szCs w:val="24"/>
        </w:rPr>
        <w:t>Seho</w:t>
      </w:r>
      <w:proofErr w:type="spellEnd"/>
      <w:r w:rsidRPr="00011CBA">
        <w:rPr>
          <w:rFonts w:ascii="Times New Roman" w:eastAsia="Times New Roman" w:hAnsi="Times New Roman" w:cs="Times New Roman"/>
          <w:color w:val="000000" w:themeColor="text1"/>
          <w:sz w:val="24"/>
          <w:szCs w:val="24"/>
        </w:rPr>
        <w:t xml:space="preserve"> Park</w:t>
      </w:r>
      <w:r w:rsidRPr="00011CBA">
        <w:rPr>
          <w:rFonts w:ascii="Times New Roman" w:hAnsi="Times New Roman" w:cs="Times New Roman"/>
          <w:color w:val="000000" w:themeColor="text1"/>
          <w:sz w:val="24"/>
          <w:szCs w:val="24"/>
          <w:vertAlign w:val="superscript"/>
        </w:rPr>
        <w:t>9,*</w:t>
      </w:r>
      <w:r w:rsidRPr="00011CBA">
        <w:rPr>
          <w:rFonts w:ascii="Times New Roman" w:eastAsia="Times New Roman" w:hAnsi="Times New Roman" w:cs="Times New Roman"/>
          <w:color w:val="000000" w:themeColor="text1"/>
          <w:sz w:val="24"/>
          <w:szCs w:val="24"/>
        </w:rPr>
        <w:t xml:space="preserve">, </w:t>
      </w:r>
      <w:proofErr w:type="spellStart"/>
      <w:r w:rsidRPr="00011CBA">
        <w:rPr>
          <w:rFonts w:ascii="Times New Roman" w:eastAsia="Times New Roman" w:hAnsi="Times New Roman" w:cs="Times New Roman"/>
          <w:color w:val="000000" w:themeColor="text1"/>
          <w:sz w:val="24"/>
          <w:szCs w:val="24"/>
        </w:rPr>
        <w:t>Joohyuk</w:t>
      </w:r>
      <w:proofErr w:type="spellEnd"/>
      <w:r w:rsidRPr="00011CBA">
        <w:rPr>
          <w:rFonts w:ascii="Times New Roman" w:eastAsia="Times New Roman" w:hAnsi="Times New Roman" w:cs="Times New Roman"/>
          <w:color w:val="000000" w:themeColor="text1"/>
          <w:sz w:val="24"/>
          <w:szCs w:val="24"/>
        </w:rPr>
        <w:t xml:space="preserve"> Sohn</w:t>
      </w:r>
      <w:r w:rsidRPr="00011CBA">
        <w:rPr>
          <w:rFonts w:ascii="Times New Roman" w:eastAsia="Times New Roman" w:hAnsi="Times New Roman" w:cs="Times New Roman"/>
          <w:color w:val="000000" w:themeColor="text1"/>
          <w:sz w:val="24"/>
          <w:szCs w:val="24"/>
          <w:vertAlign w:val="superscript"/>
        </w:rPr>
        <w:t>2</w:t>
      </w:r>
      <w:r w:rsidRPr="00011CBA">
        <w:rPr>
          <w:rFonts w:ascii="Times New Roman" w:hAnsi="Times New Roman" w:cs="Times New Roman"/>
          <w:color w:val="000000" w:themeColor="text1"/>
          <w:sz w:val="24"/>
          <w:szCs w:val="24"/>
          <w:vertAlign w:val="superscript"/>
        </w:rPr>
        <w:t>,*</w:t>
      </w:r>
      <w:bookmarkEnd w:id="0"/>
      <w:r w:rsidR="00037CAA" w:rsidRPr="00011CBA">
        <w:rPr>
          <w:rFonts w:ascii="Times New Roman" w:eastAsia="Times New Roman" w:hAnsi="Times New Roman" w:cs="Times New Roman"/>
          <w:b/>
          <w:bCs/>
          <w:color w:val="000000" w:themeColor="text1"/>
          <w:sz w:val="24"/>
          <w:szCs w:val="24"/>
        </w:rPr>
        <w:br w:type="page"/>
      </w:r>
    </w:p>
    <w:p w14:paraId="26825786" w14:textId="5E9846D3" w:rsidR="002C4881" w:rsidRPr="00011CBA" w:rsidRDefault="00686274">
      <w:pPr>
        <w:spacing w:line="480" w:lineRule="auto"/>
        <w:jc w:val="both"/>
        <w:rPr>
          <w:rFonts w:ascii="Times New Roman" w:eastAsia="Times New Roman" w:hAnsi="Times New Roman" w:cs="Times New Roman"/>
          <w:b/>
          <w:bCs/>
          <w:color w:val="000000" w:themeColor="text1"/>
          <w:sz w:val="24"/>
          <w:szCs w:val="24"/>
        </w:rPr>
      </w:pPr>
      <w:r w:rsidRPr="00011CBA">
        <w:rPr>
          <w:rFonts w:ascii="Times New Roman" w:eastAsia="Times New Roman" w:hAnsi="Times New Roman" w:cs="Times New Roman"/>
          <w:b/>
          <w:bCs/>
          <w:color w:val="000000" w:themeColor="text1"/>
          <w:sz w:val="24"/>
          <w:szCs w:val="24"/>
        </w:rPr>
        <w:lastRenderedPageBreak/>
        <w:t>Table of contents</w:t>
      </w:r>
    </w:p>
    <w:p w14:paraId="3DBB0FC1" w14:textId="5195D866" w:rsidR="00A467A6" w:rsidRPr="00011CBA" w:rsidRDefault="00F60B2B">
      <w:pPr>
        <w:spacing w:line="480" w:lineRule="auto"/>
        <w:jc w:val="both"/>
        <w:rPr>
          <w:rFonts w:ascii="Times New Roman" w:hAnsi="Times New Roman" w:cs="Times New Roman"/>
          <w:color w:val="000000" w:themeColor="text1"/>
          <w:sz w:val="24"/>
          <w:szCs w:val="24"/>
        </w:rPr>
      </w:pPr>
      <w:r w:rsidRPr="00011CBA">
        <w:rPr>
          <w:rFonts w:ascii="Times New Roman" w:hAnsi="Times New Roman" w:cs="Times New Roman"/>
          <w:color w:val="000000" w:themeColor="text1"/>
          <w:sz w:val="24"/>
          <w:szCs w:val="24"/>
        </w:rPr>
        <w:t>Supplementary</w:t>
      </w:r>
      <w:r w:rsidR="00A467A6" w:rsidRPr="00011CBA">
        <w:rPr>
          <w:rFonts w:ascii="Times New Roman" w:hAnsi="Times New Roman" w:cs="Times New Roman" w:hint="eastAsia"/>
          <w:color w:val="000000" w:themeColor="text1"/>
          <w:sz w:val="24"/>
          <w:szCs w:val="24"/>
        </w:rPr>
        <w:t xml:space="preserve"> </w:t>
      </w:r>
      <w:r w:rsidR="00D9355F" w:rsidRPr="00011CBA">
        <w:rPr>
          <w:rFonts w:ascii="Times New Roman" w:hAnsi="Times New Roman" w:cs="Times New Roman"/>
          <w:color w:val="000000" w:themeColor="text1"/>
          <w:sz w:val="24"/>
          <w:szCs w:val="24"/>
        </w:rPr>
        <w:t>M</w:t>
      </w:r>
      <w:r w:rsidR="00A467A6" w:rsidRPr="00011CBA">
        <w:rPr>
          <w:rFonts w:ascii="Times New Roman" w:hAnsi="Times New Roman" w:cs="Times New Roman" w:hint="eastAsia"/>
          <w:color w:val="000000" w:themeColor="text1"/>
          <w:sz w:val="24"/>
          <w:szCs w:val="24"/>
        </w:rPr>
        <w:t>ethods</w:t>
      </w:r>
      <w:r w:rsidRPr="00011CBA">
        <w:rPr>
          <w:rFonts w:ascii="Times New Roman" w:hAnsi="Times New Roman" w:cs="Times New Roman"/>
          <w:color w:val="000000" w:themeColor="text1"/>
          <w:sz w:val="24"/>
          <w:szCs w:val="24"/>
        </w:rPr>
        <w:t>……....</w:t>
      </w:r>
      <w:r w:rsidR="00A467A6" w:rsidRPr="00011CBA">
        <w:rPr>
          <w:rFonts w:ascii="Times New Roman" w:eastAsia="Times New Roman" w:hAnsi="Times New Roman" w:cs="Times New Roman"/>
          <w:color w:val="000000" w:themeColor="text1"/>
          <w:sz w:val="24"/>
          <w:szCs w:val="24"/>
        </w:rPr>
        <w:t>…………………………………………………………………</w:t>
      </w:r>
      <w:r w:rsidR="00A467A6" w:rsidRPr="00011CBA">
        <w:rPr>
          <w:rFonts w:ascii="Times New Roman" w:hAnsi="Times New Roman" w:cs="Times New Roman" w:hint="eastAsia"/>
          <w:color w:val="000000" w:themeColor="text1"/>
          <w:sz w:val="24"/>
          <w:szCs w:val="24"/>
        </w:rPr>
        <w:t>...</w:t>
      </w:r>
      <w:r w:rsidR="00892C03" w:rsidRPr="00011CBA">
        <w:rPr>
          <w:rFonts w:ascii="Times New Roman" w:hAnsi="Times New Roman" w:cs="Times New Roman"/>
          <w:color w:val="000000" w:themeColor="text1"/>
          <w:sz w:val="24"/>
          <w:szCs w:val="24"/>
        </w:rPr>
        <w:t>3</w:t>
      </w:r>
    </w:p>
    <w:p w14:paraId="69B459EA" w14:textId="28A3DECC" w:rsidR="00B21030" w:rsidRPr="00011CBA" w:rsidRDefault="00F60B2B">
      <w:pPr>
        <w:spacing w:line="480" w:lineRule="auto"/>
        <w:jc w:val="both"/>
        <w:rPr>
          <w:rFonts w:ascii="Times New Roman" w:hAnsi="Times New Roman" w:cs="Times New Roman"/>
          <w:color w:val="000000" w:themeColor="text1"/>
          <w:sz w:val="24"/>
          <w:szCs w:val="24"/>
        </w:rPr>
      </w:pPr>
      <w:r w:rsidRPr="00011CBA">
        <w:rPr>
          <w:rFonts w:ascii="Times New Roman" w:hAnsi="Times New Roman" w:cs="Times New Roman"/>
          <w:color w:val="000000" w:themeColor="text1"/>
          <w:sz w:val="24"/>
          <w:szCs w:val="24"/>
        </w:rPr>
        <w:t xml:space="preserve">Supplementary </w:t>
      </w:r>
      <w:r w:rsidR="00B21030" w:rsidRPr="00011CBA">
        <w:rPr>
          <w:rFonts w:ascii="Times New Roman" w:hAnsi="Times New Roman" w:cs="Times New Roman" w:hint="eastAsia"/>
          <w:color w:val="000000" w:themeColor="text1"/>
          <w:sz w:val="24"/>
          <w:szCs w:val="24"/>
        </w:rPr>
        <w:t>Table</w:t>
      </w:r>
      <w:r w:rsidR="00B21030" w:rsidRPr="00011CBA">
        <w:rPr>
          <w:rFonts w:ascii="Times New Roman" w:eastAsia="Times New Roman" w:hAnsi="Times New Roman" w:cs="Times New Roman"/>
          <w:color w:val="000000" w:themeColor="text1"/>
          <w:sz w:val="24"/>
          <w:szCs w:val="24"/>
        </w:rPr>
        <w:t>……………………………………………………………………………</w:t>
      </w:r>
      <w:r w:rsidR="00990870" w:rsidRPr="00011CBA">
        <w:rPr>
          <w:rFonts w:ascii="Times New Roman" w:eastAsia="Times New Roman" w:hAnsi="Times New Roman" w:cs="Times New Roman"/>
          <w:color w:val="000000" w:themeColor="text1"/>
          <w:sz w:val="24"/>
          <w:szCs w:val="24"/>
        </w:rPr>
        <w:t>.</w:t>
      </w:r>
      <w:r w:rsidR="007D1653" w:rsidRPr="00011CBA">
        <w:rPr>
          <w:rFonts w:ascii="Times New Roman" w:hAnsi="Times New Roman" w:cs="Times New Roman"/>
          <w:color w:val="000000" w:themeColor="text1"/>
          <w:sz w:val="24"/>
          <w:szCs w:val="24"/>
        </w:rPr>
        <w:t>1</w:t>
      </w:r>
      <w:r w:rsidR="007E38CF" w:rsidRPr="00011CBA">
        <w:rPr>
          <w:rFonts w:ascii="Times New Roman" w:hAnsi="Times New Roman" w:cs="Times New Roman"/>
          <w:color w:val="000000" w:themeColor="text1"/>
          <w:sz w:val="24"/>
          <w:szCs w:val="24"/>
        </w:rPr>
        <w:t>4</w:t>
      </w:r>
    </w:p>
    <w:p w14:paraId="79E91BE3" w14:textId="6FB09CBC" w:rsidR="00A467A6" w:rsidRPr="00011CBA" w:rsidRDefault="00F60B2B" w:rsidP="00BE043E">
      <w:pPr>
        <w:spacing w:line="480" w:lineRule="auto"/>
        <w:jc w:val="both"/>
        <w:rPr>
          <w:rFonts w:ascii="Times New Roman" w:eastAsia="Times New Roman" w:hAnsi="Times New Roman" w:cs="Times New Roman"/>
          <w:b/>
          <w:color w:val="000000" w:themeColor="text1"/>
          <w:sz w:val="24"/>
          <w:szCs w:val="24"/>
        </w:rPr>
      </w:pPr>
      <w:r w:rsidRPr="00011CBA">
        <w:rPr>
          <w:rFonts w:ascii="Times New Roman" w:hAnsi="Times New Roman" w:cs="Times New Roman"/>
          <w:color w:val="000000" w:themeColor="text1"/>
          <w:sz w:val="24"/>
          <w:szCs w:val="24"/>
        </w:rPr>
        <w:t>Supplementary</w:t>
      </w:r>
      <w:r w:rsidR="00D9355F" w:rsidRPr="00011CBA">
        <w:rPr>
          <w:rFonts w:ascii="Times New Roman" w:hAnsi="Times New Roman" w:cs="Times New Roman"/>
          <w:color w:val="000000" w:themeColor="text1"/>
          <w:sz w:val="24"/>
          <w:szCs w:val="24"/>
        </w:rPr>
        <w:t xml:space="preserve"> F</w:t>
      </w:r>
      <w:r w:rsidR="00A467A6" w:rsidRPr="00011CBA">
        <w:rPr>
          <w:rFonts w:ascii="Times New Roman" w:hAnsi="Times New Roman" w:cs="Times New Roman" w:hint="eastAsia"/>
          <w:color w:val="000000" w:themeColor="text1"/>
          <w:sz w:val="24"/>
          <w:szCs w:val="24"/>
        </w:rPr>
        <w:t>igures</w:t>
      </w:r>
      <w:r w:rsidR="00A467A6" w:rsidRPr="00011CBA">
        <w:rPr>
          <w:rFonts w:ascii="Times New Roman" w:eastAsia="Times New Roman" w:hAnsi="Times New Roman" w:cs="Times New Roman"/>
          <w:color w:val="000000" w:themeColor="text1"/>
          <w:sz w:val="24"/>
          <w:szCs w:val="24"/>
        </w:rPr>
        <w:t>…………………………………………………………………………</w:t>
      </w:r>
      <w:r w:rsidR="003459FB" w:rsidRPr="00011CBA">
        <w:rPr>
          <w:rFonts w:ascii="Times New Roman" w:eastAsia="Times New Roman" w:hAnsi="Times New Roman" w:cs="Times New Roman"/>
          <w:color w:val="000000" w:themeColor="text1"/>
          <w:sz w:val="24"/>
          <w:szCs w:val="24"/>
        </w:rPr>
        <w:t>...</w:t>
      </w:r>
      <w:r w:rsidR="007D1653" w:rsidRPr="00011CBA">
        <w:rPr>
          <w:rFonts w:ascii="Times New Roman" w:hAnsi="Times New Roman" w:cs="Times New Roman"/>
          <w:color w:val="000000" w:themeColor="text1"/>
          <w:sz w:val="24"/>
          <w:szCs w:val="24"/>
        </w:rPr>
        <w:t>1</w:t>
      </w:r>
      <w:r w:rsidR="007E38CF" w:rsidRPr="00011CBA">
        <w:rPr>
          <w:rFonts w:ascii="Times New Roman" w:hAnsi="Times New Roman" w:cs="Times New Roman"/>
          <w:color w:val="000000" w:themeColor="text1"/>
          <w:sz w:val="24"/>
          <w:szCs w:val="24"/>
        </w:rPr>
        <w:t>5</w:t>
      </w:r>
    </w:p>
    <w:p w14:paraId="570D18EF" w14:textId="77777777" w:rsidR="007E38CF" w:rsidRPr="00011CBA" w:rsidRDefault="007E38CF">
      <w:pPr>
        <w:rPr>
          <w:rFonts w:ascii="Times New Roman" w:eastAsia="Times New Roman" w:hAnsi="Times New Roman" w:cs="Times New Roman"/>
          <w:b/>
          <w:color w:val="000000" w:themeColor="text1"/>
          <w:sz w:val="24"/>
          <w:szCs w:val="24"/>
        </w:rPr>
      </w:pPr>
      <w:r w:rsidRPr="00011CBA">
        <w:rPr>
          <w:rFonts w:ascii="Times New Roman" w:eastAsia="Times New Roman" w:hAnsi="Times New Roman" w:cs="Times New Roman"/>
          <w:b/>
          <w:color w:val="000000" w:themeColor="text1"/>
          <w:sz w:val="24"/>
          <w:szCs w:val="24"/>
        </w:rPr>
        <w:br w:type="page"/>
      </w:r>
    </w:p>
    <w:p w14:paraId="6C46932D" w14:textId="088E52DA" w:rsidR="00A467A6" w:rsidRPr="00011CBA" w:rsidRDefault="00F60B2B" w:rsidP="00FB3AEF">
      <w:pPr>
        <w:spacing w:line="480" w:lineRule="auto"/>
        <w:jc w:val="both"/>
        <w:rPr>
          <w:rFonts w:ascii="Times New Roman" w:hAnsi="Times New Roman" w:cs="Times New Roman"/>
          <w:b/>
          <w:color w:val="000000" w:themeColor="text1"/>
          <w:sz w:val="24"/>
          <w:szCs w:val="24"/>
        </w:rPr>
      </w:pPr>
      <w:r w:rsidRPr="00011CBA">
        <w:rPr>
          <w:rFonts w:ascii="Times New Roman" w:eastAsia="Times New Roman" w:hAnsi="Times New Roman" w:cs="Times New Roman"/>
          <w:b/>
          <w:color w:val="000000" w:themeColor="text1"/>
          <w:sz w:val="24"/>
          <w:szCs w:val="24"/>
        </w:rPr>
        <w:lastRenderedPageBreak/>
        <w:t>Supplementary</w:t>
      </w:r>
      <w:r w:rsidR="00D9355F" w:rsidRPr="00011CBA">
        <w:rPr>
          <w:rFonts w:ascii="Times New Roman" w:hAnsi="Times New Roman" w:cs="Times New Roman" w:hint="eastAsia"/>
          <w:b/>
          <w:color w:val="000000" w:themeColor="text1"/>
          <w:sz w:val="24"/>
          <w:szCs w:val="24"/>
        </w:rPr>
        <w:t xml:space="preserve"> </w:t>
      </w:r>
      <w:r w:rsidR="00D9355F" w:rsidRPr="00011CBA">
        <w:rPr>
          <w:rFonts w:ascii="Times New Roman" w:hAnsi="Times New Roman" w:cs="Times New Roman"/>
          <w:b/>
          <w:color w:val="000000" w:themeColor="text1"/>
          <w:sz w:val="24"/>
          <w:szCs w:val="24"/>
        </w:rPr>
        <w:t>M</w:t>
      </w:r>
      <w:r w:rsidR="00A467A6" w:rsidRPr="00011CBA">
        <w:rPr>
          <w:rFonts w:ascii="Times New Roman" w:hAnsi="Times New Roman" w:cs="Times New Roman" w:hint="eastAsia"/>
          <w:b/>
          <w:color w:val="000000" w:themeColor="text1"/>
          <w:sz w:val="24"/>
          <w:szCs w:val="24"/>
        </w:rPr>
        <w:t>ethods</w:t>
      </w:r>
    </w:p>
    <w:p w14:paraId="29F55DBA" w14:textId="77777777" w:rsidR="00B048D9" w:rsidRPr="00011CBA" w:rsidRDefault="00B048D9" w:rsidP="00FB3AEF">
      <w:pPr>
        <w:spacing w:line="480" w:lineRule="auto"/>
        <w:jc w:val="both"/>
        <w:rPr>
          <w:rFonts w:ascii="Times New Roman" w:eastAsia="Times New Roman" w:hAnsi="Times New Roman" w:cs="Times New Roman"/>
          <w:b/>
          <w:color w:val="000000" w:themeColor="text1"/>
          <w:sz w:val="24"/>
          <w:szCs w:val="24"/>
        </w:rPr>
      </w:pPr>
      <w:r w:rsidRPr="00011CBA">
        <w:rPr>
          <w:rFonts w:ascii="Times New Roman" w:eastAsia="Times New Roman" w:hAnsi="Times New Roman" w:cs="Times New Roman"/>
          <w:b/>
          <w:color w:val="000000" w:themeColor="text1"/>
          <w:sz w:val="24"/>
          <w:szCs w:val="24"/>
        </w:rPr>
        <w:t>Whole-exome sequencing (WES)</w:t>
      </w:r>
    </w:p>
    <w:p w14:paraId="45195F45" w14:textId="5553A598" w:rsidR="00B048D9" w:rsidRPr="00011CBA" w:rsidRDefault="00B048D9" w:rsidP="00FB3AEF">
      <w:pPr>
        <w:spacing w:line="480" w:lineRule="auto"/>
        <w:jc w:val="both"/>
        <w:rPr>
          <w:rFonts w:ascii="Times New Roman" w:eastAsia="Times New Roman" w:hAnsi="Times New Roman" w:cs="Times New Roman"/>
          <w:color w:val="000000" w:themeColor="text1"/>
          <w:sz w:val="24"/>
          <w:szCs w:val="24"/>
        </w:rPr>
      </w:pPr>
      <w:r w:rsidRPr="00011CBA">
        <w:rPr>
          <w:rFonts w:ascii="Times New Roman" w:eastAsia="Times New Roman" w:hAnsi="Times New Roman" w:cs="Times New Roman"/>
          <w:color w:val="000000" w:themeColor="text1"/>
          <w:sz w:val="24"/>
          <w:szCs w:val="24"/>
        </w:rPr>
        <w:t xml:space="preserve">Tumor DNA was extracted from fresh-frozen biopsies and matched leukocyte germline DNA from blood samples. Libraries were prepared using the Twist Human Core Exome kit (Twist Bioscience, San Francisco, CA, USA), followed by paired-end sequencing on the Illumina </w:t>
      </w:r>
      <w:proofErr w:type="spellStart"/>
      <w:r w:rsidRPr="00011CBA">
        <w:rPr>
          <w:rFonts w:ascii="Times New Roman" w:eastAsia="Times New Roman" w:hAnsi="Times New Roman" w:cs="Times New Roman"/>
          <w:color w:val="000000" w:themeColor="text1"/>
          <w:sz w:val="24"/>
          <w:szCs w:val="24"/>
        </w:rPr>
        <w:t>NovaSeq</w:t>
      </w:r>
      <w:proofErr w:type="spellEnd"/>
      <w:r w:rsidRPr="00011CBA">
        <w:rPr>
          <w:rFonts w:ascii="Times New Roman" w:eastAsia="Times New Roman" w:hAnsi="Times New Roman" w:cs="Times New Roman"/>
          <w:color w:val="000000" w:themeColor="text1"/>
          <w:sz w:val="24"/>
          <w:szCs w:val="24"/>
        </w:rPr>
        <w:t xml:space="preserve"> platform</w:t>
      </w:r>
      <w:r w:rsidR="00EF0645" w:rsidRPr="00011CBA">
        <w:rPr>
          <w:rFonts w:ascii="Times New Roman" w:eastAsia="Times New Roman" w:hAnsi="Times New Roman" w:cs="Times New Roman"/>
          <w:color w:val="000000" w:themeColor="text1"/>
          <w:sz w:val="24"/>
          <w:szCs w:val="24"/>
        </w:rPr>
        <w:t xml:space="preserve"> (Illumina, San Diego, CA, USA)</w:t>
      </w:r>
      <w:r w:rsidRPr="00011CBA">
        <w:rPr>
          <w:rFonts w:ascii="Times New Roman" w:eastAsia="Times New Roman" w:hAnsi="Times New Roman" w:cs="Times New Roman"/>
          <w:color w:val="000000" w:themeColor="text1"/>
          <w:sz w:val="24"/>
          <w:szCs w:val="24"/>
        </w:rPr>
        <w:t>.</w:t>
      </w:r>
    </w:p>
    <w:p w14:paraId="74342B7C" w14:textId="77777777" w:rsidR="00B048D9" w:rsidRPr="00011CBA" w:rsidRDefault="00B048D9" w:rsidP="00FB3AEF">
      <w:pPr>
        <w:spacing w:line="480" w:lineRule="auto"/>
        <w:jc w:val="both"/>
        <w:rPr>
          <w:rFonts w:ascii="Times New Roman" w:eastAsia="Times New Roman" w:hAnsi="Times New Roman" w:cs="Times New Roman"/>
          <w:color w:val="000000" w:themeColor="text1"/>
          <w:sz w:val="24"/>
          <w:szCs w:val="24"/>
        </w:rPr>
      </w:pPr>
    </w:p>
    <w:p w14:paraId="7968A478" w14:textId="77777777" w:rsidR="00B048D9" w:rsidRPr="00011CBA" w:rsidRDefault="00B048D9" w:rsidP="00FB3AEF">
      <w:pPr>
        <w:spacing w:line="480" w:lineRule="auto"/>
        <w:jc w:val="both"/>
        <w:rPr>
          <w:rFonts w:ascii="Times New Roman" w:eastAsia="Times New Roman" w:hAnsi="Times New Roman" w:cs="Times New Roman"/>
          <w:b/>
          <w:color w:val="000000" w:themeColor="text1"/>
          <w:sz w:val="24"/>
          <w:szCs w:val="24"/>
        </w:rPr>
      </w:pPr>
      <w:r w:rsidRPr="00011CBA">
        <w:rPr>
          <w:rFonts w:ascii="Times New Roman" w:eastAsia="Times New Roman" w:hAnsi="Times New Roman" w:cs="Times New Roman"/>
          <w:b/>
          <w:color w:val="000000" w:themeColor="text1"/>
          <w:sz w:val="24"/>
          <w:szCs w:val="24"/>
        </w:rPr>
        <w:t xml:space="preserve">RNA sequencing </w:t>
      </w:r>
    </w:p>
    <w:p w14:paraId="3E7A7798" w14:textId="753726F2" w:rsidR="00B048D9" w:rsidRPr="00011CBA" w:rsidRDefault="00B048D9" w:rsidP="00FB3AEF">
      <w:pPr>
        <w:spacing w:line="480" w:lineRule="auto"/>
        <w:jc w:val="both"/>
        <w:rPr>
          <w:rFonts w:ascii="Times New Roman" w:eastAsia="Times New Roman" w:hAnsi="Times New Roman" w:cs="Times New Roman"/>
          <w:color w:val="000000" w:themeColor="text1"/>
          <w:sz w:val="24"/>
          <w:szCs w:val="24"/>
        </w:rPr>
      </w:pPr>
      <w:r w:rsidRPr="00011CBA">
        <w:rPr>
          <w:rFonts w:ascii="Times New Roman" w:eastAsia="Times New Roman" w:hAnsi="Times New Roman" w:cs="Times New Roman"/>
          <w:color w:val="000000" w:themeColor="text1"/>
          <w:sz w:val="24"/>
          <w:szCs w:val="24"/>
        </w:rPr>
        <w:t xml:space="preserve">Poly-A RNA was isolated from 1 μg of total RNA using oligo(dT)-attached magnetic beads and processed with the Illumina </w:t>
      </w:r>
      <w:proofErr w:type="spellStart"/>
      <w:r w:rsidRPr="00011CBA">
        <w:rPr>
          <w:rFonts w:ascii="Times New Roman" w:eastAsia="Times New Roman" w:hAnsi="Times New Roman" w:cs="Times New Roman"/>
          <w:color w:val="000000" w:themeColor="text1"/>
          <w:sz w:val="24"/>
          <w:szCs w:val="24"/>
        </w:rPr>
        <w:t>TruSeq</w:t>
      </w:r>
      <w:proofErr w:type="spellEnd"/>
      <w:r w:rsidRPr="00011CBA">
        <w:rPr>
          <w:rFonts w:ascii="Times New Roman" w:eastAsia="Times New Roman" w:hAnsi="Times New Roman" w:cs="Times New Roman"/>
          <w:color w:val="000000" w:themeColor="text1"/>
          <w:sz w:val="24"/>
          <w:szCs w:val="24"/>
        </w:rPr>
        <w:t xml:space="preserve"> Stranded mRNA Sample Prep Kit. After mRNA fragmentation, first- and second-strand cDNA synthesis was performed using </w:t>
      </w:r>
      <w:proofErr w:type="spellStart"/>
      <w:r w:rsidRPr="00011CBA">
        <w:rPr>
          <w:rFonts w:ascii="Times New Roman" w:eastAsia="Times New Roman" w:hAnsi="Times New Roman" w:cs="Times New Roman"/>
          <w:color w:val="000000" w:themeColor="text1"/>
          <w:sz w:val="24"/>
          <w:szCs w:val="24"/>
        </w:rPr>
        <w:t>SuperScript</w:t>
      </w:r>
      <w:proofErr w:type="spellEnd"/>
      <w:r w:rsidRPr="00011CBA">
        <w:rPr>
          <w:rFonts w:ascii="Times New Roman" w:eastAsia="Times New Roman" w:hAnsi="Times New Roman" w:cs="Times New Roman"/>
          <w:color w:val="000000" w:themeColor="text1"/>
          <w:sz w:val="24"/>
          <w:szCs w:val="24"/>
        </w:rPr>
        <w:t xml:space="preserve"> II reverse transcriptase and DNA Polymerase I, respectively. Sequencing was performed on an Illumina </w:t>
      </w:r>
      <w:proofErr w:type="spellStart"/>
      <w:r w:rsidRPr="00011CBA">
        <w:rPr>
          <w:rFonts w:ascii="Times New Roman" w:eastAsia="Times New Roman" w:hAnsi="Times New Roman" w:cs="Times New Roman"/>
          <w:color w:val="000000" w:themeColor="text1"/>
          <w:sz w:val="24"/>
          <w:szCs w:val="24"/>
        </w:rPr>
        <w:t>NovaSeq</w:t>
      </w:r>
      <w:proofErr w:type="spellEnd"/>
      <w:r w:rsidRPr="00011CBA">
        <w:rPr>
          <w:rFonts w:ascii="Times New Roman" w:eastAsia="Times New Roman" w:hAnsi="Times New Roman" w:cs="Times New Roman"/>
          <w:color w:val="000000" w:themeColor="text1"/>
          <w:sz w:val="24"/>
          <w:szCs w:val="24"/>
        </w:rPr>
        <w:t xml:space="preserve"> 6000 platform with 2×100 bp paired-end reads (</w:t>
      </w:r>
      <w:proofErr w:type="spellStart"/>
      <w:r w:rsidRPr="00011CBA">
        <w:rPr>
          <w:rFonts w:ascii="Times New Roman" w:eastAsia="Times New Roman" w:hAnsi="Times New Roman" w:cs="Times New Roman"/>
          <w:color w:val="000000" w:themeColor="text1"/>
          <w:sz w:val="24"/>
          <w:szCs w:val="24"/>
        </w:rPr>
        <w:t>Macrogen</w:t>
      </w:r>
      <w:proofErr w:type="spellEnd"/>
      <w:r w:rsidRPr="00011CBA">
        <w:rPr>
          <w:rFonts w:ascii="Times New Roman" w:eastAsia="Times New Roman" w:hAnsi="Times New Roman" w:cs="Times New Roman"/>
          <w:color w:val="000000" w:themeColor="text1"/>
          <w:sz w:val="24"/>
          <w:szCs w:val="24"/>
        </w:rPr>
        <w:t>, Seoul, South Korea).</w:t>
      </w:r>
      <w:r w:rsidR="005C61FE" w:rsidRPr="00011CBA">
        <w:rPr>
          <w:rFonts w:ascii="Times New Roman" w:hAnsi="Times New Roman" w:cs="Times New Roman" w:hint="eastAsia"/>
          <w:color w:val="000000" w:themeColor="text1"/>
          <w:sz w:val="24"/>
          <w:szCs w:val="24"/>
        </w:rPr>
        <w:t xml:space="preserve"> </w:t>
      </w:r>
      <w:r w:rsidR="005C61FE" w:rsidRPr="00011CBA">
        <w:rPr>
          <w:rFonts w:ascii="Times New Roman" w:hAnsi="Times New Roman" w:cs="Times New Roman"/>
          <w:color w:val="000000" w:themeColor="text1"/>
          <w:sz w:val="24"/>
          <w:szCs w:val="24"/>
        </w:rPr>
        <w:t xml:space="preserve">RNA-seq for </w:t>
      </w:r>
      <w:r w:rsidR="00545786" w:rsidRPr="00011CBA">
        <w:rPr>
          <w:rFonts w:ascii="Times New Roman" w:hAnsi="Times New Roman" w:cs="Times New Roman"/>
          <w:color w:val="000000" w:themeColor="text1"/>
          <w:sz w:val="24"/>
          <w:szCs w:val="24"/>
        </w:rPr>
        <w:t xml:space="preserve">the </w:t>
      </w:r>
      <w:r w:rsidR="005C61FE" w:rsidRPr="00011CBA">
        <w:rPr>
          <w:rFonts w:ascii="Times New Roman" w:hAnsi="Times New Roman" w:cs="Times New Roman"/>
          <w:color w:val="000000" w:themeColor="text1"/>
          <w:sz w:val="24"/>
          <w:szCs w:val="24"/>
        </w:rPr>
        <w:t xml:space="preserve">TNBC cell line with and without ITGB8 overexpression was performed </w:t>
      </w:r>
      <w:r w:rsidR="005C61FE" w:rsidRPr="00011CBA">
        <w:rPr>
          <w:rFonts w:ascii="Times New Roman" w:eastAsia="Times New Roman" w:hAnsi="Times New Roman" w:cs="Times New Roman"/>
          <w:color w:val="000000" w:themeColor="text1"/>
          <w:sz w:val="24"/>
          <w:szCs w:val="24"/>
        </w:rPr>
        <w:t>(</w:t>
      </w:r>
      <w:proofErr w:type="spellStart"/>
      <w:r w:rsidR="005C61FE" w:rsidRPr="00011CBA">
        <w:rPr>
          <w:rFonts w:ascii="Times New Roman" w:eastAsia="Times New Roman" w:hAnsi="Times New Roman" w:cs="Times New Roman"/>
          <w:color w:val="000000" w:themeColor="text1"/>
          <w:sz w:val="24"/>
          <w:szCs w:val="24"/>
        </w:rPr>
        <w:t>Macrogen</w:t>
      </w:r>
      <w:proofErr w:type="spellEnd"/>
      <w:r w:rsidR="005C61FE" w:rsidRPr="00011CBA">
        <w:rPr>
          <w:rFonts w:ascii="Times New Roman" w:eastAsia="Times New Roman" w:hAnsi="Times New Roman" w:cs="Times New Roman"/>
          <w:color w:val="000000" w:themeColor="text1"/>
          <w:sz w:val="24"/>
          <w:szCs w:val="24"/>
        </w:rPr>
        <w:t>, Seoul, South Korea)</w:t>
      </w:r>
      <w:r w:rsidR="005C61FE" w:rsidRPr="00011CBA">
        <w:rPr>
          <w:rFonts w:ascii="Times New Roman" w:hAnsi="Times New Roman" w:cs="Times New Roman"/>
          <w:color w:val="000000" w:themeColor="text1"/>
          <w:sz w:val="24"/>
          <w:szCs w:val="24"/>
        </w:rPr>
        <w:t xml:space="preserve"> using the </w:t>
      </w:r>
      <w:proofErr w:type="spellStart"/>
      <w:r w:rsidR="005C61FE" w:rsidRPr="00011CBA">
        <w:rPr>
          <w:rFonts w:ascii="Times New Roman" w:hAnsi="Times New Roman" w:cs="Times New Roman"/>
          <w:color w:val="000000" w:themeColor="text1"/>
          <w:sz w:val="24"/>
          <w:szCs w:val="24"/>
        </w:rPr>
        <w:t>NovaSeqX</w:t>
      </w:r>
      <w:proofErr w:type="spellEnd"/>
      <w:r w:rsidR="005C61FE" w:rsidRPr="00011CBA">
        <w:rPr>
          <w:rFonts w:ascii="Times New Roman" w:hAnsi="Times New Roman" w:cs="Times New Roman"/>
          <w:color w:val="000000" w:themeColor="text1"/>
          <w:sz w:val="24"/>
          <w:szCs w:val="24"/>
        </w:rPr>
        <w:t xml:space="preserve"> platform (Illumina, San Diego, USA).</w:t>
      </w:r>
    </w:p>
    <w:p w14:paraId="2ACDA5E3" w14:textId="77777777" w:rsidR="00B048D9" w:rsidRPr="00011CBA" w:rsidRDefault="00B048D9" w:rsidP="00FB3AEF">
      <w:pPr>
        <w:spacing w:line="480" w:lineRule="auto"/>
        <w:jc w:val="both"/>
        <w:rPr>
          <w:rFonts w:ascii="Times New Roman" w:eastAsia="Times New Roman" w:hAnsi="Times New Roman" w:cs="Times New Roman"/>
          <w:color w:val="000000" w:themeColor="text1"/>
          <w:sz w:val="24"/>
          <w:szCs w:val="24"/>
        </w:rPr>
      </w:pPr>
    </w:p>
    <w:p w14:paraId="7B4AE08D" w14:textId="77777777" w:rsidR="00B048D9" w:rsidRPr="00011CBA" w:rsidRDefault="00B048D9" w:rsidP="00FB3AEF">
      <w:pPr>
        <w:spacing w:line="480" w:lineRule="auto"/>
        <w:jc w:val="both"/>
        <w:rPr>
          <w:rFonts w:ascii="Times New Roman" w:eastAsia="Times New Roman" w:hAnsi="Times New Roman" w:cs="Times New Roman"/>
          <w:b/>
          <w:color w:val="000000" w:themeColor="text1"/>
          <w:sz w:val="24"/>
          <w:szCs w:val="24"/>
        </w:rPr>
      </w:pPr>
      <w:r w:rsidRPr="00011CBA">
        <w:rPr>
          <w:rFonts w:ascii="Times New Roman" w:eastAsia="Times New Roman" w:hAnsi="Times New Roman" w:cs="Times New Roman"/>
          <w:b/>
          <w:color w:val="000000" w:themeColor="text1"/>
          <w:sz w:val="24"/>
          <w:szCs w:val="24"/>
        </w:rPr>
        <w:t>Somatic and copy-number variant calling</w:t>
      </w:r>
    </w:p>
    <w:p w14:paraId="0295755E" w14:textId="2A39DAF8" w:rsidR="00B048D9" w:rsidRPr="00011CBA" w:rsidRDefault="00B048D9" w:rsidP="00FB3AEF">
      <w:pPr>
        <w:spacing w:line="480" w:lineRule="auto"/>
        <w:jc w:val="both"/>
        <w:rPr>
          <w:rFonts w:ascii="Times New Roman" w:eastAsia="Times New Roman" w:hAnsi="Times New Roman" w:cs="Times New Roman"/>
          <w:color w:val="000000" w:themeColor="text1"/>
          <w:sz w:val="24"/>
          <w:szCs w:val="24"/>
        </w:rPr>
      </w:pPr>
      <w:r w:rsidRPr="00011CBA">
        <w:rPr>
          <w:rFonts w:ascii="Times New Roman" w:eastAsia="Times New Roman" w:hAnsi="Times New Roman" w:cs="Times New Roman"/>
          <w:color w:val="000000" w:themeColor="text1"/>
          <w:sz w:val="24"/>
          <w:szCs w:val="24"/>
        </w:rPr>
        <w:t xml:space="preserve">Somatic variants were called using paired tumor and blood normal from WES data. Strelka2 and Mutect2 were used for somatic variant calling. The called variants were filtered using GATK </w:t>
      </w:r>
      <w:proofErr w:type="spellStart"/>
      <w:r w:rsidRPr="00011CBA">
        <w:rPr>
          <w:rFonts w:ascii="Times New Roman" w:eastAsia="Times New Roman" w:hAnsi="Times New Roman" w:cs="Times New Roman"/>
          <w:color w:val="000000" w:themeColor="text1"/>
          <w:sz w:val="24"/>
          <w:szCs w:val="24"/>
        </w:rPr>
        <w:t>VariantFiltration</w:t>
      </w:r>
      <w:proofErr w:type="spellEnd"/>
      <w:r w:rsidRPr="00011CBA">
        <w:rPr>
          <w:rFonts w:ascii="Times New Roman" w:eastAsia="Times New Roman" w:hAnsi="Times New Roman" w:cs="Times New Roman"/>
          <w:color w:val="000000" w:themeColor="text1"/>
          <w:sz w:val="24"/>
          <w:szCs w:val="24"/>
        </w:rPr>
        <w:t xml:space="preserve"> (v 4.1.0) with parameters window 35, cluster 3, FS &gt;30.0, and QD &lt;2.0. We retained single nucleotide variants (SNVs) and indels called by any callers. SNVs and indels were merged for tumor and normal sequence depth using a 10X coverage cutoff. The remaining variants were annotated using </w:t>
      </w:r>
      <w:proofErr w:type="spellStart"/>
      <w:r w:rsidRPr="00011CBA">
        <w:rPr>
          <w:rFonts w:ascii="Times New Roman" w:eastAsia="Times New Roman" w:hAnsi="Times New Roman" w:cs="Times New Roman"/>
          <w:color w:val="000000" w:themeColor="text1"/>
          <w:sz w:val="24"/>
          <w:szCs w:val="24"/>
        </w:rPr>
        <w:t>annovar</w:t>
      </w:r>
      <w:proofErr w:type="spellEnd"/>
      <w:r w:rsidRPr="00011CBA">
        <w:rPr>
          <w:rFonts w:ascii="Times New Roman" w:eastAsia="Times New Roman" w:hAnsi="Times New Roman" w:cs="Times New Roman"/>
          <w:color w:val="000000" w:themeColor="text1"/>
          <w:sz w:val="24"/>
          <w:szCs w:val="24"/>
        </w:rPr>
        <w:t xml:space="preserve"> (v 10.24.2019). Using WES data, somatic mutations were called by </w:t>
      </w:r>
      <w:r w:rsidRPr="00011CBA">
        <w:rPr>
          <w:rFonts w:ascii="Times New Roman" w:eastAsia="Times New Roman" w:hAnsi="Times New Roman" w:cs="Times New Roman"/>
          <w:color w:val="000000" w:themeColor="text1"/>
          <w:sz w:val="24"/>
          <w:szCs w:val="24"/>
        </w:rPr>
        <w:lastRenderedPageBreak/>
        <w:t xml:space="preserve">comparing tumor DNA against matched blood normal DNA. Germline mutations were called by comparing normal WES data against the reference genome. The copy number information was mapped to genes using Hg38.109.20211119.ncbiRefSeq. For somatic copy-number alteration (CNA) analysis, bam files were processed using the </w:t>
      </w:r>
      <w:proofErr w:type="spellStart"/>
      <w:r w:rsidRPr="00011CBA">
        <w:rPr>
          <w:rFonts w:ascii="Times New Roman" w:eastAsia="Times New Roman" w:hAnsi="Times New Roman" w:cs="Times New Roman"/>
          <w:color w:val="000000" w:themeColor="text1"/>
          <w:sz w:val="24"/>
          <w:szCs w:val="24"/>
        </w:rPr>
        <w:t>cnvkit</w:t>
      </w:r>
      <w:proofErr w:type="spellEnd"/>
      <w:r w:rsidRPr="00011CBA">
        <w:rPr>
          <w:rFonts w:ascii="Times New Roman" w:eastAsia="Times New Roman" w:hAnsi="Times New Roman" w:cs="Times New Roman"/>
          <w:color w:val="000000" w:themeColor="text1"/>
          <w:sz w:val="24"/>
          <w:szCs w:val="24"/>
        </w:rPr>
        <w:t xml:space="preserve"> package</w:t>
      </w:r>
      <w:r w:rsidR="005F0F4D" w:rsidRPr="00011CBA">
        <w:rPr>
          <w:rFonts w:ascii="Times New Roman" w:eastAsia="Times New Roman" w:hAnsi="Times New Roman" w:cs="Times New Roman"/>
          <w:color w:val="000000" w:themeColor="text1"/>
          <w:sz w:val="24"/>
          <w:szCs w:val="24"/>
        </w:rPr>
        <w:t xml:space="preserve"> to derive log</w:t>
      </w:r>
      <w:r w:rsidR="005F0F4D" w:rsidRPr="00011CBA">
        <w:rPr>
          <w:rFonts w:ascii="Times New Roman" w:eastAsia="Times New Roman" w:hAnsi="Times New Roman" w:cs="Times New Roman"/>
          <w:color w:val="000000" w:themeColor="text1"/>
          <w:sz w:val="24"/>
          <w:szCs w:val="24"/>
          <w:vertAlign w:val="subscript"/>
        </w:rPr>
        <w:t>2</w:t>
      </w:r>
      <w:r w:rsidR="005F0F4D" w:rsidRPr="00011CBA">
        <w:rPr>
          <w:rFonts w:ascii="Times New Roman" w:eastAsia="Times New Roman" w:hAnsi="Times New Roman" w:cs="Times New Roman"/>
          <w:color w:val="000000" w:themeColor="text1"/>
          <w:sz w:val="24"/>
          <w:szCs w:val="24"/>
        </w:rPr>
        <w:t xml:space="preserve"> tumor-to-normal copy-number ratios</w:t>
      </w:r>
      <w:r w:rsidRPr="00011CBA">
        <w:rPr>
          <w:rFonts w:ascii="Times New Roman" w:eastAsia="Times New Roman" w:hAnsi="Times New Roman" w:cs="Times New Roman"/>
          <w:color w:val="000000" w:themeColor="text1"/>
          <w:sz w:val="24"/>
          <w:szCs w:val="24"/>
        </w:rPr>
        <w:t>. Gene-level copy-number values were retrieved and significant CNAs in the cohort were called using GISTIC 2.0. A threshold of ±0.3 was applied to the log</w:t>
      </w:r>
      <w:r w:rsidRPr="00011CBA">
        <w:rPr>
          <w:rFonts w:ascii="Times New Roman" w:eastAsia="Times New Roman" w:hAnsi="Times New Roman" w:cs="Times New Roman"/>
          <w:color w:val="000000" w:themeColor="text1"/>
          <w:sz w:val="24"/>
          <w:szCs w:val="24"/>
          <w:vertAlign w:val="subscript"/>
        </w:rPr>
        <w:t>2</w:t>
      </w:r>
      <w:r w:rsidRPr="00011CBA">
        <w:rPr>
          <w:rFonts w:ascii="Times New Roman" w:eastAsia="Times New Roman" w:hAnsi="Times New Roman" w:cs="Times New Roman"/>
          <w:color w:val="000000" w:themeColor="text1"/>
          <w:sz w:val="24"/>
          <w:szCs w:val="24"/>
        </w:rPr>
        <w:t xml:space="preserve"> copy-number ratio to identify gene-wise gain or loss of copy number, respectively. Each gene of every sample was assigned a threshold copy-number level that reflected the magnitude of its deletion or amplification. The integer values ranged from −2 to 2, where 0 means no amplification or deletion of magnitude greater than the threshold parameters described above. Amplifications are represented by positive numbers: 1,</w:t>
      </w:r>
      <w:r w:rsidR="00EF0645" w:rsidRPr="00011CBA">
        <w:rPr>
          <w:rFonts w:ascii="Times New Roman" w:eastAsia="Times New Roman" w:hAnsi="Times New Roman" w:cs="Times New Roman"/>
          <w:color w:val="000000" w:themeColor="text1"/>
          <w:sz w:val="24"/>
          <w:szCs w:val="24"/>
        </w:rPr>
        <w:t xml:space="preserve"> </w:t>
      </w:r>
      <w:r w:rsidRPr="00011CBA">
        <w:rPr>
          <w:rFonts w:ascii="Times New Roman" w:eastAsia="Times New Roman" w:hAnsi="Times New Roman" w:cs="Times New Roman"/>
          <w:color w:val="000000" w:themeColor="text1"/>
          <w:sz w:val="24"/>
          <w:szCs w:val="24"/>
        </w:rPr>
        <w:t>amplification above the amplification threshold; 2, amplification larger than the arm-level amplifications observed in the sample. Deletions are represented by negative numbers: −1,</w:t>
      </w:r>
      <w:r w:rsidR="00EF0645" w:rsidRPr="00011CBA">
        <w:rPr>
          <w:rFonts w:ascii="Times New Roman" w:eastAsia="Times New Roman" w:hAnsi="Times New Roman" w:cs="Times New Roman"/>
          <w:color w:val="000000" w:themeColor="text1"/>
          <w:sz w:val="24"/>
          <w:szCs w:val="24"/>
        </w:rPr>
        <w:t xml:space="preserve"> </w:t>
      </w:r>
      <w:r w:rsidRPr="00011CBA">
        <w:rPr>
          <w:rFonts w:ascii="Times New Roman" w:eastAsia="Times New Roman" w:hAnsi="Times New Roman" w:cs="Times New Roman"/>
          <w:color w:val="000000" w:themeColor="text1"/>
          <w:sz w:val="24"/>
          <w:szCs w:val="24"/>
        </w:rPr>
        <w:t>deletion beyond the threshold; −2, deletions greater than the minimum arm-level copy number observed in the sample.</w:t>
      </w:r>
    </w:p>
    <w:p w14:paraId="32D87FCC" w14:textId="77777777" w:rsidR="00B048D9" w:rsidRPr="00011CBA" w:rsidRDefault="00B048D9" w:rsidP="00FB3AEF">
      <w:pPr>
        <w:spacing w:line="480" w:lineRule="auto"/>
        <w:jc w:val="both"/>
        <w:rPr>
          <w:rFonts w:ascii="Times New Roman" w:eastAsia="Times New Roman" w:hAnsi="Times New Roman" w:cs="Times New Roman"/>
          <w:color w:val="000000" w:themeColor="text1"/>
          <w:sz w:val="24"/>
          <w:szCs w:val="24"/>
        </w:rPr>
      </w:pPr>
    </w:p>
    <w:p w14:paraId="3AC4393E" w14:textId="77777777" w:rsidR="00B048D9" w:rsidRPr="00011CBA" w:rsidRDefault="00B048D9" w:rsidP="00FB3AEF">
      <w:pPr>
        <w:spacing w:line="480" w:lineRule="auto"/>
        <w:jc w:val="both"/>
        <w:rPr>
          <w:rFonts w:ascii="Times New Roman" w:eastAsia="Times New Roman" w:hAnsi="Times New Roman" w:cs="Times New Roman"/>
          <w:b/>
          <w:color w:val="000000" w:themeColor="text1"/>
          <w:sz w:val="24"/>
          <w:szCs w:val="24"/>
        </w:rPr>
      </w:pPr>
      <w:r w:rsidRPr="00011CBA">
        <w:rPr>
          <w:rFonts w:ascii="Times New Roman" w:eastAsia="Times New Roman" w:hAnsi="Times New Roman" w:cs="Times New Roman"/>
          <w:b/>
          <w:color w:val="000000" w:themeColor="text1"/>
          <w:sz w:val="24"/>
          <w:szCs w:val="24"/>
        </w:rPr>
        <w:t>Proteomics data generation and analysis</w:t>
      </w:r>
    </w:p>
    <w:p w14:paraId="14D4CBCE" w14:textId="3A3EA3BF" w:rsidR="00B048D9" w:rsidRPr="00011CBA" w:rsidRDefault="00B048D9" w:rsidP="00FB3AEF">
      <w:pPr>
        <w:spacing w:line="480" w:lineRule="auto"/>
        <w:jc w:val="both"/>
        <w:rPr>
          <w:rFonts w:ascii="Times New Roman" w:eastAsia="Times New Roman" w:hAnsi="Times New Roman" w:cs="Times New Roman"/>
          <w:color w:val="000000" w:themeColor="text1"/>
          <w:sz w:val="24"/>
          <w:szCs w:val="24"/>
        </w:rPr>
      </w:pPr>
      <w:r w:rsidRPr="00011CBA">
        <w:rPr>
          <w:rFonts w:ascii="Times New Roman" w:eastAsia="Times New Roman" w:hAnsi="Times New Roman" w:cs="Times New Roman"/>
          <w:color w:val="000000" w:themeColor="text1"/>
          <w:sz w:val="24"/>
          <w:szCs w:val="24"/>
        </w:rPr>
        <w:t>Proteins were extracted using sodium dodecyl sulfate buffer and ultrasonication (</w:t>
      </w:r>
      <w:r w:rsidR="00EF0645" w:rsidRPr="00011CBA">
        <w:rPr>
          <w:rFonts w:ascii="Times New Roman" w:eastAsia="Times New Roman" w:hAnsi="Times New Roman" w:cs="Times New Roman"/>
          <w:color w:val="000000" w:themeColor="text1"/>
          <w:sz w:val="24"/>
          <w:szCs w:val="24"/>
        </w:rPr>
        <w:t xml:space="preserve">S220, </w:t>
      </w:r>
      <w:r w:rsidRPr="00011CBA">
        <w:rPr>
          <w:rFonts w:ascii="Times New Roman" w:eastAsia="Times New Roman" w:hAnsi="Times New Roman" w:cs="Times New Roman"/>
          <w:color w:val="000000" w:themeColor="text1"/>
          <w:sz w:val="24"/>
          <w:szCs w:val="24"/>
        </w:rPr>
        <w:t>Covaris), digested using S-Trap columns (</w:t>
      </w:r>
      <w:proofErr w:type="spellStart"/>
      <w:r w:rsidRPr="00011CBA">
        <w:rPr>
          <w:rFonts w:ascii="Times New Roman" w:eastAsia="Times New Roman" w:hAnsi="Times New Roman" w:cs="Times New Roman"/>
          <w:color w:val="000000" w:themeColor="text1"/>
          <w:sz w:val="24"/>
          <w:szCs w:val="24"/>
        </w:rPr>
        <w:t>Protifi</w:t>
      </w:r>
      <w:proofErr w:type="spellEnd"/>
      <w:r w:rsidR="00EF0645" w:rsidRPr="00011CBA">
        <w:rPr>
          <w:rFonts w:ascii="Times New Roman" w:eastAsia="Times New Roman" w:hAnsi="Times New Roman" w:cs="Times New Roman"/>
          <w:color w:val="000000" w:themeColor="text1"/>
          <w:sz w:val="24"/>
          <w:szCs w:val="24"/>
        </w:rPr>
        <w:t>, Fairport, NY, USA</w:t>
      </w:r>
      <w:r w:rsidRPr="00011CBA">
        <w:rPr>
          <w:rFonts w:ascii="Times New Roman" w:eastAsia="Times New Roman" w:hAnsi="Times New Roman" w:cs="Times New Roman"/>
          <w:color w:val="000000" w:themeColor="text1"/>
          <w:sz w:val="24"/>
          <w:szCs w:val="24"/>
        </w:rPr>
        <w:t xml:space="preserve">), and labeled with tandem mass tag (TMT) 11-plex reagents. The labeled peptides were fractionated using mid-pH reverse-phase high performance liquid chromatography, and </w:t>
      </w:r>
      <w:proofErr w:type="spellStart"/>
      <w:r w:rsidRPr="00011CBA">
        <w:rPr>
          <w:rFonts w:ascii="Times New Roman" w:eastAsia="Times New Roman" w:hAnsi="Times New Roman" w:cs="Times New Roman"/>
          <w:color w:val="000000" w:themeColor="text1"/>
          <w:sz w:val="24"/>
          <w:szCs w:val="24"/>
        </w:rPr>
        <w:t>phosphopeptides</w:t>
      </w:r>
      <w:proofErr w:type="spellEnd"/>
      <w:r w:rsidRPr="00011CBA">
        <w:rPr>
          <w:rFonts w:ascii="Times New Roman" w:eastAsia="Times New Roman" w:hAnsi="Times New Roman" w:cs="Times New Roman"/>
          <w:color w:val="000000" w:themeColor="text1"/>
          <w:sz w:val="24"/>
          <w:szCs w:val="24"/>
        </w:rPr>
        <w:t xml:space="preserve"> were enriched using iron-nitrilotriacetic acid immobilized metal affinity chromatography. Peptides were analyzed via liquid chromatography-tandem mass spectrometry using a Q </w:t>
      </w:r>
      <w:proofErr w:type="spellStart"/>
      <w:r w:rsidRPr="00011CBA">
        <w:rPr>
          <w:rFonts w:ascii="Times New Roman" w:eastAsia="Times New Roman" w:hAnsi="Times New Roman" w:cs="Times New Roman"/>
          <w:color w:val="000000" w:themeColor="text1"/>
          <w:sz w:val="24"/>
          <w:szCs w:val="24"/>
        </w:rPr>
        <w:t>Exactive</w:t>
      </w:r>
      <w:proofErr w:type="spellEnd"/>
      <w:r w:rsidRPr="00011CBA">
        <w:rPr>
          <w:rFonts w:ascii="Times New Roman" w:eastAsia="Times New Roman" w:hAnsi="Times New Roman" w:cs="Times New Roman"/>
          <w:color w:val="000000" w:themeColor="text1"/>
          <w:sz w:val="24"/>
          <w:szCs w:val="24"/>
        </w:rPr>
        <w:t xml:space="preserve"> HF-X Orbitrap mass spectrometer (Thermo</w:t>
      </w:r>
      <w:r w:rsidR="00EF0645" w:rsidRPr="00011CBA">
        <w:rPr>
          <w:rFonts w:ascii="Times New Roman" w:eastAsia="Times New Roman" w:hAnsi="Times New Roman" w:cs="Times New Roman"/>
          <w:color w:val="000000" w:themeColor="text1"/>
          <w:sz w:val="24"/>
          <w:szCs w:val="24"/>
        </w:rPr>
        <w:t xml:space="preserve"> Fisher</w:t>
      </w:r>
      <w:r w:rsidRPr="00011CBA">
        <w:rPr>
          <w:rFonts w:ascii="Times New Roman" w:eastAsia="Times New Roman" w:hAnsi="Times New Roman" w:cs="Times New Roman"/>
          <w:color w:val="000000" w:themeColor="text1"/>
          <w:sz w:val="24"/>
          <w:szCs w:val="24"/>
        </w:rPr>
        <w:t xml:space="preserve"> Scientific</w:t>
      </w:r>
      <w:r w:rsidR="00EF0645" w:rsidRPr="00011CBA">
        <w:rPr>
          <w:rFonts w:ascii="Times New Roman" w:eastAsia="Times New Roman" w:hAnsi="Times New Roman" w:cs="Times New Roman"/>
          <w:color w:val="000000" w:themeColor="text1"/>
          <w:sz w:val="24"/>
          <w:szCs w:val="24"/>
        </w:rPr>
        <w:t>, Waltham, MA, USA</w:t>
      </w:r>
      <w:r w:rsidRPr="00011CBA">
        <w:rPr>
          <w:rFonts w:ascii="Times New Roman" w:eastAsia="Times New Roman" w:hAnsi="Times New Roman" w:cs="Times New Roman"/>
          <w:color w:val="000000" w:themeColor="text1"/>
          <w:sz w:val="24"/>
          <w:szCs w:val="24"/>
        </w:rPr>
        <w:t xml:space="preserve">). Mass spectra were converted to the </w:t>
      </w:r>
      <w:proofErr w:type="spellStart"/>
      <w:r w:rsidRPr="00011CBA">
        <w:rPr>
          <w:rFonts w:ascii="Times New Roman" w:eastAsia="Times New Roman" w:hAnsi="Times New Roman" w:cs="Times New Roman"/>
          <w:color w:val="000000" w:themeColor="text1"/>
          <w:sz w:val="24"/>
          <w:szCs w:val="24"/>
        </w:rPr>
        <w:t>mzML</w:t>
      </w:r>
      <w:proofErr w:type="spellEnd"/>
      <w:r w:rsidRPr="00011CBA">
        <w:rPr>
          <w:rFonts w:ascii="Times New Roman" w:eastAsia="Times New Roman" w:hAnsi="Times New Roman" w:cs="Times New Roman"/>
          <w:color w:val="000000" w:themeColor="text1"/>
          <w:sz w:val="24"/>
          <w:szCs w:val="24"/>
        </w:rPr>
        <w:t xml:space="preserve"> </w:t>
      </w:r>
      <w:r w:rsidRPr="00011CBA">
        <w:rPr>
          <w:rFonts w:ascii="Times New Roman" w:eastAsia="Times New Roman" w:hAnsi="Times New Roman" w:cs="Times New Roman"/>
          <w:color w:val="000000" w:themeColor="text1"/>
          <w:sz w:val="24"/>
          <w:szCs w:val="24"/>
        </w:rPr>
        <w:lastRenderedPageBreak/>
        <w:t>format (</w:t>
      </w:r>
      <w:proofErr w:type="spellStart"/>
      <w:r w:rsidRPr="00011CBA">
        <w:rPr>
          <w:rFonts w:ascii="Times New Roman" w:eastAsia="Times New Roman" w:hAnsi="Times New Roman" w:cs="Times New Roman"/>
          <w:color w:val="000000" w:themeColor="text1"/>
          <w:sz w:val="24"/>
          <w:szCs w:val="24"/>
        </w:rPr>
        <w:t>ProteoWizard</w:t>
      </w:r>
      <w:proofErr w:type="spellEnd"/>
      <w:r w:rsidR="00EF0645" w:rsidRPr="00011CBA">
        <w:rPr>
          <w:rFonts w:ascii="Times New Roman" w:eastAsia="Times New Roman" w:hAnsi="Times New Roman" w:cs="Times New Roman"/>
          <w:color w:val="000000" w:themeColor="text1"/>
          <w:sz w:val="24"/>
          <w:szCs w:val="24"/>
        </w:rPr>
        <w:t>, Palo Alto, CA, USA</w:t>
      </w:r>
      <w:r w:rsidRPr="00011CBA">
        <w:rPr>
          <w:rFonts w:ascii="Times New Roman" w:eastAsia="Times New Roman" w:hAnsi="Times New Roman" w:cs="Times New Roman"/>
          <w:color w:val="000000" w:themeColor="text1"/>
          <w:sz w:val="24"/>
          <w:szCs w:val="24"/>
        </w:rPr>
        <w:t xml:space="preserve">) and searched against the human </w:t>
      </w:r>
      <w:proofErr w:type="spellStart"/>
      <w:r w:rsidRPr="00011CBA">
        <w:rPr>
          <w:rFonts w:ascii="Times New Roman" w:eastAsia="Times New Roman" w:hAnsi="Times New Roman" w:cs="Times New Roman"/>
          <w:color w:val="000000" w:themeColor="text1"/>
          <w:sz w:val="24"/>
          <w:szCs w:val="24"/>
        </w:rPr>
        <w:t>UniProt</w:t>
      </w:r>
      <w:proofErr w:type="spellEnd"/>
      <w:r w:rsidRPr="00011CBA">
        <w:rPr>
          <w:rFonts w:ascii="Times New Roman" w:eastAsia="Times New Roman" w:hAnsi="Times New Roman" w:cs="Times New Roman"/>
          <w:color w:val="000000" w:themeColor="text1"/>
          <w:sz w:val="24"/>
          <w:szCs w:val="24"/>
        </w:rPr>
        <w:t xml:space="preserve"> database using </w:t>
      </w:r>
      <w:proofErr w:type="spellStart"/>
      <w:r w:rsidRPr="00011CBA">
        <w:rPr>
          <w:rFonts w:ascii="Times New Roman" w:eastAsia="Times New Roman" w:hAnsi="Times New Roman" w:cs="Times New Roman"/>
          <w:color w:val="000000" w:themeColor="text1"/>
          <w:sz w:val="24"/>
          <w:szCs w:val="24"/>
        </w:rPr>
        <w:t>FragPipe</w:t>
      </w:r>
      <w:proofErr w:type="spellEnd"/>
      <w:r w:rsidRPr="00011CBA">
        <w:rPr>
          <w:rFonts w:ascii="Times New Roman" w:eastAsia="Times New Roman" w:hAnsi="Times New Roman" w:cs="Times New Roman"/>
          <w:color w:val="000000" w:themeColor="text1"/>
          <w:sz w:val="24"/>
          <w:szCs w:val="24"/>
        </w:rPr>
        <w:t xml:space="preserve">. Proteins and phosphoproteins identified were filtered at 1% false discovery rate. TMT-based quantification was normalized to a global reference. Batch effects were corrected using </w:t>
      </w:r>
      <w:proofErr w:type="spellStart"/>
      <w:r w:rsidRPr="00011CBA">
        <w:rPr>
          <w:rFonts w:ascii="Times New Roman" w:eastAsia="Times New Roman" w:hAnsi="Times New Roman" w:cs="Times New Roman"/>
          <w:color w:val="000000" w:themeColor="text1"/>
          <w:sz w:val="24"/>
          <w:szCs w:val="24"/>
        </w:rPr>
        <w:t>ComBat</w:t>
      </w:r>
      <w:proofErr w:type="spellEnd"/>
      <w:r w:rsidRPr="00011CBA">
        <w:rPr>
          <w:rFonts w:ascii="Times New Roman" w:eastAsia="Times New Roman" w:hAnsi="Times New Roman" w:cs="Times New Roman"/>
          <w:color w:val="000000" w:themeColor="text1"/>
          <w:sz w:val="24"/>
          <w:szCs w:val="24"/>
        </w:rPr>
        <w:t xml:space="preserve">, and missing values were imputed with </w:t>
      </w:r>
      <w:proofErr w:type="spellStart"/>
      <w:r w:rsidRPr="00011CBA">
        <w:rPr>
          <w:rFonts w:ascii="Times New Roman" w:eastAsia="Times New Roman" w:hAnsi="Times New Roman" w:cs="Times New Roman"/>
          <w:color w:val="000000" w:themeColor="text1"/>
          <w:sz w:val="24"/>
          <w:szCs w:val="24"/>
        </w:rPr>
        <w:t>DreamAI</w:t>
      </w:r>
      <w:proofErr w:type="spellEnd"/>
      <w:r w:rsidRPr="00011CBA">
        <w:rPr>
          <w:rFonts w:ascii="Times New Roman" w:eastAsia="Times New Roman" w:hAnsi="Times New Roman" w:cs="Times New Roman"/>
          <w:color w:val="000000" w:themeColor="text1"/>
          <w:sz w:val="24"/>
          <w:szCs w:val="24"/>
        </w:rPr>
        <w:t>.</w:t>
      </w:r>
    </w:p>
    <w:p w14:paraId="7E47D9D6" w14:textId="36BD5727" w:rsidR="00221521" w:rsidRPr="00011CBA" w:rsidRDefault="00221521" w:rsidP="00FB3AEF">
      <w:pPr>
        <w:spacing w:line="480" w:lineRule="auto"/>
        <w:jc w:val="both"/>
        <w:rPr>
          <w:rFonts w:ascii="Times New Roman" w:hAnsi="Times New Roman" w:cs="Times New Roman" w:hint="eastAsia"/>
          <w:b/>
          <w:color w:val="000000" w:themeColor="text1"/>
          <w:sz w:val="24"/>
          <w:szCs w:val="24"/>
        </w:rPr>
      </w:pPr>
    </w:p>
    <w:p w14:paraId="18C53CD3" w14:textId="5D17A923" w:rsidR="00717E20" w:rsidRPr="00011CBA" w:rsidRDefault="00717E20" w:rsidP="00FB3AEF">
      <w:pPr>
        <w:spacing w:line="480" w:lineRule="auto"/>
        <w:jc w:val="both"/>
        <w:rPr>
          <w:rFonts w:ascii="Times New Roman" w:hAnsi="Times New Roman" w:cs="Times New Roman"/>
          <w:b/>
          <w:color w:val="000000" w:themeColor="text1"/>
          <w:sz w:val="24"/>
          <w:szCs w:val="24"/>
        </w:rPr>
      </w:pPr>
      <w:bookmarkStart w:id="1" w:name="_Hlk213260715"/>
      <w:r w:rsidRPr="00011CBA">
        <w:rPr>
          <w:rFonts w:ascii="Times New Roman" w:hAnsi="Times New Roman" w:cs="Times New Roman"/>
          <w:b/>
          <w:color w:val="000000" w:themeColor="text1"/>
          <w:sz w:val="24"/>
          <w:szCs w:val="24"/>
        </w:rPr>
        <w:t>Transcriptome-proteome correlation analysis</w:t>
      </w:r>
    </w:p>
    <w:p w14:paraId="6FC08066" w14:textId="07ACBE64" w:rsidR="00717E20" w:rsidRPr="00011CBA" w:rsidRDefault="00717E20" w:rsidP="00FB3AEF">
      <w:pPr>
        <w:spacing w:line="480" w:lineRule="auto"/>
        <w:jc w:val="both"/>
        <w:rPr>
          <w:rFonts w:ascii="Times New Roman" w:hAnsi="Times New Roman" w:cs="Times New Roman"/>
          <w:bCs/>
          <w:color w:val="000000" w:themeColor="text1"/>
          <w:sz w:val="24"/>
          <w:szCs w:val="24"/>
        </w:rPr>
      </w:pPr>
      <w:r w:rsidRPr="00011CBA">
        <w:rPr>
          <w:rFonts w:ascii="Times New Roman" w:hAnsi="Times New Roman" w:cs="Times New Roman"/>
          <w:bCs/>
          <w:color w:val="000000" w:themeColor="text1"/>
          <w:sz w:val="24"/>
          <w:szCs w:val="24"/>
        </w:rPr>
        <w:t>To assess the concordance between transcriptomic and proteomic profiles, we performed gene-wise correlation analysis across all genes quantified in both datasets (n=9,410). For each gene, Spearman’s rank correlation coefficient (ρ) was calculated between RNA-seq and protein abundance values measured in baseline tumor samples. Among 9,410 genes quantified at both levels, 8,576 genes (93.8%) exhibited positive RNA–protein correlations, and 5,665 genes (62.0%) showed statistically significant positive correlations (P &lt; 0.01), with a median correlation coefficient of ρ = 0.49. These findings are consistent with previous multi-omics studies reporting moderate RNA–protein concordance in cancer tissues.</w:t>
      </w:r>
    </w:p>
    <w:p w14:paraId="0910ABC4" w14:textId="776FFD13" w:rsidR="00717E20" w:rsidRPr="00011CBA" w:rsidRDefault="00717E20" w:rsidP="00FB3AEF">
      <w:pPr>
        <w:spacing w:line="480" w:lineRule="auto"/>
        <w:jc w:val="both"/>
        <w:rPr>
          <w:rFonts w:ascii="Times New Roman" w:hAnsi="Times New Roman" w:cs="Times New Roman"/>
          <w:bCs/>
          <w:color w:val="000000" w:themeColor="text1"/>
          <w:sz w:val="24"/>
          <w:szCs w:val="24"/>
        </w:rPr>
      </w:pPr>
      <w:r w:rsidRPr="00011CBA">
        <w:rPr>
          <w:rFonts w:ascii="Times New Roman" w:hAnsi="Times New Roman" w:cs="Times New Roman"/>
          <w:bCs/>
          <w:color w:val="000000" w:themeColor="text1"/>
          <w:sz w:val="24"/>
          <w:szCs w:val="24"/>
        </w:rPr>
        <w:tab/>
        <w:t>To identify biological pathways associated with concordant or discordant RNA–protein relationships, GSEA was performed using Kyoto Encyclopedia of Genes and Genomes (KEGG) pathway annotations. Genes were ranked by their Spearman correlation coefficients (from most negative to most positive), and enrichment scores were calculated using the GSEA software (v4.3.2). Normalized enrichment scores (NES) were used to assess pathway-level associations.</w:t>
      </w:r>
    </w:p>
    <w:bookmarkEnd w:id="1"/>
    <w:p w14:paraId="427C9BB0" w14:textId="07D8342F" w:rsidR="00717E20" w:rsidRPr="00011CBA" w:rsidRDefault="00717E20" w:rsidP="00FB3AEF">
      <w:pPr>
        <w:spacing w:line="480" w:lineRule="auto"/>
        <w:jc w:val="both"/>
        <w:rPr>
          <w:rFonts w:ascii="Times New Roman" w:hAnsi="Times New Roman" w:cs="Times New Roman"/>
          <w:b/>
          <w:color w:val="000000" w:themeColor="text1"/>
          <w:sz w:val="24"/>
          <w:szCs w:val="24"/>
        </w:rPr>
      </w:pPr>
    </w:p>
    <w:p w14:paraId="0C56B6EF" w14:textId="73640AA3" w:rsidR="001337D6" w:rsidRPr="00011CBA" w:rsidRDefault="005F7D17" w:rsidP="00FB3AEF">
      <w:pPr>
        <w:spacing w:line="480" w:lineRule="auto"/>
        <w:jc w:val="both"/>
        <w:rPr>
          <w:rFonts w:ascii="Times New Roman" w:hAnsi="Times New Roman" w:cs="Times New Roman"/>
          <w:b/>
          <w:color w:val="000000" w:themeColor="text1"/>
          <w:sz w:val="24"/>
          <w:szCs w:val="24"/>
        </w:rPr>
      </w:pPr>
      <w:bookmarkStart w:id="2" w:name="_Hlk213262011"/>
      <w:r w:rsidRPr="00011CBA">
        <w:rPr>
          <w:rFonts w:ascii="Times New Roman" w:hAnsi="Times New Roman" w:cs="Times New Roman"/>
          <w:b/>
          <w:color w:val="000000" w:themeColor="text1"/>
          <w:sz w:val="24"/>
          <w:szCs w:val="24"/>
        </w:rPr>
        <w:t>Gene set variation analysis (GSVA) of transcriptomic and proteomic data</w:t>
      </w:r>
    </w:p>
    <w:p w14:paraId="40C617CA" w14:textId="1B50B09C" w:rsidR="005F7D17" w:rsidRPr="00011CBA" w:rsidRDefault="005F7D17" w:rsidP="005F7D17">
      <w:pPr>
        <w:spacing w:line="480" w:lineRule="auto"/>
        <w:jc w:val="both"/>
        <w:rPr>
          <w:rFonts w:ascii="Times New Roman" w:hAnsi="Times New Roman" w:cs="Times New Roman"/>
          <w:bCs/>
          <w:color w:val="000000" w:themeColor="text1"/>
          <w:sz w:val="24"/>
          <w:szCs w:val="24"/>
        </w:rPr>
      </w:pPr>
      <w:r w:rsidRPr="00011CBA">
        <w:rPr>
          <w:rFonts w:ascii="Times New Roman" w:hAnsi="Times New Roman" w:cs="Times New Roman"/>
          <w:bCs/>
          <w:color w:val="000000" w:themeColor="text1"/>
          <w:sz w:val="24"/>
          <w:szCs w:val="24"/>
        </w:rPr>
        <w:t>To compare pathway activity across transcriptomic and proteomic layers, GSVA was performed using the Hallmark gene sets from the Molecular Signatures Database (</w:t>
      </w:r>
      <w:proofErr w:type="spellStart"/>
      <w:r w:rsidRPr="00011CBA">
        <w:rPr>
          <w:rFonts w:ascii="Times New Roman" w:hAnsi="Times New Roman" w:cs="Times New Roman"/>
          <w:bCs/>
          <w:color w:val="000000" w:themeColor="text1"/>
          <w:sz w:val="24"/>
          <w:szCs w:val="24"/>
        </w:rPr>
        <w:t>MSigDB</w:t>
      </w:r>
      <w:proofErr w:type="spellEnd"/>
      <w:r w:rsidRPr="00011CBA">
        <w:rPr>
          <w:rFonts w:ascii="Times New Roman" w:hAnsi="Times New Roman" w:cs="Times New Roman"/>
          <w:bCs/>
          <w:color w:val="000000" w:themeColor="text1"/>
          <w:sz w:val="24"/>
          <w:szCs w:val="24"/>
        </w:rPr>
        <w:t xml:space="preserve"> v7.5.1). Both </w:t>
      </w:r>
      <w:r w:rsidRPr="00011CBA">
        <w:rPr>
          <w:rFonts w:ascii="Times New Roman" w:hAnsi="Times New Roman" w:cs="Times New Roman"/>
          <w:bCs/>
          <w:color w:val="000000" w:themeColor="text1"/>
          <w:sz w:val="24"/>
          <w:szCs w:val="24"/>
        </w:rPr>
        <w:lastRenderedPageBreak/>
        <w:t>RNA and protein expression matrices were z-score normalized across samples prior to analysis to ensure comparability. GSVA was conducted for all samples using the GSVA R package (v1.48.2) with default parameters to generate pathway activity scores for each omics layer.</w:t>
      </w:r>
    </w:p>
    <w:p w14:paraId="7DA9EA80" w14:textId="19FF4ED4" w:rsidR="001337D6" w:rsidRPr="00011CBA" w:rsidRDefault="005F7D17" w:rsidP="005F7D17">
      <w:pPr>
        <w:spacing w:line="480" w:lineRule="auto"/>
        <w:jc w:val="both"/>
        <w:rPr>
          <w:rFonts w:ascii="Times New Roman" w:hAnsi="Times New Roman" w:cs="Times New Roman"/>
          <w:bCs/>
          <w:color w:val="000000" w:themeColor="text1"/>
          <w:sz w:val="24"/>
          <w:szCs w:val="24"/>
        </w:rPr>
      </w:pPr>
      <w:r w:rsidRPr="00011CBA">
        <w:rPr>
          <w:rFonts w:ascii="Times New Roman" w:hAnsi="Times New Roman" w:cs="Times New Roman"/>
          <w:bCs/>
          <w:color w:val="000000" w:themeColor="text1"/>
          <w:sz w:val="24"/>
          <w:szCs w:val="24"/>
        </w:rPr>
        <w:tab/>
        <w:t>To evaluate the degree of pathway discrimination among NMF-defined clusters, the standard deviation (SD) of GSVA scores was calculated across clusters for each data type</w:t>
      </w:r>
      <w:r w:rsidR="008F2B07" w:rsidRPr="00011CBA">
        <w:rPr>
          <w:rFonts w:ascii="Times New Roman" w:hAnsi="Times New Roman" w:cs="Times New Roman"/>
          <w:bCs/>
          <w:color w:val="000000" w:themeColor="text1"/>
          <w:sz w:val="24"/>
          <w:szCs w:val="24"/>
        </w:rPr>
        <w:t>, and Levene’s test was conducted.</w:t>
      </w:r>
    </w:p>
    <w:bookmarkEnd w:id="2"/>
    <w:p w14:paraId="05855522" w14:textId="073D6B5E" w:rsidR="005F7D17" w:rsidRPr="00011CBA" w:rsidRDefault="005F7D17" w:rsidP="00FB3AEF">
      <w:pPr>
        <w:spacing w:line="480" w:lineRule="auto"/>
        <w:jc w:val="both"/>
        <w:rPr>
          <w:rFonts w:ascii="Times New Roman" w:hAnsi="Times New Roman" w:cs="Times New Roman"/>
          <w:b/>
          <w:color w:val="000000" w:themeColor="text1"/>
          <w:sz w:val="24"/>
          <w:szCs w:val="24"/>
        </w:rPr>
      </w:pPr>
    </w:p>
    <w:p w14:paraId="2A519FFD" w14:textId="77777777" w:rsidR="0054179E" w:rsidRPr="00011CBA" w:rsidRDefault="0054179E" w:rsidP="0054179E">
      <w:pPr>
        <w:spacing w:line="480" w:lineRule="auto"/>
        <w:jc w:val="both"/>
        <w:rPr>
          <w:rFonts w:ascii="Times New Roman" w:hAnsi="Times New Roman" w:cs="Times New Roman"/>
          <w:b/>
          <w:color w:val="000000" w:themeColor="text1"/>
          <w:sz w:val="24"/>
          <w:szCs w:val="24"/>
        </w:rPr>
      </w:pPr>
      <w:bookmarkStart w:id="3" w:name="_Hlk213269633"/>
      <w:r w:rsidRPr="00011CBA">
        <w:rPr>
          <w:rFonts w:ascii="Times New Roman" w:hAnsi="Times New Roman" w:cs="Times New Roman"/>
          <w:b/>
          <w:color w:val="000000" w:themeColor="text1"/>
          <w:sz w:val="24"/>
          <w:szCs w:val="24"/>
        </w:rPr>
        <w:t>Pathway comparison according to GRK2 PTM-SEA score</w:t>
      </w:r>
    </w:p>
    <w:p w14:paraId="5A4CA447" w14:textId="64611E1C" w:rsidR="0054179E" w:rsidRPr="00011CBA" w:rsidRDefault="0054179E" w:rsidP="0054179E">
      <w:pPr>
        <w:spacing w:line="480" w:lineRule="auto"/>
        <w:jc w:val="both"/>
        <w:rPr>
          <w:rFonts w:ascii="Times New Roman" w:hAnsi="Times New Roman" w:cs="Times New Roman"/>
          <w:bCs/>
          <w:color w:val="000000" w:themeColor="text1"/>
          <w:sz w:val="24"/>
          <w:szCs w:val="24"/>
        </w:rPr>
      </w:pPr>
      <w:r w:rsidRPr="00011CBA">
        <w:rPr>
          <w:rFonts w:ascii="Times New Roman" w:hAnsi="Times New Roman" w:cs="Times New Roman"/>
          <w:bCs/>
          <w:color w:val="000000" w:themeColor="text1"/>
          <w:sz w:val="24"/>
          <w:szCs w:val="24"/>
        </w:rPr>
        <w:t xml:space="preserve">To examine pathway differences associated with GRK2 activity, tumors were stratified into GRK2-high and GRK2-low groups based on the normalized enrichment score (NES) from the post-translational modification set enrichment analysis (PTM-SEA). Samples with NES &gt; 2 were defined as GRK2-high, reflecting strong enrichment of GRK2-associated </w:t>
      </w:r>
      <w:proofErr w:type="spellStart"/>
      <w:r w:rsidRPr="00011CBA">
        <w:rPr>
          <w:rFonts w:ascii="Times New Roman" w:hAnsi="Times New Roman" w:cs="Times New Roman"/>
          <w:bCs/>
          <w:color w:val="000000" w:themeColor="text1"/>
          <w:sz w:val="24"/>
          <w:szCs w:val="24"/>
        </w:rPr>
        <w:t>phosphosite</w:t>
      </w:r>
      <w:proofErr w:type="spellEnd"/>
      <w:r w:rsidRPr="00011CBA">
        <w:rPr>
          <w:rFonts w:ascii="Times New Roman" w:hAnsi="Times New Roman" w:cs="Times New Roman"/>
          <w:bCs/>
          <w:color w:val="000000" w:themeColor="text1"/>
          <w:sz w:val="24"/>
          <w:szCs w:val="24"/>
        </w:rPr>
        <w:t xml:space="preserve"> signatures, whereas those with NES </w:t>
      </w:r>
      <w:r w:rsidR="009A0148" w:rsidRPr="00011CBA">
        <w:rPr>
          <w:rFonts w:ascii="Times New Roman" w:hAnsi="Times New Roman" w:cs="Times New Roman"/>
          <w:bCs/>
          <w:color w:val="000000" w:themeColor="text1"/>
          <w:sz w:val="24"/>
          <w:szCs w:val="24"/>
        </w:rPr>
        <w:t>≤</w:t>
      </w:r>
      <w:r w:rsidRPr="00011CBA">
        <w:rPr>
          <w:rFonts w:ascii="Times New Roman" w:hAnsi="Times New Roman" w:cs="Times New Roman"/>
          <w:bCs/>
          <w:color w:val="000000" w:themeColor="text1"/>
          <w:sz w:val="24"/>
          <w:szCs w:val="24"/>
        </w:rPr>
        <w:t xml:space="preserve"> 2 were classified as GRK2-low. For each group, gene set variation analysis (GSVA) was performed using Hallmark gene sets on the z-score normalized proteomic dataset to estimate pathway activity scores. Differences in GSVA scores between GRK2-high and GRK2-low tumors were evaluated using an unpaired two-tailed Student’s t-test. Pathways with P &lt; 0.05 were considered statistically significant. Data were visualized as mean ± standard deviation.</w:t>
      </w:r>
    </w:p>
    <w:bookmarkEnd w:id="3"/>
    <w:p w14:paraId="073DFF89" w14:textId="77777777" w:rsidR="0054179E" w:rsidRPr="00011CBA" w:rsidRDefault="0054179E" w:rsidP="00FB3AEF">
      <w:pPr>
        <w:spacing w:line="480" w:lineRule="auto"/>
        <w:jc w:val="both"/>
        <w:rPr>
          <w:rFonts w:ascii="Times New Roman" w:hAnsi="Times New Roman" w:cs="Times New Roman"/>
          <w:b/>
          <w:color w:val="000000" w:themeColor="text1"/>
          <w:sz w:val="24"/>
          <w:szCs w:val="24"/>
        </w:rPr>
      </w:pPr>
    </w:p>
    <w:p w14:paraId="4E7779C5" w14:textId="2607C0D7" w:rsidR="00A55EC8" w:rsidRPr="00011CBA" w:rsidRDefault="00A55EC8" w:rsidP="00A55EC8">
      <w:pPr>
        <w:spacing w:line="480" w:lineRule="auto"/>
        <w:jc w:val="both"/>
        <w:rPr>
          <w:rFonts w:ascii="Times New Roman" w:hAnsi="Times New Roman" w:cs="Times New Roman"/>
          <w:b/>
          <w:color w:val="000000" w:themeColor="text1"/>
          <w:sz w:val="24"/>
          <w:szCs w:val="24"/>
        </w:rPr>
      </w:pPr>
      <w:r w:rsidRPr="00011CBA">
        <w:rPr>
          <w:rFonts w:ascii="Times New Roman" w:hAnsi="Times New Roman" w:cs="Times New Roman"/>
          <w:b/>
          <w:color w:val="000000" w:themeColor="text1"/>
          <w:sz w:val="24"/>
          <w:szCs w:val="24"/>
        </w:rPr>
        <w:t>Measurement of tumor-stroma ratio</w:t>
      </w:r>
      <w:r w:rsidR="007D22A4" w:rsidRPr="00011CBA">
        <w:rPr>
          <w:rFonts w:ascii="Times New Roman" w:hAnsi="Times New Roman" w:cs="Times New Roman"/>
          <w:b/>
          <w:color w:val="000000" w:themeColor="text1"/>
          <w:sz w:val="24"/>
          <w:szCs w:val="24"/>
        </w:rPr>
        <w:t xml:space="preserve"> (TSR)</w:t>
      </w:r>
    </w:p>
    <w:p w14:paraId="6F96924B" w14:textId="581C47F8" w:rsidR="00A55EC8" w:rsidRPr="00011CBA" w:rsidRDefault="00B6477C" w:rsidP="00A55EC8">
      <w:pPr>
        <w:spacing w:line="480" w:lineRule="auto"/>
        <w:jc w:val="both"/>
        <w:rPr>
          <w:rFonts w:ascii="Times New Roman" w:hAnsi="Times New Roman" w:cs="Times New Roman"/>
          <w:bCs/>
          <w:color w:val="000000" w:themeColor="text1"/>
          <w:sz w:val="24"/>
          <w:szCs w:val="24"/>
        </w:rPr>
      </w:pPr>
      <w:r w:rsidRPr="00011CBA">
        <w:rPr>
          <w:rFonts w:ascii="Times New Roman" w:hAnsi="Times New Roman" w:cs="Times New Roman"/>
          <w:bCs/>
          <w:color w:val="000000" w:themeColor="text1"/>
          <w:sz w:val="24"/>
          <w:szCs w:val="24"/>
        </w:rPr>
        <w:t xml:space="preserve">The 4μm-thick H&amp;E-stained tumor tissue slides from both initial core biopsies and post-neoadjuvant chemotherapy surgeries were analyzed for tumor-stroma ratio (TSR) evaluation. The tumor tissue slides were reviewed by breast cancer expert pathologist Ja Seung Koo. Initially, the entire tissue slide was visually inspected to identify areas with representative TSR. The tumor and </w:t>
      </w:r>
      <w:r w:rsidRPr="00011CBA">
        <w:rPr>
          <w:rFonts w:ascii="Times New Roman" w:hAnsi="Times New Roman" w:cs="Times New Roman"/>
          <w:bCs/>
          <w:color w:val="000000" w:themeColor="text1"/>
          <w:sz w:val="24"/>
          <w:szCs w:val="24"/>
        </w:rPr>
        <w:lastRenderedPageBreak/>
        <w:t>stroma areas were evaluated using a 10× magnification light microscope. TSR scoring was performed by visually estimating the stroma area relative to the tumor cells. The TSR was expressed as the percentage of the stroma area in relation to the total tumor area for each section.</w:t>
      </w:r>
    </w:p>
    <w:p w14:paraId="05FFB7EE" w14:textId="77777777" w:rsidR="009C2AEE" w:rsidRPr="00011CBA" w:rsidRDefault="009C2AEE">
      <w:pPr>
        <w:rPr>
          <w:rFonts w:ascii="Times New Roman" w:hAnsi="Times New Roman" w:cs="Times New Roman"/>
          <w:b/>
          <w:bCs/>
          <w:color w:val="000000" w:themeColor="text1"/>
          <w:sz w:val="24"/>
          <w:szCs w:val="24"/>
        </w:rPr>
      </w:pPr>
      <w:r w:rsidRPr="00011CBA">
        <w:rPr>
          <w:rFonts w:ascii="Times New Roman" w:hAnsi="Times New Roman" w:cs="Times New Roman"/>
          <w:b/>
          <w:bCs/>
          <w:color w:val="000000" w:themeColor="text1"/>
          <w:sz w:val="24"/>
          <w:szCs w:val="24"/>
        </w:rPr>
        <w:br w:type="page"/>
      </w:r>
    </w:p>
    <w:p w14:paraId="31390E2C" w14:textId="0A053CF2" w:rsidR="00B21030" w:rsidRPr="00011CBA" w:rsidRDefault="00B21030" w:rsidP="00FB3AEF">
      <w:pPr>
        <w:spacing w:line="480" w:lineRule="auto"/>
        <w:jc w:val="both"/>
        <w:rPr>
          <w:rFonts w:ascii="Times New Roman" w:hAnsi="Times New Roman" w:cs="Times New Roman"/>
          <w:b/>
          <w:bCs/>
          <w:color w:val="000000" w:themeColor="text1"/>
          <w:sz w:val="24"/>
          <w:szCs w:val="24"/>
        </w:rPr>
      </w:pPr>
      <w:r w:rsidRPr="00011CBA">
        <w:rPr>
          <w:rFonts w:ascii="Times New Roman" w:hAnsi="Times New Roman" w:cs="Times New Roman" w:hint="eastAsia"/>
          <w:b/>
          <w:bCs/>
          <w:color w:val="000000" w:themeColor="text1"/>
          <w:sz w:val="24"/>
          <w:szCs w:val="24"/>
        </w:rPr>
        <w:lastRenderedPageBreak/>
        <w:t xml:space="preserve">Table </w:t>
      </w:r>
      <w:r w:rsidR="00037CAA" w:rsidRPr="00011CBA">
        <w:rPr>
          <w:rFonts w:ascii="Times New Roman" w:hAnsi="Times New Roman" w:cs="Times New Roman"/>
          <w:b/>
          <w:bCs/>
          <w:color w:val="000000" w:themeColor="text1"/>
          <w:sz w:val="24"/>
          <w:szCs w:val="24"/>
        </w:rPr>
        <w:t>S</w:t>
      </w:r>
      <w:r w:rsidRPr="00011CBA">
        <w:rPr>
          <w:rFonts w:ascii="Times New Roman" w:hAnsi="Times New Roman" w:cs="Times New Roman" w:hint="eastAsia"/>
          <w:b/>
          <w:bCs/>
          <w:color w:val="000000" w:themeColor="text1"/>
          <w:sz w:val="24"/>
          <w:szCs w:val="24"/>
        </w:rPr>
        <w:t xml:space="preserve">1. Baseline </w:t>
      </w:r>
      <w:r w:rsidRPr="00011CBA">
        <w:rPr>
          <w:rFonts w:ascii="Times New Roman" w:hAnsi="Times New Roman" w:cs="Times New Roman"/>
          <w:b/>
          <w:bCs/>
          <w:color w:val="000000" w:themeColor="text1"/>
          <w:sz w:val="24"/>
          <w:szCs w:val="24"/>
        </w:rPr>
        <w:t>clinical</w:t>
      </w:r>
      <w:r w:rsidRPr="00011CBA">
        <w:rPr>
          <w:rFonts w:ascii="Times New Roman" w:hAnsi="Times New Roman" w:cs="Times New Roman" w:hint="eastAsia"/>
          <w:b/>
          <w:bCs/>
          <w:color w:val="000000" w:themeColor="text1"/>
          <w:sz w:val="24"/>
          <w:szCs w:val="24"/>
        </w:rPr>
        <w:t xml:space="preserve"> characteristics of </w:t>
      </w:r>
      <w:r w:rsidR="0012460B" w:rsidRPr="00011CBA">
        <w:rPr>
          <w:rFonts w:ascii="Times New Roman" w:hAnsi="Times New Roman" w:cs="Times New Roman" w:hint="eastAsia"/>
          <w:b/>
          <w:bCs/>
          <w:color w:val="000000" w:themeColor="text1"/>
          <w:sz w:val="24"/>
          <w:szCs w:val="24"/>
        </w:rPr>
        <w:t xml:space="preserve">TNBC </w:t>
      </w:r>
      <w:r w:rsidR="00EA19F6" w:rsidRPr="00011CBA">
        <w:rPr>
          <w:rFonts w:ascii="Times New Roman" w:hAnsi="Times New Roman" w:cs="Times New Roman" w:hint="eastAsia"/>
          <w:b/>
          <w:bCs/>
          <w:color w:val="000000" w:themeColor="text1"/>
          <w:sz w:val="24"/>
          <w:szCs w:val="24"/>
        </w:rPr>
        <w:t>patients</w:t>
      </w:r>
      <w:r w:rsidR="0012460B" w:rsidRPr="00011CBA">
        <w:rPr>
          <w:rFonts w:ascii="Times New Roman" w:hAnsi="Times New Roman" w:cs="Times New Roman" w:hint="eastAsia"/>
          <w:b/>
          <w:bCs/>
          <w:color w:val="000000" w:themeColor="text1"/>
          <w:sz w:val="24"/>
          <w:szCs w:val="24"/>
        </w:rPr>
        <w:t xml:space="preserve"> in</w:t>
      </w:r>
      <w:r w:rsidR="00EA19F6" w:rsidRPr="00011CBA">
        <w:rPr>
          <w:rFonts w:ascii="Times New Roman" w:hAnsi="Times New Roman" w:cs="Times New Roman" w:hint="eastAsia"/>
          <w:b/>
          <w:bCs/>
          <w:color w:val="000000" w:themeColor="text1"/>
          <w:sz w:val="24"/>
          <w:szCs w:val="24"/>
        </w:rPr>
        <w:t xml:space="preserve"> </w:t>
      </w:r>
      <w:r w:rsidRPr="00011CBA">
        <w:rPr>
          <w:rFonts w:ascii="Times New Roman" w:hAnsi="Times New Roman" w:cs="Times New Roman" w:hint="eastAsia"/>
          <w:b/>
          <w:bCs/>
          <w:color w:val="000000" w:themeColor="text1"/>
          <w:sz w:val="24"/>
          <w:szCs w:val="24"/>
        </w:rPr>
        <w:t>th</w:t>
      </w:r>
      <w:r w:rsidR="0012460B" w:rsidRPr="00011CBA">
        <w:rPr>
          <w:rFonts w:ascii="Times New Roman" w:hAnsi="Times New Roman" w:cs="Times New Roman" w:hint="eastAsia"/>
          <w:b/>
          <w:bCs/>
          <w:color w:val="000000" w:themeColor="text1"/>
          <w:sz w:val="24"/>
          <w:szCs w:val="24"/>
        </w:rPr>
        <w:t>is</w:t>
      </w:r>
      <w:r w:rsidRPr="00011CBA">
        <w:rPr>
          <w:rFonts w:ascii="Times New Roman" w:hAnsi="Times New Roman" w:cs="Times New Roman" w:hint="eastAsia"/>
          <w:b/>
          <w:bCs/>
          <w:color w:val="000000" w:themeColor="text1"/>
          <w:sz w:val="24"/>
          <w:szCs w:val="24"/>
        </w:rPr>
        <w:t xml:space="preserve"> study </w:t>
      </w:r>
    </w:p>
    <w:tbl>
      <w:tblPr>
        <w:tblW w:w="5000" w:type="pct"/>
        <w:tblCellMar>
          <w:left w:w="99" w:type="dxa"/>
          <w:right w:w="99" w:type="dxa"/>
        </w:tblCellMar>
        <w:tblLook w:val="04A0" w:firstRow="1" w:lastRow="0" w:firstColumn="1" w:lastColumn="0" w:noHBand="0" w:noVBand="1"/>
      </w:tblPr>
      <w:tblGrid>
        <w:gridCol w:w="2271"/>
        <w:gridCol w:w="3444"/>
        <w:gridCol w:w="2052"/>
        <w:gridCol w:w="1593"/>
      </w:tblGrid>
      <w:tr w:rsidR="00011CBA" w:rsidRPr="00011CBA" w14:paraId="49A4375E" w14:textId="77777777" w:rsidTr="00273373">
        <w:trPr>
          <w:trHeight w:val="330"/>
        </w:trPr>
        <w:tc>
          <w:tcPr>
            <w:tcW w:w="1162" w:type="pct"/>
            <w:tcBorders>
              <w:top w:val="single" w:sz="4" w:space="0" w:color="auto"/>
              <w:left w:val="nil"/>
              <w:bottom w:val="single" w:sz="4" w:space="0" w:color="auto"/>
              <w:right w:val="nil"/>
            </w:tcBorders>
            <w:noWrap/>
            <w:vAlign w:val="center"/>
            <w:hideMark/>
          </w:tcPr>
          <w:p w14:paraId="74E185DF" w14:textId="77777777" w:rsidR="00B21030" w:rsidRPr="00011CBA" w:rsidRDefault="00B21030" w:rsidP="00FB3AEF">
            <w:pPr>
              <w:spacing w:line="240" w:lineRule="auto"/>
              <w:jc w:val="both"/>
              <w:rPr>
                <w:rFonts w:ascii="Times New Roman" w:eastAsia="맑은 고딕" w:hAnsi="Times New Roman" w:cs="Times New Roman"/>
                <w:b/>
                <w:bCs/>
                <w:color w:val="000000" w:themeColor="text1"/>
              </w:rPr>
            </w:pPr>
            <w:r w:rsidRPr="00011CBA">
              <w:rPr>
                <w:rFonts w:ascii="Times New Roman" w:eastAsia="맑은 고딕" w:hAnsi="Times New Roman" w:cs="Times New Roman"/>
                <w:b/>
                <w:bCs/>
                <w:color w:val="000000" w:themeColor="text1"/>
              </w:rPr>
              <w:t>Clinical variables</w:t>
            </w:r>
          </w:p>
        </w:tc>
        <w:tc>
          <w:tcPr>
            <w:tcW w:w="1758" w:type="pct"/>
            <w:tcBorders>
              <w:top w:val="single" w:sz="4" w:space="0" w:color="auto"/>
              <w:left w:val="nil"/>
              <w:bottom w:val="single" w:sz="4" w:space="0" w:color="auto"/>
              <w:right w:val="nil"/>
            </w:tcBorders>
            <w:noWrap/>
            <w:vAlign w:val="center"/>
            <w:hideMark/>
          </w:tcPr>
          <w:p w14:paraId="0AD9BEB1" w14:textId="77777777" w:rsidR="00B21030" w:rsidRPr="00011CBA" w:rsidRDefault="00B21030" w:rsidP="00FB3AEF">
            <w:pPr>
              <w:spacing w:line="240" w:lineRule="auto"/>
              <w:jc w:val="both"/>
              <w:rPr>
                <w:rFonts w:ascii="Times New Roman" w:eastAsia="맑은 고딕" w:hAnsi="Times New Roman" w:cs="Times New Roman"/>
                <w:b/>
                <w:bCs/>
                <w:color w:val="000000" w:themeColor="text1"/>
              </w:rPr>
            </w:pPr>
            <w:r w:rsidRPr="00011CBA">
              <w:rPr>
                <w:rFonts w:ascii="Times New Roman" w:eastAsia="맑은 고딕" w:hAnsi="Times New Roman" w:cs="Times New Roman"/>
                <w:b/>
                <w:bCs/>
                <w:color w:val="000000" w:themeColor="text1"/>
              </w:rPr>
              <w:t xml:space="preserve">　</w:t>
            </w:r>
          </w:p>
        </w:tc>
        <w:tc>
          <w:tcPr>
            <w:tcW w:w="1163" w:type="pct"/>
            <w:tcBorders>
              <w:top w:val="single" w:sz="4" w:space="0" w:color="auto"/>
              <w:left w:val="nil"/>
              <w:bottom w:val="single" w:sz="4" w:space="0" w:color="auto"/>
              <w:right w:val="nil"/>
            </w:tcBorders>
            <w:noWrap/>
            <w:vAlign w:val="center"/>
            <w:hideMark/>
          </w:tcPr>
          <w:p w14:paraId="5E753762" w14:textId="77777777" w:rsidR="00B21030" w:rsidRPr="00011CBA" w:rsidRDefault="00B21030" w:rsidP="00FB3AEF">
            <w:pPr>
              <w:spacing w:line="240" w:lineRule="auto"/>
              <w:jc w:val="both"/>
              <w:rPr>
                <w:rFonts w:ascii="Times New Roman" w:eastAsia="맑은 고딕" w:hAnsi="Times New Roman" w:cs="Times New Roman"/>
                <w:b/>
                <w:bCs/>
                <w:color w:val="000000" w:themeColor="text1"/>
              </w:rPr>
            </w:pPr>
            <w:r w:rsidRPr="00011CBA">
              <w:rPr>
                <w:rFonts w:ascii="Times New Roman" w:eastAsia="맑은 고딕" w:hAnsi="Times New Roman" w:cs="Times New Roman"/>
                <w:b/>
                <w:bCs/>
                <w:color w:val="000000" w:themeColor="text1"/>
              </w:rPr>
              <w:t>n=50</w:t>
            </w:r>
          </w:p>
        </w:tc>
        <w:tc>
          <w:tcPr>
            <w:tcW w:w="917" w:type="pct"/>
            <w:tcBorders>
              <w:top w:val="single" w:sz="4" w:space="0" w:color="auto"/>
              <w:left w:val="nil"/>
              <w:bottom w:val="single" w:sz="4" w:space="0" w:color="auto"/>
              <w:right w:val="nil"/>
            </w:tcBorders>
            <w:noWrap/>
            <w:vAlign w:val="center"/>
            <w:hideMark/>
          </w:tcPr>
          <w:p w14:paraId="51DA9573" w14:textId="77777777" w:rsidR="00B21030" w:rsidRPr="00011CBA" w:rsidRDefault="00B21030" w:rsidP="00FB3AEF">
            <w:pPr>
              <w:spacing w:line="240" w:lineRule="auto"/>
              <w:jc w:val="both"/>
              <w:rPr>
                <w:rFonts w:ascii="Times New Roman" w:eastAsia="맑은 고딕" w:hAnsi="Times New Roman" w:cs="Times New Roman"/>
                <w:b/>
                <w:bCs/>
                <w:color w:val="000000" w:themeColor="text1"/>
              </w:rPr>
            </w:pPr>
            <w:r w:rsidRPr="00011CBA">
              <w:rPr>
                <w:rFonts w:ascii="Times New Roman" w:eastAsia="맑은 고딕" w:hAnsi="Times New Roman" w:cs="Times New Roman"/>
                <w:b/>
                <w:bCs/>
                <w:color w:val="000000" w:themeColor="text1"/>
              </w:rPr>
              <w:t>%</w:t>
            </w:r>
          </w:p>
        </w:tc>
      </w:tr>
      <w:tr w:rsidR="00011CBA" w:rsidRPr="00011CBA" w14:paraId="33E12A58" w14:textId="77777777" w:rsidTr="00273373">
        <w:trPr>
          <w:trHeight w:val="330"/>
        </w:trPr>
        <w:tc>
          <w:tcPr>
            <w:tcW w:w="1162" w:type="pct"/>
            <w:tcBorders>
              <w:top w:val="nil"/>
              <w:left w:val="nil"/>
              <w:bottom w:val="nil"/>
              <w:right w:val="nil"/>
            </w:tcBorders>
            <w:noWrap/>
            <w:vAlign w:val="center"/>
            <w:hideMark/>
          </w:tcPr>
          <w:p w14:paraId="3BECDBC7"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Age (median, range)</w:t>
            </w:r>
          </w:p>
        </w:tc>
        <w:tc>
          <w:tcPr>
            <w:tcW w:w="1758" w:type="pct"/>
            <w:tcBorders>
              <w:top w:val="nil"/>
              <w:left w:val="nil"/>
              <w:bottom w:val="nil"/>
              <w:right w:val="nil"/>
            </w:tcBorders>
            <w:noWrap/>
            <w:vAlign w:val="center"/>
            <w:hideMark/>
          </w:tcPr>
          <w:p w14:paraId="08B837D7"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 xml:space="preserve"> </w:t>
            </w:r>
          </w:p>
        </w:tc>
        <w:tc>
          <w:tcPr>
            <w:tcW w:w="1163" w:type="pct"/>
            <w:tcBorders>
              <w:top w:val="nil"/>
              <w:left w:val="nil"/>
              <w:bottom w:val="nil"/>
              <w:right w:val="nil"/>
            </w:tcBorders>
            <w:noWrap/>
            <w:vAlign w:val="center"/>
            <w:hideMark/>
          </w:tcPr>
          <w:p w14:paraId="1E42DEB7"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48 (25-78)</w:t>
            </w:r>
          </w:p>
        </w:tc>
        <w:tc>
          <w:tcPr>
            <w:tcW w:w="917" w:type="pct"/>
            <w:tcBorders>
              <w:top w:val="nil"/>
              <w:left w:val="nil"/>
              <w:bottom w:val="nil"/>
              <w:right w:val="nil"/>
            </w:tcBorders>
            <w:noWrap/>
            <w:vAlign w:val="center"/>
            <w:hideMark/>
          </w:tcPr>
          <w:p w14:paraId="0666E162"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p>
        </w:tc>
      </w:tr>
      <w:tr w:rsidR="00011CBA" w:rsidRPr="00011CBA" w14:paraId="58A725B4" w14:textId="77777777" w:rsidTr="003F4252">
        <w:trPr>
          <w:trHeight w:val="330"/>
        </w:trPr>
        <w:tc>
          <w:tcPr>
            <w:tcW w:w="1162" w:type="pct"/>
            <w:tcBorders>
              <w:top w:val="nil"/>
              <w:left w:val="nil"/>
              <w:bottom w:val="nil"/>
              <w:right w:val="nil"/>
            </w:tcBorders>
            <w:shd w:val="clear" w:color="auto" w:fill="F2F2F2" w:themeFill="background1" w:themeFillShade="F2"/>
            <w:noWrap/>
            <w:vAlign w:val="center"/>
            <w:hideMark/>
          </w:tcPr>
          <w:p w14:paraId="60223F38"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Sex</w:t>
            </w:r>
          </w:p>
        </w:tc>
        <w:tc>
          <w:tcPr>
            <w:tcW w:w="1758" w:type="pct"/>
            <w:tcBorders>
              <w:top w:val="nil"/>
              <w:left w:val="nil"/>
              <w:bottom w:val="nil"/>
              <w:right w:val="nil"/>
            </w:tcBorders>
            <w:shd w:val="clear" w:color="auto" w:fill="F2F2F2" w:themeFill="background1" w:themeFillShade="F2"/>
            <w:noWrap/>
            <w:vAlign w:val="center"/>
            <w:hideMark/>
          </w:tcPr>
          <w:p w14:paraId="1CE02B9A"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Female</w:t>
            </w:r>
          </w:p>
        </w:tc>
        <w:tc>
          <w:tcPr>
            <w:tcW w:w="1163" w:type="pct"/>
            <w:tcBorders>
              <w:top w:val="nil"/>
              <w:left w:val="nil"/>
              <w:bottom w:val="nil"/>
              <w:right w:val="nil"/>
            </w:tcBorders>
            <w:shd w:val="clear" w:color="auto" w:fill="F2F2F2" w:themeFill="background1" w:themeFillShade="F2"/>
            <w:noWrap/>
            <w:vAlign w:val="center"/>
            <w:hideMark/>
          </w:tcPr>
          <w:p w14:paraId="5EF567C5"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50</w:t>
            </w:r>
          </w:p>
        </w:tc>
        <w:tc>
          <w:tcPr>
            <w:tcW w:w="917" w:type="pct"/>
            <w:tcBorders>
              <w:top w:val="nil"/>
              <w:left w:val="nil"/>
              <w:bottom w:val="nil"/>
              <w:right w:val="nil"/>
            </w:tcBorders>
            <w:shd w:val="clear" w:color="auto" w:fill="F2F2F2" w:themeFill="background1" w:themeFillShade="F2"/>
            <w:noWrap/>
            <w:vAlign w:val="center"/>
            <w:hideMark/>
          </w:tcPr>
          <w:p w14:paraId="079ACC95"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100%</w:t>
            </w:r>
          </w:p>
        </w:tc>
      </w:tr>
      <w:tr w:rsidR="00011CBA" w:rsidRPr="00011CBA" w14:paraId="27C710E2" w14:textId="77777777" w:rsidTr="00273373">
        <w:trPr>
          <w:trHeight w:val="330"/>
        </w:trPr>
        <w:tc>
          <w:tcPr>
            <w:tcW w:w="1162" w:type="pct"/>
            <w:tcBorders>
              <w:top w:val="nil"/>
              <w:left w:val="nil"/>
              <w:bottom w:val="nil"/>
              <w:right w:val="nil"/>
            </w:tcBorders>
            <w:noWrap/>
            <w:vAlign w:val="center"/>
            <w:hideMark/>
          </w:tcPr>
          <w:p w14:paraId="1F5E3F5D"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Neoadjuvant regimen</w:t>
            </w:r>
          </w:p>
        </w:tc>
        <w:tc>
          <w:tcPr>
            <w:tcW w:w="1758" w:type="pct"/>
            <w:tcBorders>
              <w:top w:val="nil"/>
              <w:left w:val="nil"/>
              <w:bottom w:val="nil"/>
              <w:right w:val="nil"/>
            </w:tcBorders>
            <w:noWrap/>
            <w:vAlign w:val="center"/>
            <w:hideMark/>
          </w:tcPr>
          <w:p w14:paraId="7DB18582"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AC-weekly paclitaxel</w:t>
            </w:r>
          </w:p>
        </w:tc>
        <w:tc>
          <w:tcPr>
            <w:tcW w:w="1163" w:type="pct"/>
            <w:tcBorders>
              <w:top w:val="nil"/>
              <w:left w:val="nil"/>
              <w:bottom w:val="nil"/>
              <w:right w:val="nil"/>
            </w:tcBorders>
            <w:noWrap/>
            <w:vAlign w:val="center"/>
            <w:hideMark/>
          </w:tcPr>
          <w:p w14:paraId="1E5BCB4F"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36</w:t>
            </w:r>
          </w:p>
        </w:tc>
        <w:tc>
          <w:tcPr>
            <w:tcW w:w="917" w:type="pct"/>
            <w:tcBorders>
              <w:top w:val="nil"/>
              <w:left w:val="nil"/>
              <w:bottom w:val="nil"/>
              <w:right w:val="nil"/>
            </w:tcBorders>
            <w:noWrap/>
            <w:vAlign w:val="center"/>
            <w:hideMark/>
          </w:tcPr>
          <w:p w14:paraId="42934B93"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72%</w:t>
            </w:r>
          </w:p>
        </w:tc>
      </w:tr>
      <w:tr w:rsidR="00011CBA" w:rsidRPr="00011CBA" w14:paraId="1AA2C296" w14:textId="77777777" w:rsidTr="00273373">
        <w:trPr>
          <w:trHeight w:val="330"/>
        </w:trPr>
        <w:tc>
          <w:tcPr>
            <w:tcW w:w="1162" w:type="pct"/>
            <w:tcBorders>
              <w:top w:val="nil"/>
              <w:left w:val="nil"/>
              <w:bottom w:val="nil"/>
              <w:right w:val="nil"/>
            </w:tcBorders>
            <w:noWrap/>
            <w:vAlign w:val="center"/>
            <w:hideMark/>
          </w:tcPr>
          <w:p w14:paraId="1ADF76B6"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p>
        </w:tc>
        <w:tc>
          <w:tcPr>
            <w:tcW w:w="1758" w:type="pct"/>
            <w:tcBorders>
              <w:top w:val="nil"/>
              <w:left w:val="nil"/>
              <w:bottom w:val="nil"/>
              <w:right w:val="nil"/>
            </w:tcBorders>
            <w:noWrap/>
            <w:vAlign w:val="center"/>
            <w:hideMark/>
          </w:tcPr>
          <w:p w14:paraId="09D9D7F9"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AC-docetaxel</w:t>
            </w:r>
          </w:p>
        </w:tc>
        <w:tc>
          <w:tcPr>
            <w:tcW w:w="1163" w:type="pct"/>
            <w:tcBorders>
              <w:top w:val="nil"/>
              <w:left w:val="nil"/>
              <w:bottom w:val="nil"/>
              <w:right w:val="nil"/>
            </w:tcBorders>
            <w:noWrap/>
            <w:vAlign w:val="center"/>
            <w:hideMark/>
          </w:tcPr>
          <w:p w14:paraId="053F133F"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6</w:t>
            </w:r>
          </w:p>
        </w:tc>
        <w:tc>
          <w:tcPr>
            <w:tcW w:w="917" w:type="pct"/>
            <w:tcBorders>
              <w:top w:val="nil"/>
              <w:left w:val="nil"/>
              <w:bottom w:val="nil"/>
              <w:right w:val="nil"/>
            </w:tcBorders>
            <w:noWrap/>
            <w:vAlign w:val="center"/>
            <w:hideMark/>
          </w:tcPr>
          <w:p w14:paraId="5FD21CAB"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12%</w:t>
            </w:r>
          </w:p>
        </w:tc>
      </w:tr>
      <w:tr w:rsidR="00011CBA" w:rsidRPr="00011CBA" w14:paraId="31E298E7" w14:textId="77777777" w:rsidTr="00273373">
        <w:trPr>
          <w:trHeight w:val="330"/>
        </w:trPr>
        <w:tc>
          <w:tcPr>
            <w:tcW w:w="1162" w:type="pct"/>
            <w:tcBorders>
              <w:top w:val="nil"/>
              <w:left w:val="nil"/>
              <w:bottom w:val="nil"/>
              <w:right w:val="nil"/>
            </w:tcBorders>
            <w:noWrap/>
            <w:vAlign w:val="center"/>
            <w:hideMark/>
          </w:tcPr>
          <w:p w14:paraId="710FAEA2"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p>
        </w:tc>
        <w:tc>
          <w:tcPr>
            <w:tcW w:w="1758" w:type="pct"/>
            <w:tcBorders>
              <w:top w:val="nil"/>
              <w:left w:val="nil"/>
              <w:bottom w:val="nil"/>
              <w:right w:val="nil"/>
            </w:tcBorders>
            <w:noWrap/>
            <w:vAlign w:val="center"/>
            <w:hideMark/>
          </w:tcPr>
          <w:p w14:paraId="01AB7B42"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weekly paclitaxel/carboplatin-AC</w:t>
            </w:r>
          </w:p>
        </w:tc>
        <w:tc>
          <w:tcPr>
            <w:tcW w:w="1163" w:type="pct"/>
            <w:tcBorders>
              <w:top w:val="nil"/>
              <w:left w:val="nil"/>
              <w:bottom w:val="nil"/>
              <w:right w:val="nil"/>
            </w:tcBorders>
            <w:noWrap/>
            <w:vAlign w:val="center"/>
            <w:hideMark/>
          </w:tcPr>
          <w:p w14:paraId="2AA456F0"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6</w:t>
            </w:r>
          </w:p>
        </w:tc>
        <w:tc>
          <w:tcPr>
            <w:tcW w:w="917" w:type="pct"/>
            <w:tcBorders>
              <w:top w:val="nil"/>
              <w:left w:val="nil"/>
              <w:bottom w:val="nil"/>
              <w:right w:val="nil"/>
            </w:tcBorders>
            <w:noWrap/>
            <w:vAlign w:val="center"/>
            <w:hideMark/>
          </w:tcPr>
          <w:p w14:paraId="7DA8055C"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12%</w:t>
            </w:r>
          </w:p>
        </w:tc>
      </w:tr>
      <w:tr w:rsidR="00011CBA" w:rsidRPr="00011CBA" w14:paraId="2D429848" w14:textId="77777777" w:rsidTr="00273373">
        <w:trPr>
          <w:trHeight w:val="330"/>
        </w:trPr>
        <w:tc>
          <w:tcPr>
            <w:tcW w:w="1162" w:type="pct"/>
            <w:tcBorders>
              <w:top w:val="nil"/>
              <w:left w:val="nil"/>
              <w:bottom w:val="nil"/>
              <w:right w:val="nil"/>
            </w:tcBorders>
            <w:noWrap/>
            <w:vAlign w:val="center"/>
            <w:hideMark/>
          </w:tcPr>
          <w:p w14:paraId="5D10A0C5"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p>
        </w:tc>
        <w:tc>
          <w:tcPr>
            <w:tcW w:w="1758" w:type="pct"/>
            <w:tcBorders>
              <w:top w:val="nil"/>
              <w:left w:val="nil"/>
              <w:bottom w:val="nil"/>
              <w:right w:val="nil"/>
            </w:tcBorders>
            <w:noWrap/>
            <w:vAlign w:val="center"/>
            <w:hideMark/>
          </w:tcPr>
          <w:p w14:paraId="61F49103"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FEC-docetaxel</w:t>
            </w:r>
          </w:p>
        </w:tc>
        <w:tc>
          <w:tcPr>
            <w:tcW w:w="1163" w:type="pct"/>
            <w:tcBorders>
              <w:top w:val="nil"/>
              <w:left w:val="nil"/>
              <w:bottom w:val="nil"/>
              <w:right w:val="nil"/>
            </w:tcBorders>
            <w:noWrap/>
            <w:vAlign w:val="center"/>
            <w:hideMark/>
          </w:tcPr>
          <w:p w14:paraId="7E6C0C0F"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2</w:t>
            </w:r>
          </w:p>
        </w:tc>
        <w:tc>
          <w:tcPr>
            <w:tcW w:w="917" w:type="pct"/>
            <w:tcBorders>
              <w:top w:val="nil"/>
              <w:left w:val="nil"/>
              <w:bottom w:val="nil"/>
              <w:right w:val="nil"/>
            </w:tcBorders>
            <w:noWrap/>
            <w:vAlign w:val="center"/>
            <w:hideMark/>
          </w:tcPr>
          <w:p w14:paraId="121791D7"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4%</w:t>
            </w:r>
          </w:p>
        </w:tc>
      </w:tr>
      <w:tr w:rsidR="00011CBA" w:rsidRPr="00011CBA" w14:paraId="03040137" w14:textId="77777777" w:rsidTr="003F4252">
        <w:trPr>
          <w:trHeight w:val="330"/>
        </w:trPr>
        <w:tc>
          <w:tcPr>
            <w:tcW w:w="1162" w:type="pct"/>
            <w:tcBorders>
              <w:top w:val="nil"/>
              <w:left w:val="nil"/>
              <w:bottom w:val="nil"/>
              <w:right w:val="nil"/>
            </w:tcBorders>
            <w:shd w:val="clear" w:color="auto" w:fill="F2F2F2" w:themeFill="background1" w:themeFillShade="F2"/>
            <w:noWrap/>
            <w:vAlign w:val="center"/>
            <w:hideMark/>
          </w:tcPr>
          <w:p w14:paraId="6ED8DE51"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proofErr w:type="spellStart"/>
            <w:r w:rsidRPr="00011CBA">
              <w:rPr>
                <w:rFonts w:ascii="Times New Roman" w:eastAsia="맑은 고딕" w:hAnsi="Times New Roman" w:cs="Times New Roman"/>
                <w:color w:val="000000" w:themeColor="text1"/>
                <w:sz w:val="24"/>
                <w:szCs w:val="24"/>
              </w:rPr>
              <w:t>cT</w:t>
            </w:r>
            <w:proofErr w:type="spellEnd"/>
            <w:r w:rsidRPr="00011CBA">
              <w:rPr>
                <w:rFonts w:ascii="Times New Roman" w:eastAsia="맑은 고딕" w:hAnsi="Times New Roman" w:cs="Times New Roman"/>
                <w:color w:val="000000" w:themeColor="text1"/>
                <w:sz w:val="24"/>
                <w:szCs w:val="24"/>
              </w:rPr>
              <w:t xml:space="preserve"> stage</w:t>
            </w:r>
          </w:p>
        </w:tc>
        <w:tc>
          <w:tcPr>
            <w:tcW w:w="1758" w:type="pct"/>
            <w:tcBorders>
              <w:top w:val="nil"/>
              <w:left w:val="nil"/>
              <w:bottom w:val="nil"/>
              <w:right w:val="nil"/>
            </w:tcBorders>
            <w:shd w:val="clear" w:color="auto" w:fill="F2F2F2" w:themeFill="background1" w:themeFillShade="F2"/>
            <w:noWrap/>
            <w:vAlign w:val="center"/>
            <w:hideMark/>
          </w:tcPr>
          <w:p w14:paraId="10D5B34D"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T2</w:t>
            </w:r>
          </w:p>
        </w:tc>
        <w:tc>
          <w:tcPr>
            <w:tcW w:w="1163" w:type="pct"/>
            <w:tcBorders>
              <w:top w:val="nil"/>
              <w:left w:val="nil"/>
              <w:bottom w:val="nil"/>
              <w:right w:val="nil"/>
            </w:tcBorders>
            <w:shd w:val="clear" w:color="auto" w:fill="F2F2F2" w:themeFill="background1" w:themeFillShade="F2"/>
            <w:noWrap/>
            <w:vAlign w:val="center"/>
            <w:hideMark/>
          </w:tcPr>
          <w:p w14:paraId="714C5DC5"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46</w:t>
            </w:r>
          </w:p>
        </w:tc>
        <w:tc>
          <w:tcPr>
            <w:tcW w:w="917" w:type="pct"/>
            <w:tcBorders>
              <w:top w:val="nil"/>
              <w:left w:val="nil"/>
              <w:bottom w:val="nil"/>
              <w:right w:val="nil"/>
            </w:tcBorders>
            <w:shd w:val="clear" w:color="auto" w:fill="F2F2F2" w:themeFill="background1" w:themeFillShade="F2"/>
            <w:noWrap/>
            <w:vAlign w:val="center"/>
            <w:hideMark/>
          </w:tcPr>
          <w:p w14:paraId="19B655BD"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92%</w:t>
            </w:r>
          </w:p>
        </w:tc>
      </w:tr>
      <w:tr w:rsidR="00011CBA" w:rsidRPr="00011CBA" w14:paraId="2BF49449" w14:textId="77777777" w:rsidTr="003F4252">
        <w:trPr>
          <w:trHeight w:val="330"/>
        </w:trPr>
        <w:tc>
          <w:tcPr>
            <w:tcW w:w="1162" w:type="pct"/>
            <w:tcBorders>
              <w:top w:val="nil"/>
              <w:left w:val="nil"/>
              <w:bottom w:val="nil"/>
              <w:right w:val="nil"/>
            </w:tcBorders>
            <w:shd w:val="clear" w:color="auto" w:fill="F2F2F2" w:themeFill="background1" w:themeFillShade="F2"/>
            <w:noWrap/>
            <w:vAlign w:val="center"/>
            <w:hideMark/>
          </w:tcPr>
          <w:p w14:paraId="4BAF4E62"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p>
        </w:tc>
        <w:tc>
          <w:tcPr>
            <w:tcW w:w="1758" w:type="pct"/>
            <w:tcBorders>
              <w:top w:val="nil"/>
              <w:left w:val="nil"/>
              <w:bottom w:val="nil"/>
              <w:right w:val="nil"/>
            </w:tcBorders>
            <w:shd w:val="clear" w:color="auto" w:fill="F2F2F2" w:themeFill="background1" w:themeFillShade="F2"/>
            <w:noWrap/>
            <w:vAlign w:val="center"/>
            <w:hideMark/>
          </w:tcPr>
          <w:p w14:paraId="1F5ED04F"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T3</w:t>
            </w:r>
          </w:p>
        </w:tc>
        <w:tc>
          <w:tcPr>
            <w:tcW w:w="1163" w:type="pct"/>
            <w:tcBorders>
              <w:top w:val="nil"/>
              <w:left w:val="nil"/>
              <w:bottom w:val="nil"/>
              <w:right w:val="nil"/>
            </w:tcBorders>
            <w:shd w:val="clear" w:color="auto" w:fill="F2F2F2" w:themeFill="background1" w:themeFillShade="F2"/>
            <w:noWrap/>
            <w:vAlign w:val="center"/>
            <w:hideMark/>
          </w:tcPr>
          <w:p w14:paraId="136A34DA"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2</w:t>
            </w:r>
          </w:p>
        </w:tc>
        <w:tc>
          <w:tcPr>
            <w:tcW w:w="917" w:type="pct"/>
            <w:tcBorders>
              <w:top w:val="nil"/>
              <w:left w:val="nil"/>
              <w:bottom w:val="nil"/>
              <w:right w:val="nil"/>
            </w:tcBorders>
            <w:shd w:val="clear" w:color="auto" w:fill="F2F2F2" w:themeFill="background1" w:themeFillShade="F2"/>
            <w:noWrap/>
            <w:vAlign w:val="center"/>
            <w:hideMark/>
          </w:tcPr>
          <w:p w14:paraId="6C7A53FA"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4%</w:t>
            </w:r>
          </w:p>
        </w:tc>
      </w:tr>
      <w:tr w:rsidR="00011CBA" w:rsidRPr="00011CBA" w14:paraId="63A865F6" w14:textId="77777777" w:rsidTr="003F4252">
        <w:trPr>
          <w:trHeight w:val="330"/>
        </w:trPr>
        <w:tc>
          <w:tcPr>
            <w:tcW w:w="1162" w:type="pct"/>
            <w:tcBorders>
              <w:top w:val="nil"/>
              <w:left w:val="nil"/>
              <w:bottom w:val="nil"/>
              <w:right w:val="nil"/>
            </w:tcBorders>
            <w:shd w:val="clear" w:color="auto" w:fill="F2F2F2" w:themeFill="background1" w:themeFillShade="F2"/>
            <w:noWrap/>
            <w:vAlign w:val="center"/>
            <w:hideMark/>
          </w:tcPr>
          <w:p w14:paraId="60E96EBD"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p>
        </w:tc>
        <w:tc>
          <w:tcPr>
            <w:tcW w:w="1758" w:type="pct"/>
            <w:tcBorders>
              <w:top w:val="nil"/>
              <w:left w:val="nil"/>
              <w:bottom w:val="nil"/>
              <w:right w:val="nil"/>
            </w:tcBorders>
            <w:shd w:val="clear" w:color="auto" w:fill="F2F2F2" w:themeFill="background1" w:themeFillShade="F2"/>
            <w:noWrap/>
            <w:vAlign w:val="center"/>
            <w:hideMark/>
          </w:tcPr>
          <w:p w14:paraId="764A27AB"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T4</w:t>
            </w:r>
          </w:p>
        </w:tc>
        <w:tc>
          <w:tcPr>
            <w:tcW w:w="1163" w:type="pct"/>
            <w:tcBorders>
              <w:top w:val="nil"/>
              <w:left w:val="nil"/>
              <w:bottom w:val="nil"/>
              <w:right w:val="nil"/>
            </w:tcBorders>
            <w:shd w:val="clear" w:color="auto" w:fill="F2F2F2" w:themeFill="background1" w:themeFillShade="F2"/>
            <w:noWrap/>
            <w:vAlign w:val="center"/>
            <w:hideMark/>
          </w:tcPr>
          <w:p w14:paraId="15E0B140"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2</w:t>
            </w:r>
          </w:p>
        </w:tc>
        <w:tc>
          <w:tcPr>
            <w:tcW w:w="917" w:type="pct"/>
            <w:tcBorders>
              <w:top w:val="nil"/>
              <w:left w:val="nil"/>
              <w:bottom w:val="nil"/>
              <w:right w:val="nil"/>
            </w:tcBorders>
            <w:shd w:val="clear" w:color="auto" w:fill="F2F2F2" w:themeFill="background1" w:themeFillShade="F2"/>
            <w:noWrap/>
            <w:vAlign w:val="center"/>
            <w:hideMark/>
          </w:tcPr>
          <w:p w14:paraId="67FCADE7"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4%</w:t>
            </w:r>
          </w:p>
        </w:tc>
      </w:tr>
      <w:tr w:rsidR="00011CBA" w:rsidRPr="00011CBA" w14:paraId="6A652720" w14:textId="77777777" w:rsidTr="00273373">
        <w:trPr>
          <w:trHeight w:val="330"/>
        </w:trPr>
        <w:tc>
          <w:tcPr>
            <w:tcW w:w="1162" w:type="pct"/>
            <w:tcBorders>
              <w:top w:val="nil"/>
              <w:left w:val="nil"/>
              <w:bottom w:val="nil"/>
              <w:right w:val="nil"/>
            </w:tcBorders>
            <w:noWrap/>
            <w:vAlign w:val="center"/>
            <w:hideMark/>
          </w:tcPr>
          <w:p w14:paraId="4E5C6F8C"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proofErr w:type="spellStart"/>
            <w:r w:rsidRPr="00011CBA">
              <w:rPr>
                <w:rFonts w:ascii="Times New Roman" w:eastAsia="맑은 고딕" w:hAnsi="Times New Roman" w:cs="Times New Roman"/>
                <w:color w:val="000000" w:themeColor="text1"/>
                <w:sz w:val="24"/>
                <w:szCs w:val="24"/>
              </w:rPr>
              <w:t>cN</w:t>
            </w:r>
            <w:proofErr w:type="spellEnd"/>
            <w:r w:rsidRPr="00011CBA">
              <w:rPr>
                <w:rFonts w:ascii="Times New Roman" w:eastAsia="맑은 고딕" w:hAnsi="Times New Roman" w:cs="Times New Roman"/>
                <w:color w:val="000000" w:themeColor="text1"/>
                <w:sz w:val="24"/>
                <w:szCs w:val="24"/>
              </w:rPr>
              <w:t xml:space="preserve"> stage</w:t>
            </w:r>
          </w:p>
        </w:tc>
        <w:tc>
          <w:tcPr>
            <w:tcW w:w="1758" w:type="pct"/>
            <w:tcBorders>
              <w:top w:val="nil"/>
              <w:left w:val="nil"/>
              <w:bottom w:val="nil"/>
              <w:right w:val="nil"/>
            </w:tcBorders>
            <w:noWrap/>
            <w:vAlign w:val="center"/>
            <w:hideMark/>
          </w:tcPr>
          <w:p w14:paraId="4B303E40"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N0</w:t>
            </w:r>
          </w:p>
        </w:tc>
        <w:tc>
          <w:tcPr>
            <w:tcW w:w="1163" w:type="pct"/>
            <w:tcBorders>
              <w:top w:val="nil"/>
              <w:left w:val="nil"/>
              <w:bottom w:val="nil"/>
              <w:right w:val="nil"/>
            </w:tcBorders>
            <w:noWrap/>
            <w:vAlign w:val="center"/>
            <w:hideMark/>
          </w:tcPr>
          <w:p w14:paraId="14D108C6"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29</w:t>
            </w:r>
          </w:p>
        </w:tc>
        <w:tc>
          <w:tcPr>
            <w:tcW w:w="917" w:type="pct"/>
            <w:tcBorders>
              <w:top w:val="nil"/>
              <w:left w:val="nil"/>
              <w:bottom w:val="nil"/>
              <w:right w:val="nil"/>
            </w:tcBorders>
            <w:noWrap/>
            <w:vAlign w:val="center"/>
            <w:hideMark/>
          </w:tcPr>
          <w:p w14:paraId="324A6082"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58%</w:t>
            </w:r>
          </w:p>
        </w:tc>
      </w:tr>
      <w:tr w:rsidR="00011CBA" w:rsidRPr="00011CBA" w14:paraId="7847F524" w14:textId="77777777" w:rsidTr="00273373">
        <w:trPr>
          <w:trHeight w:val="330"/>
        </w:trPr>
        <w:tc>
          <w:tcPr>
            <w:tcW w:w="1162" w:type="pct"/>
            <w:tcBorders>
              <w:top w:val="nil"/>
              <w:left w:val="nil"/>
              <w:bottom w:val="nil"/>
              <w:right w:val="nil"/>
            </w:tcBorders>
            <w:noWrap/>
            <w:vAlign w:val="center"/>
            <w:hideMark/>
          </w:tcPr>
          <w:p w14:paraId="459AF6E7"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p>
        </w:tc>
        <w:tc>
          <w:tcPr>
            <w:tcW w:w="1758" w:type="pct"/>
            <w:tcBorders>
              <w:top w:val="nil"/>
              <w:left w:val="nil"/>
              <w:bottom w:val="nil"/>
              <w:right w:val="nil"/>
            </w:tcBorders>
            <w:noWrap/>
            <w:vAlign w:val="center"/>
            <w:hideMark/>
          </w:tcPr>
          <w:p w14:paraId="64FED48E"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N1</w:t>
            </w:r>
          </w:p>
        </w:tc>
        <w:tc>
          <w:tcPr>
            <w:tcW w:w="1163" w:type="pct"/>
            <w:tcBorders>
              <w:top w:val="nil"/>
              <w:left w:val="nil"/>
              <w:bottom w:val="nil"/>
              <w:right w:val="nil"/>
            </w:tcBorders>
            <w:noWrap/>
            <w:vAlign w:val="center"/>
            <w:hideMark/>
          </w:tcPr>
          <w:p w14:paraId="1F2D4738"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8</w:t>
            </w:r>
          </w:p>
        </w:tc>
        <w:tc>
          <w:tcPr>
            <w:tcW w:w="917" w:type="pct"/>
            <w:tcBorders>
              <w:top w:val="nil"/>
              <w:left w:val="nil"/>
              <w:bottom w:val="nil"/>
              <w:right w:val="nil"/>
            </w:tcBorders>
            <w:noWrap/>
            <w:vAlign w:val="center"/>
            <w:hideMark/>
          </w:tcPr>
          <w:p w14:paraId="2711FDF2"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16%</w:t>
            </w:r>
          </w:p>
        </w:tc>
      </w:tr>
      <w:tr w:rsidR="00011CBA" w:rsidRPr="00011CBA" w14:paraId="30E140C3" w14:textId="77777777" w:rsidTr="00273373">
        <w:trPr>
          <w:trHeight w:val="330"/>
        </w:trPr>
        <w:tc>
          <w:tcPr>
            <w:tcW w:w="1162" w:type="pct"/>
            <w:tcBorders>
              <w:top w:val="nil"/>
              <w:left w:val="nil"/>
              <w:bottom w:val="nil"/>
              <w:right w:val="nil"/>
            </w:tcBorders>
            <w:noWrap/>
            <w:vAlign w:val="center"/>
            <w:hideMark/>
          </w:tcPr>
          <w:p w14:paraId="7B946A2C"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p>
        </w:tc>
        <w:tc>
          <w:tcPr>
            <w:tcW w:w="1758" w:type="pct"/>
            <w:tcBorders>
              <w:top w:val="nil"/>
              <w:left w:val="nil"/>
              <w:bottom w:val="nil"/>
              <w:right w:val="nil"/>
            </w:tcBorders>
            <w:noWrap/>
            <w:vAlign w:val="center"/>
            <w:hideMark/>
          </w:tcPr>
          <w:p w14:paraId="07BA232F"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N2</w:t>
            </w:r>
          </w:p>
        </w:tc>
        <w:tc>
          <w:tcPr>
            <w:tcW w:w="1163" w:type="pct"/>
            <w:tcBorders>
              <w:top w:val="nil"/>
              <w:left w:val="nil"/>
              <w:bottom w:val="nil"/>
              <w:right w:val="nil"/>
            </w:tcBorders>
            <w:noWrap/>
            <w:vAlign w:val="center"/>
            <w:hideMark/>
          </w:tcPr>
          <w:p w14:paraId="0AE465AB"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7</w:t>
            </w:r>
          </w:p>
        </w:tc>
        <w:tc>
          <w:tcPr>
            <w:tcW w:w="917" w:type="pct"/>
            <w:tcBorders>
              <w:top w:val="nil"/>
              <w:left w:val="nil"/>
              <w:bottom w:val="nil"/>
              <w:right w:val="nil"/>
            </w:tcBorders>
            <w:noWrap/>
            <w:vAlign w:val="center"/>
            <w:hideMark/>
          </w:tcPr>
          <w:p w14:paraId="771D0F4F"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14%</w:t>
            </w:r>
          </w:p>
        </w:tc>
      </w:tr>
      <w:tr w:rsidR="00011CBA" w:rsidRPr="00011CBA" w14:paraId="7819F8A4" w14:textId="77777777" w:rsidTr="00273373">
        <w:trPr>
          <w:trHeight w:val="330"/>
        </w:trPr>
        <w:tc>
          <w:tcPr>
            <w:tcW w:w="1162" w:type="pct"/>
            <w:tcBorders>
              <w:top w:val="nil"/>
              <w:left w:val="nil"/>
              <w:bottom w:val="nil"/>
              <w:right w:val="nil"/>
            </w:tcBorders>
            <w:noWrap/>
            <w:vAlign w:val="center"/>
            <w:hideMark/>
          </w:tcPr>
          <w:p w14:paraId="4C7E4471"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p>
        </w:tc>
        <w:tc>
          <w:tcPr>
            <w:tcW w:w="1758" w:type="pct"/>
            <w:tcBorders>
              <w:top w:val="nil"/>
              <w:left w:val="nil"/>
              <w:bottom w:val="nil"/>
              <w:right w:val="nil"/>
            </w:tcBorders>
            <w:noWrap/>
            <w:vAlign w:val="center"/>
            <w:hideMark/>
          </w:tcPr>
          <w:p w14:paraId="23148775"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N3</w:t>
            </w:r>
          </w:p>
        </w:tc>
        <w:tc>
          <w:tcPr>
            <w:tcW w:w="1163" w:type="pct"/>
            <w:tcBorders>
              <w:top w:val="nil"/>
              <w:left w:val="nil"/>
              <w:bottom w:val="nil"/>
              <w:right w:val="nil"/>
            </w:tcBorders>
            <w:noWrap/>
            <w:vAlign w:val="center"/>
            <w:hideMark/>
          </w:tcPr>
          <w:p w14:paraId="659D5643"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6</w:t>
            </w:r>
          </w:p>
        </w:tc>
        <w:tc>
          <w:tcPr>
            <w:tcW w:w="917" w:type="pct"/>
            <w:tcBorders>
              <w:top w:val="nil"/>
              <w:left w:val="nil"/>
              <w:bottom w:val="nil"/>
              <w:right w:val="nil"/>
            </w:tcBorders>
            <w:noWrap/>
            <w:vAlign w:val="center"/>
            <w:hideMark/>
          </w:tcPr>
          <w:p w14:paraId="60034279"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12%</w:t>
            </w:r>
          </w:p>
        </w:tc>
      </w:tr>
      <w:tr w:rsidR="00011CBA" w:rsidRPr="00011CBA" w14:paraId="39BC414F" w14:textId="77777777" w:rsidTr="003F4252">
        <w:trPr>
          <w:trHeight w:val="330"/>
        </w:trPr>
        <w:tc>
          <w:tcPr>
            <w:tcW w:w="1162" w:type="pct"/>
            <w:tcBorders>
              <w:top w:val="nil"/>
              <w:left w:val="nil"/>
              <w:bottom w:val="nil"/>
              <w:right w:val="nil"/>
            </w:tcBorders>
            <w:shd w:val="clear" w:color="auto" w:fill="F2F2F2" w:themeFill="background1" w:themeFillShade="F2"/>
            <w:noWrap/>
            <w:vAlign w:val="center"/>
            <w:hideMark/>
          </w:tcPr>
          <w:p w14:paraId="17649FDF"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proofErr w:type="spellStart"/>
            <w:r w:rsidRPr="00011CBA">
              <w:rPr>
                <w:rFonts w:ascii="Times New Roman" w:eastAsia="맑은 고딕" w:hAnsi="Times New Roman" w:cs="Times New Roman"/>
                <w:color w:val="000000" w:themeColor="text1"/>
                <w:sz w:val="24"/>
                <w:szCs w:val="24"/>
              </w:rPr>
              <w:t>ypT</w:t>
            </w:r>
            <w:proofErr w:type="spellEnd"/>
            <w:r w:rsidRPr="00011CBA">
              <w:rPr>
                <w:rFonts w:ascii="Times New Roman" w:eastAsia="맑은 고딕" w:hAnsi="Times New Roman" w:cs="Times New Roman"/>
                <w:color w:val="000000" w:themeColor="text1"/>
                <w:sz w:val="24"/>
                <w:szCs w:val="24"/>
              </w:rPr>
              <w:t xml:space="preserve"> stage</w:t>
            </w:r>
          </w:p>
        </w:tc>
        <w:tc>
          <w:tcPr>
            <w:tcW w:w="1758" w:type="pct"/>
            <w:tcBorders>
              <w:top w:val="nil"/>
              <w:left w:val="nil"/>
              <w:bottom w:val="nil"/>
              <w:right w:val="nil"/>
            </w:tcBorders>
            <w:shd w:val="clear" w:color="auto" w:fill="F2F2F2" w:themeFill="background1" w:themeFillShade="F2"/>
            <w:noWrap/>
            <w:vAlign w:val="center"/>
            <w:hideMark/>
          </w:tcPr>
          <w:p w14:paraId="0A55DDE5"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ypT0</w:t>
            </w:r>
          </w:p>
        </w:tc>
        <w:tc>
          <w:tcPr>
            <w:tcW w:w="1163" w:type="pct"/>
            <w:tcBorders>
              <w:top w:val="nil"/>
              <w:left w:val="nil"/>
              <w:bottom w:val="nil"/>
              <w:right w:val="nil"/>
            </w:tcBorders>
            <w:shd w:val="clear" w:color="auto" w:fill="F2F2F2" w:themeFill="background1" w:themeFillShade="F2"/>
            <w:noWrap/>
            <w:vAlign w:val="center"/>
            <w:hideMark/>
          </w:tcPr>
          <w:p w14:paraId="1B2E504B"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20</w:t>
            </w:r>
          </w:p>
        </w:tc>
        <w:tc>
          <w:tcPr>
            <w:tcW w:w="917" w:type="pct"/>
            <w:tcBorders>
              <w:top w:val="nil"/>
              <w:left w:val="nil"/>
              <w:bottom w:val="nil"/>
              <w:right w:val="nil"/>
            </w:tcBorders>
            <w:shd w:val="clear" w:color="auto" w:fill="F2F2F2" w:themeFill="background1" w:themeFillShade="F2"/>
            <w:noWrap/>
            <w:vAlign w:val="center"/>
            <w:hideMark/>
          </w:tcPr>
          <w:p w14:paraId="5ACB0644"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40%</w:t>
            </w:r>
          </w:p>
        </w:tc>
      </w:tr>
      <w:tr w:rsidR="00011CBA" w:rsidRPr="00011CBA" w14:paraId="5A5BD59C" w14:textId="77777777" w:rsidTr="003F4252">
        <w:trPr>
          <w:trHeight w:val="330"/>
        </w:trPr>
        <w:tc>
          <w:tcPr>
            <w:tcW w:w="1162" w:type="pct"/>
            <w:tcBorders>
              <w:top w:val="nil"/>
              <w:left w:val="nil"/>
              <w:bottom w:val="nil"/>
              <w:right w:val="nil"/>
            </w:tcBorders>
            <w:shd w:val="clear" w:color="auto" w:fill="F2F2F2" w:themeFill="background1" w:themeFillShade="F2"/>
            <w:noWrap/>
            <w:vAlign w:val="center"/>
          </w:tcPr>
          <w:p w14:paraId="06224F0A"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p>
        </w:tc>
        <w:tc>
          <w:tcPr>
            <w:tcW w:w="1758" w:type="pct"/>
            <w:tcBorders>
              <w:top w:val="nil"/>
              <w:left w:val="nil"/>
              <w:bottom w:val="nil"/>
              <w:right w:val="nil"/>
            </w:tcBorders>
            <w:shd w:val="clear" w:color="auto" w:fill="F2F2F2" w:themeFill="background1" w:themeFillShade="F2"/>
            <w:noWrap/>
            <w:vAlign w:val="center"/>
          </w:tcPr>
          <w:p w14:paraId="6D3EF637"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proofErr w:type="spellStart"/>
            <w:r w:rsidRPr="00011CBA">
              <w:rPr>
                <w:rFonts w:ascii="Times New Roman" w:eastAsia="맑은 고딕" w:hAnsi="Times New Roman" w:cs="Times New Roman"/>
                <w:color w:val="000000" w:themeColor="text1"/>
                <w:sz w:val="24"/>
                <w:szCs w:val="24"/>
              </w:rPr>
              <w:t>ypTis</w:t>
            </w:r>
            <w:proofErr w:type="spellEnd"/>
          </w:p>
        </w:tc>
        <w:tc>
          <w:tcPr>
            <w:tcW w:w="1163" w:type="pct"/>
            <w:tcBorders>
              <w:top w:val="nil"/>
              <w:left w:val="nil"/>
              <w:bottom w:val="nil"/>
              <w:right w:val="nil"/>
            </w:tcBorders>
            <w:shd w:val="clear" w:color="auto" w:fill="F2F2F2" w:themeFill="background1" w:themeFillShade="F2"/>
            <w:noWrap/>
            <w:vAlign w:val="center"/>
          </w:tcPr>
          <w:p w14:paraId="2378960A"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2</w:t>
            </w:r>
          </w:p>
        </w:tc>
        <w:tc>
          <w:tcPr>
            <w:tcW w:w="917" w:type="pct"/>
            <w:tcBorders>
              <w:top w:val="nil"/>
              <w:left w:val="nil"/>
              <w:bottom w:val="nil"/>
              <w:right w:val="nil"/>
            </w:tcBorders>
            <w:shd w:val="clear" w:color="auto" w:fill="F2F2F2" w:themeFill="background1" w:themeFillShade="F2"/>
            <w:noWrap/>
            <w:vAlign w:val="center"/>
          </w:tcPr>
          <w:p w14:paraId="6420D36C"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4%</w:t>
            </w:r>
          </w:p>
        </w:tc>
      </w:tr>
      <w:tr w:rsidR="00011CBA" w:rsidRPr="00011CBA" w14:paraId="0996DABA" w14:textId="77777777" w:rsidTr="003F4252">
        <w:trPr>
          <w:trHeight w:val="330"/>
        </w:trPr>
        <w:tc>
          <w:tcPr>
            <w:tcW w:w="1162" w:type="pct"/>
            <w:tcBorders>
              <w:top w:val="nil"/>
              <w:left w:val="nil"/>
              <w:bottom w:val="nil"/>
              <w:right w:val="nil"/>
            </w:tcBorders>
            <w:shd w:val="clear" w:color="auto" w:fill="F2F2F2" w:themeFill="background1" w:themeFillShade="F2"/>
            <w:noWrap/>
            <w:vAlign w:val="center"/>
            <w:hideMark/>
          </w:tcPr>
          <w:p w14:paraId="101EB9C9"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p>
        </w:tc>
        <w:tc>
          <w:tcPr>
            <w:tcW w:w="1758" w:type="pct"/>
            <w:tcBorders>
              <w:top w:val="nil"/>
              <w:left w:val="nil"/>
              <w:bottom w:val="nil"/>
              <w:right w:val="nil"/>
            </w:tcBorders>
            <w:shd w:val="clear" w:color="auto" w:fill="F2F2F2" w:themeFill="background1" w:themeFillShade="F2"/>
            <w:noWrap/>
            <w:vAlign w:val="center"/>
            <w:hideMark/>
          </w:tcPr>
          <w:p w14:paraId="05CA0E05"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ypT1</w:t>
            </w:r>
          </w:p>
        </w:tc>
        <w:tc>
          <w:tcPr>
            <w:tcW w:w="1163" w:type="pct"/>
            <w:tcBorders>
              <w:top w:val="nil"/>
              <w:left w:val="nil"/>
              <w:bottom w:val="nil"/>
              <w:right w:val="nil"/>
            </w:tcBorders>
            <w:shd w:val="clear" w:color="auto" w:fill="F2F2F2" w:themeFill="background1" w:themeFillShade="F2"/>
            <w:noWrap/>
            <w:vAlign w:val="center"/>
            <w:hideMark/>
          </w:tcPr>
          <w:p w14:paraId="3388798F"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20</w:t>
            </w:r>
          </w:p>
        </w:tc>
        <w:tc>
          <w:tcPr>
            <w:tcW w:w="917" w:type="pct"/>
            <w:tcBorders>
              <w:top w:val="nil"/>
              <w:left w:val="nil"/>
              <w:bottom w:val="nil"/>
              <w:right w:val="nil"/>
            </w:tcBorders>
            <w:shd w:val="clear" w:color="auto" w:fill="F2F2F2" w:themeFill="background1" w:themeFillShade="F2"/>
            <w:noWrap/>
            <w:vAlign w:val="center"/>
            <w:hideMark/>
          </w:tcPr>
          <w:p w14:paraId="15AC2F14"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40%</w:t>
            </w:r>
          </w:p>
        </w:tc>
      </w:tr>
      <w:tr w:rsidR="00011CBA" w:rsidRPr="00011CBA" w14:paraId="3A6C2599" w14:textId="77777777" w:rsidTr="003F4252">
        <w:trPr>
          <w:trHeight w:val="330"/>
        </w:trPr>
        <w:tc>
          <w:tcPr>
            <w:tcW w:w="1162" w:type="pct"/>
            <w:tcBorders>
              <w:top w:val="nil"/>
              <w:left w:val="nil"/>
              <w:bottom w:val="nil"/>
              <w:right w:val="nil"/>
            </w:tcBorders>
            <w:shd w:val="clear" w:color="auto" w:fill="F2F2F2" w:themeFill="background1" w:themeFillShade="F2"/>
            <w:noWrap/>
            <w:vAlign w:val="center"/>
            <w:hideMark/>
          </w:tcPr>
          <w:p w14:paraId="7B51B77B"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p>
        </w:tc>
        <w:tc>
          <w:tcPr>
            <w:tcW w:w="1758" w:type="pct"/>
            <w:tcBorders>
              <w:top w:val="nil"/>
              <w:left w:val="nil"/>
              <w:bottom w:val="nil"/>
              <w:right w:val="nil"/>
            </w:tcBorders>
            <w:shd w:val="clear" w:color="auto" w:fill="F2F2F2" w:themeFill="background1" w:themeFillShade="F2"/>
            <w:noWrap/>
            <w:vAlign w:val="center"/>
            <w:hideMark/>
          </w:tcPr>
          <w:p w14:paraId="08F8E671"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ypT2</w:t>
            </w:r>
          </w:p>
        </w:tc>
        <w:tc>
          <w:tcPr>
            <w:tcW w:w="1163" w:type="pct"/>
            <w:tcBorders>
              <w:top w:val="nil"/>
              <w:left w:val="nil"/>
              <w:bottom w:val="nil"/>
              <w:right w:val="nil"/>
            </w:tcBorders>
            <w:shd w:val="clear" w:color="auto" w:fill="F2F2F2" w:themeFill="background1" w:themeFillShade="F2"/>
            <w:noWrap/>
            <w:vAlign w:val="center"/>
            <w:hideMark/>
          </w:tcPr>
          <w:p w14:paraId="4FAD4129"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6</w:t>
            </w:r>
          </w:p>
        </w:tc>
        <w:tc>
          <w:tcPr>
            <w:tcW w:w="917" w:type="pct"/>
            <w:tcBorders>
              <w:top w:val="nil"/>
              <w:left w:val="nil"/>
              <w:bottom w:val="nil"/>
              <w:right w:val="nil"/>
            </w:tcBorders>
            <w:shd w:val="clear" w:color="auto" w:fill="F2F2F2" w:themeFill="background1" w:themeFillShade="F2"/>
            <w:noWrap/>
            <w:vAlign w:val="center"/>
            <w:hideMark/>
          </w:tcPr>
          <w:p w14:paraId="44A9A001"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12%</w:t>
            </w:r>
          </w:p>
        </w:tc>
      </w:tr>
      <w:tr w:rsidR="00011CBA" w:rsidRPr="00011CBA" w14:paraId="4F36C669" w14:textId="77777777" w:rsidTr="003F4252">
        <w:trPr>
          <w:trHeight w:val="330"/>
        </w:trPr>
        <w:tc>
          <w:tcPr>
            <w:tcW w:w="1162" w:type="pct"/>
            <w:tcBorders>
              <w:top w:val="nil"/>
              <w:left w:val="nil"/>
              <w:bottom w:val="nil"/>
              <w:right w:val="nil"/>
            </w:tcBorders>
            <w:shd w:val="clear" w:color="auto" w:fill="F2F2F2" w:themeFill="background1" w:themeFillShade="F2"/>
            <w:noWrap/>
            <w:vAlign w:val="center"/>
            <w:hideMark/>
          </w:tcPr>
          <w:p w14:paraId="61EB3340"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p>
        </w:tc>
        <w:tc>
          <w:tcPr>
            <w:tcW w:w="1758" w:type="pct"/>
            <w:tcBorders>
              <w:top w:val="nil"/>
              <w:left w:val="nil"/>
              <w:bottom w:val="nil"/>
              <w:right w:val="nil"/>
            </w:tcBorders>
            <w:shd w:val="clear" w:color="auto" w:fill="F2F2F2" w:themeFill="background1" w:themeFillShade="F2"/>
            <w:noWrap/>
            <w:vAlign w:val="center"/>
            <w:hideMark/>
          </w:tcPr>
          <w:p w14:paraId="171A01D5"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ypT3</w:t>
            </w:r>
          </w:p>
        </w:tc>
        <w:tc>
          <w:tcPr>
            <w:tcW w:w="1163" w:type="pct"/>
            <w:tcBorders>
              <w:top w:val="nil"/>
              <w:left w:val="nil"/>
              <w:bottom w:val="nil"/>
              <w:right w:val="nil"/>
            </w:tcBorders>
            <w:shd w:val="clear" w:color="auto" w:fill="F2F2F2" w:themeFill="background1" w:themeFillShade="F2"/>
            <w:noWrap/>
            <w:vAlign w:val="center"/>
            <w:hideMark/>
          </w:tcPr>
          <w:p w14:paraId="5BC50B37"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2</w:t>
            </w:r>
          </w:p>
        </w:tc>
        <w:tc>
          <w:tcPr>
            <w:tcW w:w="917" w:type="pct"/>
            <w:tcBorders>
              <w:top w:val="nil"/>
              <w:left w:val="nil"/>
              <w:bottom w:val="nil"/>
              <w:right w:val="nil"/>
            </w:tcBorders>
            <w:shd w:val="clear" w:color="auto" w:fill="F2F2F2" w:themeFill="background1" w:themeFillShade="F2"/>
            <w:noWrap/>
            <w:vAlign w:val="center"/>
            <w:hideMark/>
          </w:tcPr>
          <w:p w14:paraId="314C17B8"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4%</w:t>
            </w:r>
          </w:p>
        </w:tc>
      </w:tr>
      <w:tr w:rsidR="00011CBA" w:rsidRPr="00011CBA" w14:paraId="46DEE49B" w14:textId="77777777" w:rsidTr="00273373">
        <w:trPr>
          <w:trHeight w:val="330"/>
        </w:trPr>
        <w:tc>
          <w:tcPr>
            <w:tcW w:w="1162" w:type="pct"/>
            <w:tcBorders>
              <w:top w:val="nil"/>
              <w:left w:val="nil"/>
              <w:bottom w:val="nil"/>
              <w:right w:val="nil"/>
            </w:tcBorders>
            <w:noWrap/>
            <w:vAlign w:val="center"/>
            <w:hideMark/>
          </w:tcPr>
          <w:p w14:paraId="03667873"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proofErr w:type="spellStart"/>
            <w:r w:rsidRPr="00011CBA">
              <w:rPr>
                <w:rFonts w:ascii="Times New Roman" w:eastAsia="맑은 고딕" w:hAnsi="Times New Roman" w:cs="Times New Roman"/>
                <w:color w:val="000000" w:themeColor="text1"/>
                <w:sz w:val="24"/>
                <w:szCs w:val="24"/>
              </w:rPr>
              <w:t>ypN</w:t>
            </w:r>
            <w:proofErr w:type="spellEnd"/>
            <w:r w:rsidRPr="00011CBA">
              <w:rPr>
                <w:rFonts w:ascii="Times New Roman" w:eastAsia="맑은 고딕" w:hAnsi="Times New Roman" w:cs="Times New Roman"/>
                <w:color w:val="000000" w:themeColor="text1"/>
                <w:sz w:val="24"/>
                <w:szCs w:val="24"/>
              </w:rPr>
              <w:t xml:space="preserve"> stage</w:t>
            </w:r>
          </w:p>
        </w:tc>
        <w:tc>
          <w:tcPr>
            <w:tcW w:w="1758" w:type="pct"/>
            <w:tcBorders>
              <w:top w:val="nil"/>
              <w:left w:val="nil"/>
              <w:bottom w:val="nil"/>
              <w:right w:val="nil"/>
            </w:tcBorders>
            <w:noWrap/>
            <w:vAlign w:val="center"/>
            <w:hideMark/>
          </w:tcPr>
          <w:p w14:paraId="0D278023"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ypN0</w:t>
            </w:r>
          </w:p>
        </w:tc>
        <w:tc>
          <w:tcPr>
            <w:tcW w:w="1163" w:type="pct"/>
            <w:tcBorders>
              <w:top w:val="nil"/>
              <w:left w:val="nil"/>
              <w:bottom w:val="nil"/>
              <w:right w:val="nil"/>
            </w:tcBorders>
            <w:noWrap/>
            <w:vAlign w:val="center"/>
            <w:hideMark/>
          </w:tcPr>
          <w:p w14:paraId="3F6B8692"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42</w:t>
            </w:r>
          </w:p>
        </w:tc>
        <w:tc>
          <w:tcPr>
            <w:tcW w:w="917" w:type="pct"/>
            <w:tcBorders>
              <w:top w:val="nil"/>
              <w:left w:val="nil"/>
              <w:bottom w:val="nil"/>
              <w:right w:val="nil"/>
            </w:tcBorders>
            <w:noWrap/>
            <w:vAlign w:val="center"/>
            <w:hideMark/>
          </w:tcPr>
          <w:p w14:paraId="1B16704C"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84%</w:t>
            </w:r>
          </w:p>
        </w:tc>
      </w:tr>
      <w:tr w:rsidR="00011CBA" w:rsidRPr="00011CBA" w14:paraId="566BCF8D" w14:textId="77777777" w:rsidTr="00273373">
        <w:trPr>
          <w:trHeight w:val="330"/>
        </w:trPr>
        <w:tc>
          <w:tcPr>
            <w:tcW w:w="1162" w:type="pct"/>
            <w:tcBorders>
              <w:top w:val="nil"/>
              <w:left w:val="nil"/>
              <w:bottom w:val="nil"/>
              <w:right w:val="nil"/>
            </w:tcBorders>
            <w:noWrap/>
            <w:vAlign w:val="center"/>
            <w:hideMark/>
          </w:tcPr>
          <w:p w14:paraId="6FF4F5B5"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p>
        </w:tc>
        <w:tc>
          <w:tcPr>
            <w:tcW w:w="1758" w:type="pct"/>
            <w:tcBorders>
              <w:top w:val="nil"/>
              <w:left w:val="nil"/>
              <w:bottom w:val="nil"/>
              <w:right w:val="nil"/>
            </w:tcBorders>
            <w:noWrap/>
            <w:vAlign w:val="center"/>
            <w:hideMark/>
          </w:tcPr>
          <w:p w14:paraId="23831412"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ypN1</w:t>
            </w:r>
          </w:p>
        </w:tc>
        <w:tc>
          <w:tcPr>
            <w:tcW w:w="1163" w:type="pct"/>
            <w:tcBorders>
              <w:top w:val="nil"/>
              <w:left w:val="nil"/>
              <w:bottom w:val="nil"/>
              <w:right w:val="nil"/>
            </w:tcBorders>
            <w:noWrap/>
            <w:vAlign w:val="center"/>
            <w:hideMark/>
          </w:tcPr>
          <w:p w14:paraId="76A5BEFE"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4</w:t>
            </w:r>
          </w:p>
        </w:tc>
        <w:tc>
          <w:tcPr>
            <w:tcW w:w="917" w:type="pct"/>
            <w:tcBorders>
              <w:top w:val="nil"/>
              <w:left w:val="nil"/>
              <w:bottom w:val="nil"/>
              <w:right w:val="nil"/>
            </w:tcBorders>
            <w:noWrap/>
            <w:vAlign w:val="center"/>
            <w:hideMark/>
          </w:tcPr>
          <w:p w14:paraId="4F9D08EA"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8%</w:t>
            </w:r>
          </w:p>
        </w:tc>
      </w:tr>
      <w:tr w:rsidR="00011CBA" w:rsidRPr="00011CBA" w14:paraId="06A7D03C" w14:textId="77777777" w:rsidTr="00273373">
        <w:trPr>
          <w:trHeight w:val="330"/>
        </w:trPr>
        <w:tc>
          <w:tcPr>
            <w:tcW w:w="1162" w:type="pct"/>
            <w:tcBorders>
              <w:top w:val="nil"/>
              <w:left w:val="nil"/>
              <w:bottom w:val="nil"/>
              <w:right w:val="nil"/>
            </w:tcBorders>
            <w:noWrap/>
            <w:vAlign w:val="center"/>
            <w:hideMark/>
          </w:tcPr>
          <w:p w14:paraId="01062633"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p>
        </w:tc>
        <w:tc>
          <w:tcPr>
            <w:tcW w:w="1758" w:type="pct"/>
            <w:tcBorders>
              <w:top w:val="nil"/>
              <w:left w:val="nil"/>
              <w:bottom w:val="nil"/>
              <w:right w:val="nil"/>
            </w:tcBorders>
            <w:noWrap/>
            <w:vAlign w:val="center"/>
            <w:hideMark/>
          </w:tcPr>
          <w:p w14:paraId="63F41B10"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ypN2</w:t>
            </w:r>
          </w:p>
        </w:tc>
        <w:tc>
          <w:tcPr>
            <w:tcW w:w="1163" w:type="pct"/>
            <w:tcBorders>
              <w:top w:val="nil"/>
              <w:left w:val="nil"/>
              <w:bottom w:val="nil"/>
              <w:right w:val="nil"/>
            </w:tcBorders>
            <w:noWrap/>
            <w:vAlign w:val="center"/>
            <w:hideMark/>
          </w:tcPr>
          <w:p w14:paraId="26BF18EB"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2</w:t>
            </w:r>
          </w:p>
        </w:tc>
        <w:tc>
          <w:tcPr>
            <w:tcW w:w="917" w:type="pct"/>
            <w:tcBorders>
              <w:top w:val="nil"/>
              <w:left w:val="nil"/>
              <w:bottom w:val="nil"/>
              <w:right w:val="nil"/>
            </w:tcBorders>
            <w:noWrap/>
            <w:vAlign w:val="center"/>
            <w:hideMark/>
          </w:tcPr>
          <w:p w14:paraId="0C2BC817"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4%</w:t>
            </w:r>
          </w:p>
        </w:tc>
      </w:tr>
      <w:tr w:rsidR="00011CBA" w:rsidRPr="00011CBA" w14:paraId="38B595F7" w14:textId="77777777" w:rsidTr="00273373">
        <w:trPr>
          <w:trHeight w:val="330"/>
        </w:trPr>
        <w:tc>
          <w:tcPr>
            <w:tcW w:w="1162" w:type="pct"/>
            <w:tcBorders>
              <w:top w:val="nil"/>
              <w:left w:val="nil"/>
              <w:bottom w:val="nil"/>
              <w:right w:val="nil"/>
            </w:tcBorders>
            <w:noWrap/>
            <w:vAlign w:val="center"/>
            <w:hideMark/>
          </w:tcPr>
          <w:p w14:paraId="6EEC31E9"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p>
        </w:tc>
        <w:tc>
          <w:tcPr>
            <w:tcW w:w="1758" w:type="pct"/>
            <w:tcBorders>
              <w:top w:val="nil"/>
              <w:left w:val="nil"/>
              <w:bottom w:val="nil"/>
              <w:right w:val="nil"/>
            </w:tcBorders>
            <w:noWrap/>
            <w:vAlign w:val="center"/>
            <w:hideMark/>
          </w:tcPr>
          <w:p w14:paraId="7643A69C"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ypN3</w:t>
            </w:r>
          </w:p>
        </w:tc>
        <w:tc>
          <w:tcPr>
            <w:tcW w:w="1163" w:type="pct"/>
            <w:tcBorders>
              <w:top w:val="nil"/>
              <w:left w:val="nil"/>
              <w:bottom w:val="nil"/>
              <w:right w:val="nil"/>
            </w:tcBorders>
            <w:noWrap/>
            <w:vAlign w:val="center"/>
            <w:hideMark/>
          </w:tcPr>
          <w:p w14:paraId="1C5BAF54"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2</w:t>
            </w:r>
          </w:p>
        </w:tc>
        <w:tc>
          <w:tcPr>
            <w:tcW w:w="917" w:type="pct"/>
            <w:tcBorders>
              <w:top w:val="nil"/>
              <w:left w:val="nil"/>
              <w:bottom w:val="nil"/>
              <w:right w:val="nil"/>
            </w:tcBorders>
            <w:noWrap/>
            <w:vAlign w:val="center"/>
            <w:hideMark/>
          </w:tcPr>
          <w:p w14:paraId="0461D85A"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4%</w:t>
            </w:r>
          </w:p>
        </w:tc>
      </w:tr>
      <w:tr w:rsidR="00011CBA" w:rsidRPr="00011CBA" w14:paraId="05DF737A" w14:textId="77777777" w:rsidTr="003F4252">
        <w:trPr>
          <w:trHeight w:val="330"/>
        </w:trPr>
        <w:tc>
          <w:tcPr>
            <w:tcW w:w="1162" w:type="pct"/>
            <w:tcBorders>
              <w:top w:val="nil"/>
              <w:left w:val="nil"/>
              <w:bottom w:val="nil"/>
              <w:right w:val="nil"/>
            </w:tcBorders>
            <w:shd w:val="clear" w:color="auto" w:fill="F2F2F2" w:themeFill="background1" w:themeFillShade="F2"/>
            <w:noWrap/>
            <w:vAlign w:val="center"/>
            <w:hideMark/>
          </w:tcPr>
          <w:p w14:paraId="2946F116"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Germline BRCA1/2</w:t>
            </w:r>
          </w:p>
        </w:tc>
        <w:tc>
          <w:tcPr>
            <w:tcW w:w="1758" w:type="pct"/>
            <w:tcBorders>
              <w:top w:val="nil"/>
              <w:left w:val="nil"/>
              <w:bottom w:val="nil"/>
              <w:right w:val="nil"/>
            </w:tcBorders>
            <w:shd w:val="clear" w:color="auto" w:fill="F2F2F2" w:themeFill="background1" w:themeFillShade="F2"/>
            <w:noWrap/>
            <w:vAlign w:val="center"/>
            <w:hideMark/>
          </w:tcPr>
          <w:p w14:paraId="219B8FFE"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BRCA1 mutation</w:t>
            </w:r>
          </w:p>
        </w:tc>
        <w:tc>
          <w:tcPr>
            <w:tcW w:w="1163" w:type="pct"/>
            <w:tcBorders>
              <w:top w:val="nil"/>
              <w:left w:val="nil"/>
              <w:bottom w:val="nil"/>
              <w:right w:val="nil"/>
            </w:tcBorders>
            <w:shd w:val="clear" w:color="auto" w:fill="F2F2F2" w:themeFill="background1" w:themeFillShade="F2"/>
            <w:noWrap/>
            <w:vAlign w:val="center"/>
            <w:hideMark/>
          </w:tcPr>
          <w:p w14:paraId="67EFC32F"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7</w:t>
            </w:r>
          </w:p>
        </w:tc>
        <w:tc>
          <w:tcPr>
            <w:tcW w:w="917" w:type="pct"/>
            <w:tcBorders>
              <w:top w:val="nil"/>
              <w:left w:val="nil"/>
              <w:bottom w:val="nil"/>
              <w:right w:val="nil"/>
            </w:tcBorders>
            <w:shd w:val="clear" w:color="auto" w:fill="F2F2F2" w:themeFill="background1" w:themeFillShade="F2"/>
            <w:noWrap/>
            <w:vAlign w:val="center"/>
            <w:hideMark/>
          </w:tcPr>
          <w:p w14:paraId="741FDFF3"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14%</w:t>
            </w:r>
          </w:p>
        </w:tc>
      </w:tr>
      <w:tr w:rsidR="00011CBA" w:rsidRPr="00011CBA" w14:paraId="2CCD43B5" w14:textId="77777777" w:rsidTr="003F4252">
        <w:trPr>
          <w:trHeight w:val="330"/>
        </w:trPr>
        <w:tc>
          <w:tcPr>
            <w:tcW w:w="1162" w:type="pct"/>
            <w:tcBorders>
              <w:top w:val="nil"/>
              <w:left w:val="nil"/>
              <w:bottom w:val="nil"/>
              <w:right w:val="nil"/>
            </w:tcBorders>
            <w:shd w:val="clear" w:color="auto" w:fill="F2F2F2" w:themeFill="background1" w:themeFillShade="F2"/>
            <w:noWrap/>
            <w:vAlign w:val="center"/>
            <w:hideMark/>
          </w:tcPr>
          <w:p w14:paraId="685DCF15"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p>
        </w:tc>
        <w:tc>
          <w:tcPr>
            <w:tcW w:w="1758" w:type="pct"/>
            <w:tcBorders>
              <w:top w:val="nil"/>
              <w:left w:val="nil"/>
              <w:bottom w:val="nil"/>
              <w:right w:val="nil"/>
            </w:tcBorders>
            <w:shd w:val="clear" w:color="auto" w:fill="F2F2F2" w:themeFill="background1" w:themeFillShade="F2"/>
            <w:noWrap/>
            <w:vAlign w:val="center"/>
            <w:hideMark/>
          </w:tcPr>
          <w:p w14:paraId="71DE4892"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BRCA2 mutation</w:t>
            </w:r>
          </w:p>
        </w:tc>
        <w:tc>
          <w:tcPr>
            <w:tcW w:w="1163" w:type="pct"/>
            <w:tcBorders>
              <w:top w:val="nil"/>
              <w:left w:val="nil"/>
              <w:bottom w:val="nil"/>
              <w:right w:val="nil"/>
            </w:tcBorders>
            <w:shd w:val="clear" w:color="auto" w:fill="F2F2F2" w:themeFill="background1" w:themeFillShade="F2"/>
            <w:noWrap/>
            <w:vAlign w:val="center"/>
            <w:hideMark/>
          </w:tcPr>
          <w:p w14:paraId="7792F11D"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3</w:t>
            </w:r>
          </w:p>
        </w:tc>
        <w:tc>
          <w:tcPr>
            <w:tcW w:w="917" w:type="pct"/>
            <w:tcBorders>
              <w:top w:val="nil"/>
              <w:left w:val="nil"/>
              <w:bottom w:val="nil"/>
              <w:right w:val="nil"/>
            </w:tcBorders>
            <w:shd w:val="clear" w:color="auto" w:fill="F2F2F2" w:themeFill="background1" w:themeFillShade="F2"/>
            <w:noWrap/>
            <w:vAlign w:val="center"/>
            <w:hideMark/>
          </w:tcPr>
          <w:p w14:paraId="5B38CAE9"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6%</w:t>
            </w:r>
          </w:p>
        </w:tc>
      </w:tr>
      <w:tr w:rsidR="00011CBA" w:rsidRPr="00011CBA" w14:paraId="6F9D9350" w14:textId="77777777" w:rsidTr="003F4252">
        <w:trPr>
          <w:trHeight w:val="330"/>
        </w:trPr>
        <w:tc>
          <w:tcPr>
            <w:tcW w:w="1162" w:type="pct"/>
            <w:tcBorders>
              <w:top w:val="nil"/>
              <w:left w:val="nil"/>
              <w:bottom w:val="nil"/>
              <w:right w:val="nil"/>
            </w:tcBorders>
            <w:shd w:val="clear" w:color="auto" w:fill="F2F2F2" w:themeFill="background1" w:themeFillShade="F2"/>
            <w:noWrap/>
            <w:vAlign w:val="center"/>
            <w:hideMark/>
          </w:tcPr>
          <w:p w14:paraId="59AB4248"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p>
        </w:tc>
        <w:tc>
          <w:tcPr>
            <w:tcW w:w="1758" w:type="pct"/>
            <w:tcBorders>
              <w:top w:val="nil"/>
              <w:left w:val="nil"/>
              <w:bottom w:val="nil"/>
              <w:right w:val="nil"/>
            </w:tcBorders>
            <w:shd w:val="clear" w:color="auto" w:fill="F2F2F2" w:themeFill="background1" w:themeFillShade="F2"/>
            <w:noWrap/>
            <w:vAlign w:val="center"/>
            <w:hideMark/>
          </w:tcPr>
          <w:p w14:paraId="1A1AA198"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No pathogenic mutation detected</w:t>
            </w:r>
          </w:p>
        </w:tc>
        <w:tc>
          <w:tcPr>
            <w:tcW w:w="1163" w:type="pct"/>
            <w:tcBorders>
              <w:top w:val="nil"/>
              <w:left w:val="nil"/>
              <w:bottom w:val="nil"/>
              <w:right w:val="nil"/>
            </w:tcBorders>
            <w:shd w:val="clear" w:color="auto" w:fill="F2F2F2" w:themeFill="background1" w:themeFillShade="F2"/>
            <w:noWrap/>
            <w:vAlign w:val="center"/>
            <w:hideMark/>
          </w:tcPr>
          <w:p w14:paraId="0AB60B1B"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33</w:t>
            </w:r>
          </w:p>
        </w:tc>
        <w:tc>
          <w:tcPr>
            <w:tcW w:w="917" w:type="pct"/>
            <w:tcBorders>
              <w:top w:val="nil"/>
              <w:left w:val="nil"/>
              <w:bottom w:val="nil"/>
              <w:right w:val="nil"/>
            </w:tcBorders>
            <w:shd w:val="clear" w:color="auto" w:fill="F2F2F2" w:themeFill="background1" w:themeFillShade="F2"/>
            <w:noWrap/>
            <w:vAlign w:val="center"/>
            <w:hideMark/>
          </w:tcPr>
          <w:p w14:paraId="04D4B7D8"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66%</w:t>
            </w:r>
          </w:p>
        </w:tc>
      </w:tr>
      <w:tr w:rsidR="00011CBA" w:rsidRPr="00011CBA" w14:paraId="3175B04C" w14:textId="77777777" w:rsidTr="003F4252">
        <w:trPr>
          <w:trHeight w:val="330"/>
        </w:trPr>
        <w:tc>
          <w:tcPr>
            <w:tcW w:w="1162" w:type="pct"/>
            <w:tcBorders>
              <w:top w:val="nil"/>
              <w:left w:val="nil"/>
              <w:bottom w:val="nil"/>
              <w:right w:val="nil"/>
            </w:tcBorders>
            <w:shd w:val="clear" w:color="auto" w:fill="F2F2F2" w:themeFill="background1" w:themeFillShade="F2"/>
            <w:noWrap/>
            <w:vAlign w:val="center"/>
            <w:hideMark/>
          </w:tcPr>
          <w:p w14:paraId="0B294699"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p>
        </w:tc>
        <w:tc>
          <w:tcPr>
            <w:tcW w:w="1758" w:type="pct"/>
            <w:tcBorders>
              <w:top w:val="nil"/>
              <w:left w:val="nil"/>
              <w:bottom w:val="nil"/>
              <w:right w:val="nil"/>
            </w:tcBorders>
            <w:shd w:val="clear" w:color="auto" w:fill="F2F2F2" w:themeFill="background1" w:themeFillShade="F2"/>
            <w:noWrap/>
            <w:vAlign w:val="center"/>
            <w:hideMark/>
          </w:tcPr>
          <w:p w14:paraId="498609AA"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Not available</w:t>
            </w:r>
          </w:p>
        </w:tc>
        <w:tc>
          <w:tcPr>
            <w:tcW w:w="1163" w:type="pct"/>
            <w:tcBorders>
              <w:top w:val="nil"/>
              <w:left w:val="nil"/>
              <w:bottom w:val="nil"/>
              <w:right w:val="nil"/>
            </w:tcBorders>
            <w:shd w:val="clear" w:color="auto" w:fill="F2F2F2" w:themeFill="background1" w:themeFillShade="F2"/>
            <w:noWrap/>
            <w:vAlign w:val="center"/>
            <w:hideMark/>
          </w:tcPr>
          <w:p w14:paraId="362D8D6F"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7</w:t>
            </w:r>
          </w:p>
        </w:tc>
        <w:tc>
          <w:tcPr>
            <w:tcW w:w="917" w:type="pct"/>
            <w:tcBorders>
              <w:top w:val="nil"/>
              <w:left w:val="nil"/>
              <w:bottom w:val="nil"/>
              <w:right w:val="nil"/>
            </w:tcBorders>
            <w:shd w:val="clear" w:color="auto" w:fill="F2F2F2" w:themeFill="background1" w:themeFillShade="F2"/>
            <w:noWrap/>
            <w:vAlign w:val="center"/>
            <w:hideMark/>
          </w:tcPr>
          <w:p w14:paraId="0C97AA87"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14%</w:t>
            </w:r>
          </w:p>
        </w:tc>
      </w:tr>
      <w:tr w:rsidR="00011CBA" w:rsidRPr="00011CBA" w14:paraId="7B254369" w14:textId="77777777" w:rsidTr="00273373">
        <w:trPr>
          <w:trHeight w:val="330"/>
        </w:trPr>
        <w:tc>
          <w:tcPr>
            <w:tcW w:w="1162" w:type="pct"/>
            <w:tcBorders>
              <w:top w:val="nil"/>
              <w:left w:val="nil"/>
              <w:bottom w:val="nil"/>
              <w:right w:val="nil"/>
            </w:tcBorders>
            <w:noWrap/>
            <w:vAlign w:val="center"/>
            <w:hideMark/>
          </w:tcPr>
          <w:p w14:paraId="0AF91061"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pCR</w:t>
            </w:r>
          </w:p>
        </w:tc>
        <w:tc>
          <w:tcPr>
            <w:tcW w:w="1758" w:type="pct"/>
            <w:tcBorders>
              <w:top w:val="nil"/>
              <w:left w:val="nil"/>
              <w:bottom w:val="nil"/>
              <w:right w:val="nil"/>
            </w:tcBorders>
            <w:noWrap/>
            <w:vAlign w:val="center"/>
            <w:hideMark/>
          </w:tcPr>
          <w:p w14:paraId="0FF618A2"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No</w:t>
            </w:r>
          </w:p>
        </w:tc>
        <w:tc>
          <w:tcPr>
            <w:tcW w:w="1163" w:type="pct"/>
            <w:tcBorders>
              <w:top w:val="nil"/>
              <w:left w:val="nil"/>
              <w:bottom w:val="nil"/>
              <w:right w:val="nil"/>
            </w:tcBorders>
            <w:noWrap/>
            <w:vAlign w:val="center"/>
            <w:hideMark/>
          </w:tcPr>
          <w:p w14:paraId="6F1BA596"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31</w:t>
            </w:r>
          </w:p>
        </w:tc>
        <w:tc>
          <w:tcPr>
            <w:tcW w:w="917" w:type="pct"/>
            <w:tcBorders>
              <w:top w:val="nil"/>
              <w:left w:val="nil"/>
              <w:bottom w:val="nil"/>
              <w:right w:val="nil"/>
            </w:tcBorders>
            <w:noWrap/>
            <w:vAlign w:val="center"/>
            <w:hideMark/>
          </w:tcPr>
          <w:p w14:paraId="12AC682D"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62%</w:t>
            </w:r>
          </w:p>
        </w:tc>
      </w:tr>
      <w:tr w:rsidR="00011CBA" w:rsidRPr="00011CBA" w14:paraId="4F6D85C6" w14:textId="77777777" w:rsidTr="00273373">
        <w:trPr>
          <w:trHeight w:val="330"/>
        </w:trPr>
        <w:tc>
          <w:tcPr>
            <w:tcW w:w="1162" w:type="pct"/>
            <w:tcBorders>
              <w:top w:val="nil"/>
              <w:left w:val="nil"/>
              <w:bottom w:val="nil"/>
              <w:right w:val="nil"/>
            </w:tcBorders>
            <w:noWrap/>
            <w:vAlign w:val="center"/>
            <w:hideMark/>
          </w:tcPr>
          <w:p w14:paraId="5F9814C5"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p>
        </w:tc>
        <w:tc>
          <w:tcPr>
            <w:tcW w:w="1758" w:type="pct"/>
            <w:tcBorders>
              <w:top w:val="nil"/>
              <w:left w:val="nil"/>
              <w:bottom w:val="nil"/>
              <w:right w:val="nil"/>
            </w:tcBorders>
            <w:noWrap/>
            <w:vAlign w:val="center"/>
            <w:hideMark/>
          </w:tcPr>
          <w:p w14:paraId="6861ACB2"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Yes</w:t>
            </w:r>
          </w:p>
        </w:tc>
        <w:tc>
          <w:tcPr>
            <w:tcW w:w="1163" w:type="pct"/>
            <w:tcBorders>
              <w:top w:val="nil"/>
              <w:left w:val="nil"/>
              <w:bottom w:val="nil"/>
              <w:right w:val="nil"/>
            </w:tcBorders>
            <w:noWrap/>
            <w:vAlign w:val="center"/>
            <w:hideMark/>
          </w:tcPr>
          <w:p w14:paraId="062B0E6C"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19</w:t>
            </w:r>
          </w:p>
        </w:tc>
        <w:tc>
          <w:tcPr>
            <w:tcW w:w="917" w:type="pct"/>
            <w:tcBorders>
              <w:top w:val="nil"/>
              <w:left w:val="nil"/>
              <w:bottom w:val="nil"/>
              <w:right w:val="nil"/>
            </w:tcBorders>
            <w:noWrap/>
            <w:vAlign w:val="center"/>
            <w:hideMark/>
          </w:tcPr>
          <w:p w14:paraId="3CD4EBF9"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38%</w:t>
            </w:r>
          </w:p>
        </w:tc>
      </w:tr>
      <w:tr w:rsidR="00011CBA" w:rsidRPr="00011CBA" w14:paraId="297997C3" w14:textId="77777777" w:rsidTr="003F4252">
        <w:trPr>
          <w:trHeight w:val="330"/>
        </w:trPr>
        <w:tc>
          <w:tcPr>
            <w:tcW w:w="1162" w:type="pct"/>
            <w:tcBorders>
              <w:top w:val="nil"/>
              <w:left w:val="nil"/>
              <w:bottom w:val="nil"/>
              <w:right w:val="nil"/>
            </w:tcBorders>
            <w:shd w:val="clear" w:color="auto" w:fill="F2F2F2" w:themeFill="background1" w:themeFillShade="F2"/>
            <w:noWrap/>
            <w:vAlign w:val="center"/>
            <w:hideMark/>
          </w:tcPr>
          <w:p w14:paraId="37B1E05C"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Recurrence</w:t>
            </w:r>
          </w:p>
        </w:tc>
        <w:tc>
          <w:tcPr>
            <w:tcW w:w="1758" w:type="pct"/>
            <w:tcBorders>
              <w:top w:val="nil"/>
              <w:left w:val="nil"/>
              <w:bottom w:val="nil"/>
              <w:right w:val="nil"/>
            </w:tcBorders>
            <w:shd w:val="clear" w:color="auto" w:fill="F2F2F2" w:themeFill="background1" w:themeFillShade="F2"/>
            <w:noWrap/>
            <w:vAlign w:val="center"/>
            <w:hideMark/>
          </w:tcPr>
          <w:p w14:paraId="3DF904AF"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No</w:t>
            </w:r>
          </w:p>
        </w:tc>
        <w:tc>
          <w:tcPr>
            <w:tcW w:w="1163" w:type="pct"/>
            <w:tcBorders>
              <w:top w:val="nil"/>
              <w:left w:val="nil"/>
              <w:bottom w:val="nil"/>
              <w:right w:val="nil"/>
            </w:tcBorders>
            <w:shd w:val="clear" w:color="auto" w:fill="F2F2F2" w:themeFill="background1" w:themeFillShade="F2"/>
            <w:noWrap/>
            <w:vAlign w:val="center"/>
            <w:hideMark/>
          </w:tcPr>
          <w:p w14:paraId="1535908F" w14:textId="75669FC3"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4</w:t>
            </w:r>
            <w:r w:rsidR="00A36123" w:rsidRPr="00011CBA">
              <w:rPr>
                <w:rFonts w:ascii="Times New Roman" w:eastAsia="맑은 고딕" w:hAnsi="Times New Roman" w:cs="Times New Roman"/>
                <w:color w:val="000000" w:themeColor="text1"/>
                <w:sz w:val="24"/>
                <w:szCs w:val="24"/>
              </w:rPr>
              <w:t>3</w:t>
            </w:r>
          </w:p>
        </w:tc>
        <w:tc>
          <w:tcPr>
            <w:tcW w:w="917" w:type="pct"/>
            <w:tcBorders>
              <w:top w:val="nil"/>
              <w:left w:val="nil"/>
              <w:bottom w:val="nil"/>
              <w:right w:val="nil"/>
            </w:tcBorders>
            <w:shd w:val="clear" w:color="auto" w:fill="F2F2F2" w:themeFill="background1" w:themeFillShade="F2"/>
            <w:noWrap/>
            <w:vAlign w:val="center"/>
            <w:hideMark/>
          </w:tcPr>
          <w:p w14:paraId="42F76F67" w14:textId="4E1657A9"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8</w:t>
            </w:r>
            <w:r w:rsidR="00A36123" w:rsidRPr="00011CBA">
              <w:rPr>
                <w:rFonts w:ascii="Times New Roman" w:eastAsia="맑은 고딕" w:hAnsi="Times New Roman" w:cs="Times New Roman"/>
                <w:color w:val="000000" w:themeColor="text1"/>
                <w:sz w:val="24"/>
                <w:szCs w:val="24"/>
              </w:rPr>
              <w:t>6</w:t>
            </w:r>
            <w:r w:rsidRPr="00011CBA">
              <w:rPr>
                <w:rFonts w:ascii="Times New Roman" w:eastAsia="맑은 고딕" w:hAnsi="Times New Roman" w:cs="Times New Roman"/>
                <w:color w:val="000000" w:themeColor="text1"/>
                <w:sz w:val="24"/>
                <w:szCs w:val="24"/>
              </w:rPr>
              <w:t>%</w:t>
            </w:r>
          </w:p>
        </w:tc>
      </w:tr>
      <w:tr w:rsidR="00B21030" w:rsidRPr="00011CBA" w14:paraId="109667B9" w14:textId="77777777" w:rsidTr="003F4252">
        <w:trPr>
          <w:trHeight w:val="330"/>
        </w:trPr>
        <w:tc>
          <w:tcPr>
            <w:tcW w:w="1162" w:type="pct"/>
            <w:tcBorders>
              <w:top w:val="nil"/>
              <w:left w:val="nil"/>
              <w:bottom w:val="single" w:sz="4" w:space="0" w:color="auto"/>
              <w:right w:val="nil"/>
            </w:tcBorders>
            <w:shd w:val="clear" w:color="auto" w:fill="F2F2F2" w:themeFill="background1" w:themeFillShade="F2"/>
            <w:noWrap/>
            <w:vAlign w:val="center"/>
            <w:hideMark/>
          </w:tcPr>
          <w:p w14:paraId="38BFE969"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 xml:space="preserve">　</w:t>
            </w:r>
          </w:p>
        </w:tc>
        <w:tc>
          <w:tcPr>
            <w:tcW w:w="1758" w:type="pct"/>
            <w:tcBorders>
              <w:top w:val="nil"/>
              <w:left w:val="nil"/>
              <w:bottom w:val="single" w:sz="4" w:space="0" w:color="auto"/>
              <w:right w:val="nil"/>
            </w:tcBorders>
            <w:shd w:val="clear" w:color="auto" w:fill="F2F2F2" w:themeFill="background1" w:themeFillShade="F2"/>
            <w:noWrap/>
            <w:vAlign w:val="center"/>
            <w:hideMark/>
          </w:tcPr>
          <w:p w14:paraId="356A2541" w14:textId="77777777"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Yes</w:t>
            </w:r>
          </w:p>
        </w:tc>
        <w:tc>
          <w:tcPr>
            <w:tcW w:w="1163" w:type="pct"/>
            <w:tcBorders>
              <w:top w:val="nil"/>
              <w:left w:val="nil"/>
              <w:bottom w:val="single" w:sz="4" w:space="0" w:color="auto"/>
              <w:right w:val="nil"/>
            </w:tcBorders>
            <w:shd w:val="clear" w:color="auto" w:fill="F2F2F2" w:themeFill="background1" w:themeFillShade="F2"/>
            <w:noWrap/>
            <w:vAlign w:val="center"/>
            <w:hideMark/>
          </w:tcPr>
          <w:p w14:paraId="44240CB9" w14:textId="5500AB3A" w:rsidR="00B21030" w:rsidRPr="00011CBA" w:rsidRDefault="00A36123"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7</w:t>
            </w:r>
          </w:p>
        </w:tc>
        <w:tc>
          <w:tcPr>
            <w:tcW w:w="917" w:type="pct"/>
            <w:tcBorders>
              <w:top w:val="nil"/>
              <w:left w:val="nil"/>
              <w:bottom w:val="single" w:sz="4" w:space="0" w:color="auto"/>
              <w:right w:val="nil"/>
            </w:tcBorders>
            <w:shd w:val="clear" w:color="auto" w:fill="F2F2F2" w:themeFill="background1" w:themeFillShade="F2"/>
            <w:noWrap/>
            <w:vAlign w:val="center"/>
            <w:hideMark/>
          </w:tcPr>
          <w:p w14:paraId="3608F471" w14:textId="57C3CA59" w:rsidR="00B21030" w:rsidRPr="00011CBA" w:rsidRDefault="00B21030" w:rsidP="00FB3AEF">
            <w:pPr>
              <w:spacing w:line="240" w:lineRule="auto"/>
              <w:jc w:val="both"/>
              <w:rPr>
                <w:rFonts w:ascii="Times New Roman" w:eastAsia="맑은 고딕" w:hAnsi="Times New Roman" w:cs="Times New Roman"/>
                <w:color w:val="000000" w:themeColor="text1"/>
                <w:sz w:val="24"/>
                <w:szCs w:val="24"/>
              </w:rPr>
            </w:pPr>
            <w:r w:rsidRPr="00011CBA">
              <w:rPr>
                <w:rFonts w:ascii="Times New Roman" w:eastAsia="맑은 고딕" w:hAnsi="Times New Roman" w:cs="Times New Roman"/>
                <w:color w:val="000000" w:themeColor="text1"/>
                <w:sz w:val="24"/>
                <w:szCs w:val="24"/>
              </w:rPr>
              <w:t>1</w:t>
            </w:r>
            <w:r w:rsidR="00A36123" w:rsidRPr="00011CBA">
              <w:rPr>
                <w:rFonts w:ascii="Times New Roman" w:eastAsia="맑은 고딕" w:hAnsi="Times New Roman" w:cs="Times New Roman"/>
                <w:color w:val="000000" w:themeColor="text1"/>
                <w:sz w:val="24"/>
                <w:szCs w:val="24"/>
              </w:rPr>
              <w:t>4</w:t>
            </w:r>
            <w:r w:rsidRPr="00011CBA">
              <w:rPr>
                <w:rFonts w:ascii="Times New Roman" w:eastAsia="맑은 고딕" w:hAnsi="Times New Roman" w:cs="Times New Roman"/>
                <w:color w:val="000000" w:themeColor="text1"/>
                <w:sz w:val="24"/>
                <w:szCs w:val="24"/>
              </w:rPr>
              <w:t>%</w:t>
            </w:r>
          </w:p>
        </w:tc>
      </w:tr>
    </w:tbl>
    <w:p w14:paraId="7515E16C" w14:textId="77777777" w:rsidR="00B21030" w:rsidRPr="00011CBA" w:rsidRDefault="00B21030" w:rsidP="00FB3AEF">
      <w:pPr>
        <w:spacing w:line="480" w:lineRule="auto"/>
        <w:jc w:val="both"/>
        <w:rPr>
          <w:rFonts w:ascii="Times New Roman" w:hAnsi="Times New Roman" w:cs="Times New Roman"/>
          <w:color w:val="000000" w:themeColor="text1"/>
          <w:sz w:val="24"/>
          <w:szCs w:val="24"/>
        </w:rPr>
      </w:pPr>
    </w:p>
    <w:p w14:paraId="6375D56F" w14:textId="77777777" w:rsidR="00B21030" w:rsidRPr="00011CBA" w:rsidRDefault="00B21030" w:rsidP="00FB3AEF">
      <w:pPr>
        <w:spacing w:line="480" w:lineRule="auto"/>
        <w:jc w:val="both"/>
        <w:rPr>
          <w:rFonts w:ascii="Times New Roman" w:hAnsi="Times New Roman" w:cs="Times New Roman"/>
          <w:color w:val="000000" w:themeColor="text1"/>
          <w:sz w:val="24"/>
          <w:szCs w:val="24"/>
        </w:rPr>
      </w:pPr>
    </w:p>
    <w:p w14:paraId="428CCC81" w14:textId="77777777" w:rsidR="00B21030" w:rsidRPr="00011CBA" w:rsidRDefault="00B21030" w:rsidP="00FB3AEF">
      <w:pPr>
        <w:spacing w:line="480" w:lineRule="auto"/>
        <w:jc w:val="both"/>
        <w:rPr>
          <w:rFonts w:ascii="Times New Roman" w:hAnsi="Times New Roman" w:cs="Times New Roman"/>
          <w:b/>
          <w:color w:val="000000" w:themeColor="text1"/>
          <w:sz w:val="24"/>
          <w:szCs w:val="24"/>
        </w:rPr>
      </w:pPr>
    </w:p>
    <w:p w14:paraId="1F6FCFE0" w14:textId="77777777" w:rsidR="00B21030" w:rsidRPr="00011CBA" w:rsidRDefault="00B21030" w:rsidP="00FB3AEF">
      <w:pPr>
        <w:spacing w:line="480" w:lineRule="auto"/>
        <w:jc w:val="both"/>
        <w:rPr>
          <w:rFonts w:ascii="Times New Roman" w:hAnsi="Times New Roman" w:cs="Times New Roman"/>
          <w:b/>
          <w:color w:val="000000" w:themeColor="text1"/>
          <w:sz w:val="24"/>
          <w:szCs w:val="24"/>
        </w:rPr>
      </w:pPr>
    </w:p>
    <w:p w14:paraId="05814B8A" w14:textId="5422830E" w:rsidR="002A794A" w:rsidRPr="00011CBA" w:rsidRDefault="006A3D53" w:rsidP="00FB3AEF">
      <w:pPr>
        <w:spacing w:line="480" w:lineRule="auto"/>
        <w:jc w:val="both"/>
        <w:rPr>
          <w:rFonts w:ascii="Times New Roman" w:hAnsi="Times New Roman" w:cs="Times New Roman"/>
          <w:b/>
          <w:color w:val="000000" w:themeColor="text1"/>
          <w:sz w:val="24"/>
          <w:szCs w:val="24"/>
        </w:rPr>
      </w:pPr>
      <w:r w:rsidRPr="00011CBA">
        <w:rPr>
          <w:rFonts w:ascii="Times New Roman" w:eastAsia="Times New Roman" w:hAnsi="Times New Roman" w:cs="Times New Roman"/>
          <w:b/>
          <w:color w:val="000000" w:themeColor="text1"/>
          <w:sz w:val="24"/>
          <w:szCs w:val="24"/>
        </w:rPr>
        <w:lastRenderedPageBreak/>
        <w:t>Supplementary</w:t>
      </w:r>
      <w:r w:rsidR="002A794A" w:rsidRPr="00011CBA">
        <w:rPr>
          <w:rFonts w:ascii="Times New Roman" w:hAnsi="Times New Roman" w:cs="Times New Roman" w:hint="eastAsia"/>
          <w:b/>
          <w:color w:val="000000" w:themeColor="text1"/>
          <w:sz w:val="24"/>
          <w:szCs w:val="24"/>
        </w:rPr>
        <w:t xml:space="preserve"> </w:t>
      </w:r>
      <w:r w:rsidR="00D9355F" w:rsidRPr="00011CBA">
        <w:rPr>
          <w:rFonts w:ascii="Times New Roman" w:hAnsi="Times New Roman" w:cs="Times New Roman"/>
          <w:b/>
          <w:color w:val="000000" w:themeColor="text1"/>
          <w:sz w:val="24"/>
          <w:szCs w:val="24"/>
        </w:rPr>
        <w:t>F</w:t>
      </w:r>
      <w:r w:rsidR="002A794A" w:rsidRPr="00011CBA">
        <w:rPr>
          <w:rFonts w:ascii="Times New Roman" w:hAnsi="Times New Roman" w:cs="Times New Roman" w:hint="eastAsia"/>
          <w:b/>
          <w:color w:val="000000" w:themeColor="text1"/>
          <w:sz w:val="24"/>
          <w:szCs w:val="24"/>
        </w:rPr>
        <w:t>igures</w:t>
      </w:r>
    </w:p>
    <w:p w14:paraId="1A38D10C" w14:textId="7068ECF2" w:rsidR="001B3C43" w:rsidRPr="00011CBA" w:rsidRDefault="001B3C43" w:rsidP="00E2153C">
      <w:pPr>
        <w:spacing w:line="480" w:lineRule="auto"/>
        <w:jc w:val="center"/>
        <w:rPr>
          <w:rFonts w:ascii="Times New Roman" w:hAnsi="Times New Roman" w:cs="Times New Roman"/>
          <w:b/>
          <w:color w:val="000000" w:themeColor="text1"/>
          <w:sz w:val="24"/>
          <w:szCs w:val="24"/>
        </w:rPr>
      </w:pPr>
      <w:r w:rsidRPr="00011CBA">
        <w:rPr>
          <w:rFonts w:ascii="Times New Roman" w:hAnsi="Times New Roman" w:cs="Times New Roman"/>
          <w:b/>
          <w:noProof/>
          <w:color w:val="000000" w:themeColor="text1"/>
          <w:sz w:val="24"/>
          <w:szCs w:val="24"/>
        </w:rPr>
        <w:drawing>
          <wp:inline distT="0" distB="0" distL="0" distR="0" wp14:anchorId="31C6BEE3" wp14:editId="4C793712">
            <wp:extent cx="5829300" cy="4174595"/>
            <wp:effectExtent l="0" t="0" r="0" b="0"/>
            <wp:docPr id="1644127433" name="그림 1" descr="텍스트, 스크린샷, 폰트, 번호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127433" name="그림 1" descr="텍스트, 스크린샷, 폰트, 번호이(가) 표시된 사진&#10;&#10;AI 생성 콘텐츠는 정확하지 않을 수 있습니다."/>
                    <pic:cNvPicPr/>
                  </pic:nvPicPr>
                  <pic:blipFill rotWithShape="1">
                    <a:blip r:embed="rId8" cstate="print">
                      <a:extLst>
                        <a:ext uri="{28A0092B-C50C-407E-A947-70E740481C1C}">
                          <a14:useLocalDpi xmlns:a14="http://schemas.microsoft.com/office/drawing/2010/main" val="0"/>
                        </a:ext>
                      </a:extLst>
                    </a:blip>
                    <a:srcRect l="19933" r="1535"/>
                    <a:stretch>
                      <a:fillRect/>
                    </a:stretch>
                  </pic:blipFill>
                  <pic:spPr bwMode="auto">
                    <a:xfrm>
                      <a:off x="0" y="0"/>
                      <a:ext cx="5834740" cy="4178491"/>
                    </a:xfrm>
                    <a:prstGeom prst="rect">
                      <a:avLst/>
                    </a:prstGeom>
                    <a:ln>
                      <a:noFill/>
                    </a:ln>
                    <a:extLst>
                      <a:ext uri="{53640926-AAD7-44D8-BBD7-CCE9431645EC}">
                        <a14:shadowObscured xmlns:a14="http://schemas.microsoft.com/office/drawing/2010/main"/>
                      </a:ext>
                    </a:extLst>
                  </pic:spPr>
                </pic:pic>
              </a:graphicData>
            </a:graphic>
          </wp:inline>
        </w:drawing>
      </w:r>
    </w:p>
    <w:p w14:paraId="76D2C960" w14:textId="612D0B15" w:rsidR="008D032A" w:rsidRPr="00011CBA" w:rsidRDefault="00A81B53" w:rsidP="00FB3AEF">
      <w:pPr>
        <w:spacing w:line="480" w:lineRule="auto"/>
        <w:jc w:val="both"/>
        <w:rPr>
          <w:rFonts w:ascii="Times New Roman" w:hAnsi="Times New Roman" w:cs="Times New Roman"/>
          <w:b/>
          <w:color w:val="000000" w:themeColor="text1"/>
          <w:sz w:val="24"/>
          <w:szCs w:val="24"/>
        </w:rPr>
      </w:pPr>
      <w:r w:rsidRPr="00011CBA">
        <w:rPr>
          <w:rFonts w:ascii="Times New Roman" w:eastAsia="Times New Roman" w:hAnsi="Times New Roman" w:cs="Times New Roman"/>
          <w:b/>
          <w:color w:val="000000" w:themeColor="text1"/>
          <w:sz w:val="24"/>
          <w:szCs w:val="24"/>
        </w:rPr>
        <w:t xml:space="preserve">Fig </w:t>
      </w:r>
      <w:r w:rsidR="00037CAA" w:rsidRPr="00011CBA">
        <w:rPr>
          <w:rFonts w:ascii="Times New Roman" w:eastAsia="Times New Roman" w:hAnsi="Times New Roman" w:cs="Times New Roman"/>
          <w:b/>
          <w:color w:val="000000" w:themeColor="text1"/>
          <w:sz w:val="24"/>
          <w:szCs w:val="24"/>
        </w:rPr>
        <w:t>S</w:t>
      </w:r>
      <w:r w:rsidRPr="00011CBA">
        <w:rPr>
          <w:rFonts w:ascii="Times New Roman" w:eastAsia="Times New Roman" w:hAnsi="Times New Roman" w:cs="Times New Roman"/>
          <w:b/>
          <w:color w:val="000000" w:themeColor="text1"/>
          <w:sz w:val="24"/>
          <w:szCs w:val="24"/>
        </w:rPr>
        <w:t>1. CONSORT diagram summarizing patient enrollment, treatment, and sample collection in the triple-negative breast cancer (TNBC) cohort.</w:t>
      </w:r>
    </w:p>
    <w:p w14:paraId="29DE34B8" w14:textId="77777777" w:rsidR="00A467A6" w:rsidRPr="00011CBA" w:rsidRDefault="00A467A6" w:rsidP="00FB3AEF">
      <w:pPr>
        <w:jc w:val="both"/>
        <w:rPr>
          <w:rFonts w:ascii="Times New Roman" w:hAnsi="Times New Roman" w:cs="Times New Roman"/>
          <w:b/>
          <w:color w:val="000000" w:themeColor="text1"/>
          <w:sz w:val="24"/>
          <w:szCs w:val="24"/>
        </w:rPr>
      </w:pPr>
      <w:r w:rsidRPr="00011CBA">
        <w:rPr>
          <w:rFonts w:ascii="Times New Roman" w:hAnsi="Times New Roman" w:cs="Times New Roman"/>
          <w:b/>
          <w:color w:val="000000" w:themeColor="text1"/>
          <w:sz w:val="24"/>
          <w:szCs w:val="24"/>
        </w:rPr>
        <w:br w:type="page"/>
      </w:r>
    </w:p>
    <w:p w14:paraId="46BBEC26" w14:textId="3D32C4AE" w:rsidR="005134A9" w:rsidRPr="00011CBA" w:rsidRDefault="00E2153C" w:rsidP="00FB3AEF">
      <w:pPr>
        <w:jc w:val="center"/>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rPr>
        <w:lastRenderedPageBreak/>
        <w:drawing>
          <wp:inline distT="0" distB="0" distL="0" distR="0" wp14:anchorId="5FB0162F" wp14:editId="5D4BDD22">
            <wp:extent cx="5819775" cy="8229600"/>
            <wp:effectExtent l="0" t="0" r="9525" b="0"/>
            <wp:docPr id="17"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그림 17"/>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19775" cy="8229600"/>
                    </a:xfrm>
                    <a:prstGeom prst="rect">
                      <a:avLst/>
                    </a:prstGeom>
                  </pic:spPr>
                </pic:pic>
              </a:graphicData>
            </a:graphic>
          </wp:inline>
        </w:drawing>
      </w:r>
    </w:p>
    <w:p w14:paraId="63891430" w14:textId="1DA9F4A8" w:rsidR="003611B7" w:rsidRPr="00011CBA" w:rsidRDefault="006A3D53" w:rsidP="006A3D53">
      <w:pPr>
        <w:spacing w:line="480" w:lineRule="auto"/>
        <w:jc w:val="both"/>
        <w:rPr>
          <w:rFonts w:ascii="Times New Roman" w:hAnsi="Times New Roman" w:cs="Times New Roman"/>
          <w:color w:val="000000" w:themeColor="text1"/>
          <w:sz w:val="24"/>
          <w:szCs w:val="24"/>
        </w:rPr>
      </w:pPr>
      <w:bookmarkStart w:id="4" w:name="_Hlk203750795"/>
      <w:r w:rsidRPr="00011CBA">
        <w:rPr>
          <w:rFonts w:ascii="Times New Roman" w:eastAsia="Times New Roman" w:hAnsi="Times New Roman" w:cs="Times New Roman"/>
          <w:b/>
          <w:color w:val="000000" w:themeColor="text1"/>
          <w:sz w:val="24"/>
          <w:szCs w:val="24"/>
        </w:rPr>
        <w:lastRenderedPageBreak/>
        <w:t>Fig</w:t>
      </w:r>
      <w:bookmarkEnd w:id="4"/>
      <w:r w:rsidR="00A81B53" w:rsidRPr="00011CBA">
        <w:rPr>
          <w:rFonts w:ascii="Times New Roman" w:eastAsia="Times New Roman" w:hAnsi="Times New Roman" w:cs="Times New Roman"/>
          <w:b/>
          <w:color w:val="000000" w:themeColor="text1"/>
          <w:sz w:val="24"/>
          <w:szCs w:val="24"/>
        </w:rPr>
        <w:t xml:space="preserve"> </w:t>
      </w:r>
      <w:r w:rsidR="00037CAA" w:rsidRPr="00011CBA">
        <w:rPr>
          <w:rFonts w:ascii="Times New Roman" w:eastAsia="Times New Roman" w:hAnsi="Times New Roman" w:cs="Times New Roman"/>
          <w:b/>
          <w:color w:val="000000" w:themeColor="text1"/>
          <w:sz w:val="24"/>
          <w:szCs w:val="24"/>
        </w:rPr>
        <w:t>S</w:t>
      </w:r>
      <w:r w:rsidR="00FB3AEF" w:rsidRPr="00011CBA">
        <w:rPr>
          <w:rFonts w:ascii="Times New Roman" w:eastAsia="Times New Roman" w:hAnsi="Times New Roman" w:cs="Times New Roman"/>
          <w:b/>
          <w:color w:val="000000" w:themeColor="text1"/>
          <w:sz w:val="24"/>
          <w:szCs w:val="24"/>
        </w:rPr>
        <w:t>2</w:t>
      </w:r>
      <w:r w:rsidR="00A81B53" w:rsidRPr="00011CBA">
        <w:rPr>
          <w:rFonts w:ascii="Times New Roman" w:eastAsia="Times New Roman" w:hAnsi="Times New Roman" w:cs="Times New Roman"/>
          <w:b/>
          <w:color w:val="000000" w:themeColor="text1"/>
          <w:sz w:val="24"/>
          <w:szCs w:val="24"/>
        </w:rPr>
        <w:t xml:space="preserve">. </w:t>
      </w:r>
      <w:bookmarkStart w:id="5" w:name="_Hlk213270002"/>
      <w:r w:rsidR="00A81B53" w:rsidRPr="00011CBA">
        <w:rPr>
          <w:rFonts w:ascii="Times New Roman" w:eastAsia="Times New Roman" w:hAnsi="Times New Roman" w:cs="Times New Roman"/>
          <w:b/>
          <w:color w:val="000000" w:themeColor="text1"/>
          <w:sz w:val="24"/>
          <w:szCs w:val="24"/>
        </w:rPr>
        <w:t>Overview of proteogenomic analysis, clinical outcomes, and pathway correlations in patients with TNBC.</w:t>
      </w:r>
      <w:bookmarkEnd w:id="5"/>
      <w:r w:rsidRPr="00011CBA">
        <w:rPr>
          <w:rFonts w:ascii="Times New Roman" w:eastAsia="Times New Roman" w:hAnsi="Times New Roman" w:cs="Times New Roman"/>
          <w:b/>
          <w:color w:val="000000" w:themeColor="text1"/>
          <w:sz w:val="24"/>
          <w:szCs w:val="24"/>
        </w:rPr>
        <w:t xml:space="preserve"> </w:t>
      </w:r>
      <w:r w:rsidR="00037CAA" w:rsidRPr="00011CBA">
        <w:rPr>
          <w:rFonts w:ascii="Times New Roman" w:eastAsia="Times New Roman" w:hAnsi="Times New Roman" w:cs="Times New Roman"/>
          <w:bCs/>
          <w:color w:val="000000" w:themeColor="text1"/>
          <w:sz w:val="24"/>
          <w:szCs w:val="24"/>
        </w:rPr>
        <w:t>(</w:t>
      </w:r>
      <w:r w:rsidRPr="00011CBA">
        <w:rPr>
          <w:rFonts w:ascii="Times New Roman" w:eastAsia="Times New Roman" w:hAnsi="Times New Roman" w:cs="Times New Roman"/>
          <w:bCs/>
          <w:color w:val="000000" w:themeColor="text1"/>
          <w:sz w:val="24"/>
          <w:szCs w:val="24"/>
        </w:rPr>
        <w:t>A</w:t>
      </w:r>
      <w:r w:rsidR="00037CAA" w:rsidRPr="00011CBA">
        <w:rPr>
          <w:rFonts w:ascii="Times New Roman" w:eastAsia="Times New Roman" w:hAnsi="Times New Roman" w:cs="Times New Roman"/>
          <w:bCs/>
          <w:color w:val="000000" w:themeColor="text1"/>
          <w:sz w:val="24"/>
          <w:szCs w:val="24"/>
        </w:rPr>
        <w:t>)</w:t>
      </w:r>
      <w:r w:rsidR="00A81B53" w:rsidRPr="00011CBA">
        <w:rPr>
          <w:rFonts w:ascii="Times New Roman" w:eastAsia="Times New Roman" w:hAnsi="Times New Roman" w:cs="Times New Roman"/>
          <w:color w:val="000000" w:themeColor="text1"/>
          <w:sz w:val="24"/>
          <w:szCs w:val="24"/>
        </w:rPr>
        <w:t xml:space="preserve"> Comprehensive summary of available proteogenomic datasets for a cohort of 50 patients diagnosed with TNBC. Annotation tracks indicate patient age, tumor subtypes classified according to the Lehmann classification, and germline BRCA mutation status. Patients are grouped based on achieving pathological complete response (pCR, n=19) or not (non-pCR, n=31). Availability of DNA (whole-exome sequencing (WES)), RNA (RNA-seq), and protein (tandem mass tag (TMT)) data are indicated for each patient.</w:t>
      </w:r>
      <w:r w:rsidRPr="00011CBA">
        <w:rPr>
          <w:rFonts w:ascii="Times New Roman" w:eastAsia="Times New Roman" w:hAnsi="Times New Roman" w:cs="Times New Roman"/>
          <w:color w:val="000000" w:themeColor="text1"/>
          <w:sz w:val="24"/>
          <w:szCs w:val="24"/>
        </w:rPr>
        <w:t xml:space="preserve"> </w:t>
      </w:r>
      <w:r w:rsidR="00037CAA" w:rsidRPr="00011CBA">
        <w:rPr>
          <w:rFonts w:ascii="Times New Roman" w:eastAsia="Times New Roman" w:hAnsi="Times New Roman" w:cs="Times New Roman"/>
          <w:color w:val="000000" w:themeColor="text1"/>
          <w:sz w:val="24"/>
          <w:szCs w:val="24"/>
        </w:rPr>
        <w:t>(</w:t>
      </w:r>
      <w:r w:rsidRPr="00011CBA">
        <w:rPr>
          <w:rFonts w:ascii="Times New Roman" w:hAnsi="Times New Roman" w:cs="Times New Roman"/>
          <w:color w:val="000000" w:themeColor="text1"/>
          <w:sz w:val="24"/>
          <w:szCs w:val="24"/>
        </w:rPr>
        <w:t>B</w:t>
      </w:r>
      <w:r w:rsidR="00037CAA" w:rsidRPr="00011CBA">
        <w:rPr>
          <w:rFonts w:ascii="Times New Roman" w:hAnsi="Times New Roman" w:cs="Times New Roman"/>
          <w:color w:val="000000" w:themeColor="text1"/>
          <w:sz w:val="24"/>
          <w:szCs w:val="24"/>
        </w:rPr>
        <w:t>)</w:t>
      </w:r>
      <w:r w:rsidR="00A81B53" w:rsidRPr="00011CBA">
        <w:rPr>
          <w:rFonts w:ascii="Times New Roman" w:hAnsi="Times New Roman" w:cs="Times New Roman"/>
          <w:color w:val="000000" w:themeColor="text1"/>
          <w:sz w:val="24"/>
          <w:szCs w:val="24"/>
        </w:rPr>
        <w:t xml:space="preserve"> Kaplan–Meier disease-free survival curve for the entire cohort with a median follow-up duration of 33.24 months.</w:t>
      </w:r>
      <w:r w:rsidRPr="00011CBA">
        <w:rPr>
          <w:rFonts w:ascii="Times New Roman" w:hAnsi="Times New Roman" w:cs="Times New Roman"/>
          <w:color w:val="000000" w:themeColor="text1"/>
          <w:sz w:val="24"/>
          <w:szCs w:val="24"/>
        </w:rPr>
        <w:t xml:space="preserve"> </w:t>
      </w:r>
      <w:r w:rsidR="00037CAA" w:rsidRPr="00011CBA">
        <w:rPr>
          <w:rFonts w:ascii="Times New Roman" w:hAnsi="Times New Roman" w:cs="Times New Roman"/>
          <w:color w:val="000000" w:themeColor="text1"/>
          <w:sz w:val="24"/>
          <w:szCs w:val="24"/>
        </w:rPr>
        <w:t>(</w:t>
      </w:r>
      <w:r w:rsidRPr="00011CBA">
        <w:rPr>
          <w:rFonts w:ascii="Times New Roman" w:hAnsi="Times New Roman" w:cs="Times New Roman"/>
          <w:color w:val="000000" w:themeColor="text1"/>
          <w:sz w:val="24"/>
          <w:szCs w:val="24"/>
        </w:rPr>
        <w:t>C</w:t>
      </w:r>
      <w:r w:rsidR="00037CAA" w:rsidRPr="00011CBA">
        <w:rPr>
          <w:rFonts w:ascii="Times New Roman" w:hAnsi="Times New Roman" w:cs="Times New Roman"/>
          <w:color w:val="000000" w:themeColor="text1"/>
          <w:sz w:val="24"/>
          <w:szCs w:val="24"/>
        </w:rPr>
        <w:t>)</w:t>
      </w:r>
      <w:r w:rsidR="00A81B53" w:rsidRPr="00011CBA">
        <w:rPr>
          <w:rFonts w:ascii="Times New Roman" w:hAnsi="Times New Roman" w:cs="Times New Roman"/>
          <w:color w:val="000000" w:themeColor="text1"/>
          <w:sz w:val="24"/>
          <w:szCs w:val="24"/>
        </w:rPr>
        <w:t xml:space="preserve"> </w:t>
      </w:r>
      <w:r w:rsidR="00A81B53" w:rsidRPr="00011CBA">
        <w:rPr>
          <w:rFonts w:ascii="Times New Roman" w:eastAsia="Times New Roman" w:hAnsi="Times New Roman" w:cs="Times New Roman"/>
          <w:color w:val="000000" w:themeColor="text1"/>
          <w:sz w:val="24"/>
          <w:szCs w:val="24"/>
        </w:rPr>
        <w:t>Correlation plot comparing tumor purity estimates derived from proteomics and transcriptomics data.</w:t>
      </w:r>
      <w:r w:rsidRPr="00011CBA">
        <w:rPr>
          <w:rFonts w:ascii="Times New Roman" w:eastAsia="Times New Roman" w:hAnsi="Times New Roman" w:cs="Times New Roman"/>
          <w:color w:val="000000" w:themeColor="text1"/>
          <w:sz w:val="24"/>
          <w:szCs w:val="24"/>
        </w:rPr>
        <w:t xml:space="preserve"> </w:t>
      </w:r>
      <w:r w:rsidR="00037CAA" w:rsidRPr="00011CBA">
        <w:rPr>
          <w:rFonts w:ascii="Times New Roman" w:eastAsia="Times New Roman" w:hAnsi="Times New Roman" w:cs="Times New Roman"/>
          <w:color w:val="000000" w:themeColor="text1"/>
          <w:sz w:val="24"/>
          <w:szCs w:val="24"/>
        </w:rPr>
        <w:t>(</w:t>
      </w:r>
      <w:r w:rsidRPr="00011CBA">
        <w:rPr>
          <w:rFonts w:ascii="Times New Roman" w:hAnsi="Times New Roman" w:cs="Times New Roman"/>
          <w:color w:val="000000" w:themeColor="text1"/>
          <w:sz w:val="24"/>
          <w:szCs w:val="24"/>
        </w:rPr>
        <w:t>D</w:t>
      </w:r>
      <w:r w:rsidR="00037CAA" w:rsidRPr="00011CBA">
        <w:rPr>
          <w:rFonts w:ascii="Times New Roman" w:hAnsi="Times New Roman" w:cs="Times New Roman"/>
          <w:color w:val="000000" w:themeColor="text1"/>
          <w:sz w:val="24"/>
          <w:szCs w:val="24"/>
        </w:rPr>
        <w:t>)</w:t>
      </w:r>
      <w:r w:rsidR="00A81B53" w:rsidRPr="00011CBA">
        <w:rPr>
          <w:rFonts w:ascii="Times New Roman" w:hAnsi="Times New Roman" w:cs="Times New Roman"/>
          <w:color w:val="000000" w:themeColor="text1"/>
          <w:sz w:val="24"/>
          <w:szCs w:val="24"/>
        </w:rPr>
        <w:t xml:space="preserve"> </w:t>
      </w:r>
      <w:r w:rsidR="00510BCC" w:rsidRPr="00011CBA">
        <w:rPr>
          <w:rFonts w:ascii="Times New Roman" w:hAnsi="Times New Roman" w:cs="Times New Roman"/>
          <w:color w:val="000000" w:themeColor="text1"/>
          <w:sz w:val="24"/>
          <w:szCs w:val="24"/>
        </w:rPr>
        <w:t xml:space="preserve">Gene-wise </w:t>
      </w:r>
      <w:r w:rsidR="00A12BC2" w:rsidRPr="00011CBA">
        <w:rPr>
          <w:rFonts w:ascii="Times New Roman" w:hAnsi="Times New Roman" w:cs="Times New Roman"/>
          <w:color w:val="000000" w:themeColor="text1"/>
          <w:sz w:val="24"/>
          <w:szCs w:val="24"/>
        </w:rPr>
        <w:t xml:space="preserve">spearman rank correlation coefficients for mRNA-protein pairs (n=9,140), ranked from most negative to most positive </w:t>
      </w:r>
      <w:r w:rsidR="00510BCC" w:rsidRPr="00011CBA">
        <w:rPr>
          <w:rFonts w:ascii="Times New Roman" w:hAnsi="Times New Roman" w:cs="Times New Roman"/>
          <w:color w:val="000000" w:themeColor="text1"/>
          <w:sz w:val="24"/>
          <w:szCs w:val="24"/>
        </w:rPr>
        <w:t>(top panel).</w:t>
      </w:r>
      <w:r w:rsidR="00A81B53" w:rsidRPr="00011CBA">
        <w:rPr>
          <w:rFonts w:ascii="Times New Roman" w:hAnsi="Times New Roman" w:cs="Times New Roman"/>
          <w:color w:val="000000" w:themeColor="text1"/>
          <w:sz w:val="24"/>
          <w:szCs w:val="24"/>
        </w:rPr>
        <w:t xml:space="preserve"> Overall, 93.8% of genes</w:t>
      </w:r>
      <w:r w:rsidR="00A12BC2" w:rsidRPr="00011CBA">
        <w:rPr>
          <w:rFonts w:ascii="Times New Roman" w:hAnsi="Times New Roman" w:cs="Times New Roman"/>
          <w:color w:val="000000" w:themeColor="text1"/>
          <w:sz w:val="24"/>
          <w:szCs w:val="24"/>
        </w:rPr>
        <w:t xml:space="preserve"> (n=8,573)</w:t>
      </w:r>
      <w:r w:rsidR="00A81B53" w:rsidRPr="00011CBA">
        <w:rPr>
          <w:rFonts w:ascii="Times New Roman" w:hAnsi="Times New Roman" w:cs="Times New Roman"/>
          <w:color w:val="000000" w:themeColor="text1"/>
          <w:sz w:val="24"/>
          <w:szCs w:val="24"/>
        </w:rPr>
        <w:t xml:space="preserve"> exhibited a positive correlation, with 62.0%</w:t>
      </w:r>
      <w:r w:rsidR="00A12BC2" w:rsidRPr="00011CBA">
        <w:rPr>
          <w:rFonts w:ascii="Times New Roman" w:hAnsi="Times New Roman" w:cs="Times New Roman"/>
          <w:color w:val="000000" w:themeColor="text1"/>
          <w:sz w:val="24"/>
          <w:szCs w:val="24"/>
        </w:rPr>
        <w:t xml:space="preserve"> (n=5,667)</w:t>
      </w:r>
      <w:r w:rsidR="00A81B53" w:rsidRPr="00011CBA">
        <w:rPr>
          <w:rFonts w:ascii="Times New Roman" w:hAnsi="Times New Roman" w:cs="Times New Roman"/>
          <w:color w:val="000000" w:themeColor="text1"/>
          <w:sz w:val="24"/>
          <w:szCs w:val="24"/>
        </w:rPr>
        <w:t xml:space="preserve"> demonstrating significant positive correlations (</w:t>
      </w:r>
      <w:r w:rsidR="00037CAA" w:rsidRPr="00011CBA">
        <w:rPr>
          <w:rFonts w:ascii="Times New Roman" w:hAnsi="Times New Roman" w:cs="Times New Roman"/>
          <w:i/>
          <w:iCs/>
          <w:color w:val="000000" w:themeColor="text1"/>
          <w:sz w:val="24"/>
          <w:szCs w:val="24"/>
        </w:rPr>
        <w:t xml:space="preserve">P </w:t>
      </w:r>
      <w:r w:rsidR="00A81B53" w:rsidRPr="00011CBA">
        <w:rPr>
          <w:rFonts w:ascii="Times New Roman" w:hAnsi="Times New Roman" w:cs="Times New Roman"/>
          <w:color w:val="000000" w:themeColor="text1"/>
          <w:sz w:val="24"/>
          <w:szCs w:val="24"/>
        </w:rPr>
        <w:t>&lt;</w:t>
      </w:r>
      <w:r w:rsidR="00037CAA" w:rsidRPr="00011CBA">
        <w:rPr>
          <w:rFonts w:ascii="Times New Roman" w:hAnsi="Times New Roman" w:cs="Times New Roman"/>
          <w:color w:val="000000" w:themeColor="text1"/>
          <w:sz w:val="24"/>
          <w:szCs w:val="24"/>
        </w:rPr>
        <w:t xml:space="preserve"> </w:t>
      </w:r>
      <w:r w:rsidR="00A81B53" w:rsidRPr="00011CBA">
        <w:rPr>
          <w:rFonts w:ascii="Times New Roman" w:hAnsi="Times New Roman" w:cs="Times New Roman"/>
          <w:color w:val="000000" w:themeColor="text1"/>
          <w:sz w:val="24"/>
          <w:szCs w:val="24"/>
        </w:rPr>
        <w:t>0.01).</w:t>
      </w:r>
      <w:r w:rsidR="00A12BC2" w:rsidRPr="00011CBA">
        <w:rPr>
          <w:rFonts w:ascii="Times New Roman" w:hAnsi="Times New Roman" w:cs="Times New Roman"/>
          <w:color w:val="000000" w:themeColor="text1"/>
          <w:sz w:val="24"/>
          <w:szCs w:val="24"/>
        </w:rPr>
        <w:t xml:space="preserve"> For the gene set enrichment analysis (GSEA) shown in the middle and bottom panels, genes were ranked according to their Spearman correlation coefficients, and GSEA was performed </w:t>
      </w:r>
      <w:r w:rsidR="00A81B53" w:rsidRPr="00011CBA">
        <w:rPr>
          <w:rFonts w:ascii="Times New Roman" w:hAnsi="Times New Roman" w:cs="Times New Roman"/>
          <w:color w:val="000000" w:themeColor="text1"/>
          <w:sz w:val="24"/>
          <w:szCs w:val="24"/>
        </w:rPr>
        <w:t>the Kyoto Encyclopedia of Genes and Genomes (KEGG) pathways</w:t>
      </w:r>
      <w:r w:rsidR="00A12BC2" w:rsidRPr="00011CBA">
        <w:rPr>
          <w:rFonts w:ascii="Times New Roman" w:hAnsi="Times New Roman" w:cs="Times New Roman"/>
          <w:color w:val="000000" w:themeColor="text1"/>
          <w:sz w:val="24"/>
          <w:szCs w:val="24"/>
        </w:rPr>
        <w:t xml:space="preserve"> annotations.</w:t>
      </w:r>
      <w:r w:rsidR="00A81B53" w:rsidRPr="00011CBA">
        <w:rPr>
          <w:rFonts w:ascii="Times New Roman" w:hAnsi="Times New Roman" w:cs="Times New Roman"/>
          <w:color w:val="000000" w:themeColor="text1"/>
          <w:sz w:val="24"/>
          <w:szCs w:val="24"/>
        </w:rPr>
        <w:t xml:space="preserve"> </w:t>
      </w:r>
      <w:r w:rsidR="00A12BC2" w:rsidRPr="00011CBA">
        <w:rPr>
          <w:rFonts w:ascii="Times New Roman" w:hAnsi="Times New Roman" w:cs="Times New Roman"/>
          <w:color w:val="000000" w:themeColor="text1"/>
          <w:sz w:val="24"/>
          <w:szCs w:val="24"/>
        </w:rPr>
        <w:t xml:space="preserve">The middle panel highlights genes from pathways significantly enriched among positively correlated genes, while the bottom panel shows pathways enriched in negatively correlated genes. </w:t>
      </w:r>
      <w:r w:rsidR="00037CAA" w:rsidRPr="00011CBA">
        <w:rPr>
          <w:rFonts w:ascii="Times New Roman" w:hAnsi="Times New Roman" w:cs="Times New Roman"/>
          <w:color w:val="000000" w:themeColor="text1"/>
          <w:sz w:val="24"/>
          <w:szCs w:val="24"/>
        </w:rPr>
        <w:t>(E)</w:t>
      </w:r>
      <w:r w:rsidR="0014520C" w:rsidRPr="00011CBA">
        <w:rPr>
          <w:rFonts w:ascii="Times New Roman" w:hAnsi="Times New Roman" w:cs="Times New Roman"/>
          <w:color w:val="000000" w:themeColor="text1"/>
          <w:sz w:val="24"/>
          <w:szCs w:val="24"/>
        </w:rPr>
        <w:t xml:space="preserve"> </w:t>
      </w:r>
      <w:r w:rsidR="0014520C" w:rsidRPr="00011CBA">
        <w:rPr>
          <w:rFonts w:ascii="Times New Roman" w:eastAsia="Times New Roman" w:hAnsi="Times New Roman" w:cs="Times New Roman"/>
          <w:color w:val="000000" w:themeColor="text1"/>
          <w:sz w:val="24"/>
          <w:szCs w:val="24"/>
        </w:rPr>
        <w:t>Bar plots presenting the top KEGG pathways enriched among positively correlated genes (left panel) and negatively correlated genes (right panel).</w:t>
      </w:r>
    </w:p>
    <w:p w14:paraId="1E641997" w14:textId="77777777" w:rsidR="006A3D53" w:rsidRPr="00011CBA" w:rsidRDefault="006A3D53">
      <w:pPr>
        <w:rPr>
          <w:rFonts w:ascii="Times New Roman" w:eastAsia="Times New Roman" w:hAnsi="Times New Roman" w:cs="Times New Roman"/>
          <w:b/>
          <w:color w:val="000000" w:themeColor="text1"/>
          <w:sz w:val="24"/>
          <w:szCs w:val="24"/>
        </w:rPr>
      </w:pPr>
      <w:r w:rsidRPr="00011CBA">
        <w:rPr>
          <w:rFonts w:ascii="Times New Roman" w:eastAsia="Times New Roman" w:hAnsi="Times New Roman" w:cs="Times New Roman"/>
          <w:b/>
          <w:color w:val="000000" w:themeColor="text1"/>
          <w:sz w:val="24"/>
          <w:szCs w:val="24"/>
        </w:rPr>
        <w:br w:type="page"/>
      </w:r>
    </w:p>
    <w:p w14:paraId="4F0E2BBF" w14:textId="77777777" w:rsidR="007B1884" w:rsidRPr="00011CBA" w:rsidRDefault="007B1884" w:rsidP="00535236">
      <w:pPr>
        <w:spacing w:line="480" w:lineRule="auto"/>
        <w:jc w:val="both"/>
        <w:rPr>
          <w:rFonts w:ascii="Times New Roman" w:hAnsi="Times New Roman" w:cs="Times New Roman"/>
          <w:b/>
          <w:color w:val="000000" w:themeColor="text1"/>
          <w:sz w:val="24"/>
          <w:szCs w:val="24"/>
        </w:rPr>
      </w:pPr>
      <w:r w:rsidRPr="00011CBA">
        <w:rPr>
          <w:rFonts w:ascii="Times New Roman" w:hAnsi="Times New Roman" w:cs="Times New Roman"/>
          <w:noProof/>
          <w:color w:val="000000" w:themeColor="text1"/>
        </w:rPr>
        <w:lastRenderedPageBreak/>
        <w:drawing>
          <wp:inline distT="0" distB="0" distL="0" distR="0" wp14:anchorId="13721314" wp14:editId="1A529433">
            <wp:extent cx="2521075" cy="3060000"/>
            <wp:effectExtent l="0" t="0" r="0" b="7620"/>
            <wp:docPr id="304828552" name="그림 1" descr="텍스트, 스크린샷, 다채로움, 라인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828552" name="그림 1" descr="텍스트, 스크린샷, 다채로움, 라인이(가) 표시된 사진&#10;&#10;AI 생성 콘텐츠는 정확하지 않을 수 있습니다."/>
                    <pic:cNvPicPr/>
                  </pic:nvPicPr>
                  <pic:blipFill>
                    <a:blip r:embed="rId10"/>
                    <a:stretch>
                      <a:fillRect/>
                    </a:stretch>
                  </pic:blipFill>
                  <pic:spPr>
                    <a:xfrm>
                      <a:off x="0" y="0"/>
                      <a:ext cx="2521075" cy="3060000"/>
                    </a:xfrm>
                    <a:prstGeom prst="rect">
                      <a:avLst/>
                    </a:prstGeom>
                  </pic:spPr>
                </pic:pic>
              </a:graphicData>
            </a:graphic>
          </wp:inline>
        </w:drawing>
      </w:r>
    </w:p>
    <w:p w14:paraId="644FAC77" w14:textId="352057B0" w:rsidR="007B1884" w:rsidRPr="00011CBA" w:rsidRDefault="007B1884" w:rsidP="00535236">
      <w:pPr>
        <w:spacing w:line="480" w:lineRule="auto"/>
        <w:jc w:val="both"/>
        <w:rPr>
          <w:rFonts w:ascii="Times New Roman" w:hAnsi="Times New Roman" w:cs="Times New Roman"/>
          <w:bCs/>
          <w:color w:val="000000" w:themeColor="text1"/>
          <w:sz w:val="24"/>
          <w:szCs w:val="24"/>
        </w:rPr>
      </w:pPr>
      <w:bookmarkStart w:id="6" w:name="_Hlk213317912"/>
      <w:r w:rsidRPr="00011CBA">
        <w:rPr>
          <w:rFonts w:ascii="Times New Roman" w:eastAsia="Times New Roman" w:hAnsi="Times New Roman" w:cs="Times New Roman"/>
          <w:b/>
          <w:color w:val="000000" w:themeColor="text1"/>
          <w:sz w:val="24"/>
          <w:szCs w:val="24"/>
        </w:rPr>
        <w:t>Fig S3. Comparison of NMF-defined proteogenomic clusters with Fudan TNBC classification.</w:t>
      </w:r>
      <w:r w:rsidRPr="00011CBA">
        <w:rPr>
          <w:rFonts w:ascii="Times New Roman" w:eastAsia="Times New Roman" w:hAnsi="Times New Roman" w:cs="Times New Roman"/>
          <w:bCs/>
          <w:color w:val="000000" w:themeColor="text1"/>
          <w:sz w:val="24"/>
          <w:szCs w:val="24"/>
        </w:rPr>
        <w:t xml:space="preserve"> Each tumor in the cohort was assigned to one of the four Fudan transcriptomic subtypes—immune-modulatory (IM), basal-like immunosuppressive (BLIS), mesenchymal (MES), and luminal-androgen receptor (LAR)—based on RNA-seq profiles. The stacked bar plots show the proportion of Fudan subtypes within each NMF-defined cluster. </w:t>
      </w:r>
    </w:p>
    <w:bookmarkEnd w:id="6"/>
    <w:p w14:paraId="6810D203" w14:textId="008E0B2F" w:rsidR="007B1884" w:rsidRPr="00011CBA" w:rsidRDefault="007B1884" w:rsidP="00535236">
      <w:pPr>
        <w:spacing w:line="480" w:lineRule="auto"/>
        <w:jc w:val="both"/>
        <w:rPr>
          <w:rFonts w:ascii="Times New Roman" w:eastAsia="Times New Roman" w:hAnsi="Times New Roman" w:cs="Times New Roman"/>
          <w:b/>
          <w:color w:val="000000" w:themeColor="text1"/>
          <w:sz w:val="24"/>
          <w:szCs w:val="24"/>
        </w:rPr>
      </w:pPr>
      <w:r w:rsidRPr="00011CBA">
        <w:rPr>
          <w:rFonts w:ascii="Times New Roman" w:eastAsia="Times New Roman" w:hAnsi="Times New Roman" w:cs="Times New Roman"/>
          <w:b/>
          <w:color w:val="000000" w:themeColor="text1"/>
          <w:sz w:val="24"/>
          <w:szCs w:val="24"/>
        </w:rPr>
        <w:br w:type="page"/>
      </w:r>
    </w:p>
    <w:p w14:paraId="49106445" w14:textId="21FFA95B" w:rsidR="006A3D53" w:rsidRPr="00011CBA" w:rsidRDefault="00C96D28" w:rsidP="006A3D53">
      <w:pPr>
        <w:spacing w:line="480" w:lineRule="auto"/>
        <w:jc w:val="center"/>
        <w:rPr>
          <w:rFonts w:ascii="Times New Roman" w:eastAsia="Times New Roman" w:hAnsi="Times New Roman" w:cs="Times New Roman"/>
          <w:b/>
          <w:color w:val="000000" w:themeColor="text1"/>
          <w:sz w:val="24"/>
          <w:szCs w:val="24"/>
        </w:rPr>
      </w:pPr>
      <w:r w:rsidRPr="00011CBA">
        <w:rPr>
          <w:rFonts w:ascii="Times New Roman" w:eastAsia="Times New Roman" w:hAnsi="Times New Roman" w:cs="Times New Roman"/>
          <w:b/>
          <w:noProof/>
          <w:color w:val="000000" w:themeColor="text1"/>
          <w:sz w:val="24"/>
          <w:szCs w:val="24"/>
        </w:rPr>
        <w:lastRenderedPageBreak/>
        <w:drawing>
          <wp:inline distT="0" distB="0" distL="0" distR="0" wp14:anchorId="231C56DF" wp14:editId="7A9DD35E">
            <wp:extent cx="5819140" cy="8229600"/>
            <wp:effectExtent l="0" t="0" r="0" b="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그림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p>
    <w:p w14:paraId="059B7F23" w14:textId="0FF31AFD" w:rsidR="00D26F07" w:rsidRPr="00011CBA" w:rsidRDefault="006A3D53" w:rsidP="00FB3AEF">
      <w:pPr>
        <w:spacing w:line="480" w:lineRule="auto"/>
        <w:jc w:val="both"/>
        <w:rPr>
          <w:rFonts w:ascii="Times New Roman" w:hAnsi="Times New Roman" w:cs="Times New Roman"/>
          <w:color w:val="000000" w:themeColor="text1"/>
          <w:sz w:val="24"/>
          <w:szCs w:val="24"/>
        </w:rPr>
      </w:pPr>
      <w:bookmarkStart w:id="7" w:name="_Hlk213261246"/>
      <w:r w:rsidRPr="00011CBA">
        <w:rPr>
          <w:rFonts w:ascii="Times New Roman" w:eastAsia="Times New Roman" w:hAnsi="Times New Roman" w:cs="Times New Roman"/>
          <w:b/>
          <w:color w:val="000000" w:themeColor="text1"/>
          <w:sz w:val="24"/>
          <w:szCs w:val="24"/>
        </w:rPr>
        <w:lastRenderedPageBreak/>
        <w:t xml:space="preserve">Fig </w:t>
      </w:r>
      <w:r w:rsidR="00B548AE" w:rsidRPr="00011CBA">
        <w:rPr>
          <w:rFonts w:ascii="Times New Roman" w:eastAsia="Times New Roman" w:hAnsi="Times New Roman" w:cs="Times New Roman"/>
          <w:b/>
          <w:color w:val="000000" w:themeColor="text1"/>
          <w:sz w:val="24"/>
          <w:szCs w:val="24"/>
        </w:rPr>
        <w:t>S4</w:t>
      </w:r>
      <w:r w:rsidR="00221521" w:rsidRPr="00011CBA">
        <w:rPr>
          <w:rFonts w:ascii="Times New Roman" w:eastAsia="Times New Roman" w:hAnsi="Times New Roman" w:cs="Times New Roman"/>
          <w:b/>
          <w:color w:val="000000" w:themeColor="text1"/>
          <w:sz w:val="24"/>
          <w:szCs w:val="24"/>
        </w:rPr>
        <w:t xml:space="preserve">. </w:t>
      </w:r>
      <w:bookmarkStart w:id="8" w:name="_Hlk213273768"/>
      <w:r w:rsidR="00221521" w:rsidRPr="00011CBA">
        <w:rPr>
          <w:rFonts w:ascii="Times New Roman" w:eastAsia="Times New Roman" w:hAnsi="Times New Roman" w:cs="Times New Roman"/>
          <w:b/>
          <w:color w:val="000000" w:themeColor="text1"/>
          <w:sz w:val="24"/>
          <w:szCs w:val="24"/>
        </w:rPr>
        <w:t>Gene set variation analysis (GSVA) of transcriptomic and proteomic profiles stratified by NMF clusters.</w:t>
      </w:r>
      <w:bookmarkEnd w:id="8"/>
      <w:r w:rsidRPr="00011CBA">
        <w:rPr>
          <w:rFonts w:ascii="Times New Roman" w:eastAsia="Times New Roman" w:hAnsi="Times New Roman" w:cs="Times New Roman"/>
          <w:bCs/>
          <w:color w:val="000000" w:themeColor="text1"/>
          <w:sz w:val="24"/>
          <w:szCs w:val="24"/>
        </w:rPr>
        <w:t xml:space="preserve"> </w:t>
      </w:r>
      <w:r w:rsidR="00037CAA" w:rsidRPr="00011CBA">
        <w:rPr>
          <w:rFonts w:ascii="Times New Roman" w:eastAsia="Times New Roman" w:hAnsi="Times New Roman" w:cs="Times New Roman"/>
          <w:bCs/>
          <w:color w:val="000000" w:themeColor="text1"/>
          <w:sz w:val="24"/>
          <w:szCs w:val="24"/>
        </w:rPr>
        <w:t>(A)</w:t>
      </w:r>
      <w:r w:rsidR="00221521" w:rsidRPr="00011CBA">
        <w:rPr>
          <w:rFonts w:ascii="Times New Roman" w:eastAsia="Times New Roman" w:hAnsi="Times New Roman" w:cs="Times New Roman"/>
          <w:color w:val="000000" w:themeColor="text1"/>
          <w:sz w:val="24"/>
          <w:szCs w:val="24"/>
        </w:rPr>
        <w:t xml:space="preserve"> GSVA based on </w:t>
      </w:r>
      <w:r w:rsidR="004662C1" w:rsidRPr="00011CBA">
        <w:rPr>
          <w:rFonts w:ascii="Times New Roman" w:eastAsia="Times New Roman" w:hAnsi="Times New Roman" w:cs="Times New Roman"/>
          <w:color w:val="000000" w:themeColor="text1"/>
          <w:sz w:val="24"/>
          <w:szCs w:val="24"/>
        </w:rPr>
        <w:t xml:space="preserve">z-score normalized </w:t>
      </w:r>
      <w:r w:rsidR="00221521" w:rsidRPr="00011CBA">
        <w:rPr>
          <w:rFonts w:ascii="Times New Roman" w:eastAsia="Times New Roman" w:hAnsi="Times New Roman" w:cs="Times New Roman"/>
          <w:color w:val="000000" w:themeColor="text1"/>
          <w:sz w:val="24"/>
          <w:szCs w:val="24"/>
        </w:rPr>
        <w:t>RNA sequencing data showing Hallmark pathway enrichment across the five NMF-defined clusters.</w:t>
      </w:r>
      <w:r w:rsidRPr="00011CBA">
        <w:rPr>
          <w:rFonts w:ascii="Times New Roman" w:eastAsia="Times New Roman" w:hAnsi="Times New Roman" w:cs="Times New Roman"/>
          <w:color w:val="000000" w:themeColor="text1"/>
          <w:sz w:val="24"/>
          <w:szCs w:val="24"/>
        </w:rPr>
        <w:t xml:space="preserve"> </w:t>
      </w:r>
      <w:r w:rsidR="00037CAA" w:rsidRPr="00011CBA">
        <w:rPr>
          <w:rFonts w:ascii="Times New Roman" w:eastAsia="Times New Roman" w:hAnsi="Times New Roman" w:cs="Times New Roman"/>
          <w:color w:val="000000" w:themeColor="text1"/>
          <w:sz w:val="24"/>
          <w:szCs w:val="24"/>
        </w:rPr>
        <w:t>(B)</w:t>
      </w:r>
      <w:r w:rsidR="00221521" w:rsidRPr="00011CBA">
        <w:rPr>
          <w:rFonts w:ascii="Times New Roman" w:eastAsia="Times New Roman" w:hAnsi="Times New Roman" w:cs="Times New Roman"/>
          <w:color w:val="000000" w:themeColor="text1"/>
          <w:sz w:val="24"/>
          <w:szCs w:val="24"/>
        </w:rPr>
        <w:t xml:space="preserve"> GSVA based on</w:t>
      </w:r>
      <w:r w:rsidR="004662C1" w:rsidRPr="00011CBA">
        <w:rPr>
          <w:rFonts w:ascii="Times New Roman" w:eastAsia="Times New Roman" w:hAnsi="Times New Roman" w:cs="Times New Roman"/>
          <w:color w:val="000000" w:themeColor="text1"/>
          <w:sz w:val="24"/>
          <w:szCs w:val="24"/>
        </w:rPr>
        <w:t xml:space="preserve"> z-score normalized</w:t>
      </w:r>
      <w:r w:rsidR="00221521" w:rsidRPr="00011CBA">
        <w:rPr>
          <w:rFonts w:ascii="Times New Roman" w:eastAsia="Times New Roman" w:hAnsi="Times New Roman" w:cs="Times New Roman"/>
          <w:color w:val="000000" w:themeColor="text1"/>
          <w:sz w:val="24"/>
          <w:szCs w:val="24"/>
        </w:rPr>
        <w:t xml:space="preserve"> global proteomics data showing corresponding pathway activity across the </w:t>
      </w:r>
      <w:r w:rsidR="00D26F07" w:rsidRPr="00011CBA">
        <w:rPr>
          <w:rFonts w:ascii="Times New Roman" w:eastAsia="Times New Roman" w:hAnsi="Times New Roman" w:cs="Times New Roman"/>
          <w:color w:val="000000" w:themeColor="text1"/>
          <w:sz w:val="24"/>
          <w:szCs w:val="24"/>
        </w:rPr>
        <w:t xml:space="preserve">five </w:t>
      </w:r>
      <w:r w:rsidR="00221521" w:rsidRPr="00011CBA">
        <w:rPr>
          <w:rFonts w:ascii="Times New Roman" w:eastAsia="Times New Roman" w:hAnsi="Times New Roman" w:cs="Times New Roman"/>
          <w:color w:val="000000" w:themeColor="text1"/>
          <w:sz w:val="24"/>
          <w:szCs w:val="24"/>
        </w:rPr>
        <w:t>NMF</w:t>
      </w:r>
      <w:r w:rsidR="00D26F07" w:rsidRPr="00011CBA">
        <w:rPr>
          <w:rFonts w:ascii="Times New Roman" w:eastAsia="Times New Roman" w:hAnsi="Times New Roman" w:cs="Times New Roman"/>
          <w:color w:val="000000" w:themeColor="text1"/>
          <w:sz w:val="24"/>
          <w:szCs w:val="24"/>
        </w:rPr>
        <w:t xml:space="preserve">-defined </w:t>
      </w:r>
      <w:r w:rsidR="00221521" w:rsidRPr="00011CBA">
        <w:rPr>
          <w:rFonts w:ascii="Times New Roman" w:eastAsia="Times New Roman" w:hAnsi="Times New Roman" w:cs="Times New Roman"/>
          <w:color w:val="000000" w:themeColor="text1"/>
          <w:sz w:val="24"/>
          <w:szCs w:val="24"/>
        </w:rPr>
        <w:t>clusters.</w:t>
      </w:r>
    </w:p>
    <w:bookmarkEnd w:id="7"/>
    <w:p w14:paraId="2A38123A" w14:textId="77777777" w:rsidR="00D26F07" w:rsidRPr="00011CBA" w:rsidRDefault="00D26F07" w:rsidP="00FB3AEF">
      <w:pPr>
        <w:jc w:val="both"/>
        <w:rPr>
          <w:rFonts w:ascii="Times New Roman" w:hAnsi="Times New Roman" w:cs="Times New Roman"/>
          <w:color w:val="000000" w:themeColor="text1"/>
          <w:sz w:val="24"/>
          <w:szCs w:val="24"/>
        </w:rPr>
      </w:pPr>
      <w:r w:rsidRPr="00011CBA">
        <w:rPr>
          <w:rFonts w:ascii="Times New Roman" w:hAnsi="Times New Roman" w:cs="Times New Roman"/>
          <w:color w:val="000000" w:themeColor="text1"/>
          <w:sz w:val="24"/>
          <w:szCs w:val="24"/>
        </w:rPr>
        <w:br w:type="page"/>
      </w:r>
    </w:p>
    <w:p w14:paraId="2F7CE956" w14:textId="771C8526" w:rsidR="00736429" w:rsidRPr="00011CBA" w:rsidRDefault="00330BB8" w:rsidP="00BA5926">
      <w:pPr>
        <w:jc w:val="center"/>
        <w:rPr>
          <w:rFonts w:ascii="Times New Roman" w:hAnsi="Times New Roman" w:cs="Times New Roman"/>
          <w:b/>
          <w:color w:val="000000" w:themeColor="text1"/>
          <w:sz w:val="24"/>
          <w:szCs w:val="24"/>
        </w:rPr>
      </w:pPr>
      <w:r w:rsidRPr="00011CBA">
        <w:rPr>
          <w:rFonts w:ascii="Times New Roman" w:hAnsi="Times New Roman" w:cs="Times New Roman" w:hint="eastAsia"/>
          <w:b/>
          <w:noProof/>
          <w:color w:val="000000" w:themeColor="text1"/>
          <w:sz w:val="24"/>
          <w:szCs w:val="24"/>
        </w:rPr>
        <w:lastRenderedPageBreak/>
        <w:drawing>
          <wp:inline distT="0" distB="0" distL="0" distR="0" wp14:anchorId="1C2CEC3B" wp14:editId="489DC367">
            <wp:extent cx="5817870" cy="6854024"/>
            <wp:effectExtent l="0" t="0" r="0" b="4445"/>
            <wp:docPr id="11" name="그림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그림 11"/>
                    <pic:cNvPicPr/>
                  </pic:nvPicPr>
                  <pic:blipFill rotWithShape="1">
                    <a:blip r:embed="rId12">
                      <a:extLst>
                        <a:ext uri="{28A0092B-C50C-407E-A947-70E740481C1C}">
                          <a14:useLocalDpi xmlns:a14="http://schemas.microsoft.com/office/drawing/2010/main" val="0"/>
                        </a:ext>
                      </a:extLst>
                    </a:blip>
                    <a:srcRect b="16715"/>
                    <a:stretch/>
                  </pic:blipFill>
                  <pic:spPr bwMode="auto">
                    <a:xfrm>
                      <a:off x="0" y="0"/>
                      <a:ext cx="5817870" cy="6854024"/>
                    </a:xfrm>
                    <a:prstGeom prst="rect">
                      <a:avLst/>
                    </a:prstGeom>
                    <a:ln>
                      <a:noFill/>
                    </a:ln>
                    <a:extLst>
                      <a:ext uri="{53640926-AAD7-44D8-BBD7-CCE9431645EC}">
                        <a14:shadowObscured xmlns:a14="http://schemas.microsoft.com/office/drawing/2010/main"/>
                      </a:ext>
                    </a:extLst>
                  </pic:spPr>
                </pic:pic>
              </a:graphicData>
            </a:graphic>
          </wp:inline>
        </w:drawing>
      </w:r>
    </w:p>
    <w:p w14:paraId="17A22EC9" w14:textId="2382D9DC" w:rsidR="00736429" w:rsidRPr="00011CBA" w:rsidRDefault="00736429" w:rsidP="00736429">
      <w:pPr>
        <w:spacing w:line="480" w:lineRule="auto"/>
        <w:jc w:val="both"/>
        <w:rPr>
          <w:rFonts w:ascii="Times New Roman" w:hAnsi="Times New Roman" w:cs="Times New Roman"/>
          <w:color w:val="000000" w:themeColor="text1"/>
          <w:sz w:val="24"/>
          <w:szCs w:val="24"/>
        </w:rPr>
      </w:pPr>
      <w:r w:rsidRPr="00011CBA">
        <w:rPr>
          <w:rFonts w:ascii="Times New Roman" w:eastAsia="Times New Roman" w:hAnsi="Times New Roman" w:cs="Times New Roman"/>
          <w:b/>
          <w:color w:val="000000" w:themeColor="text1"/>
          <w:sz w:val="24"/>
          <w:szCs w:val="24"/>
        </w:rPr>
        <w:t xml:space="preserve">Fig </w:t>
      </w:r>
      <w:r w:rsidR="00B548AE" w:rsidRPr="00011CBA">
        <w:rPr>
          <w:rFonts w:ascii="Times New Roman" w:eastAsia="Times New Roman" w:hAnsi="Times New Roman" w:cs="Times New Roman"/>
          <w:b/>
          <w:color w:val="000000" w:themeColor="text1"/>
          <w:sz w:val="24"/>
          <w:szCs w:val="24"/>
        </w:rPr>
        <w:t>S5</w:t>
      </w:r>
      <w:r w:rsidRPr="00011CBA">
        <w:rPr>
          <w:rFonts w:ascii="Times New Roman" w:eastAsia="Times New Roman" w:hAnsi="Times New Roman" w:cs="Times New Roman"/>
          <w:b/>
          <w:color w:val="000000" w:themeColor="text1"/>
          <w:sz w:val="24"/>
          <w:szCs w:val="24"/>
        </w:rPr>
        <w:t xml:space="preserve">. </w:t>
      </w:r>
      <w:bookmarkStart w:id="9" w:name="_Hlk213273782"/>
      <w:r w:rsidRPr="00011CBA">
        <w:rPr>
          <w:rFonts w:ascii="Times New Roman" w:eastAsia="Times New Roman" w:hAnsi="Times New Roman" w:cs="Times New Roman"/>
          <w:b/>
          <w:color w:val="000000" w:themeColor="text1"/>
          <w:sz w:val="24"/>
          <w:szCs w:val="24"/>
        </w:rPr>
        <w:t>External validation of the proteogenomic TNBC classification in the METABRIC cohort.</w:t>
      </w:r>
      <w:bookmarkEnd w:id="9"/>
      <w:r w:rsidRPr="00011CBA">
        <w:rPr>
          <w:rFonts w:ascii="Times New Roman" w:eastAsia="Times New Roman" w:hAnsi="Times New Roman" w:cs="Times New Roman"/>
          <w:bCs/>
          <w:color w:val="000000" w:themeColor="text1"/>
          <w:sz w:val="24"/>
          <w:szCs w:val="24"/>
        </w:rPr>
        <w:t xml:space="preserve"> (A)</w:t>
      </w:r>
      <w:r w:rsidRPr="00011CBA">
        <w:rPr>
          <w:rFonts w:ascii="Times New Roman" w:eastAsia="Times New Roman" w:hAnsi="Times New Roman" w:cs="Times New Roman"/>
          <w:color w:val="000000" w:themeColor="text1"/>
          <w:sz w:val="24"/>
          <w:szCs w:val="24"/>
        </w:rPr>
        <w:t xml:space="preserve"> </w:t>
      </w:r>
      <w:r w:rsidRPr="00011CBA">
        <w:rPr>
          <w:rFonts w:ascii="Times New Roman" w:eastAsia="Times New Roman" w:hAnsi="Times New Roman" w:cs="Times New Roman" w:hint="eastAsia"/>
          <w:color w:val="000000" w:themeColor="text1"/>
          <w:sz w:val="24"/>
          <w:szCs w:val="24"/>
        </w:rPr>
        <w:t xml:space="preserve">K-means clustering of METABRIC TNBC tumors (n = 258) using DEGs derived from the five NMF-based proteogenomic clusters. Differentially expressed genes (adjusted </w:t>
      </w:r>
      <w:r w:rsidRPr="00011CBA">
        <w:rPr>
          <w:rFonts w:ascii="Times New Roman" w:eastAsia="Times New Roman" w:hAnsi="Times New Roman" w:cs="Times New Roman" w:hint="eastAsia"/>
          <w:i/>
          <w:iCs/>
          <w:color w:val="000000" w:themeColor="text1"/>
          <w:sz w:val="24"/>
          <w:szCs w:val="24"/>
        </w:rPr>
        <w:t>P</w:t>
      </w:r>
      <w:r w:rsidRPr="00011CBA">
        <w:rPr>
          <w:rFonts w:ascii="Times New Roman" w:eastAsia="Times New Roman" w:hAnsi="Times New Roman" w:cs="Times New Roman" w:hint="eastAsia"/>
          <w:color w:val="000000" w:themeColor="text1"/>
          <w:sz w:val="24"/>
          <w:szCs w:val="24"/>
        </w:rPr>
        <w:t xml:space="preserve"> &lt; 0.05 and |log₂ fold change| &gt; 1) from each NMF cluster were applied to the METABRIC TNBC da</w:t>
      </w:r>
      <w:r w:rsidRPr="00011CBA">
        <w:rPr>
          <w:rFonts w:ascii="Times New Roman" w:eastAsia="Times New Roman" w:hAnsi="Times New Roman" w:cs="Times New Roman"/>
          <w:color w:val="000000" w:themeColor="text1"/>
          <w:sz w:val="24"/>
          <w:szCs w:val="24"/>
        </w:rPr>
        <w:t xml:space="preserve">taset. Of </w:t>
      </w:r>
      <w:r w:rsidRPr="00011CBA">
        <w:rPr>
          <w:rFonts w:ascii="Times New Roman" w:eastAsia="Times New Roman" w:hAnsi="Times New Roman" w:cs="Times New Roman"/>
          <w:color w:val="000000" w:themeColor="text1"/>
          <w:sz w:val="24"/>
          <w:szCs w:val="24"/>
        </w:rPr>
        <w:lastRenderedPageBreak/>
        <w:t>the 258 TNBC tumors, 197 (76.3%) were assigned to one of the five clusters</w:t>
      </w:r>
      <w:r w:rsidR="006D0CB6" w:rsidRPr="00011CBA">
        <w:rPr>
          <w:rFonts w:ascii="Times New Roman" w:hAnsi="Times New Roman" w:cs="Times New Roman" w:hint="eastAsia"/>
          <w:color w:val="000000" w:themeColor="text1"/>
          <w:sz w:val="24"/>
          <w:szCs w:val="24"/>
        </w:rPr>
        <w:t>.</w:t>
      </w:r>
      <w:r w:rsidRPr="00011CBA">
        <w:rPr>
          <w:rFonts w:ascii="Times New Roman" w:eastAsia="Times New Roman" w:hAnsi="Times New Roman" w:cs="Times New Roman"/>
          <w:color w:val="000000" w:themeColor="text1"/>
          <w:sz w:val="24"/>
          <w:szCs w:val="24"/>
        </w:rPr>
        <w:t xml:space="preserve"> (B) </w:t>
      </w:r>
      <w:r w:rsidR="00942150" w:rsidRPr="00011CBA">
        <w:rPr>
          <w:rFonts w:ascii="Times New Roman" w:eastAsia="Times New Roman" w:hAnsi="Times New Roman" w:cs="Times New Roman"/>
          <w:color w:val="000000" w:themeColor="text1"/>
          <w:sz w:val="24"/>
          <w:szCs w:val="24"/>
        </w:rPr>
        <w:t xml:space="preserve">Kaplan–Meier curves </w:t>
      </w:r>
      <w:r w:rsidR="00942150" w:rsidRPr="00011CBA">
        <w:rPr>
          <w:rFonts w:ascii="Times New Roman" w:hAnsi="Times New Roman" w:cs="Times New Roman" w:hint="eastAsia"/>
          <w:color w:val="000000" w:themeColor="text1"/>
          <w:sz w:val="24"/>
          <w:szCs w:val="24"/>
        </w:rPr>
        <w:t>for r</w:t>
      </w:r>
      <w:r w:rsidR="00330BB8" w:rsidRPr="00011CBA">
        <w:rPr>
          <w:rFonts w:ascii="Times New Roman" w:eastAsia="Times New Roman" w:hAnsi="Times New Roman" w:cs="Times New Roman"/>
          <w:color w:val="000000" w:themeColor="text1"/>
          <w:sz w:val="24"/>
          <w:szCs w:val="24"/>
        </w:rPr>
        <w:t>elapse-free survival (RFS) analysis of the five TNBC clusters in the METABRIC cohort.</w:t>
      </w:r>
    </w:p>
    <w:p w14:paraId="7D2332B4" w14:textId="4666C78D" w:rsidR="00736429" w:rsidRPr="00011CBA" w:rsidRDefault="00736429">
      <w:pPr>
        <w:rPr>
          <w:rFonts w:ascii="Times New Roman" w:hAnsi="Times New Roman" w:cs="Times New Roman"/>
          <w:b/>
          <w:color w:val="000000" w:themeColor="text1"/>
          <w:sz w:val="24"/>
          <w:szCs w:val="24"/>
        </w:rPr>
      </w:pPr>
      <w:r w:rsidRPr="00011CBA">
        <w:rPr>
          <w:rFonts w:ascii="Times New Roman" w:hAnsi="Times New Roman" w:cs="Times New Roman"/>
          <w:b/>
          <w:color w:val="000000" w:themeColor="text1"/>
          <w:sz w:val="24"/>
          <w:szCs w:val="24"/>
        </w:rPr>
        <w:br w:type="page"/>
      </w:r>
    </w:p>
    <w:p w14:paraId="388604B8" w14:textId="493B65DE" w:rsidR="00A62D3C" w:rsidRPr="00011CBA" w:rsidRDefault="00E2153C" w:rsidP="00FB3AEF">
      <w:pPr>
        <w:spacing w:line="480" w:lineRule="auto"/>
        <w:jc w:val="center"/>
        <w:rPr>
          <w:rFonts w:ascii="Times New Roman" w:hAnsi="Times New Roman" w:cs="Times New Roman"/>
          <w:b/>
          <w:noProof/>
          <w:color w:val="000000" w:themeColor="text1"/>
          <w:sz w:val="24"/>
          <w:szCs w:val="24"/>
        </w:rPr>
      </w:pPr>
      <w:r>
        <w:rPr>
          <w:rFonts w:ascii="Times New Roman" w:hAnsi="Times New Roman" w:cs="Times New Roman"/>
          <w:b/>
          <w:noProof/>
          <w:color w:val="000000" w:themeColor="text1"/>
          <w:sz w:val="24"/>
          <w:szCs w:val="24"/>
        </w:rPr>
        <w:lastRenderedPageBreak/>
        <w:drawing>
          <wp:inline distT="0" distB="0" distL="0" distR="0" wp14:anchorId="06BFCB4C" wp14:editId="61759B0B">
            <wp:extent cx="5886450" cy="6772789"/>
            <wp:effectExtent l="0" t="0" r="0" b="9525"/>
            <wp:docPr id="16" name="그림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그림 16"/>
                    <pic:cNvPicPr/>
                  </pic:nvPicPr>
                  <pic:blipFill rotWithShape="1">
                    <a:blip r:embed="rId13" cstate="print">
                      <a:extLst>
                        <a:ext uri="{28A0092B-C50C-407E-A947-70E740481C1C}">
                          <a14:useLocalDpi xmlns:a14="http://schemas.microsoft.com/office/drawing/2010/main" val="0"/>
                        </a:ext>
                      </a:extLst>
                    </a:blip>
                    <a:srcRect b="18634"/>
                    <a:stretch/>
                  </pic:blipFill>
                  <pic:spPr bwMode="auto">
                    <a:xfrm>
                      <a:off x="0" y="0"/>
                      <a:ext cx="5887596" cy="6774108"/>
                    </a:xfrm>
                    <a:prstGeom prst="rect">
                      <a:avLst/>
                    </a:prstGeom>
                    <a:ln>
                      <a:noFill/>
                    </a:ln>
                    <a:extLst>
                      <a:ext uri="{53640926-AAD7-44D8-BBD7-CCE9431645EC}">
                        <a14:shadowObscured xmlns:a14="http://schemas.microsoft.com/office/drawing/2010/main"/>
                      </a:ext>
                    </a:extLst>
                  </pic:spPr>
                </pic:pic>
              </a:graphicData>
            </a:graphic>
          </wp:inline>
        </w:drawing>
      </w:r>
    </w:p>
    <w:p w14:paraId="793644B6" w14:textId="50114D5B" w:rsidR="0012460B" w:rsidRPr="00011CBA" w:rsidRDefault="006A3D53" w:rsidP="00FB3AEF">
      <w:pPr>
        <w:spacing w:line="480" w:lineRule="auto"/>
        <w:jc w:val="both"/>
        <w:rPr>
          <w:rFonts w:ascii="Times New Roman" w:hAnsi="Times New Roman" w:cs="Times New Roman"/>
          <w:color w:val="000000" w:themeColor="text1"/>
          <w:sz w:val="24"/>
          <w:szCs w:val="24"/>
        </w:rPr>
      </w:pPr>
      <w:bookmarkStart w:id="10" w:name="_Hlk213324632"/>
      <w:r w:rsidRPr="00011CBA">
        <w:rPr>
          <w:rFonts w:ascii="Times New Roman" w:eastAsia="Times New Roman" w:hAnsi="Times New Roman" w:cs="Times New Roman"/>
          <w:b/>
          <w:color w:val="000000" w:themeColor="text1"/>
          <w:sz w:val="24"/>
          <w:szCs w:val="24"/>
        </w:rPr>
        <w:t>Fig</w:t>
      </w:r>
      <w:r w:rsidR="00221521" w:rsidRPr="00011CBA">
        <w:rPr>
          <w:rFonts w:ascii="Times New Roman" w:eastAsia="Times New Roman" w:hAnsi="Times New Roman" w:cs="Times New Roman"/>
          <w:b/>
          <w:color w:val="000000" w:themeColor="text1"/>
          <w:sz w:val="24"/>
          <w:szCs w:val="24"/>
        </w:rPr>
        <w:t xml:space="preserve"> </w:t>
      </w:r>
      <w:r w:rsidR="00B548AE" w:rsidRPr="00011CBA">
        <w:rPr>
          <w:rFonts w:ascii="Times New Roman" w:eastAsia="Times New Roman" w:hAnsi="Times New Roman" w:cs="Times New Roman"/>
          <w:b/>
          <w:color w:val="000000" w:themeColor="text1"/>
          <w:sz w:val="24"/>
          <w:szCs w:val="24"/>
        </w:rPr>
        <w:t>S6</w:t>
      </w:r>
      <w:r w:rsidR="00221521" w:rsidRPr="00011CBA">
        <w:rPr>
          <w:rFonts w:ascii="Times New Roman" w:eastAsia="Times New Roman" w:hAnsi="Times New Roman" w:cs="Times New Roman"/>
          <w:b/>
          <w:color w:val="000000" w:themeColor="text1"/>
          <w:sz w:val="24"/>
          <w:szCs w:val="24"/>
        </w:rPr>
        <w:t xml:space="preserve">. </w:t>
      </w:r>
      <w:bookmarkStart w:id="11" w:name="_Hlk213273798"/>
      <w:r w:rsidR="00221521" w:rsidRPr="00011CBA">
        <w:rPr>
          <w:rFonts w:ascii="Times New Roman" w:eastAsia="Times New Roman" w:hAnsi="Times New Roman" w:cs="Times New Roman"/>
          <w:b/>
          <w:color w:val="000000" w:themeColor="text1"/>
          <w:sz w:val="24"/>
          <w:szCs w:val="24"/>
        </w:rPr>
        <w:t>Estrogen response gene signature across</w:t>
      </w:r>
      <w:r w:rsidR="00221521" w:rsidRPr="00011CBA" w:rsidDel="00221521">
        <w:rPr>
          <w:rFonts w:ascii="Times New Roman" w:eastAsia="Times New Roman" w:hAnsi="Times New Roman" w:cs="Times New Roman"/>
          <w:b/>
          <w:color w:val="000000" w:themeColor="text1"/>
          <w:sz w:val="24"/>
          <w:szCs w:val="24"/>
        </w:rPr>
        <w:t xml:space="preserve"> </w:t>
      </w:r>
      <w:r w:rsidR="00221521" w:rsidRPr="00011CBA">
        <w:rPr>
          <w:rFonts w:ascii="Times New Roman" w:eastAsia="Times New Roman" w:hAnsi="Times New Roman" w:cs="Times New Roman"/>
          <w:b/>
          <w:color w:val="000000" w:themeColor="text1"/>
          <w:sz w:val="24"/>
          <w:szCs w:val="24"/>
        </w:rPr>
        <w:t>NMF clusters and correlation with immune and epithelial-to-mesenchymal transition (EMT) signatures.</w:t>
      </w:r>
      <w:bookmarkEnd w:id="11"/>
      <w:r w:rsidR="00037CAA" w:rsidRPr="00011CBA">
        <w:rPr>
          <w:rFonts w:ascii="Times New Roman" w:eastAsia="Times New Roman" w:hAnsi="Times New Roman" w:cs="Times New Roman"/>
          <w:bCs/>
          <w:color w:val="000000" w:themeColor="text1"/>
          <w:sz w:val="24"/>
          <w:szCs w:val="24"/>
        </w:rPr>
        <w:t xml:space="preserve"> </w:t>
      </w:r>
      <w:bookmarkEnd w:id="10"/>
      <w:r w:rsidR="00037CAA" w:rsidRPr="00011CBA">
        <w:rPr>
          <w:rFonts w:ascii="Times New Roman" w:eastAsia="Times New Roman" w:hAnsi="Times New Roman" w:cs="Times New Roman"/>
          <w:bCs/>
          <w:color w:val="000000" w:themeColor="text1"/>
          <w:sz w:val="24"/>
          <w:szCs w:val="24"/>
        </w:rPr>
        <w:t xml:space="preserve">(A) </w:t>
      </w:r>
      <w:r w:rsidR="00581326" w:rsidRPr="00011CBA">
        <w:rPr>
          <w:rFonts w:ascii="Times New Roman" w:eastAsia="Times New Roman" w:hAnsi="Times New Roman" w:cs="Times New Roman"/>
          <w:color w:val="000000" w:themeColor="text1"/>
          <w:sz w:val="24"/>
          <w:szCs w:val="24"/>
        </w:rPr>
        <w:t xml:space="preserve">Bar plot illustrating </w:t>
      </w:r>
      <w:r w:rsidR="00581326" w:rsidRPr="00011CBA">
        <w:rPr>
          <w:rFonts w:ascii="Times New Roman" w:hAnsi="Times New Roman" w:cs="Times New Roman" w:hint="eastAsia"/>
          <w:color w:val="000000" w:themeColor="text1"/>
          <w:sz w:val="24"/>
          <w:szCs w:val="24"/>
        </w:rPr>
        <w:t xml:space="preserve">significantly </w:t>
      </w:r>
      <w:r w:rsidR="00581326" w:rsidRPr="00011CBA">
        <w:rPr>
          <w:rFonts w:ascii="Times New Roman" w:eastAsia="Times New Roman" w:hAnsi="Times New Roman" w:cs="Times New Roman"/>
          <w:color w:val="000000" w:themeColor="text1"/>
          <w:sz w:val="24"/>
          <w:szCs w:val="24"/>
        </w:rPr>
        <w:t xml:space="preserve">enriched signaling pathways identified by </w:t>
      </w:r>
      <w:r w:rsidR="00581326" w:rsidRPr="00011CBA">
        <w:rPr>
          <w:rFonts w:ascii="Times New Roman" w:hAnsi="Times New Roman" w:cs="Times New Roman" w:hint="eastAsia"/>
          <w:color w:val="000000" w:themeColor="text1"/>
          <w:sz w:val="24"/>
          <w:szCs w:val="24"/>
        </w:rPr>
        <w:t>RNA-seq</w:t>
      </w:r>
      <w:r w:rsidR="00581326" w:rsidRPr="00011CBA">
        <w:rPr>
          <w:rFonts w:ascii="Times New Roman" w:eastAsia="Times New Roman" w:hAnsi="Times New Roman" w:cs="Times New Roman"/>
          <w:color w:val="000000" w:themeColor="text1"/>
          <w:sz w:val="24"/>
          <w:szCs w:val="24"/>
        </w:rPr>
        <w:t>-based GSEA</w:t>
      </w:r>
      <w:r w:rsidR="00581326" w:rsidRPr="00011CBA">
        <w:rPr>
          <w:rFonts w:ascii="Times New Roman" w:hAnsi="Times New Roman" w:cs="Times New Roman" w:hint="eastAsia"/>
          <w:color w:val="000000" w:themeColor="text1"/>
          <w:sz w:val="24"/>
          <w:szCs w:val="24"/>
        </w:rPr>
        <w:t xml:space="preserve"> (defined by FDR &lt; 0.05)</w:t>
      </w:r>
      <w:r w:rsidR="00581326" w:rsidRPr="00011CBA">
        <w:rPr>
          <w:rFonts w:ascii="Times New Roman" w:eastAsia="Times New Roman" w:hAnsi="Times New Roman" w:cs="Times New Roman"/>
          <w:color w:val="000000" w:themeColor="text1"/>
          <w:sz w:val="24"/>
          <w:szCs w:val="24"/>
        </w:rPr>
        <w:t>.</w:t>
      </w:r>
      <w:r w:rsidR="000C12D4" w:rsidRPr="00011CBA">
        <w:rPr>
          <w:rFonts w:ascii="Times New Roman" w:eastAsia="Times New Roman" w:hAnsi="Times New Roman" w:cs="Times New Roman"/>
          <w:color w:val="000000" w:themeColor="text1"/>
          <w:sz w:val="24"/>
          <w:szCs w:val="24"/>
        </w:rPr>
        <w:t xml:space="preserve"> Pathways enriched in non-pCR tumors are indicated in red, while pathways enriched in </w:t>
      </w:r>
      <w:r w:rsidR="000C12D4" w:rsidRPr="00011CBA">
        <w:rPr>
          <w:rFonts w:ascii="Times New Roman" w:eastAsia="Times New Roman" w:hAnsi="Times New Roman" w:cs="Times New Roman"/>
          <w:color w:val="000000" w:themeColor="text1"/>
          <w:sz w:val="24"/>
          <w:szCs w:val="24"/>
        </w:rPr>
        <w:lastRenderedPageBreak/>
        <w:t>pCR tumors are in green</w:t>
      </w:r>
      <w:r w:rsidRPr="00011CBA">
        <w:rPr>
          <w:rFonts w:ascii="Times New Roman" w:eastAsia="Times New Roman" w:hAnsi="Times New Roman" w:cs="Times New Roman"/>
          <w:color w:val="000000" w:themeColor="text1"/>
          <w:sz w:val="24"/>
          <w:szCs w:val="24"/>
        </w:rPr>
        <w:t xml:space="preserve">. </w:t>
      </w:r>
      <w:r w:rsidR="00037CAA" w:rsidRPr="00011CBA">
        <w:rPr>
          <w:rFonts w:ascii="Times New Roman" w:eastAsia="Times New Roman" w:hAnsi="Times New Roman" w:cs="Times New Roman"/>
          <w:color w:val="000000" w:themeColor="text1"/>
          <w:sz w:val="24"/>
          <w:szCs w:val="24"/>
        </w:rPr>
        <w:t>(B)</w:t>
      </w:r>
      <w:r w:rsidR="00A708C5" w:rsidRPr="00011CBA">
        <w:rPr>
          <w:rFonts w:ascii="Times New Roman" w:eastAsia="Times New Roman" w:hAnsi="Times New Roman" w:cs="Times New Roman"/>
          <w:color w:val="000000" w:themeColor="text1"/>
          <w:sz w:val="24"/>
          <w:szCs w:val="24"/>
        </w:rPr>
        <w:t xml:space="preserve"> Heatmap displaying protein expression of</w:t>
      </w:r>
      <w:r w:rsidR="00A708C5" w:rsidRPr="00011CBA">
        <w:rPr>
          <w:rFonts w:ascii="Times New Roman" w:hAnsi="Times New Roman" w:cs="Times New Roman" w:hint="eastAsia"/>
          <w:color w:val="000000" w:themeColor="text1"/>
          <w:sz w:val="24"/>
          <w:szCs w:val="24"/>
        </w:rPr>
        <w:t xml:space="preserve"> all</w:t>
      </w:r>
      <w:r w:rsidR="00A708C5" w:rsidRPr="00011CBA">
        <w:rPr>
          <w:rFonts w:ascii="Times New Roman" w:eastAsia="Times New Roman" w:hAnsi="Times New Roman" w:cs="Times New Roman"/>
          <w:color w:val="000000" w:themeColor="text1"/>
          <w:sz w:val="24"/>
          <w:szCs w:val="24"/>
        </w:rPr>
        <w:t xml:space="preserve"> genes within the early estrogen response signature, comparing non-pCR and pCR tumors. </w:t>
      </w:r>
      <w:r w:rsidR="00E0648B" w:rsidRPr="00011CBA">
        <w:rPr>
          <w:rFonts w:ascii="Times New Roman" w:eastAsia="Times New Roman" w:hAnsi="Times New Roman" w:cs="Times New Roman"/>
          <w:color w:val="000000" w:themeColor="text1"/>
          <w:sz w:val="24"/>
          <w:szCs w:val="24"/>
        </w:rPr>
        <w:t xml:space="preserve">(C) </w:t>
      </w:r>
      <w:bookmarkStart w:id="12" w:name="_Hlk213324651"/>
      <w:r w:rsidR="00E0648B" w:rsidRPr="00011CBA">
        <w:rPr>
          <w:rFonts w:ascii="Times New Roman" w:eastAsia="Times New Roman" w:hAnsi="Times New Roman" w:cs="Times New Roman"/>
          <w:color w:val="000000" w:themeColor="text1"/>
          <w:sz w:val="24"/>
          <w:szCs w:val="24"/>
        </w:rPr>
        <w:t xml:space="preserve">Pathological complete response (pCR) rates stratified by estrogen response GSVA score (high: enrichment score &gt; 0.1; low: </w:t>
      </w:r>
      <w:r w:rsidR="00E0648B" w:rsidRPr="00011CBA">
        <w:rPr>
          <w:rFonts w:ascii="Times New Roman" w:eastAsia="Times New Roman" w:hAnsi="Times New Roman" w:cs="Times New Roman" w:hint="eastAsia"/>
          <w:color w:val="000000" w:themeColor="text1"/>
          <w:sz w:val="24"/>
          <w:szCs w:val="24"/>
        </w:rPr>
        <w:t>≤</w:t>
      </w:r>
      <w:r w:rsidR="00E0648B" w:rsidRPr="00011CBA">
        <w:rPr>
          <w:rFonts w:ascii="Times New Roman" w:eastAsia="Times New Roman" w:hAnsi="Times New Roman" w:cs="Times New Roman"/>
          <w:color w:val="000000" w:themeColor="text1"/>
          <w:sz w:val="24"/>
          <w:szCs w:val="24"/>
        </w:rPr>
        <w:t xml:space="preserve"> 0.1)</w:t>
      </w:r>
      <w:r w:rsidR="003C485D" w:rsidRPr="00011CBA">
        <w:rPr>
          <w:rFonts w:ascii="Times New Roman" w:eastAsia="Times New Roman" w:hAnsi="Times New Roman" w:cs="Times New Roman"/>
          <w:color w:val="000000" w:themeColor="text1"/>
          <w:sz w:val="24"/>
          <w:szCs w:val="24"/>
        </w:rPr>
        <w:t xml:space="preserve">. </w:t>
      </w:r>
      <w:r w:rsidR="003C485D" w:rsidRPr="00011CBA">
        <w:rPr>
          <w:rFonts w:ascii="Times New Roman" w:hAnsi="Times New Roman" w:cs="Times New Roman"/>
          <w:color w:val="000000" w:themeColor="text1"/>
          <w:sz w:val="24"/>
          <w:szCs w:val="24"/>
        </w:rPr>
        <w:t>Tumors with higher estrogen response GSVA scores had lower pCR rates (</w:t>
      </w:r>
      <w:r w:rsidR="003C485D" w:rsidRPr="00011CBA">
        <w:rPr>
          <w:rFonts w:ascii="Times New Roman" w:hAnsi="Times New Roman" w:cs="Times New Roman"/>
          <w:i/>
          <w:iCs/>
          <w:color w:val="000000" w:themeColor="text1"/>
          <w:sz w:val="24"/>
          <w:szCs w:val="24"/>
        </w:rPr>
        <w:t>P</w:t>
      </w:r>
      <w:r w:rsidR="003C485D" w:rsidRPr="00011CBA">
        <w:rPr>
          <w:rFonts w:ascii="Times New Roman" w:hAnsi="Times New Roman" w:cs="Times New Roman"/>
          <w:color w:val="000000" w:themeColor="text1"/>
          <w:sz w:val="24"/>
          <w:szCs w:val="24"/>
        </w:rPr>
        <w:t xml:space="preserve"> = 0.0328).</w:t>
      </w:r>
      <w:r w:rsidR="00E0648B" w:rsidRPr="00011CBA">
        <w:rPr>
          <w:rFonts w:ascii="Times New Roman" w:eastAsia="Times New Roman" w:hAnsi="Times New Roman" w:cs="Times New Roman"/>
          <w:color w:val="000000" w:themeColor="text1"/>
          <w:sz w:val="24"/>
          <w:szCs w:val="24"/>
        </w:rPr>
        <w:t xml:space="preserve"> </w:t>
      </w:r>
      <w:bookmarkEnd w:id="12"/>
      <w:r w:rsidR="00037CAA" w:rsidRPr="00011CBA">
        <w:rPr>
          <w:rFonts w:ascii="Times New Roman" w:eastAsia="Times New Roman" w:hAnsi="Times New Roman" w:cs="Times New Roman"/>
          <w:color w:val="000000" w:themeColor="text1"/>
          <w:sz w:val="24"/>
          <w:szCs w:val="24"/>
        </w:rPr>
        <w:t>(</w:t>
      </w:r>
      <w:r w:rsidR="00E0648B" w:rsidRPr="00011CBA">
        <w:rPr>
          <w:rFonts w:ascii="Times New Roman" w:eastAsia="Times New Roman" w:hAnsi="Times New Roman" w:cs="Times New Roman"/>
          <w:color w:val="000000" w:themeColor="text1"/>
          <w:sz w:val="24"/>
          <w:szCs w:val="24"/>
        </w:rPr>
        <w:t>D</w:t>
      </w:r>
      <w:r w:rsidR="00037CAA" w:rsidRPr="00011CBA">
        <w:rPr>
          <w:rFonts w:ascii="Times New Roman" w:eastAsia="Times New Roman" w:hAnsi="Times New Roman" w:cs="Times New Roman"/>
          <w:color w:val="000000" w:themeColor="text1"/>
          <w:sz w:val="24"/>
          <w:szCs w:val="24"/>
        </w:rPr>
        <w:t xml:space="preserve">) </w:t>
      </w:r>
      <w:r w:rsidR="00221521" w:rsidRPr="00011CBA">
        <w:rPr>
          <w:rFonts w:ascii="Times New Roman" w:eastAsia="Times New Roman" w:hAnsi="Times New Roman" w:cs="Times New Roman"/>
          <w:color w:val="000000" w:themeColor="text1"/>
          <w:sz w:val="24"/>
          <w:szCs w:val="24"/>
        </w:rPr>
        <w:t>Bar plot showing the protein GSVA score of estrogen response early gene signature across NMF clusters.</w:t>
      </w:r>
      <w:r w:rsidRPr="00011CBA">
        <w:rPr>
          <w:rFonts w:ascii="Times New Roman" w:eastAsia="Times New Roman" w:hAnsi="Times New Roman" w:cs="Times New Roman"/>
          <w:color w:val="000000" w:themeColor="text1"/>
          <w:sz w:val="24"/>
          <w:szCs w:val="24"/>
        </w:rPr>
        <w:t xml:space="preserve"> </w:t>
      </w:r>
      <w:r w:rsidR="00037CAA" w:rsidRPr="00011CBA">
        <w:rPr>
          <w:rFonts w:ascii="Times New Roman" w:eastAsia="Times New Roman" w:hAnsi="Times New Roman" w:cs="Times New Roman"/>
          <w:color w:val="000000" w:themeColor="text1"/>
          <w:sz w:val="24"/>
          <w:szCs w:val="24"/>
        </w:rPr>
        <w:t>(</w:t>
      </w:r>
      <w:r w:rsidR="00E0648B" w:rsidRPr="00011CBA">
        <w:rPr>
          <w:rFonts w:ascii="Times New Roman" w:eastAsia="Times New Roman" w:hAnsi="Times New Roman" w:cs="Times New Roman"/>
          <w:color w:val="000000" w:themeColor="text1"/>
          <w:sz w:val="24"/>
          <w:szCs w:val="24"/>
        </w:rPr>
        <w:t>E</w:t>
      </w:r>
      <w:r w:rsidR="00037CAA" w:rsidRPr="00011CBA">
        <w:rPr>
          <w:rFonts w:ascii="Times New Roman" w:eastAsia="Times New Roman" w:hAnsi="Times New Roman" w:cs="Times New Roman"/>
          <w:color w:val="000000" w:themeColor="text1"/>
          <w:sz w:val="24"/>
          <w:szCs w:val="24"/>
        </w:rPr>
        <w:t>)</w:t>
      </w:r>
      <w:r w:rsidR="00221521" w:rsidRPr="00011CBA">
        <w:rPr>
          <w:rFonts w:ascii="Times New Roman" w:eastAsia="궁서" w:hAnsi="Times New Roman" w:cs="Times New Roman"/>
          <w:color w:val="000000" w:themeColor="text1"/>
          <w:sz w:val="24"/>
          <w:szCs w:val="24"/>
        </w:rPr>
        <w:t xml:space="preserve"> </w:t>
      </w:r>
      <w:r w:rsidR="00221521" w:rsidRPr="00011CBA">
        <w:rPr>
          <w:rFonts w:ascii="Times New Roman" w:eastAsia="Times New Roman" w:hAnsi="Times New Roman" w:cs="Times New Roman"/>
          <w:color w:val="000000" w:themeColor="text1"/>
          <w:sz w:val="24"/>
          <w:szCs w:val="24"/>
        </w:rPr>
        <w:t>Bar plot showing the protein GSVA score of estrogen response late gene signature across NMF clusters.</w:t>
      </w:r>
      <w:r w:rsidRPr="00011CBA">
        <w:rPr>
          <w:rFonts w:ascii="Times New Roman" w:eastAsia="Times New Roman" w:hAnsi="Times New Roman" w:cs="Times New Roman"/>
          <w:color w:val="000000" w:themeColor="text1"/>
          <w:sz w:val="24"/>
          <w:szCs w:val="24"/>
        </w:rPr>
        <w:t xml:space="preserve"> </w:t>
      </w:r>
      <w:r w:rsidR="00037CAA" w:rsidRPr="00011CBA">
        <w:rPr>
          <w:rFonts w:ascii="Times New Roman" w:eastAsia="Times New Roman" w:hAnsi="Times New Roman" w:cs="Times New Roman"/>
          <w:color w:val="000000" w:themeColor="text1"/>
          <w:sz w:val="24"/>
          <w:szCs w:val="24"/>
        </w:rPr>
        <w:t>(</w:t>
      </w:r>
      <w:r w:rsidR="00E0648B" w:rsidRPr="00011CBA">
        <w:rPr>
          <w:rFonts w:ascii="Times New Roman" w:eastAsia="Times New Roman" w:hAnsi="Times New Roman" w:cs="Times New Roman"/>
          <w:color w:val="000000" w:themeColor="text1"/>
          <w:sz w:val="24"/>
          <w:szCs w:val="24"/>
        </w:rPr>
        <w:t>F</w:t>
      </w:r>
      <w:r w:rsidR="00037CAA" w:rsidRPr="00011CBA">
        <w:rPr>
          <w:rFonts w:ascii="Times New Roman" w:eastAsia="Times New Roman" w:hAnsi="Times New Roman" w:cs="Times New Roman"/>
          <w:color w:val="000000" w:themeColor="text1"/>
          <w:sz w:val="24"/>
          <w:szCs w:val="24"/>
        </w:rPr>
        <w:t>)</w:t>
      </w:r>
      <w:r w:rsidR="00221521" w:rsidRPr="00011CBA">
        <w:rPr>
          <w:rFonts w:ascii="Times New Roman" w:hAnsi="Times New Roman" w:cs="Times New Roman"/>
          <w:color w:val="000000" w:themeColor="text1"/>
          <w:sz w:val="24"/>
          <w:szCs w:val="24"/>
        </w:rPr>
        <w:t xml:space="preserve"> </w:t>
      </w:r>
      <w:r w:rsidR="00221521" w:rsidRPr="00011CBA">
        <w:rPr>
          <w:rFonts w:ascii="Times New Roman" w:eastAsia="Times New Roman" w:hAnsi="Times New Roman" w:cs="Times New Roman"/>
          <w:color w:val="000000" w:themeColor="text1"/>
          <w:sz w:val="24"/>
          <w:szCs w:val="24"/>
        </w:rPr>
        <w:t>Dot plot showing the correlation between estrogen response late GSVA scores and ESTIMATE immune scores</w:t>
      </w:r>
      <w:r w:rsidRPr="00011CBA">
        <w:rPr>
          <w:rFonts w:ascii="Times New Roman" w:eastAsia="Times New Roman" w:hAnsi="Times New Roman" w:cs="Times New Roman"/>
          <w:color w:val="000000" w:themeColor="text1"/>
          <w:sz w:val="24"/>
          <w:szCs w:val="24"/>
        </w:rPr>
        <w:t xml:space="preserve">. </w:t>
      </w:r>
      <w:r w:rsidR="00037CAA" w:rsidRPr="00011CBA">
        <w:rPr>
          <w:rFonts w:ascii="Times New Roman" w:eastAsia="Times New Roman" w:hAnsi="Times New Roman" w:cs="Times New Roman"/>
          <w:color w:val="000000" w:themeColor="text1"/>
          <w:sz w:val="24"/>
          <w:szCs w:val="24"/>
        </w:rPr>
        <w:t>(</w:t>
      </w:r>
      <w:r w:rsidR="00E0648B" w:rsidRPr="00011CBA">
        <w:rPr>
          <w:rFonts w:ascii="Times New Roman" w:eastAsia="Times New Roman" w:hAnsi="Times New Roman" w:cs="Times New Roman"/>
          <w:color w:val="000000" w:themeColor="text1"/>
          <w:sz w:val="24"/>
          <w:szCs w:val="24"/>
        </w:rPr>
        <w:t>G</w:t>
      </w:r>
      <w:r w:rsidR="00037CAA" w:rsidRPr="00011CBA">
        <w:rPr>
          <w:rFonts w:ascii="Times New Roman" w:eastAsia="Times New Roman" w:hAnsi="Times New Roman" w:cs="Times New Roman"/>
          <w:color w:val="000000" w:themeColor="text1"/>
          <w:sz w:val="24"/>
          <w:szCs w:val="24"/>
        </w:rPr>
        <w:t>)</w:t>
      </w:r>
      <w:r w:rsidR="003F63EB" w:rsidRPr="00011CBA">
        <w:rPr>
          <w:rFonts w:ascii="Times New Roman" w:hAnsi="Times New Roman" w:cs="Times New Roman"/>
          <w:color w:val="000000" w:themeColor="text1"/>
          <w:sz w:val="24"/>
          <w:szCs w:val="24"/>
        </w:rPr>
        <w:t xml:space="preserve"> </w:t>
      </w:r>
      <w:r w:rsidR="003F63EB" w:rsidRPr="00011CBA">
        <w:rPr>
          <w:rFonts w:ascii="Times New Roman" w:eastAsia="Times New Roman" w:hAnsi="Times New Roman" w:cs="Times New Roman"/>
          <w:color w:val="000000" w:themeColor="text1"/>
          <w:sz w:val="24"/>
          <w:szCs w:val="24"/>
        </w:rPr>
        <w:t>Dot plot showing the correlation between estrogen response late</w:t>
      </w:r>
      <w:r w:rsidR="004F709E" w:rsidRPr="00011CBA">
        <w:rPr>
          <w:rFonts w:ascii="Times New Roman" w:hAnsi="Times New Roman" w:cs="Times New Roman" w:hint="eastAsia"/>
          <w:color w:val="000000" w:themeColor="text1"/>
          <w:sz w:val="24"/>
          <w:szCs w:val="24"/>
        </w:rPr>
        <w:t xml:space="preserve"> and</w:t>
      </w:r>
      <w:r w:rsidR="003F63EB" w:rsidRPr="00011CBA">
        <w:rPr>
          <w:rFonts w:ascii="Times New Roman" w:eastAsia="Times New Roman" w:hAnsi="Times New Roman" w:cs="Times New Roman"/>
          <w:color w:val="000000" w:themeColor="text1"/>
          <w:sz w:val="24"/>
          <w:szCs w:val="24"/>
        </w:rPr>
        <w:t xml:space="preserve"> </w:t>
      </w:r>
      <w:r w:rsidR="00221521" w:rsidRPr="00011CBA">
        <w:rPr>
          <w:rFonts w:ascii="Times New Roman" w:eastAsia="Times New Roman" w:hAnsi="Times New Roman" w:cs="Times New Roman"/>
          <w:color w:val="000000" w:themeColor="text1"/>
          <w:sz w:val="24"/>
          <w:szCs w:val="24"/>
        </w:rPr>
        <w:t xml:space="preserve">EMT </w:t>
      </w:r>
      <w:r w:rsidR="003F63EB" w:rsidRPr="00011CBA">
        <w:rPr>
          <w:rFonts w:ascii="Times New Roman" w:eastAsia="Times New Roman" w:hAnsi="Times New Roman" w:cs="Times New Roman"/>
          <w:color w:val="000000" w:themeColor="text1"/>
          <w:sz w:val="24"/>
          <w:szCs w:val="24"/>
        </w:rPr>
        <w:t>GSVA scores</w:t>
      </w:r>
      <w:r w:rsidR="00221521" w:rsidRPr="00011CBA">
        <w:rPr>
          <w:rFonts w:ascii="Times New Roman" w:eastAsia="Times New Roman" w:hAnsi="Times New Roman" w:cs="Times New Roman"/>
          <w:color w:val="000000" w:themeColor="text1"/>
          <w:sz w:val="24"/>
          <w:szCs w:val="24"/>
        </w:rPr>
        <w:t>.</w:t>
      </w:r>
      <w:r w:rsidR="00591A31" w:rsidRPr="00011CBA">
        <w:rPr>
          <w:rFonts w:ascii="Times New Roman" w:eastAsia="Times New Roman" w:hAnsi="Times New Roman" w:cs="Times New Roman"/>
          <w:color w:val="000000" w:themeColor="text1"/>
          <w:sz w:val="24"/>
          <w:szCs w:val="24"/>
        </w:rPr>
        <w:t xml:space="preserve"> </w:t>
      </w:r>
    </w:p>
    <w:p w14:paraId="4910CF50" w14:textId="77777777" w:rsidR="00EE2685" w:rsidRPr="00011CBA" w:rsidRDefault="00D26F07">
      <w:pPr>
        <w:rPr>
          <w:rFonts w:ascii="Times New Roman" w:hAnsi="Times New Roman" w:cs="Times New Roman"/>
          <w:color w:val="000000" w:themeColor="text1"/>
          <w:sz w:val="24"/>
          <w:szCs w:val="24"/>
        </w:rPr>
      </w:pPr>
      <w:r w:rsidRPr="00011CBA">
        <w:rPr>
          <w:rFonts w:ascii="Times New Roman" w:hAnsi="Times New Roman" w:cs="Times New Roman"/>
          <w:color w:val="000000" w:themeColor="text1"/>
          <w:sz w:val="24"/>
          <w:szCs w:val="24"/>
        </w:rPr>
        <w:br w:type="page"/>
      </w:r>
    </w:p>
    <w:p w14:paraId="51B6A937" w14:textId="115FADC5" w:rsidR="00EE2685" w:rsidRPr="00011CBA" w:rsidRDefault="00E2153C" w:rsidP="00BA5926">
      <w:pPr>
        <w:spacing w:line="48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lastRenderedPageBreak/>
        <w:drawing>
          <wp:inline distT="0" distB="0" distL="0" distR="0" wp14:anchorId="1E9A265A" wp14:editId="14C0DD31">
            <wp:extent cx="5895193" cy="4467225"/>
            <wp:effectExtent l="0" t="0" r="0" b="0"/>
            <wp:docPr id="15" name="그림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그림 15"/>
                    <pic:cNvPicPr/>
                  </pic:nvPicPr>
                  <pic:blipFill rotWithShape="1">
                    <a:blip r:embed="rId14" cstate="print">
                      <a:extLst>
                        <a:ext uri="{28A0092B-C50C-407E-A947-70E740481C1C}">
                          <a14:useLocalDpi xmlns:a14="http://schemas.microsoft.com/office/drawing/2010/main" val="0"/>
                        </a:ext>
                      </a:extLst>
                    </a:blip>
                    <a:srcRect b="46412"/>
                    <a:stretch/>
                  </pic:blipFill>
                  <pic:spPr bwMode="auto">
                    <a:xfrm>
                      <a:off x="0" y="0"/>
                      <a:ext cx="5897145" cy="4468704"/>
                    </a:xfrm>
                    <a:prstGeom prst="rect">
                      <a:avLst/>
                    </a:prstGeom>
                    <a:ln>
                      <a:noFill/>
                    </a:ln>
                    <a:extLst>
                      <a:ext uri="{53640926-AAD7-44D8-BBD7-CCE9431645EC}">
                        <a14:shadowObscured xmlns:a14="http://schemas.microsoft.com/office/drawing/2010/main"/>
                      </a:ext>
                    </a:extLst>
                  </pic:spPr>
                </pic:pic>
              </a:graphicData>
            </a:graphic>
          </wp:inline>
        </w:drawing>
      </w:r>
    </w:p>
    <w:p w14:paraId="1126A8C4" w14:textId="76D9E9C5" w:rsidR="00221581" w:rsidRPr="00011CBA" w:rsidRDefault="00DE0342" w:rsidP="00B828FC">
      <w:pPr>
        <w:spacing w:line="480" w:lineRule="auto"/>
        <w:jc w:val="both"/>
        <w:rPr>
          <w:rFonts w:ascii="Times New Roman" w:hAnsi="Times New Roman" w:cs="Times New Roman"/>
          <w:color w:val="000000" w:themeColor="text1"/>
          <w:sz w:val="24"/>
          <w:szCs w:val="24"/>
        </w:rPr>
      </w:pPr>
      <w:bookmarkStart w:id="13" w:name="_Hlk213324752"/>
      <w:r w:rsidRPr="00011CBA">
        <w:rPr>
          <w:rFonts w:ascii="Times New Roman" w:hAnsi="Times New Roman" w:cs="Times New Roman"/>
          <w:b/>
          <w:bCs/>
          <w:color w:val="000000" w:themeColor="text1"/>
          <w:sz w:val="24"/>
          <w:szCs w:val="24"/>
        </w:rPr>
        <w:t xml:space="preserve">Fig </w:t>
      </w:r>
      <w:r w:rsidR="00B548AE" w:rsidRPr="00011CBA">
        <w:rPr>
          <w:rFonts w:ascii="Times New Roman" w:hAnsi="Times New Roman" w:cs="Times New Roman"/>
          <w:b/>
          <w:bCs/>
          <w:color w:val="000000" w:themeColor="text1"/>
          <w:sz w:val="24"/>
          <w:szCs w:val="24"/>
        </w:rPr>
        <w:t>S7</w:t>
      </w:r>
      <w:r w:rsidRPr="00011CBA">
        <w:rPr>
          <w:rFonts w:ascii="Times New Roman" w:hAnsi="Times New Roman" w:cs="Times New Roman"/>
          <w:b/>
          <w:bCs/>
          <w:color w:val="000000" w:themeColor="text1"/>
          <w:sz w:val="24"/>
          <w:szCs w:val="24"/>
        </w:rPr>
        <w:t xml:space="preserve">. </w:t>
      </w:r>
      <w:bookmarkStart w:id="14" w:name="_Hlk213273814"/>
      <w:r w:rsidRPr="00011CBA">
        <w:rPr>
          <w:rFonts w:ascii="Times New Roman" w:hAnsi="Times New Roman" w:cs="Times New Roman"/>
          <w:b/>
          <w:bCs/>
          <w:color w:val="000000" w:themeColor="text1"/>
          <w:sz w:val="24"/>
          <w:szCs w:val="24"/>
        </w:rPr>
        <w:t>External validation of resistance-associated biomarkers in independent TNBC proteogenomic datasets.</w:t>
      </w:r>
      <w:bookmarkEnd w:id="14"/>
      <w:r w:rsidRPr="00011CBA">
        <w:rPr>
          <w:rFonts w:ascii="Times New Roman" w:hAnsi="Times New Roman" w:cs="Times New Roman"/>
          <w:color w:val="000000" w:themeColor="text1"/>
          <w:sz w:val="24"/>
          <w:szCs w:val="24"/>
        </w:rPr>
        <w:t xml:space="preserve"> (A)</w:t>
      </w:r>
      <w:r w:rsidR="00C96D28" w:rsidRPr="00011CBA">
        <w:rPr>
          <w:rFonts w:ascii="Times New Roman" w:hAnsi="Times New Roman" w:cs="Times New Roman"/>
          <w:color w:val="000000" w:themeColor="text1"/>
          <w:sz w:val="24"/>
          <w:szCs w:val="24"/>
        </w:rPr>
        <w:t xml:space="preserve"> Pathological complete response (pCR) rates stratified by estrogen response GSVA score (high: enrichment score &gt; 0.1; low: </w:t>
      </w:r>
      <w:r w:rsidR="00C96D28" w:rsidRPr="00011CBA">
        <w:rPr>
          <w:rFonts w:ascii="Times New Roman" w:eastAsia="맑은 고딕" w:hAnsi="Times New Roman" w:cs="Times New Roman"/>
          <w:color w:val="000000" w:themeColor="text1"/>
          <w:sz w:val="24"/>
          <w:szCs w:val="24"/>
        </w:rPr>
        <w:t>≤ 0.1) in the Cancer Discovery</w:t>
      </w:r>
      <w:r w:rsidR="00F60FD3" w:rsidRPr="00011CBA">
        <w:rPr>
          <w:rFonts w:ascii="Times New Roman" w:eastAsia="맑은 고딕" w:hAnsi="Times New Roman" w:cs="Times New Roman"/>
          <w:color w:val="000000" w:themeColor="text1"/>
          <w:sz w:val="24"/>
          <w:szCs w:val="24"/>
        </w:rPr>
        <w:t xml:space="preserve"> TNBC cohort</w:t>
      </w:r>
      <w:r w:rsidRPr="00011CBA">
        <w:rPr>
          <w:rFonts w:ascii="Times New Roman" w:hAnsi="Times New Roman" w:cs="Times New Roman"/>
          <w:color w:val="000000" w:themeColor="text1"/>
          <w:sz w:val="24"/>
          <w:szCs w:val="24"/>
        </w:rPr>
        <w:t xml:space="preserve"> (Anurag et al., 2022)</w:t>
      </w:r>
      <w:r w:rsidR="00F60FD3" w:rsidRPr="00011CBA">
        <w:rPr>
          <w:rFonts w:ascii="Times New Roman" w:hAnsi="Times New Roman" w:cs="Times New Roman"/>
          <w:color w:val="000000" w:themeColor="text1"/>
          <w:sz w:val="24"/>
          <w:szCs w:val="24"/>
        </w:rPr>
        <w:t xml:space="preserve">. </w:t>
      </w:r>
      <w:r w:rsidRPr="00011CBA">
        <w:rPr>
          <w:rFonts w:ascii="Times New Roman" w:hAnsi="Times New Roman" w:cs="Times New Roman"/>
          <w:color w:val="000000" w:themeColor="text1"/>
          <w:sz w:val="24"/>
          <w:szCs w:val="24"/>
        </w:rPr>
        <w:t xml:space="preserve">(B) </w:t>
      </w:r>
      <w:r w:rsidR="00F60FD3" w:rsidRPr="00011CBA">
        <w:rPr>
          <w:rFonts w:ascii="Times New Roman" w:hAnsi="Times New Roman" w:cs="Times New Roman"/>
          <w:color w:val="000000" w:themeColor="text1"/>
          <w:sz w:val="24"/>
          <w:szCs w:val="24"/>
        </w:rPr>
        <w:t>Kaplan-Meier analysis of relapse</w:t>
      </w:r>
      <w:r w:rsidRPr="00011CBA">
        <w:rPr>
          <w:rFonts w:ascii="Times New Roman" w:hAnsi="Times New Roman" w:cs="Times New Roman"/>
          <w:color w:val="000000" w:themeColor="text1"/>
          <w:sz w:val="24"/>
          <w:szCs w:val="24"/>
        </w:rPr>
        <w:t>-free survival (</w:t>
      </w:r>
      <w:r w:rsidR="00F60FD3" w:rsidRPr="00011CBA">
        <w:rPr>
          <w:rFonts w:ascii="Times New Roman" w:hAnsi="Times New Roman" w:cs="Times New Roman"/>
          <w:color w:val="000000" w:themeColor="text1"/>
          <w:sz w:val="24"/>
          <w:szCs w:val="24"/>
        </w:rPr>
        <w:t>R</w:t>
      </w:r>
      <w:r w:rsidRPr="00011CBA">
        <w:rPr>
          <w:rFonts w:ascii="Times New Roman" w:hAnsi="Times New Roman" w:cs="Times New Roman"/>
          <w:color w:val="000000" w:themeColor="text1"/>
          <w:sz w:val="24"/>
          <w:szCs w:val="24"/>
        </w:rPr>
        <w:t xml:space="preserve">FS) </w:t>
      </w:r>
      <w:r w:rsidR="00F60FD3" w:rsidRPr="00011CBA">
        <w:rPr>
          <w:rFonts w:ascii="Times New Roman" w:hAnsi="Times New Roman" w:cs="Times New Roman"/>
          <w:color w:val="000000" w:themeColor="text1"/>
          <w:sz w:val="24"/>
          <w:szCs w:val="24"/>
        </w:rPr>
        <w:t xml:space="preserve">in the Cell Reports TNBC cohort (Gong et al., 2022), comparing patients with high versus low estrogen response GSVA scores. </w:t>
      </w:r>
      <w:bookmarkEnd w:id="13"/>
      <w:r w:rsidRPr="00011CBA">
        <w:rPr>
          <w:rFonts w:ascii="Times New Roman" w:hAnsi="Times New Roman" w:cs="Times New Roman"/>
          <w:color w:val="000000" w:themeColor="text1"/>
          <w:sz w:val="24"/>
          <w:szCs w:val="24"/>
        </w:rPr>
        <w:t xml:space="preserve">(C) </w:t>
      </w:r>
      <w:r w:rsidR="00F52256" w:rsidRPr="00011CBA">
        <w:rPr>
          <w:rFonts w:ascii="Times New Roman" w:hAnsi="Times New Roman" w:cs="Times New Roman"/>
          <w:color w:val="000000" w:themeColor="text1"/>
          <w:sz w:val="24"/>
          <w:szCs w:val="24"/>
        </w:rPr>
        <w:t xml:space="preserve">In the </w:t>
      </w:r>
      <w:r w:rsidR="00F60FD3" w:rsidRPr="00011CBA">
        <w:rPr>
          <w:rFonts w:ascii="Times New Roman" w:hAnsi="Times New Roman" w:cs="Times New Roman"/>
          <w:color w:val="000000" w:themeColor="text1"/>
          <w:sz w:val="24"/>
          <w:szCs w:val="24"/>
        </w:rPr>
        <w:t>METABRIC TNBC immunomodulatory (IM) subtype cohort</w:t>
      </w:r>
      <w:r w:rsidR="00F52256" w:rsidRPr="00011CBA">
        <w:rPr>
          <w:rFonts w:ascii="Times New Roman" w:hAnsi="Times New Roman" w:cs="Times New Roman"/>
          <w:color w:val="000000" w:themeColor="text1"/>
          <w:sz w:val="24"/>
          <w:szCs w:val="24"/>
        </w:rPr>
        <w:t>, elevated AKR1C2 expression correlated with worse</w:t>
      </w:r>
      <w:r w:rsidR="00F60FD3" w:rsidRPr="00011CBA">
        <w:rPr>
          <w:rFonts w:ascii="Times New Roman" w:hAnsi="Times New Roman" w:cs="Times New Roman"/>
          <w:color w:val="000000" w:themeColor="text1"/>
          <w:sz w:val="24"/>
          <w:szCs w:val="24"/>
        </w:rPr>
        <w:t xml:space="preserve"> RFS (</w:t>
      </w:r>
      <w:r w:rsidR="00F60FD3" w:rsidRPr="00011CBA">
        <w:rPr>
          <w:rFonts w:ascii="Times New Roman" w:hAnsi="Times New Roman" w:cs="Times New Roman"/>
          <w:i/>
          <w:iCs/>
          <w:color w:val="000000" w:themeColor="text1"/>
          <w:sz w:val="24"/>
          <w:szCs w:val="24"/>
        </w:rPr>
        <w:t>P</w:t>
      </w:r>
      <w:r w:rsidR="00F60FD3" w:rsidRPr="00011CBA">
        <w:rPr>
          <w:rFonts w:ascii="Times New Roman" w:hAnsi="Times New Roman" w:cs="Times New Roman"/>
          <w:color w:val="000000" w:themeColor="text1"/>
          <w:sz w:val="24"/>
          <w:szCs w:val="24"/>
        </w:rPr>
        <w:t xml:space="preserve"> = 0.0033). (D) </w:t>
      </w:r>
      <w:r w:rsidR="00F52256" w:rsidRPr="00011CBA">
        <w:rPr>
          <w:rFonts w:ascii="Times New Roman" w:hAnsi="Times New Roman" w:cs="Times New Roman"/>
          <w:color w:val="000000" w:themeColor="text1"/>
          <w:sz w:val="24"/>
          <w:szCs w:val="24"/>
        </w:rPr>
        <w:t xml:space="preserve">Kaplan-Meier analysis of RFS by ABCA13 expression in the </w:t>
      </w:r>
      <w:r w:rsidR="00F60FD3" w:rsidRPr="00011CBA">
        <w:rPr>
          <w:rFonts w:ascii="Times New Roman" w:hAnsi="Times New Roman" w:cs="Times New Roman"/>
          <w:color w:val="000000" w:themeColor="text1"/>
          <w:sz w:val="24"/>
          <w:szCs w:val="24"/>
        </w:rPr>
        <w:t>METABRIC TNBC</w:t>
      </w:r>
      <w:r w:rsidR="00F60FD3" w:rsidRPr="00011CBA" w:rsidDel="00F60FD3">
        <w:rPr>
          <w:rFonts w:ascii="Times New Roman" w:hAnsi="Times New Roman" w:cs="Times New Roman"/>
          <w:color w:val="000000" w:themeColor="text1"/>
          <w:sz w:val="24"/>
          <w:szCs w:val="24"/>
        </w:rPr>
        <w:t xml:space="preserve"> </w:t>
      </w:r>
      <w:r w:rsidR="00F60FD3" w:rsidRPr="00011CBA">
        <w:rPr>
          <w:rFonts w:ascii="Times New Roman" w:hAnsi="Times New Roman" w:cs="Times New Roman"/>
          <w:color w:val="000000" w:themeColor="text1"/>
          <w:sz w:val="24"/>
          <w:szCs w:val="24"/>
        </w:rPr>
        <w:t>IM subtype cohort</w:t>
      </w:r>
      <w:r w:rsidR="00F52256" w:rsidRPr="00011CBA">
        <w:rPr>
          <w:rFonts w:ascii="Times New Roman" w:hAnsi="Times New Roman" w:cs="Times New Roman"/>
          <w:color w:val="000000" w:themeColor="text1"/>
          <w:sz w:val="24"/>
          <w:szCs w:val="24"/>
        </w:rPr>
        <w:t xml:space="preserve"> showed a trend towards worse survival in the high expression group, although it did not reach </w:t>
      </w:r>
      <w:r w:rsidR="00F60FD3" w:rsidRPr="00011CBA">
        <w:rPr>
          <w:rFonts w:ascii="Times New Roman" w:hAnsi="Times New Roman" w:cs="Times New Roman"/>
          <w:color w:val="000000" w:themeColor="text1"/>
          <w:sz w:val="24"/>
          <w:szCs w:val="24"/>
        </w:rPr>
        <w:t>statistical significance</w:t>
      </w:r>
      <w:r w:rsidR="00F60FD3" w:rsidRPr="00011CBA" w:rsidDel="00F60FD3">
        <w:rPr>
          <w:rFonts w:ascii="Times New Roman" w:hAnsi="Times New Roman" w:cs="Times New Roman"/>
          <w:color w:val="000000" w:themeColor="text1"/>
          <w:sz w:val="24"/>
          <w:szCs w:val="24"/>
        </w:rPr>
        <w:t xml:space="preserve"> </w:t>
      </w:r>
      <w:r w:rsidR="00F60FD3" w:rsidRPr="00011CBA">
        <w:rPr>
          <w:rFonts w:ascii="Times New Roman" w:hAnsi="Times New Roman" w:cs="Times New Roman"/>
          <w:color w:val="000000" w:themeColor="text1"/>
          <w:sz w:val="24"/>
          <w:szCs w:val="24"/>
        </w:rPr>
        <w:t>(</w:t>
      </w:r>
      <w:r w:rsidR="00F60FD3" w:rsidRPr="00011CBA">
        <w:rPr>
          <w:rFonts w:ascii="Times New Roman" w:hAnsi="Times New Roman" w:cs="Times New Roman"/>
          <w:i/>
          <w:iCs/>
          <w:color w:val="000000" w:themeColor="text1"/>
          <w:sz w:val="24"/>
          <w:szCs w:val="24"/>
        </w:rPr>
        <w:t>P</w:t>
      </w:r>
      <w:r w:rsidR="00F60FD3" w:rsidRPr="00011CBA">
        <w:rPr>
          <w:rFonts w:ascii="Times New Roman" w:hAnsi="Times New Roman" w:cs="Times New Roman"/>
          <w:color w:val="000000" w:themeColor="text1"/>
          <w:sz w:val="24"/>
          <w:szCs w:val="24"/>
        </w:rPr>
        <w:t xml:space="preserve"> = 0.2225).</w:t>
      </w:r>
      <w:r w:rsidR="00221581" w:rsidRPr="00011CBA">
        <w:rPr>
          <w:rFonts w:ascii="Times New Roman" w:hAnsi="Times New Roman" w:cs="Times New Roman"/>
          <w:color w:val="000000" w:themeColor="text1"/>
          <w:sz w:val="24"/>
          <w:szCs w:val="24"/>
        </w:rPr>
        <w:br w:type="page"/>
      </w:r>
    </w:p>
    <w:p w14:paraId="758E54A4" w14:textId="0DCB17CD" w:rsidR="00EE2685" w:rsidRPr="00011CBA" w:rsidRDefault="00221581" w:rsidP="00BA5926">
      <w:pPr>
        <w:spacing w:line="480" w:lineRule="auto"/>
        <w:jc w:val="both"/>
        <w:rPr>
          <w:rFonts w:ascii="Times New Roman" w:hAnsi="Times New Roman" w:cs="Times New Roman"/>
          <w:color w:val="000000" w:themeColor="text1"/>
          <w:sz w:val="24"/>
          <w:szCs w:val="24"/>
        </w:rPr>
      </w:pPr>
      <w:r w:rsidRPr="00011CBA">
        <w:rPr>
          <w:rFonts w:ascii="Times New Roman" w:hAnsi="Times New Roman" w:cs="Times New Roman"/>
          <w:noProof/>
          <w:color w:val="000000" w:themeColor="text1"/>
          <w:sz w:val="24"/>
          <w:szCs w:val="24"/>
        </w:rPr>
        <w:lastRenderedPageBreak/>
        <w:drawing>
          <wp:inline distT="0" distB="0" distL="0" distR="0" wp14:anchorId="31E8CB8B" wp14:editId="18932621">
            <wp:extent cx="5943600" cy="2276024"/>
            <wp:effectExtent l="0" t="0" r="0" b="0"/>
            <wp:docPr id="12" name="그림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그림 12"/>
                    <pic:cNvPicPr/>
                  </pic:nvPicPr>
                  <pic:blipFill rotWithShape="1">
                    <a:blip r:embed="rId15" cstate="print">
                      <a:extLst>
                        <a:ext uri="{28A0092B-C50C-407E-A947-70E740481C1C}">
                          <a14:useLocalDpi xmlns:a14="http://schemas.microsoft.com/office/drawing/2010/main" val="0"/>
                        </a:ext>
                      </a:extLst>
                    </a:blip>
                    <a:srcRect b="72917"/>
                    <a:stretch/>
                  </pic:blipFill>
                  <pic:spPr bwMode="auto">
                    <a:xfrm>
                      <a:off x="0" y="0"/>
                      <a:ext cx="5949792" cy="2278395"/>
                    </a:xfrm>
                    <a:prstGeom prst="rect">
                      <a:avLst/>
                    </a:prstGeom>
                    <a:ln>
                      <a:noFill/>
                    </a:ln>
                    <a:extLst>
                      <a:ext uri="{53640926-AAD7-44D8-BBD7-CCE9431645EC}">
                        <a14:shadowObscured xmlns:a14="http://schemas.microsoft.com/office/drawing/2010/main"/>
                      </a:ext>
                    </a:extLst>
                  </pic:spPr>
                </pic:pic>
              </a:graphicData>
            </a:graphic>
          </wp:inline>
        </w:drawing>
      </w:r>
    </w:p>
    <w:p w14:paraId="536D72F4" w14:textId="798C228D" w:rsidR="00E2153C" w:rsidRDefault="00221581" w:rsidP="00E2153C">
      <w:pPr>
        <w:spacing w:line="480" w:lineRule="auto"/>
        <w:jc w:val="both"/>
        <w:rPr>
          <w:rFonts w:ascii="Times New Roman" w:hAnsi="Times New Roman" w:cs="Times New Roman"/>
          <w:color w:val="000000" w:themeColor="text1"/>
          <w:sz w:val="24"/>
          <w:szCs w:val="24"/>
        </w:rPr>
      </w:pPr>
      <w:bookmarkStart w:id="15" w:name="_Hlk213329241"/>
      <w:r w:rsidRPr="00011CBA">
        <w:rPr>
          <w:rFonts w:ascii="Times New Roman" w:hAnsi="Times New Roman" w:cs="Times New Roman" w:hint="eastAsia"/>
          <w:b/>
          <w:bCs/>
          <w:color w:val="000000" w:themeColor="text1"/>
          <w:sz w:val="24"/>
          <w:szCs w:val="24"/>
        </w:rPr>
        <w:t>F</w:t>
      </w:r>
      <w:r w:rsidRPr="00011CBA">
        <w:rPr>
          <w:rFonts w:ascii="Times New Roman" w:hAnsi="Times New Roman" w:cs="Times New Roman"/>
          <w:b/>
          <w:bCs/>
          <w:color w:val="000000" w:themeColor="text1"/>
          <w:sz w:val="24"/>
          <w:szCs w:val="24"/>
        </w:rPr>
        <w:t xml:space="preserve">ig </w:t>
      </w:r>
      <w:r w:rsidR="00B548AE" w:rsidRPr="00011CBA">
        <w:rPr>
          <w:rFonts w:ascii="Times New Roman" w:hAnsi="Times New Roman" w:cs="Times New Roman"/>
          <w:b/>
          <w:bCs/>
          <w:color w:val="000000" w:themeColor="text1"/>
          <w:sz w:val="24"/>
          <w:szCs w:val="24"/>
        </w:rPr>
        <w:t>S8</w:t>
      </w:r>
      <w:r w:rsidRPr="00011CBA">
        <w:rPr>
          <w:rFonts w:ascii="Times New Roman" w:hAnsi="Times New Roman" w:cs="Times New Roman"/>
          <w:b/>
          <w:bCs/>
          <w:color w:val="000000" w:themeColor="text1"/>
          <w:sz w:val="24"/>
          <w:szCs w:val="24"/>
        </w:rPr>
        <w:t>.</w:t>
      </w:r>
      <w:r w:rsidRPr="00011CBA">
        <w:rPr>
          <w:b/>
          <w:bCs/>
          <w:color w:val="000000" w:themeColor="text1"/>
        </w:rPr>
        <w:t xml:space="preserve"> </w:t>
      </w:r>
      <w:bookmarkStart w:id="16" w:name="_Hlk213273828"/>
      <w:r w:rsidRPr="00011CBA">
        <w:rPr>
          <w:rFonts w:ascii="Times New Roman" w:hAnsi="Times New Roman" w:cs="Times New Roman"/>
          <w:b/>
          <w:bCs/>
          <w:color w:val="000000" w:themeColor="text1"/>
          <w:sz w:val="24"/>
          <w:szCs w:val="24"/>
        </w:rPr>
        <w:t>Synergistic inhibition in MDA-MB231 cells with combined paclitaxel and GRK2 (βARK) inhibitor treatment.</w:t>
      </w:r>
      <w:bookmarkEnd w:id="16"/>
      <w:r w:rsidRPr="00011CBA">
        <w:rPr>
          <w:rFonts w:ascii="Times New Roman" w:hAnsi="Times New Roman" w:cs="Times New Roman"/>
          <w:color w:val="000000" w:themeColor="text1"/>
          <w:sz w:val="24"/>
          <w:szCs w:val="24"/>
        </w:rPr>
        <w:t xml:space="preserve"> </w:t>
      </w:r>
      <w:r w:rsidRPr="00011CBA">
        <w:rPr>
          <w:rFonts w:ascii="Times New Roman" w:eastAsia="Times New Roman" w:hAnsi="Times New Roman" w:cs="Times New Roman"/>
          <w:color w:val="000000" w:themeColor="text1"/>
          <w:sz w:val="24"/>
          <w:szCs w:val="24"/>
        </w:rPr>
        <w:t>(</w:t>
      </w:r>
      <w:r w:rsidRPr="00011CBA">
        <w:rPr>
          <w:rFonts w:ascii="Times New Roman" w:hAnsi="Times New Roman" w:cs="Times New Roman"/>
          <w:color w:val="000000" w:themeColor="text1"/>
          <w:sz w:val="24"/>
          <w:szCs w:val="24"/>
        </w:rPr>
        <w:t>A</w:t>
      </w:r>
      <w:r w:rsidRPr="00011CBA">
        <w:rPr>
          <w:rFonts w:ascii="Times New Roman" w:eastAsia="Times New Roman" w:hAnsi="Times New Roman" w:cs="Times New Roman"/>
          <w:color w:val="000000" w:themeColor="text1"/>
          <w:sz w:val="24"/>
          <w:szCs w:val="24"/>
        </w:rPr>
        <w:t xml:space="preserve">) </w:t>
      </w:r>
      <w:r w:rsidRPr="00011CBA">
        <w:rPr>
          <w:rFonts w:ascii="Times New Roman" w:hAnsi="Times New Roman" w:cs="Times New Roman"/>
          <w:color w:val="000000" w:themeColor="text1"/>
          <w:sz w:val="24"/>
          <w:szCs w:val="24"/>
        </w:rPr>
        <w:t>Dose-response matrix showing percent inhibition in MDA-MB231 cells treated for 72 hours with various concentrations of paclitaxel and GRK2 (βARK) inhibitor. (B) Three-dimensional surface plot representing the Bliss synergy scores calculated from the dose-response data. The positive Bliss synergy score (8.08) indicates a synergistic effect between paclitaxel and GRK2 (βARK) inhibitor.</w:t>
      </w:r>
      <w:r w:rsidR="00E2153C">
        <w:rPr>
          <w:rFonts w:ascii="Times New Roman" w:hAnsi="Times New Roman" w:cs="Times New Roman"/>
          <w:color w:val="000000" w:themeColor="text1"/>
          <w:sz w:val="24"/>
          <w:szCs w:val="24"/>
        </w:rPr>
        <w:br w:type="page"/>
      </w:r>
    </w:p>
    <w:p w14:paraId="0D745A6B" w14:textId="4B1C443D" w:rsidR="00221581" w:rsidRPr="00011CBA" w:rsidRDefault="00E2153C" w:rsidP="00BA5926">
      <w:pPr>
        <w:spacing w:line="48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lastRenderedPageBreak/>
        <w:drawing>
          <wp:inline distT="0" distB="0" distL="0" distR="0" wp14:anchorId="1672B706" wp14:editId="4D08FC19">
            <wp:extent cx="5924550" cy="7642258"/>
            <wp:effectExtent l="0" t="0" r="0" b="0"/>
            <wp:docPr id="13" name="그림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그림 13"/>
                    <pic:cNvPicPr/>
                  </pic:nvPicPr>
                  <pic:blipFill rotWithShape="1">
                    <a:blip r:embed="rId16" cstate="print">
                      <a:extLst>
                        <a:ext uri="{28A0092B-C50C-407E-A947-70E740481C1C}">
                          <a14:useLocalDpi xmlns:a14="http://schemas.microsoft.com/office/drawing/2010/main" val="0"/>
                        </a:ext>
                      </a:extLst>
                    </a:blip>
                    <a:srcRect b="14005"/>
                    <a:stretch/>
                  </pic:blipFill>
                  <pic:spPr bwMode="auto">
                    <a:xfrm>
                      <a:off x="0" y="0"/>
                      <a:ext cx="5929880" cy="7649133"/>
                    </a:xfrm>
                    <a:prstGeom prst="rect">
                      <a:avLst/>
                    </a:prstGeom>
                    <a:ln>
                      <a:noFill/>
                    </a:ln>
                    <a:extLst>
                      <a:ext uri="{53640926-AAD7-44D8-BBD7-CCE9431645EC}">
                        <a14:shadowObscured xmlns:a14="http://schemas.microsoft.com/office/drawing/2010/main"/>
                      </a:ext>
                    </a:extLst>
                  </pic:spPr>
                </pic:pic>
              </a:graphicData>
            </a:graphic>
          </wp:inline>
        </w:drawing>
      </w:r>
    </w:p>
    <w:bookmarkEnd w:id="15"/>
    <w:p w14:paraId="5587BD1E" w14:textId="274AAA98" w:rsidR="00D26F07" w:rsidRPr="00011CBA" w:rsidRDefault="0023611D" w:rsidP="005179D8">
      <w:pPr>
        <w:spacing w:line="480" w:lineRule="auto"/>
        <w:jc w:val="both"/>
        <w:rPr>
          <w:rFonts w:ascii="Times New Roman" w:hAnsi="Times New Roman" w:cs="Times New Roman"/>
          <w:color w:val="000000" w:themeColor="text1"/>
          <w:sz w:val="24"/>
          <w:szCs w:val="24"/>
        </w:rPr>
      </w:pPr>
      <w:r w:rsidRPr="00011CBA">
        <w:rPr>
          <w:rFonts w:ascii="Times New Roman" w:hAnsi="Times New Roman" w:cs="Times New Roman"/>
          <w:b/>
          <w:bCs/>
          <w:color w:val="000000" w:themeColor="text1"/>
          <w:sz w:val="24"/>
          <w:szCs w:val="24"/>
        </w:rPr>
        <w:lastRenderedPageBreak/>
        <w:t xml:space="preserve">Fig </w:t>
      </w:r>
      <w:r w:rsidR="00B548AE" w:rsidRPr="00011CBA">
        <w:rPr>
          <w:rFonts w:ascii="Times New Roman" w:hAnsi="Times New Roman" w:cs="Times New Roman"/>
          <w:b/>
          <w:bCs/>
          <w:color w:val="000000" w:themeColor="text1"/>
          <w:sz w:val="24"/>
          <w:szCs w:val="24"/>
        </w:rPr>
        <w:t>S9</w:t>
      </w:r>
      <w:r w:rsidRPr="00011CBA">
        <w:rPr>
          <w:rFonts w:ascii="Times New Roman" w:hAnsi="Times New Roman" w:cs="Times New Roman"/>
          <w:b/>
          <w:bCs/>
          <w:color w:val="000000" w:themeColor="text1"/>
          <w:sz w:val="24"/>
          <w:szCs w:val="24"/>
        </w:rPr>
        <w:t xml:space="preserve">. </w:t>
      </w:r>
      <w:bookmarkStart w:id="17" w:name="_Hlk213273849"/>
      <w:r w:rsidR="00CB6C1A" w:rsidRPr="00011CBA">
        <w:rPr>
          <w:rFonts w:ascii="Times New Roman" w:hAnsi="Times New Roman" w:cs="Times New Roman"/>
          <w:b/>
          <w:bCs/>
          <w:color w:val="000000" w:themeColor="text1"/>
          <w:sz w:val="24"/>
          <w:szCs w:val="24"/>
        </w:rPr>
        <w:t>Chromosome-specific copy number, RNA, and protein expression patterns associated with pathologic response status in TNBC: Cytoband enrichment analysis by pCR and non-pCR groups.</w:t>
      </w:r>
      <w:r w:rsidR="00221581" w:rsidRPr="00011CBA">
        <w:rPr>
          <w:rFonts w:ascii="Times New Roman" w:hAnsi="Times New Roman" w:cs="Times New Roman"/>
          <w:b/>
          <w:bCs/>
          <w:color w:val="000000" w:themeColor="text1"/>
          <w:sz w:val="24"/>
          <w:szCs w:val="24"/>
        </w:rPr>
        <w:t xml:space="preserve"> </w:t>
      </w:r>
      <w:bookmarkEnd w:id="17"/>
      <w:r w:rsidR="00221581" w:rsidRPr="00011CBA">
        <w:rPr>
          <w:rFonts w:ascii="Times New Roman" w:hAnsi="Times New Roman" w:cs="Times New Roman"/>
          <w:color w:val="000000" w:themeColor="text1"/>
          <w:sz w:val="24"/>
          <w:szCs w:val="24"/>
        </w:rPr>
        <w:t>(A) Heatmaps of copy number alteration, relative RNA expression, and relative protein expression across chromosomes, stratified by pCR and non-pathological complete response (</w:t>
      </w:r>
      <w:proofErr w:type="spellStart"/>
      <w:r w:rsidR="00221581" w:rsidRPr="00011CBA">
        <w:rPr>
          <w:rFonts w:ascii="Times New Roman" w:hAnsi="Times New Roman" w:cs="Times New Roman"/>
          <w:color w:val="000000" w:themeColor="text1"/>
          <w:sz w:val="24"/>
          <w:szCs w:val="24"/>
        </w:rPr>
        <w:t>nCR</w:t>
      </w:r>
      <w:proofErr w:type="spellEnd"/>
      <w:r w:rsidR="00221581" w:rsidRPr="00011CBA">
        <w:rPr>
          <w:rFonts w:ascii="Times New Roman" w:hAnsi="Times New Roman" w:cs="Times New Roman"/>
          <w:color w:val="000000" w:themeColor="text1"/>
          <w:sz w:val="24"/>
          <w:szCs w:val="24"/>
        </w:rPr>
        <w:t xml:space="preserve">) groups. (B) Dot plot depicting GSEA normalized enrichment scores (NES) for RNA expression at each cytoband. The x-axis displays chromosome order, and the y-axis indicates NES. Positive NES values (red) represent cytobands enriched in the </w:t>
      </w:r>
      <w:proofErr w:type="spellStart"/>
      <w:r w:rsidR="00221581" w:rsidRPr="00011CBA">
        <w:rPr>
          <w:rFonts w:ascii="Times New Roman" w:hAnsi="Times New Roman" w:cs="Times New Roman"/>
          <w:color w:val="000000" w:themeColor="text1"/>
          <w:sz w:val="24"/>
          <w:szCs w:val="24"/>
        </w:rPr>
        <w:t>nCR</w:t>
      </w:r>
      <w:proofErr w:type="spellEnd"/>
      <w:r w:rsidR="00221581" w:rsidRPr="00011CBA">
        <w:rPr>
          <w:rFonts w:ascii="Times New Roman" w:hAnsi="Times New Roman" w:cs="Times New Roman"/>
          <w:color w:val="000000" w:themeColor="text1"/>
          <w:sz w:val="24"/>
          <w:szCs w:val="24"/>
        </w:rPr>
        <w:t xml:space="preserve"> group, while negative NES values (green) indicate enrichment in the pCR group. (C) Dot plot depicting GSEA NES values for protein expression at each cytoband. Notably, cytoband 7p21 was enriched in the </w:t>
      </w:r>
      <w:proofErr w:type="spellStart"/>
      <w:r w:rsidR="00221581" w:rsidRPr="00011CBA">
        <w:rPr>
          <w:rFonts w:ascii="Times New Roman" w:hAnsi="Times New Roman" w:cs="Times New Roman"/>
          <w:color w:val="000000" w:themeColor="text1"/>
          <w:sz w:val="24"/>
          <w:szCs w:val="24"/>
        </w:rPr>
        <w:t>nCR</w:t>
      </w:r>
      <w:proofErr w:type="spellEnd"/>
      <w:r w:rsidR="00221581" w:rsidRPr="00011CBA">
        <w:rPr>
          <w:rFonts w:ascii="Times New Roman" w:hAnsi="Times New Roman" w:cs="Times New Roman"/>
          <w:color w:val="000000" w:themeColor="text1"/>
          <w:sz w:val="24"/>
          <w:szCs w:val="24"/>
        </w:rPr>
        <w:t xml:space="preserve"> group in both RNA and protein expression analyses.</w:t>
      </w:r>
    </w:p>
    <w:p w14:paraId="0B1039FB" w14:textId="77777777" w:rsidR="00CB6C1A" w:rsidRPr="00011CBA" w:rsidRDefault="00CB6C1A">
      <w:pPr>
        <w:rPr>
          <w:rFonts w:ascii="Times New Roman" w:hAnsi="Times New Roman" w:cs="Times New Roman"/>
          <w:b/>
          <w:color w:val="000000" w:themeColor="text1"/>
          <w:sz w:val="24"/>
          <w:szCs w:val="24"/>
        </w:rPr>
      </w:pPr>
      <w:r w:rsidRPr="00011CBA">
        <w:rPr>
          <w:rFonts w:ascii="Times New Roman" w:hAnsi="Times New Roman" w:cs="Times New Roman"/>
          <w:b/>
          <w:color w:val="000000" w:themeColor="text1"/>
          <w:sz w:val="24"/>
          <w:szCs w:val="24"/>
        </w:rPr>
        <w:br w:type="page"/>
      </w:r>
    </w:p>
    <w:p w14:paraId="6259236A" w14:textId="6CAA83ED" w:rsidR="00A62D3C" w:rsidRPr="00011CBA" w:rsidRDefault="00E2153C" w:rsidP="00FB3AEF">
      <w:pPr>
        <w:spacing w:line="480" w:lineRule="auto"/>
        <w:jc w:val="center"/>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rPr>
        <w:lastRenderedPageBreak/>
        <w:drawing>
          <wp:inline distT="0" distB="0" distL="0" distR="0" wp14:anchorId="6493FD8D" wp14:editId="39610F2C">
            <wp:extent cx="5876925" cy="4597660"/>
            <wp:effectExtent l="0" t="0" r="0" b="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그림 3"/>
                    <pic:cNvPicPr/>
                  </pic:nvPicPr>
                  <pic:blipFill rotWithShape="1">
                    <a:blip r:embed="rId17" cstate="print">
                      <a:extLst>
                        <a:ext uri="{28A0092B-C50C-407E-A947-70E740481C1C}">
                          <a14:useLocalDpi xmlns:a14="http://schemas.microsoft.com/office/drawing/2010/main" val="0"/>
                        </a:ext>
                      </a:extLst>
                    </a:blip>
                    <a:srcRect b="44676"/>
                    <a:stretch/>
                  </pic:blipFill>
                  <pic:spPr bwMode="auto">
                    <a:xfrm>
                      <a:off x="0" y="0"/>
                      <a:ext cx="5877806" cy="4598349"/>
                    </a:xfrm>
                    <a:prstGeom prst="rect">
                      <a:avLst/>
                    </a:prstGeom>
                    <a:ln>
                      <a:noFill/>
                    </a:ln>
                    <a:extLst>
                      <a:ext uri="{53640926-AAD7-44D8-BBD7-CCE9431645EC}">
                        <a14:shadowObscured xmlns:a14="http://schemas.microsoft.com/office/drawing/2010/main"/>
                      </a:ext>
                    </a:extLst>
                  </pic:spPr>
                </pic:pic>
              </a:graphicData>
            </a:graphic>
          </wp:inline>
        </w:drawing>
      </w:r>
    </w:p>
    <w:p w14:paraId="63969861" w14:textId="7A0E8D2E" w:rsidR="009A0148" w:rsidRPr="00011CBA" w:rsidRDefault="004915BC" w:rsidP="009A0148">
      <w:pPr>
        <w:spacing w:line="480" w:lineRule="auto"/>
        <w:jc w:val="both"/>
        <w:rPr>
          <w:rFonts w:ascii="Times New Roman" w:eastAsia="Times New Roman" w:hAnsi="Times New Roman" w:cs="Times New Roman"/>
          <w:color w:val="000000" w:themeColor="text1"/>
          <w:sz w:val="24"/>
          <w:szCs w:val="24"/>
        </w:rPr>
      </w:pPr>
      <w:r w:rsidRPr="00011CBA">
        <w:rPr>
          <w:rFonts w:ascii="Times New Roman" w:eastAsia="Times New Roman" w:hAnsi="Times New Roman" w:cs="Times New Roman"/>
          <w:b/>
          <w:color w:val="000000" w:themeColor="text1"/>
          <w:sz w:val="24"/>
          <w:szCs w:val="24"/>
        </w:rPr>
        <w:t xml:space="preserve">Fig </w:t>
      </w:r>
      <w:r w:rsidR="007B1884" w:rsidRPr="00011CBA">
        <w:rPr>
          <w:rFonts w:ascii="Times New Roman" w:eastAsia="Times New Roman" w:hAnsi="Times New Roman" w:cs="Times New Roman"/>
          <w:b/>
          <w:color w:val="000000" w:themeColor="text1"/>
          <w:sz w:val="24"/>
          <w:szCs w:val="24"/>
        </w:rPr>
        <w:t>S</w:t>
      </w:r>
      <w:r w:rsidR="007B1884" w:rsidRPr="00011CBA">
        <w:rPr>
          <w:rFonts w:ascii="Times New Roman" w:hAnsi="Times New Roman" w:cs="Times New Roman"/>
          <w:b/>
          <w:color w:val="000000" w:themeColor="text1"/>
          <w:sz w:val="24"/>
          <w:szCs w:val="24"/>
        </w:rPr>
        <w:t>10</w:t>
      </w:r>
      <w:r w:rsidR="003459FB" w:rsidRPr="00011CBA">
        <w:rPr>
          <w:rFonts w:ascii="Times New Roman" w:hAnsi="Times New Roman" w:cs="Times New Roman"/>
          <w:b/>
          <w:color w:val="000000" w:themeColor="text1"/>
          <w:sz w:val="24"/>
          <w:szCs w:val="24"/>
        </w:rPr>
        <w:t>.</w:t>
      </w:r>
      <w:r w:rsidR="00A81B53" w:rsidRPr="00011CBA">
        <w:rPr>
          <w:rFonts w:ascii="Times New Roman" w:eastAsia="Times New Roman" w:hAnsi="Times New Roman" w:cs="Times New Roman"/>
          <w:b/>
          <w:color w:val="000000" w:themeColor="text1"/>
          <w:sz w:val="24"/>
          <w:szCs w:val="24"/>
        </w:rPr>
        <w:t xml:space="preserve"> </w:t>
      </w:r>
      <w:r w:rsidRPr="00011CBA">
        <w:rPr>
          <w:rFonts w:ascii="Times New Roman" w:hAnsi="Times New Roman" w:cs="Times New Roman"/>
          <w:b/>
          <w:color w:val="000000" w:themeColor="text1"/>
          <w:sz w:val="24"/>
          <w:szCs w:val="24"/>
        </w:rPr>
        <w:t>I</w:t>
      </w:r>
      <w:r w:rsidR="00A81B53" w:rsidRPr="00011CBA">
        <w:rPr>
          <w:rFonts w:ascii="Times New Roman" w:hAnsi="Times New Roman" w:cs="Times New Roman"/>
          <w:b/>
          <w:color w:val="000000" w:themeColor="text1"/>
          <w:sz w:val="24"/>
          <w:szCs w:val="24"/>
        </w:rPr>
        <w:t>ntegrin gene expression and immune contexture associated with chemotherapy response and ITGB8 copy number status in TNBC</w:t>
      </w:r>
      <w:r w:rsidRPr="00011CBA">
        <w:rPr>
          <w:rFonts w:ascii="Times New Roman" w:hAnsi="Times New Roman" w:cs="Times New Roman"/>
          <w:b/>
          <w:color w:val="000000" w:themeColor="text1"/>
          <w:sz w:val="24"/>
          <w:szCs w:val="24"/>
        </w:rPr>
        <w:t>.</w:t>
      </w:r>
      <w:r w:rsidR="006A3D53" w:rsidRPr="00011CBA">
        <w:rPr>
          <w:rFonts w:ascii="Times New Roman" w:hAnsi="Times New Roman" w:cs="Times New Roman"/>
          <w:bCs/>
          <w:color w:val="000000" w:themeColor="text1"/>
          <w:sz w:val="24"/>
          <w:szCs w:val="24"/>
        </w:rPr>
        <w:t xml:space="preserve"> </w:t>
      </w:r>
      <w:r w:rsidR="00037CAA" w:rsidRPr="00011CBA">
        <w:rPr>
          <w:rFonts w:ascii="Times New Roman" w:hAnsi="Times New Roman" w:cs="Times New Roman"/>
          <w:bCs/>
          <w:color w:val="000000" w:themeColor="text1"/>
          <w:sz w:val="24"/>
          <w:szCs w:val="24"/>
        </w:rPr>
        <w:t>(A)</w:t>
      </w:r>
      <w:r w:rsidRPr="00011CBA">
        <w:rPr>
          <w:rFonts w:ascii="Times New Roman" w:eastAsia="Times New Roman" w:hAnsi="Times New Roman" w:cs="Times New Roman"/>
          <w:color w:val="000000" w:themeColor="text1"/>
          <w:sz w:val="24"/>
          <w:szCs w:val="24"/>
        </w:rPr>
        <w:t xml:space="preserve"> </w:t>
      </w:r>
      <w:r w:rsidR="00A81B53" w:rsidRPr="00011CBA">
        <w:rPr>
          <w:rFonts w:ascii="Times New Roman" w:eastAsia="Times New Roman" w:hAnsi="Times New Roman" w:cs="Times New Roman"/>
          <w:color w:val="000000" w:themeColor="text1"/>
          <w:sz w:val="24"/>
          <w:szCs w:val="24"/>
        </w:rPr>
        <w:t xml:space="preserve">Heatmap showing normalized </w:t>
      </w:r>
      <w:r w:rsidR="00C96AD5" w:rsidRPr="00011CBA">
        <w:rPr>
          <w:rFonts w:ascii="Times New Roman" w:hAnsi="Times New Roman" w:cs="Times New Roman" w:hint="eastAsia"/>
          <w:color w:val="000000" w:themeColor="text1"/>
          <w:sz w:val="24"/>
          <w:szCs w:val="24"/>
        </w:rPr>
        <w:t xml:space="preserve">protein </w:t>
      </w:r>
      <w:r w:rsidR="00A81B53" w:rsidRPr="00011CBA">
        <w:rPr>
          <w:rFonts w:ascii="Times New Roman" w:eastAsia="Times New Roman" w:hAnsi="Times New Roman" w:cs="Times New Roman"/>
          <w:color w:val="000000" w:themeColor="text1"/>
          <w:sz w:val="24"/>
          <w:szCs w:val="24"/>
        </w:rPr>
        <w:t xml:space="preserve">expression levels of integrin family genes in baseline tumor samples, stratified by pathological response status (pCR vs. non-pCR). Integrins are arranged by higher relative expression in non-pCR tumors. </w:t>
      </w:r>
      <w:r w:rsidR="00037CAA" w:rsidRPr="00011CBA">
        <w:rPr>
          <w:rFonts w:ascii="Times New Roman" w:eastAsia="Times New Roman" w:hAnsi="Times New Roman" w:cs="Times New Roman"/>
          <w:color w:val="000000" w:themeColor="text1"/>
          <w:sz w:val="24"/>
          <w:szCs w:val="24"/>
        </w:rPr>
        <w:t>(B)</w:t>
      </w:r>
      <w:r w:rsidRPr="00011CBA">
        <w:rPr>
          <w:rFonts w:ascii="Times New Roman" w:eastAsia="Times New Roman" w:hAnsi="Times New Roman" w:cs="Times New Roman"/>
          <w:color w:val="000000" w:themeColor="text1"/>
          <w:sz w:val="24"/>
          <w:szCs w:val="24"/>
        </w:rPr>
        <w:t xml:space="preserve"> </w:t>
      </w:r>
      <w:r w:rsidR="00A81B53" w:rsidRPr="00011CBA">
        <w:rPr>
          <w:rFonts w:ascii="Times New Roman" w:eastAsia="Times New Roman" w:hAnsi="Times New Roman" w:cs="Times New Roman"/>
          <w:color w:val="000000" w:themeColor="text1"/>
          <w:sz w:val="24"/>
          <w:szCs w:val="24"/>
        </w:rPr>
        <w:t xml:space="preserve">ITGB8 RNA expression (counts per million, CPM) from RNA-seq data stratified by </w:t>
      </w:r>
      <w:r w:rsidR="00A81B53" w:rsidRPr="00011CBA">
        <w:rPr>
          <w:rFonts w:ascii="Times New Roman" w:eastAsia="Times New Roman" w:hAnsi="Times New Roman" w:cs="Times New Roman"/>
          <w:i/>
          <w:iCs/>
          <w:color w:val="000000" w:themeColor="text1"/>
          <w:sz w:val="24"/>
          <w:szCs w:val="24"/>
        </w:rPr>
        <w:t>ITGB8</w:t>
      </w:r>
      <w:r w:rsidR="00A81B53" w:rsidRPr="00011CBA">
        <w:rPr>
          <w:rFonts w:ascii="Times New Roman" w:eastAsia="Times New Roman" w:hAnsi="Times New Roman" w:cs="Times New Roman"/>
          <w:color w:val="000000" w:themeColor="text1"/>
          <w:sz w:val="24"/>
          <w:szCs w:val="24"/>
        </w:rPr>
        <w:t xml:space="preserve"> copy number status.</w:t>
      </w:r>
      <w:r w:rsidR="006A3D53" w:rsidRPr="00011CBA">
        <w:rPr>
          <w:rFonts w:ascii="Times New Roman" w:eastAsia="Times New Roman" w:hAnsi="Times New Roman" w:cs="Times New Roman"/>
          <w:color w:val="000000" w:themeColor="text1"/>
          <w:sz w:val="24"/>
          <w:szCs w:val="24"/>
        </w:rPr>
        <w:t xml:space="preserve"> </w:t>
      </w:r>
      <w:r w:rsidR="00037CAA" w:rsidRPr="00011CBA">
        <w:rPr>
          <w:rFonts w:ascii="Times New Roman" w:eastAsia="Times New Roman" w:hAnsi="Times New Roman" w:cs="Times New Roman"/>
          <w:color w:val="000000" w:themeColor="text1"/>
          <w:sz w:val="24"/>
          <w:szCs w:val="24"/>
        </w:rPr>
        <w:t>(C)</w:t>
      </w:r>
      <w:r w:rsidRPr="00011CBA">
        <w:rPr>
          <w:rFonts w:ascii="Times New Roman" w:eastAsia="Times New Roman" w:hAnsi="Times New Roman" w:cs="Times New Roman"/>
          <w:color w:val="000000" w:themeColor="text1"/>
          <w:sz w:val="24"/>
          <w:szCs w:val="24"/>
        </w:rPr>
        <w:t xml:space="preserve"> ITGB8 protein expression</w:t>
      </w:r>
      <w:r w:rsidR="00A81B53" w:rsidRPr="00011CBA">
        <w:rPr>
          <w:rFonts w:ascii="Times New Roman" w:eastAsia="Times New Roman" w:hAnsi="Times New Roman" w:cs="Times New Roman"/>
          <w:color w:val="000000" w:themeColor="text1"/>
          <w:sz w:val="24"/>
          <w:szCs w:val="24"/>
        </w:rPr>
        <w:t xml:space="preserve"> measured </w:t>
      </w:r>
      <w:r w:rsidR="0014520C" w:rsidRPr="00011CBA">
        <w:rPr>
          <w:rFonts w:ascii="Times New Roman" w:eastAsia="Times New Roman" w:hAnsi="Times New Roman" w:cs="Times New Roman"/>
          <w:color w:val="000000" w:themeColor="text1"/>
          <w:sz w:val="24"/>
          <w:szCs w:val="24"/>
        </w:rPr>
        <w:t xml:space="preserve">by TMT </w:t>
      </w:r>
      <w:r w:rsidR="00A81B53" w:rsidRPr="00011CBA">
        <w:rPr>
          <w:rFonts w:ascii="Times New Roman" w:eastAsia="Times New Roman" w:hAnsi="Times New Roman" w:cs="Times New Roman"/>
          <w:color w:val="000000" w:themeColor="text1"/>
          <w:sz w:val="24"/>
          <w:szCs w:val="24"/>
        </w:rPr>
        <w:t xml:space="preserve">proteomics </w:t>
      </w:r>
      <w:r w:rsidRPr="00011CBA">
        <w:rPr>
          <w:rFonts w:ascii="Times New Roman" w:eastAsia="Times New Roman" w:hAnsi="Times New Roman" w:cs="Times New Roman"/>
          <w:color w:val="000000" w:themeColor="text1"/>
          <w:sz w:val="24"/>
          <w:szCs w:val="24"/>
        </w:rPr>
        <w:t xml:space="preserve">according to </w:t>
      </w:r>
      <w:r w:rsidRPr="00011CBA">
        <w:rPr>
          <w:rFonts w:ascii="Times New Roman" w:eastAsia="Times New Roman" w:hAnsi="Times New Roman" w:cs="Times New Roman"/>
          <w:i/>
          <w:iCs/>
          <w:color w:val="000000" w:themeColor="text1"/>
          <w:sz w:val="24"/>
          <w:szCs w:val="24"/>
        </w:rPr>
        <w:t>ITGB8</w:t>
      </w:r>
      <w:r w:rsidRPr="00011CBA">
        <w:rPr>
          <w:rFonts w:ascii="Times New Roman" w:eastAsia="Times New Roman" w:hAnsi="Times New Roman" w:cs="Times New Roman"/>
          <w:color w:val="000000" w:themeColor="text1"/>
          <w:sz w:val="24"/>
          <w:szCs w:val="24"/>
        </w:rPr>
        <w:t xml:space="preserve"> copy number status.</w:t>
      </w:r>
      <w:r w:rsidR="006A3D53" w:rsidRPr="00011CBA">
        <w:rPr>
          <w:rFonts w:ascii="Times New Roman" w:eastAsia="Times New Roman" w:hAnsi="Times New Roman" w:cs="Times New Roman"/>
          <w:color w:val="000000" w:themeColor="text1"/>
          <w:sz w:val="24"/>
          <w:szCs w:val="24"/>
        </w:rPr>
        <w:t xml:space="preserve"> </w:t>
      </w:r>
      <w:r w:rsidR="00037CAA" w:rsidRPr="00011CBA">
        <w:rPr>
          <w:rFonts w:ascii="Times New Roman" w:eastAsia="Times New Roman" w:hAnsi="Times New Roman" w:cs="Times New Roman"/>
          <w:color w:val="000000" w:themeColor="text1"/>
          <w:sz w:val="24"/>
          <w:szCs w:val="24"/>
        </w:rPr>
        <w:t>(D)</w:t>
      </w:r>
      <w:r w:rsidRPr="00011CBA">
        <w:rPr>
          <w:rFonts w:ascii="Times New Roman" w:eastAsia="Times New Roman" w:hAnsi="Times New Roman" w:cs="Times New Roman"/>
          <w:color w:val="000000" w:themeColor="text1"/>
          <w:sz w:val="24"/>
          <w:szCs w:val="24"/>
        </w:rPr>
        <w:t xml:space="preserve"> </w:t>
      </w:r>
      <w:r w:rsidR="00A81B53" w:rsidRPr="00011CBA">
        <w:rPr>
          <w:rFonts w:ascii="Times New Roman" w:eastAsia="Times New Roman" w:hAnsi="Times New Roman" w:cs="Times New Roman"/>
          <w:color w:val="000000" w:themeColor="text1"/>
          <w:sz w:val="24"/>
          <w:szCs w:val="24"/>
        </w:rPr>
        <w:t xml:space="preserve">ESTIMATE immune scores grouped by </w:t>
      </w:r>
      <w:r w:rsidR="00A81B53" w:rsidRPr="00011CBA">
        <w:rPr>
          <w:rFonts w:ascii="Times New Roman" w:eastAsia="Times New Roman" w:hAnsi="Times New Roman" w:cs="Times New Roman"/>
          <w:i/>
          <w:iCs/>
          <w:color w:val="000000" w:themeColor="text1"/>
          <w:sz w:val="24"/>
          <w:szCs w:val="24"/>
        </w:rPr>
        <w:t>ITGB8</w:t>
      </w:r>
      <w:r w:rsidR="00A81B53" w:rsidRPr="00011CBA">
        <w:rPr>
          <w:rFonts w:ascii="Times New Roman" w:eastAsia="Times New Roman" w:hAnsi="Times New Roman" w:cs="Times New Roman"/>
          <w:color w:val="000000" w:themeColor="text1"/>
          <w:sz w:val="24"/>
          <w:szCs w:val="24"/>
        </w:rPr>
        <w:t xml:space="preserve"> copy number status</w:t>
      </w:r>
      <w:r w:rsidRPr="00011CBA">
        <w:rPr>
          <w:rFonts w:ascii="Times New Roman" w:eastAsia="Times New Roman" w:hAnsi="Times New Roman" w:cs="Times New Roman"/>
          <w:color w:val="000000" w:themeColor="text1"/>
          <w:sz w:val="24"/>
          <w:szCs w:val="24"/>
        </w:rPr>
        <w:t>.</w:t>
      </w:r>
    </w:p>
    <w:p w14:paraId="1B4B07D0" w14:textId="2ED13056" w:rsidR="009A0148" w:rsidRPr="00011CBA" w:rsidRDefault="009A0148">
      <w:pPr>
        <w:rPr>
          <w:rFonts w:ascii="Times New Roman" w:eastAsia="Times New Roman" w:hAnsi="Times New Roman" w:cs="Times New Roman"/>
          <w:color w:val="000000" w:themeColor="text1"/>
          <w:sz w:val="24"/>
          <w:szCs w:val="24"/>
        </w:rPr>
      </w:pPr>
      <w:r w:rsidRPr="00011CBA">
        <w:rPr>
          <w:rFonts w:ascii="Times New Roman" w:eastAsia="Times New Roman" w:hAnsi="Times New Roman" w:cs="Times New Roman"/>
          <w:color w:val="000000" w:themeColor="text1"/>
          <w:sz w:val="24"/>
          <w:szCs w:val="24"/>
        </w:rPr>
        <w:br w:type="page"/>
      </w:r>
    </w:p>
    <w:p w14:paraId="7A7F6ED2" w14:textId="26473B45" w:rsidR="009A0148" w:rsidRPr="00011CBA" w:rsidRDefault="002C0F7F">
      <w:pPr>
        <w:rPr>
          <w:rFonts w:ascii="Times New Roman" w:eastAsia="Times New Roman" w:hAnsi="Times New Roman" w:cs="Times New Roman"/>
          <w:b/>
          <w:color w:val="000000" w:themeColor="text1"/>
          <w:sz w:val="24"/>
          <w:szCs w:val="24"/>
        </w:rPr>
      </w:pPr>
      <w:r w:rsidRPr="00011CBA">
        <w:rPr>
          <w:rFonts w:ascii="Times New Roman" w:eastAsia="Times New Roman" w:hAnsi="Times New Roman" w:cs="Times New Roman"/>
          <w:b/>
          <w:noProof/>
          <w:color w:val="000000" w:themeColor="text1"/>
          <w:sz w:val="24"/>
          <w:szCs w:val="24"/>
        </w:rPr>
        <w:lastRenderedPageBreak/>
        <w:drawing>
          <wp:inline distT="0" distB="0" distL="0" distR="0" wp14:anchorId="786B9A86" wp14:editId="1EA6F873">
            <wp:extent cx="5962650" cy="7982729"/>
            <wp:effectExtent l="0" t="0" r="0" b="0"/>
            <wp:docPr id="9" name="그림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그림 9"/>
                    <pic:cNvPicPr/>
                  </pic:nvPicPr>
                  <pic:blipFill rotWithShape="1">
                    <a:blip r:embed="rId18" cstate="print">
                      <a:extLst>
                        <a:ext uri="{28A0092B-C50C-407E-A947-70E740481C1C}">
                          <a14:useLocalDpi xmlns:a14="http://schemas.microsoft.com/office/drawing/2010/main" val="0"/>
                        </a:ext>
                      </a:extLst>
                    </a:blip>
                    <a:srcRect b="5324"/>
                    <a:stretch/>
                  </pic:blipFill>
                  <pic:spPr bwMode="auto">
                    <a:xfrm>
                      <a:off x="0" y="0"/>
                      <a:ext cx="5966064" cy="7987299"/>
                    </a:xfrm>
                    <a:prstGeom prst="rect">
                      <a:avLst/>
                    </a:prstGeom>
                    <a:ln>
                      <a:noFill/>
                    </a:ln>
                    <a:extLst>
                      <a:ext uri="{53640926-AAD7-44D8-BBD7-CCE9431645EC}">
                        <a14:shadowObscured xmlns:a14="http://schemas.microsoft.com/office/drawing/2010/main"/>
                      </a:ext>
                    </a:extLst>
                  </pic:spPr>
                </pic:pic>
              </a:graphicData>
            </a:graphic>
          </wp:inline>
        </w:drawing>
      </w:r>
    </w:p>
    <w:p w14:paraId="12C62903" w14:textId="25D08C4E" w:rsidR="009A0148" w:rsidRPr="00011CBA" w:rsidRDefault="009A0148" w:rsidP="00545786">
      <w:pPr>
        <w:spacing w:line="480" w:lineRule="auto"/>
        <w:jc w:val="both"/>
        <w:rPr>
          <w:rFonts w:ascii="Times New Roman" w:hAnsi="Times New Roman" w:cs="Times New Roman"/>
          <w:b/>
          <w:color w:val="000000" w:themeColor="text1"/>
          <w:sz w:val="24"/>
          <w:szCs w:val="24"/>
        </w:rPr>
      </w:pPr>
      <w:bookmarkStart w:id="18" w:name="_Hlk213420470"/>
      <w:bookmarkStart w:id="19" w:name="_Hlk213423608"/>
      <w:r w:rsidRPr="00011CBA">
        <w:rPr>
          <w:rFonts w:ascii="Times New Roman" w:eastAsia="Times New Roman" w:hAnsi="Times New Roman" w:cs="Times New Roman"/>
          <w:b/>
          <w:color w:val="000000" w:themeColor="text1"/>
          <w:sz w:val="24"/>
          <w:szCs w:val="24"/>
        </w:rPr>
        <w:lastRenderedPageBreak/>
        <w:t>Fig S</w:t>
      </w:r>
      <w:r w:rsidRPr="00011CBA">
        <w:rPr>
          <w:rFonts w:ascii="Times New Roman" w:hAnsi="Times New Roman" w:cs="Times New Roman"/>
          <w:b/>
          <w:color w:val="000000" w:themeColor="text1"/>
          <w:sz w:val="24"/>
          <w:szCs w:val="24"/>
        </w:rPr>
        <w:t>11.</w:t>
      </w:r>
      <w:r w:rsidRPr="00011CBA">
        <w:rPr>
          <w:rFonts w:ascii="Times New Roman" w:eastAsia="Times New Roman" w:hAnsi="Times New Roman" w:cs="Times New Roman"/>
          <w:b/>
          <w:color w:val="000000" w:themeColor="text1"/>
          <w:sz w:val="24"/>
          <w:szCs w:val="24"/>
        </w:rPr>
        <w:t xml:space="preserve"> Transcriptomic impact of ITGB8 overexpression in MDA-MB-468 TNBC cells.</w:t>
      </w:r>
      <w:bookmarkEnd w:id="18"/>
      <w:r w:rsidRPr="00011CBA">
        <w:rPr>
          <w:rFonts w:ascii="Times New Roman" w:hAnsi="Times New Roman" w:cs="Times New Roman"/>
          <w:bCs/>
          <w:color w:val="000000" w:themeColor="text1"/>
          <w:sz w:val="24"/>
          <w:szCs w:val="24"/>
        </w:rPr>
        <w:t xml:space="preserve"> (A) GSVA of RNA-sequencing data from two biological replicates each of mock</w:t>
      </w:r>
      <w:r w:rsidR="00511E23" w:rsidRPr="00011CBA">
        <w:rPr>
          <w:rFonts w:ascii="Times New Roman" w:hAnsi="Times New Roman" w:cs="Times New Roman" w:hint="eastAsia"/>
          <w:bCs/>
          <w:color w:val="000000" w:themeColor="text1"/>
          <w:sz w:val="24"/>
          <w:szCs w:val="24"/>
        </w:rPr>
        <w:t xml:space="preserve"> (</w:t>
      </w:r>
      <w:proofErr w:type="spellStart"/>
      <w:r w:rsidR="00511E23" w:rsidRPr="00011CBA">
        <w:rPr>
          <w:rFonts w:ascii="Times New Roman" w:hAnsi="Times New Roman" w:cs="Times New Roman" w:hint="eastAsia"/>
          <w:color w:val="000000" w:themeColor="text1"/>
          <w:sz w:val="24"/>
          <w:szCs w:val="24"/>
        </w:rPr>
        <w:t>pEGFP</w:t>
      </w:r>
      <w:proofErr w:type="spellEnd"/>
      <w:r w:rsidR="00511E23" w:rsidRPr="00011CBA">
        <w:rPr>
          <w:rFonts w:ascii="Times New Roman" w:hAnsi="Times New Roman" w:cs="Times New Roman" w:hint="eastAsia"/>
          <w:bCs/>
          <w:color w:val="000000" w:themeColor="text1"/>
          <w:sz w:val="24"/>
          <w:szCs w:val="24"/>
        </w:rPr>
        <w:t>)</w:t>
      </w:r>
      <w:r w:rsidRPr="00011CBA">
        <w:rPr>
          <w:rFonts w:ascii="Times New Roman" w:hAnsi="Times New Roman" w:cs="Times New Roman"/>
          <w:bCs/>
          <w:color w:val="000000" w:themeColor="text1"/>
          <w:sz w:val="24"/>
          <w:szCs w:val="24"/>
        </w:rPr>
        <w:t>-transfected control and ITGB8-overexpressing (ITGB8-OE) MDA-MB-468 cells. GSVA of the Hallm</w:t>
      </w:r>
      <w:r w:rsidR="003A400D" w:rsidRPr="00011CBA">
        <w:rPr>
          <w:rFonts w:ascii="Times New Roman" w:hAnsi="Times New Roman" w:cs="Times New Roman"/>
          <w:bCs/>
          <w:color w:val="000000" w:themeColor="text1"/>
          <w:sz w:val="24"/>
          <w:szCs w:val="24"/>
        </w:rPr>
        <w:t>ark pathways reveals downregulation of inflammatory and immune response pathways, including TNF-alpha signaling via NF-kB, interferon alpha response, and interferon gamma response upon ITGB8 overexpression. (B) GSEA comparing ITGB8-OE versus mock samples showing significantly negative NES for interferon alpha response</w:t>
      </w:r>
      <w:r w:rsidR="002C0F7F" w:rsidRPr="00011CBA">
        <w:rPr>
          <w:rFonts w:ascii="Times New Roman" w:hAnsi="Times New Roman" w:cs="Times New Roman"/>
          <w:bCs/>
          <w:color w:val="000000" w:themeColor="text1"/>
          <w:sz w:val="24"/>
          <w:szCs w:val="24"/>
        </w:rPr>
        <w:t xml:space="preserve"> (NES = −1.73, FDR = 0.0050), interferon gamma response (NES = −2.31, FDR &lt; 0.0001), inflammatory response (NES = -2.52, FDR &lt; 0.0001), and TNF-alpha signaling via NF-kB (NES = -3.06, FDR &lt; 0.0001) in ITGB8-OE cells compared to mock.</w:t>
      </w:r>
    </w:p>
    <w:bookmarkEnd w:id="19"/>
    <w:p w14:paraId="00B254DA" w14:textId="77777777" w:rsidR="009A0148" w:rsidRPr="00011CBA" w:rsidRDefault="009A0148" w:rsidP="00545786">
      <w:pPr>
        <w:spacing w:line="480" w:lineRule="auto"/>
        <w:rPr>
          <w:rFonts w:ascii="Times New Roman" w:hAnsi="Times New Roman" w:cs="Times New Roman"/>
          <w:b/>
          <w:color w:val="000000" w:themeColor="text1"/>
          <w:sz w:val="24"/>
          <w:szCs w:val="24"/>
        </w:rPr>
      </w:pPr>
      <w:r w:rsidRPr="00011CBA">
        <w:rPr>
          <w:rFonts w:ascii="Times New Roman" w:hAnsi="Times New Roman" w:cs="Times New Roman"/>
          <w:b/>
          <w:color w:val="000000" w:themeColor="text1"/>
          <w:sz w:val="24"/>
          <w:szCs w:val="24"/>
        </w:rPr>
        <w:br w:type="page"/>
      </w:r>
    </w:p>
    <w:p w14:paraId="62C5A89E" w14:textId="2FE938B7" w:rsidR="006A3D53" w:rsidRPr="00011CBA" w:rsidRDefault="009B000F" w:rsidP="006A3D53">
      <w:pPr>
        <w:spacing w:line="480" w:lineRule="auto"/>
        <w:jc w:val="center"/>
        <w:rPr>
          <w:rFonts w:ascii="Times New Roman" w:eastAsia="Times New Roman" w:hAnsi="Times New Roman" w:cs="Times New Roman"/>
          <w:b/>
          <w:color w:val="000000" w:themeColor="text1"/>
          <w:sz w:val="24"/>
          <w:szCs w:val="24"/>
        </w:rPr>
      </w:pPr>
      <w:r w:rsidRPr="00011CBA">
        <w:rPr>
          <w:rFonts w:ascii="Times New Roman" w:eastAsia="Times New Roman" w:hAnsi="Times New Roman" w:cs="Times New Roman"/>
          <w:b/>
          <w:noProof/>
          <w:color w:val="000000" w:themeColor="text1"/>
          <w:sz w:val="24"/>
          <w:szCs w:val="24"/>
        </w:rPr>
        <w:lastRenderedPageBreak/>
        <w:drawing>
          <wp:inline distT="0" distB="0" distL="0" distR="0" wp14:anchorId="5F600C7C" wp14:editId="5F7BDC29">
            <wp:extent cx="5819775" cy="6227379"/>
            <wp:effectExtent l="0" t="0" r="0" b="2540"/>
            <wp:docPr id="8"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그림 8"/>
                    <pic:cNvPicPr/>
                  </pic:nvPicPr>
                  <pic:blipFill rotWithShape="1">
                    <a:blip r:embed="rId19" cstate="print">
                      <a:extLst>
                        <a:ext uri="{28A0092B-C50C-407E-A947-70E740481C1C}">
                          <a14:useLocalDpi xmlns:a14="http://schemas.microsoft.com/office/drawing/2010/main" val="0"/>
                        </a:ext>
                      </a:extLst>
                    </a:blip>
                    <a:srcRect b="24330"/>
                    <a:stretch/>
                  </pic:blipFill>
                  <pic:spPr bwMode="auto">
                    <a:xfrm>
                      <a:off x="0" y="0"/>
                      <a:ext cx="5819775" cy="6227379"/>
                    </a:xfrm>
                    <a:prstGeom prst="rect">
                      <a:avLst/>
                    </a:prstGeom>
                    <a:ln>
                      <a:noFill/>
                    </a:ln>
                    <a:extLst>
                      <a:ext uri="{53640926-AAD7-44D8-BBD7-CCE9431645EC}">
                        <a14:shadowObscured xmlns:a14="http://schemas.microsoft.com/office/drawing/2010/main"/>
                      </a:ext>
                    </a:extLst>
                  </pic:spPr>
                </pic:pic>
              </a:graphicData>
            </a:graphic>
          </wp:inline>
        </w:drawing>
      </w:r>
    </w:p>
    <w:p w14:paraId="3EEF5843" w14:textId="52B0FED2" w:rsidR="00221581" w:rsidRPr="00011CBA" w:rsidRDefault="00892C03" w:rsidP="005179D8">
      <w:pPr>
        <w:spacing w:line="480" w:lineRule="auto"/>
        <w:jc w:val="both"/>
        <w:rPr>
          <w:rFonts w:ascii="Times New Roman" w:hAnsi="Times New Roman" w:cs="Times New Roman"/>
          <w:color w:val="000000" w:themeColor="text1"/>
          <w:sz w:val="24"/>
          <w:szCs w:val="24"/>
        </w:rPr>
      </w:pPr>
      <w:bookmarkStart w:id="20" w:name="_Hlk213273865"/>
      <w:r w:rsidRPr="00011CBA">
        <w:rPr>
          <w:rFonts w:ascii="Times New Roman" w:eastAsia="Times New Roman" w:hAnsi="Times New Roman" w:cs="Times New Roman"/>
          <w:b/>
          <w:color w:val="000000" w:themeColor="text1"/>
          <w:sz w:val="24"/>
          <w:szCs w:val="24"/>
        </w:rPr>
        <w:t>Fig</w:t>
      </w:r>
      <w:r w:rsidR="003459FB" w:rsidRPr="00011CBA">
        <w:rPr>
          <w:rFonts w:ascii="Times New Roman" w:eastAsia="Times New Roman" w:hAnsi="Times New Roman" w:cs="Times New Roman"/>
          <w:b/>
          <w:color w:val="000000" w:themeColor="text1"/>
          <w:sz w:val="24"/>
          <w:szCs w:val="24"/>
        </w:rPr>
        <w:t xml:space="preserve"> </w:t>
      </w:r>
      <w:r w:rsidR="007B1884" w:rsidRPr="00011CBA">
        <w:rPr>
          <w:rFonts w:ascii="Times New Roman" w:eastAsia="Times New Roman" w:hAnsi="Times New Roman" w:cs="Times New Roman"/>
          <w:b/>
          <w:color w:val="000000" w:themeColor="text1"/>
          <w:sz w:val="24"/>
          <w:szCs w:val="24"/>
        </w:rPr>
        <w:t>S</w:t>
      </w:r>
      <w:r w:rsidR="007B1884" w:rsidRPr="00011CBA">
        <w:rPr>
          <w:rFonts w:ascii="Times New Roman" w:hAnsi="Times New Roman" w:cs="Times New Roman"/>
          <w:b/>
          <w:color w:val="000000" w:themeColor="text1"/>
          <w:sz w:val="24"/>
          <w:szCs w:val="24"/>
        </w:rPr>
        <w:t>1</w:t>
      </w:r>
      <w:r w:rsidR="009A0148" w:rsidRPr="00011CBA">
        <w:rPr>
          <w:rFonts w:ascii="Times New Roman" w:hAnsi="Times New Roman" w:cs="Times New Roman"/>
          <w:b/>
          <w:color w:val="000000" w:themeColor="text1"/>
          <w:sz w:val="24"/>
          <w:szCs w:val="24"/>
        </w:rPr>
        <w:t>2</w:t>
      </w:r>
      <w:r w:rsidR="004915BC" w:rsidRPr="00011CBA">
        <w:rPr>
          <w:rFonts w:ascii="Times New Roman" w:eastAsia="Times New Roman" w:hAnsi="Times New Roman" w:cs="Times New Roman"/>
          <w:b/>
          <w:color w:val="000000" w:themeColor="text1"/>
          <w:sz w:val="24"/>
          <w:szCs w:val="24"/>
        </w:rPr>
        <w:t xml:space="preserve">. Proteomic and </w:t>
      </w:r>
      <w:proofErr w:type="spellStart"/>
      <w:r w:rsidR="004915BC" w:rsidRPr="00011CBA">
        <w:rPr>
          <w:rFonts w:ascii="Times New Roman" w:eastAsia="Times New Roman" w:hAnsi="Times New Roman" w:cs="Times New Roman"/>
          <w:b/>
          <w:color w:val="000000" w:themeColor="text1"/>
          <w:sz w:val="24"/>
          <w:szCs w:val="24"/>
        </w:rPr>
        <w:t>phosphoproteomic</w:t>
      </w:r>
      <w:proofErr w:type="spellEnd"/>
      <w:r w:rsidR="004915BC" w:rsidRPr="00011CBA">
        <w:rPr>
          <w:rFonts w:ascii="Times New Roman" w:eastAsia="Times New Roman" w:hAnsi="Times New Roman" w:cs="Times New Roman"/>
          <w:b/>
          <w:color w:val="000000" w:themeColor="text1"/>
          <w:sz w:val="24"/>
          <w:szCs w:val="24"/>
        </w:rPr>
        <w:t xml:space="preserve"> changes associated with chemotherapy resistance in TNBC</w:t>
      </w:r>
      <w:r w:rsidR="0053442B" w:rsidRPr="00011CBA">
        <w:rPr>
          <w:rFonts w:ascii="Times New Roman" w:hAnsi="Times New Roman" w:cs="Times New Roman"/>
          <w:b/>
          <w:color w:val="000000" w:themeColor="text1"/>
          <w:sz w:val="24"/>
          <w:szCs w:val="24"/>
        </w:rPr>
        <w:t>.</w:t>
      </w:r>
      <w:r w:rsidRPr="00011CBA">
        <w:rPr>
          <w:rFonts w:ascii="Times New Roman" w:hAnsi="Times New Roman" w:cs="Times New Roman"/>
          <w:bCs/>
          <w:color w:val="000000" w:themeColor="text1"/>
          <w:sz w:val="24"/>
          <w:szCs w:val="24"/>
        </w:rPr>
        <w:t xml:space="preserve"> </w:t>
      </w:r>
      <w:bookmarkEnd w:id="20"/>
      <w:r w:rsidR="00037CAA" w:rsidRPr="00011CBA">
        <w:rPr>
          <w:rFonts w:ascii="Times New Roman" w:hAnsi="Times New Roman" w:cs="Times New Roman"/>
          <w:bCs/>
          <w:color w:val="000000" w:themeColor="text1"/>
          <w:sz w:val="24"/>
          <w:szCs w:val="24"/>
        </w:rPr>
        <w:t>(A)</w:t>
      </w:r>
      <w:r w:rsidR="004915BC" w:rsidRPr="00011CBA">
        <w:rPr>
          <w:rFonts w:ascii="Times New Roman" w:eastAsia="Times New Roman" w:hAnsi="Times New Roman" w:cs="Times New Roman"/>
          <w:color w:val="000000" w:themeColor="text1"/>
          <w:sz w:val="24"/>
          <w:szCs w:val="24"/>
        </w:rPr>
        <w:t xml:space="preserve"> Heatmap showing </w:t>
      </w:r>
      <w:r w:rsidR="009B000F" w:rsidRPr="00011CBA">
        <w:rPr>
          <w:rFonts w:ascii="Times New Roman" w:eastAsia="Times New Roman" w:hAnsi="Times New Roman" w:cs="Times New Roman"/>
          <w:color w:val="000000" w:themeColor="text1"/>
          <w:sz w:val="24"/>
          <w:szCs w:val="24"/>
        </w:rPr>
        <w:t xml:space="preserve">protein </w:t>
      </w:r>
      <w:r w:rsidR="004915BC" w:rsidRPr="00011CBA">
        <w:rPr>
          <w:rFonts w:ascii="Times New Roman" w:eastAsia="Times New Roman" w:hAnsi="Times New Roman" w:cs="Times New Roman"/>
          <w:color w:val="000000" w:themeColor="text1"/>
          <w:sz w:val="24"/>
          <w:szCs w:val="24"/>
        </w:rPr>
        <w:t>expression of xenobiotic metabolism-related genes across the TNBC cohort, stratified by the</w:t>
      </w:r>
      <w:r w:rsidR="003A400D" w:rsidRPr="00011CBA">
        <w:rPr>
          <w:rFonts w:ascii="Times New Roman" w:eastAsia="Times New Roman" w:hAnsi="Times New Roman" w:cs="Times New Roman"/>
          <w:color w:val="000000" w:themeColor="text1"/>
          <w:sz w:val="24"/>
          <w:szCs w:val="24"/>
        </w:rPr>
        <w:t xml:space="preserve"> </w:t>
      </w:r>
      <w:r w:rsidR="004915BC" w:rsidRPr="00011CBA">
        <w:rPr>
          <w:rFonts w:ascii="Times New Roman" w:eastAsia="Times New Roman" w:hAnsi="Times New Roman" w:cs="Times New Roman"/>
          <w:color w:val="000000" w:themeColor="text1"/>
          <w:sz w:val="24"/>
          <w:szCs w:val="24"/>
        </w:rPr>
        <w:t>NMF cluster.</w:t>
      </w:r>
      <w:r w:rsidRPr="00011CBA">
        <w:rPr>
          <w:rFonts w:ascii="Times New Roman" w:eastAsia="Times New Roman" w:hAnsi="Times New Roman" w:cs="Times New Roman"/>
          <w:color w:val="000000" w:themeColor="text1"/>
          <w:sz w:val="24"/>
          <w:szCs w:val="24"/>
        </w:rPr>
        <w:t xml:space="preserve"> </w:t>
      </w:r>
      <w:r w:rsidR="00037CAA" w:rsidRPr="00011CBA">
        <w:rPr>
          <w:rFonts w:ascii="Times New Roman" w:eastAsia="Times New Roman" w:hAnsi="Times New Roman" w:cs="Times New Roman"/>
          <w:color w:val="000000" w:themeColor="text1"/>
          <w:sz w:val="24"/>
          <w:szCs w:val="24"/>
        </w:rPr>
        <w:t>(B)</w:t>
      </w:r>
      <w:r w:rsidR="004915BC" w:rsidRPr="00011CBA">
        <w:rPr>
          <w:rFonts w:ascii="Times New Roman" w:eastAsia="Times New Roman" w:hAnsi="Times New Roman" w:cs="Times New Roman"/>
          <w:color w:val="000000" w:themeColor="text1"/>
          <w:sz w:val="24"/>
          <w:szCs w:val="24"/>
        </w:rPr>
        <w:t xml:space="preserve"> Volcano plots illustrating differentially expressed proteins (left) and phosphoproteins (right) between post-treatment and baseline tumor samples. Notable differentially expressed features are highlighted. </w:t>
      </w:r>
      <w:r w:rsidR="00037CAA" w:rsidRPr="00011CBA">
        <w:rPr>
          <w:rFonts w:ascii="Times New Roman" w:eastAsia="Times New Roman" w:hAnsi="Times New Roman" w:cs="Times New Roman"/>
          <w:color w:val="000000" w:themeColor="text1"/>
          <w:sz w:val="24"/>
          <w:szCs w:val="24"/>
        </w:rPr>
        <w:t>(C)</w:t>
      </w:r>
      <w:r w:rsidR="004915BC" w:rsidRPr="00011CBA">
        <w:rPr>
          <w:rFonts w:ascii="Times New Roman" w:eastAsia="Times New Roman" w:hAnsi="Times New Roman" w:cs="Times New Roman"/>
          <w:color w:val="000000" w:themeColor="text1"/>
          <w:sz w:val="24"/>
          <w:szCs w:val="24"/>
        </w:rPr>
        <w:t xml:space="preserve"> Bar plot showing the </w:t>
      </w:r>
      <w:r w:rsidR="004915BC" w:rsidRPr="00011CBA">
        <w:rPr>
          <w:rFonts w:ascii="Times New Roman" w:eastAsia="Times New Roman" w:hAnsi="Times New Roman" w:cs="Times New Roman"/>
          <w:color w:val="000000" w:themeColor="text1"/>
          <w:sz w:val="24"/>
          <w:szCs w:val="24"/>
        </w:rPr>
        <w:lastRenderedPageBreak/>
        <w:t>enriched Hallmark pathways in differentially expressed genes (DEGs) between post-treatment and baseline samples in RNA-seq expression data. The top five gene signatures are described.</w:t>
      </w:r>
    </w:p>
    <w:p w14:paraId="0E700AFF" w14:textId="17158472" w:rsidR="00221581" w:rsidRPr="00011CBA" w:rsidRDefault="00221581">
      <w:pPr>
        <w:rPr>
          <w:rFonts w:ascii="Times New Roman" w:hAnsi="Times New Roman" w:cs="Times New Roman"/>
          <w:color w:val="000000" w:themeColor="text1"/>
          <w:sz w:val="24"/>
          <w:szCs w:val="24"/>
        </w:rPr>
      </w:pPr>
      <w:r w:rsidRPr="00011CBA">
        <w:rPr>
          <w:rFonts w:ascii="Times New Roman" w:hAnsi="Times New Roman" w:cs="Times New Roman"/>
          <w:color w:val="000000" w:themeColor="text1"/>
          <w:sz w:val="24"/>
          <w:szCs w:val="24"/>
        </w:rPr>
        <w:br w:type="page"/>
      </w:r>
    </w:p>
    <w:p w14:paraId="30D9CD9D" w14:textId="77777777" w:rsidR="007E069F" w:rsidRPr="00011CBA" w:rsidRDefault="007E069F" w:rsidP="007E069F">
      <w:pPr>
        <w:spacing w:line="480" w:lineRule="auto"/>
        <w:jc w:val="both"/>
        <w:rPr>
          <w:rFonts w:ascii="Times New Roman" w:hAnsi="Times New Roman" w:cs="Times New Roman"/>
          <w:color w:val="000000" w:themeColor="text1"/>
          <w:sz w:val="24"/>
          <w:szCs w:val="24"/>
        </w:rPr>
      </w:pPr>
      <w:r w:rsidRPr="00011CBA">
        <w:rPr>
          <w:rFonts w:ascii="Times New Roman" w:hAnsi="Times New Roman" w:cs="Times New Roman"/>
          <w:noProof/>
          <w:color w:val="000000" w:themeColor="text1"/>
          <w:sz w:val="24"/>
          <w:szCs w:val="24"/>
        </w:rPr>
        <w:lastRenderedPageBreak/>
        <w:drawing>
          <wp:inline distT="0" distB="0" distL="0" distR="0" wp14:anchorId="082D1F7D" wp14:editId="461DB4E2">
            <wp:extent cx="5819140" cy="8229600"/>
            <wp:effectExtent l="0" t="0" r="0" b="0"/>
            <wp:docPr id="1968968581" name="그림 1" descr="텍스트, 도표, 스크린샷, 평면도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968581" name="그림 1" descr="텍스트, 도표, 스크린샷, 평면도이(가) 표시된 사진&#10;&#10;AI 생성 콘텐츠는 정확하지 않을 수 있습니다."/>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p>
    <w:p w14:paraId="2EB1DCCC" w14:textId="453C84E8" w:rsidR="007E069F" w:rsidRPr="00011CBA" w:rsidRDefault="007E069F" w:rsidP="007E069F">
      <w:pPr>
        <w:spacing w:line="480" w:lineRule="auto"/>
        <w:jc w:val="both"/>
        <w:rPr>
          <w:rFonts w:ascii="Times New Roman" w:eastAsia="Times New Roman" w:hAnsi="Times New Roman" w:cs="Times New Roman"/>
          <w:bCs/>
          <w:color w:val="000000" w:themeColor="text1"/>
          <w:sz w:val="24"/>
          <w:szCs w:val="24"/>
        </w:rPr>
      </w:pPr>
      <w:r w:rsidRPr="00011CBA">
        <w:rPr>
          <w:rFonts w:ascii="Times New Roman" w:eastAsia="Times New Roman" w:hAnsi="Times New Roman" w:cs="Times New Roman"/>
          <w:b/>
          <w:color w:val="000000" w:themeColor="text1"/>
          <w:sz w:val="24"/>
          <w:szCs w:val="24"/>
        </w:rPr>
        <w:lastRenderedPageBreak/>
        <w:t>Fig S1</w:t>
      </w:r>
      <w:r w:rsidR="009A0148" w:rsidRPr="00011CBA">
        <w:rPr>
          <w:rFonts w:ascii="Times New Roman" w:eastAsia="Times New Roman" w:hAnsi="Times New Roman" w:cs="Times New Roman"/>
          <w:b/>
          <w:color w:val="000000" w:themeColor="text1"/>
          <w:sz w:val="24"/>
          <w:szCs w:val="24"/>
        </w:rPr>
        <w:t>3</w:t>
      </w:r>
      <w:r w:rsidRPr="00011CBA">
        <w:rPr>
          <w:rFonts w:ascii="Times New Roman" w:eastAsia="Times New Roman" w:hAnsi="Times New Roman" w:cs="Times New Roman"/>
          <w:b/>
          <w:color w:val="000000" w:themeColor="text1"/>
          <w:sz w:val="24"/>
          <w:szCs w:val="24"/>
        </w:rPr>
        <w:t xml:space="preserve">. Cell viability assay of </w:t>
      </w:r>
      <w:proofErr w:type="spellStart"/>
      <w:r w:rsidRPr="00011CBA">
        <w:rPr>
          <w:rFonts w:ascii="Times New Roman" w:eastAsia="Times New Roman" w:hAnsi="Times New Roman" w:cs="Times New Roman"/>
          <w:b/>
          <w:color w:val="000000" w:themeColor="text1"/>
          <w:sz w:val="24"/>
          <w:szCs w:val="24"/>
        </w:rPr>
        <w:t>barasertib</w:t>
      </w:r>
      <w:proofErr w:type="spellEnd"/>
      <w:r w:rsidRPr="00011CBA">
        <w:rPr>
          <w:rFonts w:ascii="Times New Roman" w:eastAsia="Times New Roman" w:hAnsi="Times New Roman" w:cs="Times New Roman"/>
          <w:b/>
          <w:color w:val="000000" w:themeColor="text1"/>
          <w:sz w:val="24"/>
          <w:szCs w:val="24"/>
        </w:rPr>
        <w:t xml:space="preserve"> and chemotherapy combination treatment in TNBC cells. </w:t>
      </w:r>
      <w:r w:rsidRPr="00011CBA">
        <w:rPr>
          <w:rFonts w:ascii="Times New Roman" w:eastAsia="Times New Roman" w:hAnsi="Times New Roman" w:cs="Times New Roman"/>
          <w:bCs/>
          <w:color w:val="000000" w:themeColor="text1"/>
          <w:sz w:val="24"/>
          <w:szCs w:val="24"/>
        </w:rPr>
        <w:t xml:space="preserve">Bar plot showing relative cell viability of HCC1937 and MDA-MB231 cells treated with (A) doxorubicin (0.12nM) or (B) carboplatin (100μM) in combination </w:t>
      </w:r>
      <w:r w:rsidR="00545786" w:rsidRPr="00011CBA">
        <w:rPr>
          <w:rFonts w:ascii="Times New Roman" w:eastAsia="Times New Roman" w:hAnsi="Times New Roman" w:cs="Times New Roman"/>
          <w:bCs/>
          <w:color w:val="000000" w:themeColor="text1"/>
          <w:sz w:val="24"/>
          <w:szCs w:val="24"/>
        </w:rPr>
        <w:t>with</w:t>
      </w:r>
      <w:r w:rsidRPr="00011CBA">
        <w:rPr>
          <w:rFonts w:ascii="Times New Roman" w:eastAsia="Times New Roman" w:hAnsi="Times New Roman" w:cs="Times New Roman"/>
          <w:bCs/>
          <w:color w:val="000000" w:themeColor="text1"/>
          <w:sz w:val="24"/>
          <w:szCs w:val="24"/>
        </w:rPr>
        <w:t xml:space="preserve"> </w:t>
      </w:r>
      <w:proofErr w:type="spellStart"/>
      <w:r w:rsidRPr="00011CBA">
        <w:rPr>
          <w:rFonts w:ascii="Times New Roman" w:eastAsia="Times New Roman" w:hAnsi="Times New Roman" w:cs="Times New Roman"/>
          <w:bCs/>
          <w:color w:val="000000" w:themeColor="text1"/>
          <w:sz w:val="24"/>
          <w:szCs w:val="24"/>
        </w:rPr>
        <w:t>barasertib</w:t>
      </w:r>
      <w:proofErr w:type="spellEnd"/>
      <w:r w:rsidRPr="00011CBA">
        <w:rPr>
          <w:rFonts w:ascii="Times New Roman" w:eastAsia="Times New Roman" w:hAnsi="Times New Roman" w:cs="Times New Roman"/>
          <w:bCs/>
          <w:color w:val="000000" w:themeColor="text1"/>
          <w:sz w:val="24"/>
          <w:szCs w:val="24"/>
        </w:rPr>
        <w:t xml:space="preserve"> (10nM) for 72 hours in the in vitro MTT assay. The results are from three biologic replicates, and the error bars indicate SEM. (C) The light microscope images (left) and the relative cell viability assay (right) of cancer organoid from a TNBC patient (SBO-72) treated with paclitaxel (30nM), </w:t>
      </w:r>
      <w:proofErr w:type="spellStart"/>
      <w:r w:rsidRPr="00011CBA">
        <w:rPr>
          <w:rFonts w:ascii="Times New Roman" w:eastAsia="Times New Roman" w:hAnsi="Times New Roman" w:cs="Times New Roman"/>
          <w:bCs/>
          <w:color w:val="000000" w:themeColor="text1"/>
          <w:sz w:val="24"/>
          <w:szCs w:val="24"/>
        </w:rPr>
        <w:t>barasertib</w:t>
      </w:r>
      <w:proofErr w:type="spellEnd"/>
      <w:r w:rsidRPr="00011CBA">
        <w:rPr>
          <w:rFonts w:ascii="Times New Roman" w:eastAsia="Times New Roman" w:hAnsi="Times New Roman" w:cs="Times New Roman"/>
          <w:bCs/>
          <w:color w:val="000000" w:themeColor="text1"/>
          <w:sz w:val="24"/>
          <w:szCs w:val="24"/>
        </w:rPr>
        <w:t xml:space="preserve"> (10nM), and their combination.</w:t>
      </w:r>
    </w:p>
    <w:p w14:paraId="78705300" w14:textId="77777777" w:rsidR="007E069F" w:rsidRPr="00011CBA" w:rsidRDefault="007E069F" w:rsidP="007E069F">
      <w:pPr>
        <w:spacing w:line="480" w:lineRule="auto"/>
        <w:jc w:val="both"/>
        <w:rPr>
          <w:rFonts w:ascii="Times New Roman" w:hAnsi="Times New Roman" w:cs="Times New Roman"/>
          <w:color w:val="000000" w:themeColor="text1"/>
          <w:sz w:val="24"/>
          <w:szCs w:val="24"/>
        </w:rPr>
      </w:pPr>
      <w:r w:rsidRPr="00011CBA">
        <w:rPr>
          <w:rFonts w:ascii="Times New Roman" w:eastAsia="Times New Roman" w:hAnsi="Times New Roman" w:cs="Times New Roman"/>
          <w:bCs/>
          <w:color w:val="000000" w:themeColor="text1"/>
          <w:sz w:val="24"/>
          <w:szCs w:val="24"/>
        </w:rPr>
        <w:t>*P &lt; 0.05 **P &lt; 0.005 ***P &lt; 0.0005 by Student’s t test</w:t>
      </w:r>
      <w:r w:rsidRPr="00011CBA">
        <w:rPr>
          <w:rFonts w:ascii="Times New Roman" w:eastAsia="Times New Roman" w:hAnsi="Times New Roman" w:cs="Times New Roman"/>
          <w:b/>
          <w:color w:val="000000" w:themeColor="text1"/>
          <w:sz w:val="24"/>
          <w:szCs w:val="24"/>
        </w:rPr>
        <w:t xml:space="preserve"> </w:t>
      </w:r>
    </w:p>
    <w:p w14:paraId="0E8ACFE2" w14:textId="77777777" w:rsidR="005738C4" w:rsidRPr="00011CBA" w:rsidRDefault="005738C4" w:rsidP="006A3D53">
      <w:pPr>
        <w:spacing w:line="480" w:lineRule="auto"/>
        <w:jc w:val="both"/>
        <w:rPr>
          <w:rFonts w:ascii="Times New Roman" w:hAnsi="Times New Roman" w:cs="Times New Roman"/>
          <w:color w:val="000000" w:themeColor="text1"/>
          <w:sz w:val="24"/>
          <w:szCs w:val="24"/>
        </w:rPr>
      </w:pPr>
    </w:p>
    <w:p w14:paraId="020D85B4" w14:textId="1085AA93" w:rsidR="005738C4" w:rsidRPr="00011CBA" w:rsidRDefault="007D4940" w:rsidP="006A3D53">
      <w:pPr>
        <w:spacing w:line="480" w:lineRule="auto"/>
        <w:jc w:val="both"/>
        <w:rPr>
          <w:rFonts w:ascii="Times New Roman" w:hAnsi="Times New Roman" w:cs="Times New Roman"/>
          <w:b/>
          <w:bCs/>
          <w:color w:val="000000" w:themeColor="text1"/>
          <w:sz w:val="24"/>
          <w:szCs w:val="24"/>
          <w:u w:val="single"/>
        </w:rPr>
      </w:pPr>
      <w:r w:rsidRPr="00011CBA">
        <w:rPr>
          <w:noProof/>
          <w:color w:val="000000" w:themeColor="text1"/>
        </w:rPr>
        <w:lastRenderedPageBreak/>
        <w:drawing>
          <wp:inline distT="0" distB="0" distL="0" distR="0" wp14:anchorId="72ED8771" wp14:editId="1D71E32D">
            <wp:extent cx="5731510" cy="8105140"/>
            <wp:effectExtent l="0" t="0" r="2540" b="0"/>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그림 3"/>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31510" cy="8105140"/>
                    </a:xfrm>
                    <a:prstGeom prst="rect">
                      <a:avLst/>
                    </a:prstGeom>
                  </pic:spPr>
                </pic:pic>
              </a:graphicData>
            </a:graphic>
          </wp:inline>
        </w:drawing>
      </w:r>
    </w:p>
    <w:p w14:paraId="39EBF020" w14:textId="35B8AA77" w:rsidR="004B32A0" w:rsidRPr="00011CBA" w:rsidRDefault="00C40B58" w:rsidP="006A3D53">
      <w:pPr>
        <w:spacing w:line="480" w:lineRule="auto"/>
        <w:jc w:val="both"/>
        <w:rPr>
          <w:rFonts w:ascii="Times New Roman" w:hAnsi="Times New Roman" w:cs="Times New Roman"/>
          <w:color w:val="000000" w:themeColor="text1"/>
          <w:sz w:val="24"/>
          <w:szCs w:val="24"/>
        </w:rPr>
      </w:pPr>
      <w:bookmarkStart w:id="21" w:name="_Hlk213273885"/>
      <w:bookmarkStart w:id="22" w:name="_Hlk213273482"/>
      <w:r w:rsidRPr="00011CBA">
        <w:rPr>
          <w:rFonts w:ascii="Times New Roman" w:eastAsia="Times New Roman" w:hAnsi="Times New Roman" w:cs="Times New Roman"/>
          <w:b/>
          <w:color w:val="000000" w:themeColor="text1"/>
          <w:sz w:val="24"/>
          <w:szCs w:val="24"/>
        </w:rPr>
        <w:lastRenderedPageBreak/>
        <w:t xml:space="preserve">Fig </w:t>
      </w:r>
      <w:r w:rsidR="009A0148" w:rsidRPr="00011CBA">
        <w:rPr>
          <w:rFonts w:ascii="Times New Roman" w:eastAsia="Times New Roman" w:hAnsi="Times New Roman" w:cs="Times New Roman"/>
          <w:b/>
          <w:color w:val="000000" w:themeColor="text1"/>
          <w:sz w:val="24"/>
          <w:szCs w:val="24"/>
        </w:rPr>
        <w:t>S</w:t>
      </w:r>
      <w:r w:rsidR="009A0148" w:rsidRPr="00011CBA">
        <w:rPr>
          <w:rFonts w:ascii="Times New Roman" w:hAnsi="Times New Roman" w:cs="Times New Roman"/>
          <w:b/>
          <w:color w:val="000000" w:themeColor="text1"/>
          <w:sz w:val="24"/>
          <w:szCs w:val="24"/>
        </w:rPr>
        <w:t>14</w:t>
      </w:r>
      <w:r w:rsidRPr="00011CBA">
        <w:rPr>
          <w:rFonts w:ascii="Times New Roman" w:eastAsia="Times New Roman" w:hAnsi="Times New Roman" w:cs="Times New Roman"/>
          <w:b/>
          <w:color w:val="000000" w:themeColor="text1"/>
          <w:sz w:val="24"/>
          <w:szCs w:val="24"/>
        </w:rPr>
        <w:t>.</w:t>
      </w:r>
      <w:r w:rsidRPr="00011CBA">
        <w:rPr>
          <w:rFonts w:ascii="Times New Roman" w:hAnsi="Times New Roman" w:cs="Times New Roman"/>
          <w:b/>
          <w:color w:val="000000" w:themeColor="text1"/>
          <w:sz w:val="24"/>
          <w:szCs w:val="24"/>
        </w:rPr>
        <w:t xml:space="preserve"> Assessment of stromal content and its effect on key resistance-associated factors in TNBC.</w:t>
      </w:r>
      <w:r w:rsidRPr="00011CBA">
        <w:rPr>
          <w:rFonts w:ascii="Times New Roman" w:hAnsi="Times New Roman" w:cs="Times New Roman"/>
          <w:bCs/>
          <w:color w:val="000000" w:themeColor="text1"/>
          <w:sz w:val="24"/>
          <w:szCs w:val="24"/>
        </w:rPr>
        <w:t xml:space="preserve"> </w:t>
      </w:r>
      <w:bookmarkEnd w:id="21"/>
      <w:r w:rsidRPr="00011CBA">
        <w:rPr>
          <w:rFonts w:ascii="Times New Roman" w:hAnsi="Times New Roman" w:cs="Times New Roman"/>
          <w:bCs/>
          <w:color w:val="000000" w:themeColor="text1"/>
          <w:sz w:val="24"/>
          <w:szCs w:val="24"/>
        </w:rPr>
        <w:t>(A)</w:t>
      </w:r>
      <w:r w:rsidRPr="00011CBA">
        <w:rPr>
          <w:rFonts w:ascii="Times New Roman" w:hAnsi="Times New Roman" w:cs="Times New Roman"/>
          <w:color w:val="000000" w:themeColor="text1"/>
          <w:sz w:val="24"/>
          <w:szCs w:val="24"/>
        </w:rPr>
        <w:t xml:space="preserve"> Expression of five key resistance factors—estrogen response signature (GSVA score), GRK2 PTM-SEA normalized enrichment score (NES), </w:t>
      </w:r>
      <w:r w:rsidRPr="00011CBA">
        <w:rPr>
          <w:rStyle w:val="af1"/>
          <w:rFonts w:ascii="Times New Roman" w:hAnsi="Times New Roman" w:cs="Times New Roman"/>
          <w:color w:val="000000" w:themeColor="text1"/>
          <w:sz w:val="24"/>
          <w:szCs w:val="24"/>
        </w:rPr>
        <w:t>ITGB8</w:t>
      </w:r>
      <w:r w:rsidRPr="00011CBA">
        <w:rPr>
          <w:rFonts w:ascii="Times New Roman" w:hAnsi="Times New Roman" w:cs="Times New Roman"/>
          <w:color w:val="000000" w:themeColor="text1"/>
          <w:sz w:val="24"/>
          <w:szCs w:val="24"/>
        </w:rPr>
        <w:t xml:space="preserve"> copy number, </w:t>
      </w:r>
      <w:r w:rsidRPr="00011CBA">
        <w:rPr>
          <w:rStyle w:val="af1"/>
          <w:rFonts w:ascii="Times New Roman" w:hAnsi="Times New Roman" w:cs="Times New Roman"/>
          <w:color w:val="000000" w:themeColor="text1"/>
          <w:sz w:val="24"/>
          <w:szCs w:val="24"/>
        </w:rPr>
        <w:t>AKR1C2</w:t>
      </w:r>
      <w:r w:rsidRPr="00011CBA">
        <w:rPr>
          <w:rFonts w:ascii="Times New Roman" w:hAnsi="Times New Roman" w:cs="Times New Roman"/>
          <w:color w:val="000000" w:themeColor="text1"/>
          <w:sz w:val="24"/>
          <w:szCs w:val="24"/>
        </w:rPr>
        <w:t xml:space="preserve"> RNA expression, and </w:t>
      </w:r>
      <w:r w:rsidRPr="00011CBA">
        <w:rPr>
          <w:rStyle w:val="af1"/>
          <w:rFonts w:ascii="Times New Roman" w:hAnsi="Times New Roman" w:cs="Times New Roman"/>
          <w:color w:val="000000" w:themeColor="text1"/>
          <w:sz w:val="24"/>
          <w:szCs w:val="24"/>
        </w:rPr>
        <w:t>ABCA13</w:t>
      </w:r>
      <w:r w:rsidRPr="00011CBA">
        <w:rPr>
          <w:rFonts w:ascii="Times New Roman" w:hAnsi="Times New Roman" w:cs="Times New Roman"/>
          <w:color w:val="000000" w:themeColor="text1"/>
          <w:sz w:val="24"/>
          <w:szCs w:val="24"/>
        </w:rPr>
        <w:t xml:space="preserve"> RNA expression</w:t>
      </w:r>
      <w:r w:rsidR="00E2153C" w:rsidRPr="00011CBA">
        <w:rPr>
          <w:rFonts w:ascii="Times New Roman" w:hAnsi="Times New Roman" w:cs="Times New Roman"/>
          <w:color w:val="000000" w:themeColor="text1"/>
          <w:sz w:val="24"/>
          <w:szCs w:val="24"/>
        </w:rPr>
        <w:t>—</w:t>
      </w:r>
      <w:r w:rsidRPr="00011CBA">
        <w:rPr>
          <w:rFonts w:ascii="Times New Roman" w:hAnsi="Times New Roman" w:cs="Times New Roman"/>
          <w:color w:val="000000" w:themeColor="text1"/>
          <w:sz w:val="24"/>
          <w:szCs w:val="24"/>
        </w:rPr>
        <w:t>according to pathologist-assessed stromal proportion (</w:t>
      </w:r>
      <w:r w:rsidR="00545786" w:rsidRPr="00011CBA">
        <w:rPr>
          <w:rFonts w:ascii="Times New Roman" w:hAnsi="Times New Roman" w:cs="Times New Roman"/>
          <w:color w:val="000000" w:themeColor="text1"/>
          <w:sz w:val="24"/>
          <w:szCs w:val="24"/>
        </w:rPr>
        <w:t>≤</w:t>
      </w:r>
      <w:r w:rsidRPr="00011CBA">
        <w:rPr>
          <w:rFonts w:ascii="Times New Roman" w:hAnsi="Times New Roman" w:cs="Times New Roman"/>
          <w:color w:val="000000" w:themeColor="text1"/>
          <w:sz w:val="24"/>
          <w:szCs w:val="24"/>
        </w:rPr>
        <w:t>25%, 26</w:t>
      </w:r>
      <w:r w:rsidR="003A400D" w:rsidRPr="00011CBA">
        <w:rPr>
          <w:rFonts w:ascii="Times New Roman" w:hAnsi="Times New Roman" w:cs="Times New Roman"/>
          <w:color w:val="000000" w:themeColor="text1"/>
          <w:sz w:val="24"/>
          <w:szCs w:val="24"/>
        </w:rPr>
        <w:t>-</w:t>
      </w:r>
      <w:r w:rsidRPr="00011CBA">
        <w:rPr>
          <w:rFonts w:ascii="Times New Roman" w:hAnsi="Times New Roman" w:cs="Times New Roman"/>
          <w:color w:val="000000" w:themeColor="text1"/>
          <w:sz w:val="24"/>
          <w:szCs w:val="24"/>
        </w:rPr>
        <w:t>50%, 51</w:t>
      </w:r>
      <w:r w:rsidR="00545786" w:rsidRPr="00011CBA">
        <w:rPr>
          <w:rFonts w:ascii="Times New Roman" w:hAnsi="Times New Roman" w:cs="Times New Roman" w:hint="eastAsia"/>
          <w:color w:val="000000" w:themeColor="text1"/>
          <w:sz w:val="24"/>
          <w:szCs w:val="24"/>
        </w:rPr>
        <w:t>-</w:t>
      </w:r>
      <w:r w:rsidRPr="00011CBA">
        <w:rPr>
          <w:rFonts w:ascii="Times New Roman" w:hAnsi="Times New Roman" w:cs="Times New Roman"/>
          <w:color w:val="000000" w:themeColor="text1"/>
          <w:sz w:val="24"/>
          <w:szCs w:val="24"/>
        </w:rPr>
        <w:t>75%,</w:t>
      </w:r>
      <w:r w:rsidR="003A400D" w:rsidRPr="00011CBA">
        <w:rPr>
          <w:rFonts w:ascii="Times New Roman" w:hAnsi="Times New Roman" w:cs="Times New Roman"/>
          <w:color w:val="000000" w:themeColor="text1"/>
          <w:sz w:val="24"/>
          <w:szCs w:val="24"/>
        </w:rPr>
        <w:t xml:space="preserve"> &gt; </w:t>
      </w:r>
      <w:r w:rsidRPr="00011CBA">
        <w:rPr>
          <w:rFonts w:ascii="Times New Roman" w:hAnsi="Times New Roman" w:cs="Times New Roman"/>
          <w:color w:val="000000" w:themeColor="text1"/>
          <w:sz w:val="24"/>
          <w:szCs w:val="24"/>
        </w:rPr>
        <w:t xml:space="preserve">75%). No significant association was observed between stromal proportion and any resistance factor. </w:t>
      </w:r>
      <w:r w:rsidRPr="00011CBA">
        <w:rPr>
          <w:rFonts w:ascii="Times New Roman" w:eastAsia="Times New Roman" w:hAnsi="Times New Roman" w:cs="Times New Roman"/>
          <w:color w:val="000000" w:themeColor="text1"/>
          <w:sz w:val="24"/>
          <w:szCs w:val="24"/>
        </w:rPr>
        <w:t>(B)</w:t>
      </w:r>
      <w:r w:rsidRPr="00011CBA">
        <w:rPr>
          <w:rFonts w:ascii="Times New Roman" w:hAnsi="Times New Roman" w:cs="Times New Roman"/>
          <w:color w:val="000000" w:themeColor="text1"/>
        </w:rPr>
        <w:t xml:space="preserve"> </w:t>
      </w:r>
      <w:r w:rsidRPr="00011CBA">
        <w:rPr>
          <w:rFonts w:ascii="Times New Roman" w:eastAsia="Times New Roman" w:hAnsi="Times New Roman" w:cs="Times New Roman"/>
          <w:color w:val="000000" w:themeColor="text1"/>
          <w:sz w:val="24"/>
          <w:szCs w:val="24"/>
        </w:rPr>
        <w:t>Comparison of the same resistance features between tumors with low versus high ESTIMATE stromal scores. No significant differences were identified across groups, and substantial intra-group variability remained, indicating that stromal content did not confound the relationship between these molecular features and chemotherapy response.</w:t>
      </w:r>
      <w:bookmarkEnd w:id="22"/>
    </w:p>
    <w:p w14:paraId="50C14BA8" w14:textId="52272B52" w:rsidR="00CE1FA8" w:rsidRPr="00011CBA" w:rsidRDefault="00CE1FA8" w:rsidP="00B828FC">
      <w:pPr>
        <w:spacing w:line="480" w:lineRule="auto"/>
        <w:jc w:val="both"/>
        <w:rPr>
          <w:rFonts w:ascii="Times New Roman" w:hAnsi="Times New Roman" w:cs="Times New Roman"/>
          <w:color w:val="000000" w:themeColor="text1"/>
          <w:sz w:val="24"/>
          <w:szCs w:val="24"/>
        </w:rPr>
      </w:pPr>
    </w:p>
    <w:sectPr w:rsidR="00CE1FA8" w:rsidRPr="00011CBA" w:rsidSect="00044D83">
      <w:footerReference w:type="default" r:id="rId22"/>
      <w:pgSz w:w="12240" w:h="15840"/>
      <w:pgMar w:top="1440" w:right="1440" w:bottom="1440" w:left="1440" w:header="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18E90" w14:textId="77777777" w:rsidR="004812F5" w:rsidRDefault="004812F5" w:rsidP="00936163">
      <w:pPr>
        <w:spacing w:line="240" w:lineRule="auto"/>
      </w:pPr>
      <w:r>
        <w:separator/>
      </w:r>
    </w:p>
  </w:endnote>
  <w:endnote w:type="continuationSeparator" w:id="0">
    <w:p w14:paraId="738431AA" w14:textId="77777777" w:rsidR="004812F5" w:rsidRDefault="004812F5" w:rsidP="009361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궁서">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바탕">
    <w:altName w:val="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00000" w:themeColor="text1"/>
      </w:rPr>
      <w:id w:val="-1626546312"/>
      <w:docPartObj>
        <w:docPartGallery w:val="Page Numbers (Bottom of Page)"/>
        <w:docPartUnique/>
      </w:docPartObj>
    </w:sdtPr>
    <w:sdtEndPr/>
    <w:sdtContent>
      <w:p w14:paraId="4790BCDE" w14:textId="4584891D" w:rsidR="00871D78" w:rsidRPr="005F0F4D" w:rsidRDefault="005F0F4D" w:rsidP="005F0F4D">
        <w:pPr>
          <w:pStyle w:val="a6"/>
          <w:jc w:val="center"/>
          <w:rPr>
            <w:color w:val="000000" w:themeColor="text1"/>
          </w:rPr>
        </w:pPr>
        <w:r w:rsidRPr="005F0F4D">
          <w:rPr>
            <w:color w:val="000000" w:themeColor="text1"/>
          </w:rPr>
          <w:fldChar w:fldCharType="begin"/>
        </w:r>
        <w:r w:rsidRPr="005F0F4D">
          <w:rPr>
            <w:color w:val="000000" w:themeColor="text1"/>
          </w:rPr>
          <w:instrText>PAGE   \* MERGEFORMAT</w:instrText>
        </w:r>
        <w:r w:rsidRPr="005F0F4D">
          <w:rPr>
            <w:color w:val="000000" w:themeColor="text1"/>
          </w:rPr>
          <w:fldChar w:fldCharType="separate"/>
        </w:r>
        <w:r w:rsidRPr="005F0F4D">
          <w:rPr>
            <w:color w:val="000000" w:themeColor="text1"/>
            <w:lang w:val="ko-KR"/>
          </w:rPr>
          <w:t>2</w:t>
        </w:r>
        <w:r w:rsidRPr="005F0F4D">
          <w:rPr>
            <w:color w:val="000000" w:themeColor="text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D2A09" w14:textId="77777777" w:rsidR="004812F5" w:rsidRDefault="004812F5" w:rsidP="00936163">
      <w:pPr>
        <w:spacing w:line="240" w:lineRule="auto"/>
      </w:pPr>
      <w:r>
        <w:separator/>
      </w:r>
    </w:p>
  </w:footnote>
  <w:footnote w:type="continuationSeparator" w:id="0">
    <w:p w14:paraId="27F72BD0" w14:textId="77777777" w:rsidR="004812F5" w:rsidRDefault="004812F5" w:rsidP="0093616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77D0A"/>
    <w:multiLevelType w:val="hybridMultilevel"/>
    <w:tmpl w:val="060C53DC"/>
    <w:lvl w:ilvl="0" w:tplc="04090001">
      <w:start w:val="1"/>
      <w:numFmt w:val="bullet"/>
      <w:lvlText w:val=""/>
      <w:lvlJc w:val="left"/>
      <w:pPr>
        <w:ind w:left="1520" w:hanging="400"/>
      </w:pPr>
      <w:rPr>
        <w:rFonts w:ascii="Symbol" w:hAnsi="Symbol" w:hint="default"/>
      </w:rPr>
    </w:lvl>
    <w:lvl w:ilvl="1" w:tplc="04090003" w:tentative="1">
      <w:start w:val="1"/>
      <w:numFmt w:val="bullet"/>
      <w:lvlText w:val=""/>
      <w:lvlJc w:val="left"/>
      <w:pPr>
        <w:ind w:left="1920" w:hanging="400"/>
      </w:pPr>
      <w:rPr>
        <w:rFonts w:ascii="Wingdings" w:hAnsi="Wingdings" w:hint="default"/>
      </w:rPr>
    </w:lvl>
    <w:lvl w:ilvl="2" w:tplc="04090005" w:tentative="1">
      <w:start w:val="1"/>
      <w:numFmt w:val="bullet"/>
      <w:lvlText w:val=""/>
      <w:lvlJc w:val="left"/>
      <w:pPr>
        <w:ind w:left="2320" w:hanging="400"/>
      </w:pPr>
      <w:rPr>
        <w:rFonts w:ascii="Wingdings" w:hAnsi="Wingdings" w:hint="default"/>
      </w:rPr>
    </w:lvl>
    <w:lvl w:ilvl="3" w:tplc="04090001" w:tentative="1">
      <w:start w:val="1"/>
      <w:numFmt w:val="bullet"/>
      <w:lvlText w:val=""/>
      <w:lvlJc w:val="left"/>
      <w:pPr>
        <w:ind w:left="2720" w:hanging="400"/>
      </w:pPr>
      <w:rPr>
        <w:rFonts w:ascii="Wingdings" w:hAnsi="Wingdings" w:hint="default"/>
      </w:rPr>
    </w:lvl>
    <w:lvl w:ilvl="4" w:tplc="04090003" w:tentative="1">
      <w:start w:val="1"/>
      <w:numFmt w:val="bullet"/>
      <w:lvlText w:val=""/>
      <w:lvlJc w:val="left"/>
      <w:pPr>
        <w:ind w:left="3120" w:hanging="400"/>
      </w:pPr>
      <w:rPr>
        <w:rFonts w:ascii="Wingdings" w:hAnsi="Wingdings" w:hint="default"/>
      </w:rPr>
    </w:lvl>
    <w:lvl w:ilvl="5" w:tplc="04090005" w:tentative="1">
      <w:start w:val="1"/>
      <w:numFmt w:val="bullet"/>
      <w:lvlText w:val=""/>
      <w:lvlJc w:val="left"/>
      <w:pPr>
        <w:ind w:left="3520" w:hanging="400"/>
      </w:pPr>
      <w:rPr>
        <w:rFonts w:ascii="Wingdings" w:hAnsi="Wingdings" w:hint="default"/>
      </w:rPr>
    </w:lvl>
    <w:lvl w:ilvl="6" w:tplc="04090001" w:tentative="1">
      <w:start w:val="1"/>
      <w:numFmt w:val="bullet"/>
      <w:lvlText w:val=""/>
      <w:lvlJc w:val="left"/>
      <w:pPr>
        <w:ind w:left="3920" w:hanging="400"/>
      </w:pPr>
      <w:rPr>
        <w:rFonts w:ascii="Wingdings" w:hAnsi="Wingdings" w:hint="default"/>
      </w:rPr>
    </w:lvl>
    <w:lvl w:ilvl="7" w:tplc="04090003" w:tentative="1">
      <w:start w:val="1"/>
      <w:numFmt w:val="bullet"/>
      <w:lvlText w:val=""/>
      <w:lvlJc w:val="left"/>
      <w:pPr>
        <w:ind w:left="4320" w:hanging="400"/>
      </w:pPr>
      <w:rPr>
        <w:rFonts w:ascii="Wingdings" w:hAnsi="Wingdings" w:hint="default"/>
      </w:rPr>
    </w:lvl>
    <w:lvl w:ilvl="8" w:tplc="04090005" w:tentative="1">
      <w:start w:val="1"/>
      <w:numFmt w:val="bullet"/>
      <w:lvlText w:val=""/>
      <w:lvlJc w:val="left"/>
      <w:pPr>
        <w:ind w:left="4720" w:hanging="400"/>
      </w:pPr>
      <w:rPr>
        <w:rFonts w:ascii="Wingdings" w:hAnsi="Wingdings" w:hint="default"/>
      </w:rPr>
    </w:lvl>
  </w:abstractNum>
  <w:abstractNum w:abstractNumId="1" w15:restartNumberingAfterBreak="0">
    <w:nsid w:val="141E6B66"/>
    <w:multiLevelType w:val="hybridMultilevel"/>
    <w:tmpl w:val="8186698E"/>
    <w:lvl w:ilvl="0" w:tplc="0B10C502">
      <w:start w:val="1"/>
      <w:numFmt w:val="upperLetter"/>
      <w:lvlText w:val="(%1)"/>
      <w:lvlJc w:val="left"/>
      <w:pPr>
        <w:ind w:left="845" w:hanging="405"/>
      </w:pPr>
      <w:rPr>
        <w:rFonts w:eastAsia="궁서" w:hint="default"/>
        <w:color w:val="auto"/>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 w15:restartNumberingAfterBreak="0">
    <w:nsid w:val="28B56397"/>
    <w:multiLevelType w:val="hybridMultilevel"/>
    <w:tmpl w:val="B4ACB1EA"/>
    <w:lvl w:ilvl="0" w:tplc="04090001">
      <w:start w:val="1"/>
      <w:numFmt w:val="bullet"/>
      <w:lvlText w:val=""/>
      <w:lvlJc w:val="left"/>
      <w:pPr>
        <w:ind w:left="800" w:hanging="400"/>
      </w:pPr>
      <w:rPr>
        <w:rFonts w:ascii="Symbol" w:hAnsi="Symbo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 w15:restartNumberingAfterBreak="0">
    <w:nsid w:val="339C27C3"/>
    <w:multiLevelType w:val="hybridMultilevel"/>
    <w:tmpl w:val="D1AA213C"/>
    <w:lvl w:ilvl="0" w:tplc="5F50D884">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Genome Biology&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xv9x55ega29wvev202vrs0lpsrfwradwvxa&quot;&gt;TNBC&lt;record-ids&gt;&lt;item&gt;78&lt;/item&gt;&lt;/record-ids&gt;&lt;/item&gt;&lt;/Libraries&gt;"/>
  </w:docVars>
  <w:rsids>
    <w:rsidRoot w:val="002C4881"/>
    <w:rsid w:val="00005A48"/>
    <w:rsid w:val="00011255"/>
    <w:rsid w:val="00011CBA"/>
    <w:rsid w:val="000146EA"/>
    <w:rsid w:val="00024C0E"/>
    <w:rsid w:val="00027EB5"/>
    <w:rsid w:val="00032657"/>
    <w:rsid w:val="00037CAA"/>
    <w:rsid w:val="00040242"/>
    <w:rsid w:val="00044D83"/>
    <w:rsid w:val="00050816"/>
    <w:rsid w:val="00063584"/>
    <w:rsid w:val="000706B2"/>
    <w:rsid w:val="0007179B"/>
    <w:rsid w:val="00076DBB"/>
    <w:rsid w:val="00077E1F"/>
    <w:rsid w:val="000956F0"/>
    <w:rsid w:val="000A6787"/>
    <w:rsid w:val="000B622E"/>
    <w:rsid w:val="000C12D4"/>
    <w:rsid w:val="000D4A31"/>
    <w:rsid w:val="000E360E"/>
    <w:rsid w:val="000F5F9F"/>
    <w:rsid w:val="00101500"/>
    <w:rsid w:val="00102655"/>
    <w:rsid w:val="00103930"/>
    <w:rsid w:val="0012460B"/>
    <w:rsid w:val="001337D6"/>
    <w:rsid w:val="0013385A"/>
    <w:rsid w:val="00143F19"/>
    <w:rsid w:val="0014520C"/>
    <w:rsid w:val="00151116"/>
    <w:rsid w:val="00151A96"/>
    <w:rsid w:val="001629E5"/>
    <w:rsid w:val="00167BF8"/>
    <w:rsid w:val="001831D4"/>
    <w:rsid w:val="0018369E"/>
    <w:rsid w:val="00185401"/>
    <w:rsid w:val="001907C4"/>
    <w:rsid w:val="001B3C43"/>
    <w:rsid w:val="001C6F32"/>
    <w:rsid w:val="001C7CA1"/>
    <w:rsid w:val="00221521"/>
    <w:rsid w:val="00221581"/>
    <w:rsid w:val="00221EF9"/>
    <w:rsid w:val="0023611D"/>
    <w:rsid w:val="0024063F"/>
    <w:rsid w:val="00247531"/>
    <w:rsid w:val="00250F81"/>
    <w:rsid w:val="00256B9F"/>
    <w:rsid w:val="00260D04"/>
    <w:rsid w:val="0026186D"/>
    <w:rsid w:val="0026307D"/>
    <w:rsid w:val="00286222"/>
    <w:rsid w:val="002A18D4"/>
    <w:rsid w:val="002A1DCB"/>
    <w:rsid w:val="002A794A"/>
    <w:rsid w:val="002C0F7F"/>
    <w:rsid w:val="002C3B5D"/>
    <w:rsid w:val="002C4881"/>
    <w:rsid w:val="002C7479"/>
    <w:rsid w:val="002D0DC2"/>
    <w:rsid w:val="002D6320"/>
    <w:rsid w:val="002E03C7"/>
    <w:rsid w:val="00303F14"/>
    <w:rsid w:val="00317025"/>
    <w:rsid w:val="00325AED"/>
    <w:rsid w:val="00330BB8"/>
    <w:rsid w:val="00335AAB"/>
    <w:rsid w:val="00336AF1"/>
    <w:rsid w:val="003404CD"/>
    <w:rsid w:val="003459FB"/>
    <w:rsid w:val="003459FE"/>
    <w:rsid w:val="00346BF2"/>
    <w:rsid w:val="003512AB"/>
    <w:rsid w:val="00351F69"/>
    <w:rsid w:val="003549DD"/>
    <w:rsid w:val="003611B7"/>
    <w:rsid w:val="00367A98"/>
    <w:rsid w:val="00374885"/>
    <w:rsid w:val="003875A8"/>
    <w:rsid w:val="00392B7B"/>
    <w:rsid w:val="003A1682"/>
    <w:rsid w:val="003A21C2"/>
    <w:rsid w:val="003A400D"/>
    <w:rsid w:val="003B309D"/>
    <w:rsid w:val="003B386C"/>
    <w:rsid w:val="003C485D"/>
    <w:rsid w:val="003D5986"/>
    <w:rsid w:val="003E69C3"/>
    <w:rsid w:val="003F4252"/>
    <w:rsid w:val="003F63EB"/>
    <w:rsid w:val="0040122A"/>
    <w:rsid w:val="0043469E"/>
    <w:rsid w:val="004402E1"/>
    <w:rsid w:val="00445F46"/>
    <w:rsid w:val="00456A83"/>
    <w:rsid w:val="004662C1"/>
    <w:rsid w:val="00474A21"/>
    <w:rsid w:val="004812F5"/>
    <w:rsid w:val="004915BC"/>
    <w:rsid w:val="00491E64"/>
    <w:rsid w:val="004B06C9"/>
    <w:rsid w:val="004B32A0"/>
    <w:rsid w:val="004B7742"/>
    <w:rsid w:val="004C0D73"/>
    <w:rsid w:val="004D2F9C"/>
    <w:rsid w:val="004D3B03"/>
    <w:rsid w:val="004F709E"/>
    <w:rsid w:val="00510BCC"/>
    <w:rsid w:val="00511E23"/>
    <w:rsid w:val="005134A9"/>
    <w:rsid w:val="00517774"/>
    <w:rsid w:val="005179D8"/>
    <w:rsid w:val="005229C2"/>
    <w:rsid w:val="0052338A"/>
    <w:rsid w:val="005260E0"/>
    <w:rsid w:val="00526194"/>
    <w:rsid w:val="005322BE"/>
    <w:rsid w:val="00532DF5"/>
    <w:rsid w:val="0053442B"/>
    <w:rsid w:val="00535236"/>
    <w:rsid w:val="0054179E"/>
    <w:rsid w:val="0054354E"/>
    <w:rsid w:val="00545786"/>
    <w:rsid w:val="005504CA"/>
    <w:rsid w:val="005569C3"/>
    <w:rsid w:val="00562500"/>
    <w:rsid w:val="00562519"/>
    <w:rsid w:val="0056572D"/>
    <w:rsid w:val="005738C4"/>
    <w:rsid w:val="00581326"/>
    <w:rsid w:val="00591A31"/>
    <w:rsid w:val="005A7AFC"/>
    <w:rsid w:val="005C61FE"/>
    <w:rsid w:val="005C64A6"/>
    <w:rsid w:val="005F0F4D"/>
    <w:rsid w:val="005F4716"/>
    <w:rsid w:val="005F7D17"/>
    <w:rsid w:val="006072B1"/>
    <w:rsid w:val="00611C2B"/>
    <w:rsid w:val="00612680"/>
    <w:rsid w:val="00617B72"/>
    <w:rsid w:val="0063539E"/>
    <w:rsid w:val="0065735E"/>
    <w:rsid w:val="00665231"/>
    <w:rsid w:val="00682B83"/>
    <w:rsid w:val="006861FD"/>
    <w:rsid w:val="00686274"/>
    <w:rsid w:val="00696966"/>
    <w:rsid w:val="006A2538"/>
    <w:rsid w:val="006A3D53"/>
    <w:rsid w:val="006D0CB6"/>
    <w:rsid w:val="006D1306"/>
    <w:rsid w:val="006D2F85"/>
    <w:rsid w:val="00700680"/>
    <w:rsid w:val="00705B07"/>
    <w:rsid w:val="00717E20"/>
    <w:rsid w:val="0072413A"/>
    <w:rsid w:val="007261BD"/>
    <w:rsid w:val="00736429"/>
    <w:rsid w:val="0073773D"/>
    <w:rsid w:val="007425CF"/>
    <w:rsid w:val="00742C4E"/>
    <w:rsid w:val="00764886"/>
    <w:rsid w:val="00787AB3"/>
    <w:rsid w:val="00791A95"/>
    <w:rsid w:val="007A0F4F"/>
    <w:rsid w:val="007B1884"/>
    <w:rsid w:val="007C0903"/>
    <w:rsid w:val="007C5534"/>
    <w:rsid w:val="007C7940"/>
    <w:rsid w:val="007D1653"/>
    <w:rsid w:val="007D22A4"/>
    <w:rsid w:val="007D4940"/>
    <w:rsid w:val="007E069F"/>
    <w:rsid w:val="007E38CF"/>
    <w:rsid w:val="007E45D2"/>
    <w:rsid w:val="007F208E"/>
    <w:rsid w:val="007F6D5C"/>
    <w:rsid w:val="008018EE"/>
    <w:rsid w:val="00803220"/>
    <w:rsid w:val="008074BF"/>
    <w:rsid w:val="008112AC"/>
    <w:rsid w:val="008276F2"/>
    <w:rsid w:val="00836319"/>
    <w:rsid w:val="00836349"/>
    <w:rsid w:val="00841E5B"/>
    <w:rsid w:val="00857C13"/>
    <w:rsid w:val="00871D78"/>
    <w:rsid w:val="00874169"/>
    <w:rsid w:val="00881E29"/>
    <w:rsid w:val="00884610"/>
    <w:rsid w:val="00892C03"/>
    <w:rsid w:val="008956BB"/>
    <w:rsid w:val="008B0B07"/>
    <w:rsid w:val="008B4699"/>
    <w:rsid w:val="008C07C9"/>
    <w:rsid w:val="008C1613"/>
    <w:rsid w:val="008C3780"/>
    <w:rsid w:val="008D032A"/>
    <w:rsid w:val="008D273E"/>
    <w:rsid w:val="008D7511"/>
    <w:rsid w:val="008E3A91"/>
    <w:rsid w:val="008F2B07"/>
    <w:rsid w:val="008F3D1E"/>
    <w:rsid w:val="009077FD"/>
    <w:rsid w:val="00907990"/>
    <w:rsid w:val="00910884"/>
    <w:rsid w:val="00913DE1"/>
    <w:rsid w:val="00916D60"/>
    <w:rsid w:val="009202DD"/>
    <w:rsid w:val="00936163"/>
    <w:rsid w:val="00941232"/>
    <w:rsid w:val="00942150"/>
    <w:rsid w:val="00954242"/>
    <w:rsid w:val="00955AA8"/>
    <w:rsid w:val="00990870"/>
    <w:rsid w:val="00995764"/>
    <w:rsid w:val="009A0148"/>
    <w:rsid w:val="009A29A0"/>
    <w:rsid w:val="009A4298"/>
    <w:rsid w:val="009B000F"/>
    <w:rsid w:val="009B0F86"/>
    <w:rsid w:val="009C2AEE"/>
    <w:rsid w:val="009D47A0"/>
    <w:rsid w:val="009F0833"/>
    <w:rsid w:val="009F0E93"/>
    <w:rsid w:val="009F270B"/>
    <w:rsid w:val="009F5DC2"/>
    <w:rsid w:val="00A12BC2"/>
    <w:rsid w:val="00A238C3"/>
    <w:rsid w:val="00A36123"/>
    <w:rsid w:val="00A45373"/>
    <w:rsid w:val="00A467A6"/>
    <w:rsid w:val="00A50713"/>
    <w:rsid w:val="00A522A5"/>
    <w:rsid w:val="00A55EC8"/>
    <w:rsid w:val="00A62D3C"/>
    <w:rsid w:val="00A63439"/>
    <w:rsid w:val="00A708C5"/>
    <w:rsid w:val="00A741DF"/>
    <w:rsid w:val="00A81B53"/>
    <w:rsid w:val="00A87FA0"/>
    <w:rsid w:val="00A9594F"/>
    <w:rsid w:val="00AA7829"/>
    <w:rsid w:val="00AA7C16"/>
    <w:rsid w:val="00AB6A85"/>
    <w:rsid w:val="00AC0B5F"/>
    <w:rsid w:val="00AD3313"/>
    <w:rsid w:val="00AF7444"/>
    <w:rsid w:val="00B048D9"/>
    <w:rsid w:val="00B21030"/>
    <w:rsid w:val="00B33631"/>
    <w:rsid w:val="00B36B87"/>
    <w:rsid w:val="00B467B7"/>
    <w:rsid w:val="00B548AE"/>
    <w:rsid w:val="00B62325"/>
    <w:rsid w:val="00B6359D"/>
    <w:rsid w:val="00B6477C"/>
    <w:rsid w:val="00B7327F"/>
    <w:rsid w:val="00B77D3D"/>
    <w:rsid w:val="00B80107"/>
    <w:rsid w:val="00B828FC"/>
    <w:rsid w:val="00B845C7"/>
    <w:rsid w:val="00B84681"/>
    <w:rsid w:val="00BA02B2"/>
    <w:rsid w:val="00BA5926"/>
    <w:rsid w:val="00BC1CBB"/>
    <w:rsid w:val="00BD1565"/>
    <w:rsid w:val="00BE043E"/>
    <w:rsid w:val="00BE28F7"/>
    <w:rsid w:val="00BF582B"/>
    <w:rsid w:val="00C01647"/>
    <w:rsid w:val="00C05F23"/>
    <w:rsid w:val="00C16C29"/>
    <w:rsid w:val="00C218D1"/>
    <w:rsid w:val="00C26C24"/>
    <w:rsid w:val="00C40B58"/>
    <w:rsid w:val="00C520AC"/>
    <w:rsid w:val="00C57EE4"/>
    <w:rsid w:val="00C666A7"/>
    <w:rsid w:val="00C8292B"/>
    <w:rsid w:val="00C83935"/>
    <w:rsid w:val="00C83AFC"/>
    <w:rsid w:val="00C842FD"/>
    <w:rsid w:val="00C96AD5"/>
    <w:rsid w:val="00C96D28"/>
    <w:rsid w:val="00C97E46"/>
    <w:rsid w:val="00CA00EE"/>
    <w:rsid w:val="00CA30B7"/>
    <w:rsid w:val="00CB653B"/>
    <w:rsid w:val="00CB6C1A"/>
    <w:rsid w:val="00CC3A5F"/>
    <w:rsid w:val="00CC6A42"/>
    <w:rsid w:val="00CD28AA"/>
    <w:rsid w:val="00CD3CE0"/>
    <w:rsid w:val="00CD4A7A"/>
    <w:rsid w:val="00CD7BEE"/>
    <w:rsid w:val="00CE1FA8"/>
    <w:rsid w:val="00CE3141"/>
    <w:rsid w:val="00CF1444"/>
    <w:rsid w:val="00D0441F"/>
    <w:rsid w:val="00D12FBD"/>
    <w:rsid w:val="00D16AE4"/>
    <w:rsid w:val="00D2461B"/>
    <w:rsid w:val="00D26F07"/>
    <w:rsid w:val="00D52D83"/>
    <w:rsid w:val="00D57633"/>
    <w:rsid w:val="00D57CE9"/>
    <w:rsid w:val="00D6288E"/>
    <w:rsid w:val="00D62E98"/>
    <w:rsid w:val="00D71EB3"/>
    <w:rsid w:val="00D73388"/>
    <w:rsid w:val="00D77280"/>
    <w:rsid w:val="00D9355F"/>
    <w:rsid w:val="00DB0BDE"/>
    <w:rsid w:val="00DB3336"/>
    <w:rsid w:val="00DD3E45"/>
    <w:rsid w:val="00DD71A0"/>
    <w:rsid w:val="00DE0342"/>
    <w:rsid w:val="00DE0539"/>
    <w:rsid w:val="00E0127E"/>
    <w:rsid w:val="00E0648B"/>
    <w:rsid w:val="00E1016B"/>
    <w:rsid w:val="00E11AE1"/>
    <w:rsid w:val="00E14743"/>
    <w:rsid w:val="00E161C0"/>
    <w:rsid w:val="00E2153C"/>
    <w:rsid w:val="00E3301D"/>
    <w:rsid w:val="00E35D83"/>
    <w:rsid w:val="00E45C6E"/>
    <w:rsid w:val="00E55961"/>
    <w:rsid w:val="00E601CC"/>
    <w:rsid w:val="00E61601"/>
    <w:rsid w:val="00E73D18"/>
    <w:rsid w:val="00E8283C"/>
    <w:rsid w:val="00E85DEE"/>
    <w:rsid w:val="00E9245D"/>
    <w:rsid w:val="00E97B52"/>
    <w:rsid w:val="00EA19F6"/>
    <w:rsid w:val="00EA2766"/>
    <w:rsid w:val="00EA624A"/>
    <w:rsid w:val="00EB27EA"/>
    <w:rsid w:val="00EC617F"/>
    <w:rsid w:val="00EC6C2E"/>
    <w:rsid w:val="00EE2685"/>
    <w:rsid w:val="00EF0645"/>
    <w:rsid w:val="00F13B52"/>
    <w:rsid w:val="00F36AB1"/>
    <w:rsid w:val="00F4102A"/>
    <w:rsid w:val="00F50E02"/>
    <w:rsid w:val="00F52256"/>
    <w:rsid w:val="00F60B2B"/>
    <w:rsid w:val="00F60FD3"/>
    <w:rsid w:val="00F7355B"/>
    <w:rsid w:val="00F93F89"/>
    <w:rsid w:val="00F96BA9"/>
    <w:rsid w:val="00FA6ABF"/>
    <w:rsid w:val="00FA70D8"/>
    <w:rsid w:val="00FB3AEF"/>
    <w:rsid w:val="00FD30DD"/>
    <w:rsid w:val="00FD4C41"/>
    <w:rsid w:val="00FE2C3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3BCCDBF"/>
  <w15:docId w15:val="{9A64E6FE-4854-497C-A838-4850CC7BE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sz w:val="22"/>
        <w:szCs w:val="22"/>
        <w:lang w:val="en-US" w:eastAsia="ko-K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pBdr>
        <w:top w:val="nil"/>
        <w:left w:val="nil"/>
        <w:bottom w:val="nil"/>
        <w:right w:val="nil"/>
        <w:between w:val="nil"/>
      </w:pBdr>
      <w:spacing w:before="400" w:after="120" w:line="240" w:lineRule="auto"/>
      <w:outlineLvl w:val="0"/>
    </w:pPr>
    <w:rPr>
      <w:sz w:val="40"/>
      <w:szCs w:val="40"/>
    </w:rPr>
  </w:style>
  <w:style w:type="paragraph" w:styleId="2">
    <w:name w:val="heading 2"/>
    <w:basedOn w:val="a"/>
    <w:next w:val="a"/>
    <w:uiPriority w:val="9"/>
    <w:unhideWhenUsed/>
    <w:qFormat/>
    <w:pPr>
      <w:keepNext/>
      <w:keepLines/>
      <w:pBdr>
        <w:top w:val="nil"/>
        <w:left w:val="nil"/>
        <w:bottom w:val="nil"/>
        <w:right w:val="nil"/>
        <w:between w:val="nil"/>
      </w:pBdr>
      <w:spacing w:before="360" w:after="120" w:line="240" w:lineRule="auto"/>
      <w:outlineLvl w:val="1"/>
    </w:pPr>
    <w:rPr>
      <w:sz w:val="32"/>
      <w:szCs w:val="32"/>
    </w:rPr>
  </w:style>
  <w:style w:type="paragraph" w:styleId="3">
    <w:name w:val="heading 3"/>
    <w:basedOn w:val="a"/>
    <w:next w:val="a"/>
    <w:uiPriority w:val="9"/>
    <w:semiHidden/>
    <w:unhideWhenUsed/>
    <w:qFormat/>
    <w:pPr>
      <w:keepNext/>
      <w:keepLines/>
      <w:pBdr>
        <w:top w:val="nil"/>
        <w:left w:val="nil"/>
        <w:bottom w:val="nil"/>
        <w:right w:val="nil"/>
        <w:between w:val="nil"/>
      </w:pBdr>
      <w:spacing w:before="320" w:after="80" w:line="240" w:lineRule="auto"/>
      <w:outlineLvl w:val="2"/>
    </w:pPr>
    <w:rPr>
      <w:color w:val="434343"/>
      <w:sz w:val="28"/>
      <w:szCs w:val="28"/>
    </w:rPr>
  </w:style>
  <w:style w:type="paragraph" w:styleId="4">
    <w:name w:val="heading 4"/>
    <w:basedOn w:val="a"/>
    <w:next w:val="a"/>
    <w:uiPriority w:val="9"/>
    <w:semiHidden/>
    <w:unhideWhenUsed/>
    <w:qFormat/>
    <w:pPr>
      <w:keepNext/>
      <w:keepLines/>
      <w:pBdr>
        <w:top w:val="nil"/>
        <w:left w:val="nil"/>
        <w:bottom w:val="nil"/>
        <w:right w:val="nil"/>
        <w:between w:val="nil"/>
      </w:pBdr>
      <w:spacing w:before="280" w:after="80" w:line="240" w:lineRule="auto"/>
      <w:outlineLvl w:val="3"/>
    </w:pPr>
    <w:rPr>
      <w:color w:val="666666"/>
      <w:sz w:val="24"/>
      <w:szCs w:val="24"/>
    </w:rPr>
  </w:style>
  <w:style w:type="paragraph" w:styleId="5">
    <w:name w:val="heading 5"/>
    <w:basedOn w:val="a"/>
    <w:next w:val="a"/>
    <w:uiPriority w:val="9"/>
    <w:semiHidden/>
    <w:unhideWhenUsed/>
    <w:qFormat/>
    <w:pPr>
      <w:keepNext/>
      <w:keepLines/>
      <w:pBdr>
        <w:top w:val="nil"/>
        <w:left w:val="nil"/>
        <w:bottom w:val="nil"/>
        <w:right w:val="nil"/>
        <w:between w:val="nil"/>
      </w:pBdr>
      <w:spacing w:before="240" w:after="80" w:line="240" w:lineRule="auto"/>
      <w:outlineLvl w:val="4"/>
    </w:pPr>
    <w:rPr>
      <w:color w:val="666666"/>
    </w:rPr>
  </w:style>
  <w:style w:type="paragraph" w:styleId="6">
    <w:name w:val="heading 6"/>
    <w:basedOn w:val="a"/>
    <w:next w:val="a"/>
    <w:uiPriority w:val="9"/>
    <w:semiHidden/>
    <w:unhideWhenUsed/>
    <w:qFormat/>
    <w:pPr>
      <w:keepNext/>
      <w:keepLines/>
      <w:pBdr>
        <w:top w:val="nil"/>
        <w:left w:val="nil"/>
        <w:bottom w:val="nil"/>
        <w:right w:val="nil"/>
        <w:between w:val="nil"/>
      </w:pBdr>
      <w:spacing w:before="240" w:after="80" w:line="240" w:lineRule="auto"/>
      <w:outlineLvl w:val="5"/>
    </w:pPr>
    <w:rPr>
      <w:i/>
      <w:color w:val="66666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pBdr>
        <w:top w:val="nil"/>
        <w:left w:val="nil"/>
        <w:bottom w:val="nil"/>
        <w:right w:val="nil"/>
        <w:between w:val="nil"/>
      </w:pBdr>
      <w:spacing w:after="60" w:line="240" w:lineRule="auto"/>
    </w:pPr>
    <w:rPr>
      <w:sz w:val="52"/>
      <w:szCs w:val="52"/>
    </w:rPr>
  </w:style>
  <w:style w:type="paragraph" w:styleId="a4">
    <w:name w:val="Subtitle"/>
    <w:basedOn w:val="a"/>
    <w:next w:val="a"/>
    <w:uiPriority w:val="11"/>
    <w:qFormat/>
    <w:pPr>
      <w:keepNext/>
      <w:keepLines/>
      <w:pBdr>
        <w:top w:val="nil"/>
        <w:left w:val="nil"/>
        <w:bottom w:val="nil"/>
        <w:right w:val="nil"/>
        <w:between w:val="nil"/>
      </w:pBdr>
      <w:spacing w:after="320" w:line="240" w:lineRule="auto"/>
    </w:pPr>
    <w:rPr>
      <w:color w:val="666666"/>
      <w:sz w:val="30"/>
      <w:szCs w:val="30"/>
    </w:rPr>
  </w:style>
  <w:style w:type="paragraph" w:styleId="a5">
    <w:name w:val="header"/>
    <w:basedOn w:val="a"/>
    <w:link w:val="Char"/>
    <w:uiPriority w:val="99"/>
    <w:unhideWhenUsed/>
    <w:rsid w:val="00936163"/>
    <w:pPr>
      <w:tabs>
        <w:tab w:val="center" w:pos="4513"/>
        <w:tab w:val="right" w:pos="9026"/>
      </w:tabs>
      <w:snapToGrid w:val="0"/>
    </w:pPr>
  </w:style>
  <w:style w:type="character" w:customStyle="1" w:styleId="Char">
    <w:name w:val="머리글 Char"/>
    <w:basedOn w:val="a0"/>
    <w:link w:val="a5"/>
    <w:uiPriority w:val="99"/>
    <w:rsid w:val="00936163"/>
  </w:style>
  <w:style w:type="paragraph" w:styleId="a6">
    <w:name w:val="footer"/>
    <w:basedOn w:val="a"/>
    <w:link w:val="Char0"/>
    <w:uiPriority w:val="99"/>
    <w:unhideWhenUsed/>
    <w:rsid w:val="00936163"/>
    <w:pPr>
      <w:tabs>
        <w:tab w:val="center" w:pos="4513"/>
        <w:tab w:val="right" w:pos="9026"/>
      </w:tabs>
      <w:snapToGrid w:val="0"/>
    </w:pPr>
  </w:style>
  <w:style w:type="character" w:customStyle="1" w:styleId="Char0">
    <w:name w:val="바닥글 Char"/>
    <w:basedOn w:val="a0"/>
    <w:link w:val="a6"/>
    <w:uiPriority w:val="99"/>
    <w:rsid w:val="00936163"/>
  </w:style>
  <w:style w:type="paragraph" w:styleId="a7">
    <w:name w:val="List Paragraph"/>
    <w:basedOn w:val="a"/>
    <w:uiPriority w:val="34"/>
    <w:qFormat/>
    <w:rsid w:val="00803220"/>
    <w:pPr>
      <w:ind w:leftChars="400" w:left="800"/>
    </w:pPr>
  </w:style>
  <w:style w:type="character" w:styleId="a8">
    <w:name w:val="line number"/>
    <w:basedOn w:val="a0"/>
    <w:uiPriority w:val="99"/>
    <w:semiHidden/>
    <w:unhideWhenUsed/>
    <w:rsid w:val="002A794A"/>
  </w:style>
  <w:style w:type="paragraph" w:customStyle="1" w:styleId="10">
    <w:name w:val="개요 1"/>
    <w:link w:val="1Char"/>
    <w:rsid w:val="007425CF"/>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wordWrap w:val="0"/>
      <w:autoSpaceDE w:val="0"/>
      <w:autoSpaceDN w:val="0"/>
      <w:adjustRightInd w:val="0"/>
      <w:spacing w:line="296" w:lineRule="auto"/>
      <w:ind w:left="148" w:hanging="148"/>
      <w:jc w:val="both"/>
    </w:pPr>
    <w:rPr>
      <w:rFonts w:ascii="바탕" w:eastAsia="바탕" w:hAnsi="Times New Roman" w:cs="Times New Roman"/>
      <w:color w:val="000000"/>
      <w:sz w:val="20"/>
      <w:szCs w:val="20"/>
    </w:rPr>
  </w:style>
  <w:style w:type="character" w:customStyle="1" w:styleId="1Char">
    <w:name w:val="개요 1 Char"/>
    <w:basedOn w:val="a0"/>
    <w:link w:val="10"/>
    <w:rsid w:val="007425CF"/>
    <w:rPr>
      <w:rFonts w:ascii="바탕" w:eastAsia="바탕" w:hAnsi="Times New Roman" w:cs="Times New Roman"/>
      <w:color w:val="000000"/>
      <w:sz w:val="20"/>
      <w:szCs w:val="20"/>
    </w:rPr>
  </w:style>
  <w:style w:type="table" w:styleId="a9">
    <w:name w:val="Table Grid"/>
    <w:basedOn w:val="a1"/>
    <w:uiPriority w:val="39"/>
    <w:rsid w:val="007425C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unhideWhenUsed/>
    <w:qFormat/>
    <w:rsid w:val="00E601CC"/>
    <w:rPr>
      <w:sz w:val="18"/>
      <w:szCs w:val="18"/>
    </w:rPr>
  </w:style>
  <w:style w:type="paragraph" w:styleId="ab">
    <w:name w:val="annotation text"/>
    <w:aliases w:val=" Char, Char Char Char, Char Char Char Char, 字元,Char,Char Char Char,Char Char Char Char,Char11,Comment Text (US_Eng),Heading 21,comment text,字元,Char11 Char Char"/>
    <w:basedOn w:val="a"/>
    <w:link w:val="Char1"/>
    <w:uiPriority w:val="99"/>
    <w:unhideWhenUsed/>
    <w:qFormat/>
    <w:rsid w:val="00E601CC"/>
  </w:style>
  <w:style w:type="character" w:customStyle="1" w:styleId="Char1">
    <w:name w:val="메모 텍스트 Char"/>
    <w:aliases w:val=" Char Char, Char Char Char Char1, Char Char Char Char Char, 字元 Char,Char Char,Char Char Char Char1,Char Char Char Char Char,Char11 Char,Comment Text (US_Eng) Char,Heading 21 Char,comment text Char,字元 Char,Char11 Char Char Char"/>
    <w:basedOn w:val="a0"/>
    <w:link w:val="ab"/>
    <w:uiPriority w:val="99"/>
    <w:qFormat/>
    <w:rsid w:val="00E601CC"/>
  </w:style>
  <w:style w:type="paragraph" w:styleId="ac">
    <w:name w:val="annotation subject"/>
    <w:basedOn w:val="ab"/>
    <w:next w:val="ab"/>
    <w:link w:val="Char2"/>
    <w:uiPriority w:val="99"/>
    <w:semiHidden/>
    <w:unhideWhenUsed/>
    <w:rsid w:val="00E601CC"/>
    <w:rPr>
      <w:b/>
      <w:bCs/>
    </w:rPr>
  </w:style>
  <w:style w:type="character" w:customStyle="1" w:styleId="Char2">
    <w:name w:val="메모 주제 Char"/>
    <w:basedOn w:val="Char1"/>
    <w:link w:val="ac"/>
    <w:uiPriority w:val="99"/>
    <w:semiHidden/>
    <w:rsid w:val="00E601CC"/>
    <w:rPr>
      <w:b/>
      <w:bCs/>
    </w:rPr>
  </w:style>
  <w:style w:type="paragraph" w:styleId="ad">
    <w:name w:val="Balloon Text"/>
    <w:basedOn w:val="a"/>
    <w:link w:val="Char3"/>
    <w:uiPriority w:val="99"/>
    <w:semiHidden/>
    <w:unhideWhenUsed/>
    <w:rsid w:val="00E601CC"/>
    <w:pPr>
      <w:spacing w:line="240" w:lineRule="auto"/>
    </w:pPr>
    <w:rPr>
      <w:rFonts w:asciiTheme="majorHAnsi" w:eastAsiaTheme="majorEastAsia" w:hAnsiTheme="majorHAnsi" w:cstheme="majorBidi"/>
      <w:sz w:val="18"/>
      <w:szCs w:val="18"/>
    </w:rPr>
  </w:style>
  <w:style w:type="character" w:customStyle="1" w:styleId="Char3">
    <w:name w:val="풍선 도움말 텍스트 Char"/>
    <w:basedOn w:val="a0"/>
    <w:link w:val="ad"/>
    <w:uiPriority w:val="99"/>
    <w:semiHidden/>
    <w:rsid w:val="00E601CC"/>
    <w:rPr>
      <w:rFonts w:asciiTheme="majorHAnsi" w:eastAsiaTheme="majorEastAsia" w:hAnsiTheme="majorHAnsi" w:cstheme="majorBidi"/>
      <w:sz w:val="18"/>
      <w:szCs w:val="18"/>
    </w:rPr>
  </w:style>
  <w:style w:type="paragraph" w:styleId="ae">
    <w:name w:val="Revision"/>
    <w:hidden/>
    <w:uiPriority w:val="99"/>
    <w:semiHidden/>
    <w:rsid w:val="008E3A91"/>
    <w:pPr>
      <w:spacing w:line="240" w:lineRule="auto"/>
    </w:pPr>
  </w:style>
  <w:style w:type="paragraph" w:customStyle="1" w:styleId="EndNoteBibliographyTitle">
    <w:name w:val="EndNote Bibliography Title"/>
    <w:basedOn w:val="a"/>
    <w:link w:val="EndNoteBibliographyTitleChar"/>
    <w:rsid w:val="00EF0645"/>
    <w:pPr>
      <w:jc w:val="center"/>
    </w:pPr>
    <w:rPr>
      <w:noProof/>
    </w:rPr>
  </w:style>
  <w:style w:type="character" w:customStyle="1" w:styleId="EndNoteBibliographyTitleChar">
    <w:name w:val="EndNote Bibliography Title Char"/>
    <w:basedOn w:val="a0"/>
    <w:link w:val="EndNoteBibliographyTitle"/>
    <w:rsid w:val="00EF0645"/>
    <w:rPr>
      <w:noProof/>
    </w:rPr>
  </w:style>
  <w:style w:type="paragraph" w:customStyle="1" w:styleId="EndNoteBibliography">
    <w:name w:val="EndNote Bibliography"/>
    <w:basedOn w:val="a"/>
    <w:link w:val="EndNoteBibliographyChar"/>
    <w:rsid w:val="00EF0645"/>
    <w:pPr>
      <w:spacing w:line="240" w:lineRule="auto"/>
    </w:pPr>
    <w:rPr>
      <w:noProof/>
    </w:rPr>
  </w:style>
  <w:style w:type="character" w:customStyle="1" w:styleId="EndNoteBibliographyChar">
    <w:name w:val="EndNote Bibliography Char"/>
    <w:basedOn w:val="a0"/>
    <w:link w:val="EndNoteBibliography"/>
    <w:rsid w:val="00EF0645"/>
    <w:rPr>
      <w:noProof/>
    </w:rPr>
  </w:style>
  <w:style w:type="character" w:styleId="af">
    <w:name w:val="Hyperlink"/>
    <w:basedOn w:val="a0"/>
    <w:uiPriority w:val="99"/>
    <w:unhideWhenUsed/>
    <w:rsid w:val="00D9355F"/>
    <w:rPr>
      <w:color w:val="0000FF" w:themeColor="hyperlink"/>
      <w:u w:val="single"/>
    </w:rPr>
  </w:style>
  <w:style w:type="character" w:styleId="af0">
    <w:name w:val="Unresolved Mention"/>
    <w:basedOn w:val="a0"/>
    <w:uiPriority w:val="99"/>
    <w:semiHidden/>
    <w:unhideWhenUsed/>
    <w:rsid w:val="00D9355F"/>
    <w:rPr>
      <w:color w:val="605E5C"/>
      <w:shd w:val="clear" w:color="auto" w:fill="E1DFDD"/>
    </w:rPr>
  </w:style>
  <w:style w:type="character" w:styleId="af1">
    <w:name w:val="Emphasis"/>
    <w:basedOn w:val="a0"/>
    <w:uiPriority w:val="20"/>
    <w:qFormat/>
    <w:rsid w:val="00C40B5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898316">
      <w:bodyDiv w:val="1"/>
      <w:marLeft w:val="0"/>
      <w:marRight w:val="0"/>
      <w:marTop w:val="0"/>
      <w:marBottom w:val="0"/>
      <w:divBdr>
        <w:top w:val="none" w:sz="0" w:space="0" w:color="auto"/>
        <w:left w:val="none" w:sz="0" w:space="0" w:color="auto"/>
        <w:bottom w:val="none" w:sz="0" w:space="0" w:color="auto"/>
        <w:right w:val="none" w:sz="0" w:space="0" w:color="auto"/>
      </w:divBdr>
    </w:div>
    <w:div w:id="898443260">
      <w:bodyDiv w:val="1"/>
      <w:marLeft w:val="0"/>
      <w:marRight w:val="0"/>
      <w:marTop w:val="0"/>
      <w:marBottom w:val="0"/>
      <w:divBdr>
        <w:top w:val="none" w:sz="0" w:space="0" w:color="auto"/>
        <w:left w:val="none" w:sz="0" w:space="0" w:color="auto"/>
        <w:bottom w:val="none" w:sz="0" w:space="0" w:color="auto"/>
        <w:right w:val="none" w:sz="0" w:space="0" w:color="auto"/>
      </w:divBdr>
    </w:div>
    <w:div w:id="1126969118">
      <w:bodyDiv w:val="1"/>
      <w:marLeft w:val="0"/>
      <w:marRight w:val="0"/>
      <w:marTop w:val="0"/>
      <w:marBottom w:val="0"/>
      <w:divBdr>
        <w:top w:val="none" w:sz="0" w:space="0" w:color="auto"/>
        <w:left w:val="none" w:sz="0" w:space="0" w:color="auto"/>
        <w:bottom w:val="none" w:sz="0" w:space="0" w:color="auto"/>
        <w:right w:val="none" w:sz="0" w:space="0" w:color="auto"/>
      </w:divBdr>
    </w:div>
    <w:div w:id="1549102400">
      <w:bodyDiv w:val="1"/>
      <w:marLeft w:val="0"/>
      <w:marRight w:val="0"/>
      <w:marTop w:val="0"/>
      <w:marBottom w:val="0"/>
      <w:divBdr>
        <w:top w:val="none" w:sz="0" w:space="0" w:color="auto"/>
        <w:left w:val="none" w:sz="0" w:space="0" w:color="auto"/>
        <w:bottom w:val="none" w:sz="0" w:space="0" w:color="auto"/>
        <w:right w:val="none" w:sz="0" w:space="0" w:color="auto"/>
      </w:divBdr>
    </w:div>
    <w:div w:id="1909340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E7477-1279-4F06-B35D-2A3FED66F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2826</Words>
  <Characters>16109</Characters>
  <Application>Microsoft Office Word</Application>
  <DocSecurity>0</DocSecurity>
  <Lines>134</Lines>
  <Paragraphs>37</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18898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이동기(약리학교실)</cp:lastModifiedBy>
  <cp:revision>2</cp:revision>
  <cp:lastPrinted>2025-06-13T23:14:00Z</cp:lastPrinted>
  <dcterms:created xsi:type="dcterms:W3CDTF">2026-02-11T05:41:00Z</dcterms:created>
  <dcterms:modified xsi:type="dcterms:W3CDTF">2026-02-11T05:41:00Z</dcterms:modified>
</cp:coreProperties>
</file>