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F0D2" w14:textId="77777777" w:rsidR="0030242F" w:rsidRDefault="0030242F" w:rsidP="0030242F">
      <w:pPr>
        <w:spacing w:line="48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Supplementary Figures</w:t>
      </w:r>
    </w:p>
    <w:p w14:paraId="5B32E965" w14:textId="1E841092" w:rsidR="00F444C8" w:rsidRDefault="0030242F">
      <w:r>
        <w:rPr>
          <w:noProof/>
        </w:rPr>
        <w:drawing>
          <wp:inline distT="0" distB="0" distL="0" distR="0" wp14:anchorId="26C61AE6" wp14:editId="069BB539">
            <wp:extent cx="5248275" cy="7334250"/>
            <wp:effectExtent l="0" t="0" r="9525" b="0"/>
            <wp:docPr id="13600290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59887" w14:textId="77777777" w:rsidR="0030242F" w:rsidRDefault="0030242F" w:rsidP="0030242F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Fig. S1. Nucleotide deamination patterns of three Yunnan lar gibbons.</w:t>
      </w:r>
      <w:r>
        <w:rPr>
          <w:rFonts w:hint="eastAsia"/>
        </w:rPr>
        <w:t xml:space="preserve"> 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 w:hint="eastAsia"/>
          <w:sz w:val="24"/>
        </w:rPr>
        <w:t xml:space="preserve">Photos of three Yunnan white-handed gibbon specimens, from left to right: </w:t>
      </w:r>
      <w:bookmarkStart w:id="0" w:name="OLE_LINK1"/>
      <w:r>
        <w:rPr>
          <w:rFonts w:ascii="Times New Roman" w:hAnsi="Times New Roman" w:hint="eastAsia"/>
          <w:sz w:val="24"/>
        </w:rPr>
        <w:t>HLA_Yunnan</w:t>
      </w:r>
      <w:bookmarkEnd w:id="0"/>
      <w:r>
        <w:rPr>
          <w:rFonts w:ascii="Times New Roman" w:hAnsi="Times New Roman" w:hint="eastAsia"/>
          <w:sz w:val="24"/>
        </w:rPr>
        <w:t xml:space="preserve">146, </w:t>
      </w:r>
      <w:r>
        <w:rPr>
          <w:rFonts w:ascii="Times New Roman" w:hAnsi="Times New Roman" w:hint="eastAsia"/>
          <w:sz w:val="24"/>
        </w:rPr>
        <w:lastRenderedPageBreak/>
        <w:t xml:space="preserve">HLA_Yunnan148, HLA_Yunnan147. </w:t>
      </w:r>
      <w:r>
        <w:rPr>
          <w:rFonts w:ascii="Times New Roman" w:hAnsi="Times New Roman" w:hint="eastAsia"/>
          <w:b/>
          <w:bCs/>
          <w:sz w:val="24"/>
        </w:rPr>
        <w:t>b</w:t>
      </w:r>
      <w:r>
        <w:rPr>
          <w:rFonts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Plots show the frequency of C&gt;T (red) and G&gt;A (blue) substitutions. </w:t>
      </w:r>
      <w:r>
        <w:rPr>
          <w:rFonts w:ascii="Times New Roman" w:hAnsi="Times New Roman"/>
          <w:sz w:val="24"/>
        </w:rPr>
        <w:t>The frequency of C&gt;T substitutions is lower than that of G&gt;A substitutions, which may be related to the library preparation method. The ratio (about 2-3% of the reads) is consistent with the age of the sample.</w:t>
      </w:r>
    </w:p>
    <w:p w14:paraId="4D22C467" w14:textId="77777777" w:rsidR="0009467E" w:rsidRDefault="0009467E" w:rsidP="0030242F">
      <w:pPr>
        <w:spacing w:line="480" w:lineRule="auto"/>
        <w:rPr>
          <w:rFonts w:ascii="Times New Roman" w:hAnsi="Times New Roman"/>
          <w:sz w:val="24"/>
        </w:rPr>
      </w:pPr>
    </w:p>
    <w:p w14:paraId="7F28E30A" w14:textId="1940B173" w:rsidR="002606CA" w:rsidRPr="002606CA" w:rsidRDefault="002606CA"/>
    <w:p w14:paraId="2A84FDE4" w14:textId="33CAB36E" w:rsidR="0030242F" w:rsidRDefault="0008380F" w:rsidP="0008380F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02524DF8" wp14:editId="7BBE50FC">
            <wp:extent cx="4219575" cy="3875602"/>
            <wp:effectExtent l="0" t="0" r="0" b="0"/>
            <wp:docPr id="10975143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514390" name=""/>
                    <pic:cNvPicPr/>
                  </pic:nvPicPr>
                  <pic:blipFill rotWithShape="1">
                    <a:blip r:embed="rId7"/>
                    <a:srcRect t="12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875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5665AF" w14:textId="77777777" w:rsidR="0008380F" w:rsidRDefault="0008380F" w:rsidP="0008380F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Fig. S</w:t>
      </w:r>
      <w:r>
        <w:rPr>
          <w:rFonts w:ascii="Times New Roman" w:hAnsi="Times New Roman" w:hint="eastAsia"/>
          <w:b/>
          <w:bCs/>
          <w:sz w:val="24"/>
        </w:rPr>
        <w:t>2</w:t>
      </w:r>
      <w:r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 w:hint="eastAsia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</w:rPr>
        <w:t>Neighbor-Joining phylogeny from nuclear genome SNPs.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Colored dots on nodes indicate the bootstrap values.</w:t>
      </w:r>
    </w:p>
    <w:p w14:paraId="0076F271" w14:textId="77777777" w:rsidR="0008380F" w:rsidRDefault="0008380F" w:rsidP="0008380F"/>
    <w:p w14:paraId="568CD65C" w14:textId="2C14FACC" w:rsidR="0008380F" w:rsidRDefault="0008380F" w:rsidP="0008380F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3BE62B38" wp14:editId="5A15F9B0">
            <wp:extent cx="5274310" cy="4366260"/>
            <wp:effectExtent l="0" t="0" r="2540" b="0"/>
            <wp:docPr id="18098364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8364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AE915" w14:textId="77777777" w:rsidR="0008380F" w:rsidRDefault="0008380F" w:rsidP="0008380F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Fig. S</w:t>
      </w:r>
      <w:r>
        <w:rPr>
          <w:rFonts w:ascii="Times New Roman" w:hAnsi="Times New Roman" w:hint="eastAsia"/>
          <w:b/>
          <w:bCs/>
          <w:sz w:val="24"/>
        </w:rPr>
        <w:t>3</w:t>
      </w:r>
      <w:r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 w:hint="eastAsia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Maximum-likelihood tree reconstructed from complete mitochondrial genomes (a) and </w:t>
      </w:r>
      <w:proofErr w:type="spellStart"/>
      <w:r>
        <w:rPr>
          <w:rFonts w:ascii="Times New Roman" w:hAnsi="Times New Roman"/>
          <w:i/>
          <w:iCs/>
          <w:sz w:val="24"/>
        </w:rPr>
        <w:t>cytb</w:t>
      </w:r>
      <w:proofErr w:type="spellEnd"/>
      <w:r>
        <w:rPr>
          <w:rFonts w:ascii="Times New Roman" w:hAnsi="Times New Roman"/>
          <w:sz w:val="24"/>
        </w:rPr>
        <w:t xml:space="preserve"> gene (b). Individuals with confirmed geographic origins are shown in red, and node labels represent bootstrap values.</w:t>
      </w:r>
    </w:p>
    <w:p w14:paraId="5EE7E4DE" w14:textId="77777777" w:rsidR="0008380F" w:rsidRDefault="0008380F" w:rsidP="0008380F">
      <w:pPr>
        <w:spacing w:line="480" w:lineRule="auto"/>
        <w:rPr>
          <w:rFonts w:ascii="Times New Roman" w:hAnsi="Times New Roman"/>
          <w:sz w:val="24"/>
        </w:rPr>
      </w:pPr>
    </w:p>
    <w:p w14:paraId="32330465" w14:textId="1F6F6246" w:rsidR="0008380F" w:rsidRDefault="0008380F" w:rsidP="0008380F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194C2CAE" wp14:editId="23BEF4A9">
            <wp:extent cx="5274310" cy="1468120"/>
            <wp:effectExtent l="0" t="0" r="2540" b="0"/>
            <wp:docPr id="1457355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FA186" w14:textId="1F15F0F5" w:rsidR="0008380F" w:rsidRPr="0008380F" w:rsidRDefault="0008380F" w:rsidP="0008380F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Fig. S</w:t>
      </w:r>
      <w:r>
        <w:rPr>
          <w:rFonts w:ascii="Times New Roman" w:hAnsi="Times New Roman" w:hint="eastAsia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b/>
          <w:bCs/>
          <w:sz w:val="24"/>
        </w:rPr>
        <w:t xml:space="preserve">Divergence time. </w:t>
      </w:r>
      <w:r>
        <w:rPr>
          <w:rFonts w:ascii="Times New Roman" w:hAnsi="Times New Roman"/>
          <w:sz w:val="24"/>
        </w:rPr>
        <w:t xml:space="preserve">Coal-HMM estimation of divergence time between </w:t>
      </w:r>
      <w:r>
        <w:rPr>
          <w:rFonts w:ascii="Times New Roman" w:hAnsi="Times New Roman"/>
          <w:i/>
          <w:iCs/>
          <w:sz w:val="24"/>
        </w:rPr>
        <w:t xml:space="preserve">H. l. </w:t>
      </w:r>
      <w:proofErr w:type="spellStart"/>
      <w:r>
        <w:rPr>
          <w:rFonts w:ascii="Times New Roman" w:hAnsi="Times New Roman"/>
          <w:i/>
          <w:iCs/>
          <w:sz w:val="24"/>
        </w:rPr>
        <w:t>yunnanensis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 xml:space="preserve">HLA_YP180706006 and HLA_YP180706010. </w:t>
      </w:r>
      <w:r>
        <w:rPr>
          <w:rFonts w:ascii="Times New Roman" w:hAnsi="Times New Roman"/>
          <w:sz w:val="24"/>
        </w:rPr>
        <w:t xml:space="preserve">The vertical lines represent (from left to right): the 2.5% quantile (blue), mode (purple), median (red), </w:t>
      </w:r>
      <w:r>
        <w:rPr>
          <w:rFonts w:ascii="Times New Roman" w:hAnsi="Times New Roman"/>
          <w:sz w:val="24"/>
        </w:rPr>
        <w:lastRenderedPageBreak/>
        <w:t>mean (green), and 97.5% quantile (blue) of the posterior distribution of divergence times.</w:t>
      </w:r>
    </w:p>
    <w:p w14:paraId="2194F9DB" w14:textId="77777777" w:rsidR="0008380F" w:rsidRDefault="0008380F" w:rsidP="0008380F"/>
    <w:p w14:paraId="6E73DAA2" w14:textId="628A91F4" w:rsidR="0008380F" w:rsidRDefault="0008380F" w:rsidP="0008380F">
      <w:r>
        <w:rPr>
          <w:noProof/>
        </w:rPr>
        <w:drawing>
          <wp:inline distT="0" distB="0" distL="0" distR="0" wp14:anchorId="356B3B0D" wp14:editId="4D1966D3">
            <wp:extent cx="5273675" cy="5949950"/>
            <wp:effectExtent l="0" t="0" r="3175" b="0"/>
            <wp:docPr id="11817487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94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75406" w14:textId="193CE0BE" w:rsidR="0008380F" w:rsidRDefault="0008380F" w:rsidP="0008380F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Fig. S</w:t>
      </w:r>
      <w:r>
        <w:rPr>
          <w:rFonts w:ascii="Times New Roman" w:hAnsi="Times New Roman" w:hint="eastAsia"/>
          <w:b/>
          <w:bCs/>
          <w:sz w:val="24"/>
        </w:rPr>
        <w:t>5</w:t>
      </w:r>
      <w:r>
        <w:rPr>
          <w:rFonts w:ascii="Times New Roman" w:hAnsi="Times New Roman"/>
          <w:b/>
          <w:bCs/>
          <w:sz w:val="24"/>
        </w:rPr>
        <w:t xml:space="preserve">. Demographic history of all individual gibbons reconstructed using the </w:t>
      </w:r>
      <w:r>
        <w:rPr>
          <w:rFonts w:ascii="Times New Roman" w:hAnsi="Times New Roman" w:hint="eastAsia"/>
          <w:b/>
          <w:bCs/>
          <w:sz w:val="24"/>
        </w:rPr>
        <w:t>M</w:t>
      </w:r>
      <w:r>
        <w:rPr>
          <w:rFonts w:ascii="Times New Roman" w:hAnsi="Times New Roman"/>
          <w:b/>
          <w:bCs/>
          <w:sz w:val="24"/>
        </w:rPr>
        <w:t>SMC</w:t>
      </w:r>
      <w:r>
        <w:rPr>
          <w:rFonts w:ascii="Times New Roman" w:hAnsi="Times New Roman" w:hint="eastAsia"/>
          <w:b/>
          <w:bCs/>
          <w:sz w:val="24"/>
        </w:rPr>
        <w:t>2</w:t>
      </w:r>
      <w:r>
        <w:rPr>
          <w:rFonts w:ascii="Times New Roman" w:hAnsi="Times New Roman"/>
          <w:b/>
          <w:bCs/>
          <w:sz w:val="24"/>
        </w:rPr>
        <w:t>.</w:t>
      </w:r>
      <w:r>
        <w:t xml:space="preserve"> </w:t>
      </w:r>
      <w:r>
        <w:rPr>
          <w:rFonts w:ascii="Times New Roman" w:hAnsi="Times New Roman"/>
          <w:sz w:val="24"/>
        </w:rPr>
        <w:t>The generation length (g) and the neutral mutation rate per generation (μ) were assumed to be 15 years and 9.16</w:t>
      </w:r>
      <m:oMath>
        <m:r>
          <w:rPr>
            <w:rFonts w:ascii="Cambria Math" w:hAnsi="Cambria Math"/>
          </w:rPr>
          <m:t>×</m:t>
        </m:r>
      </m:oMath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  <w:vertAlign w:val="superscript"/>
        </w:rPr>
        <w:t>-9</w:t>
      </w:r>
      <w:r>
        <w:rPr>
          <w:rFonts w:hint="eastAsia"/>
        </w:rPr>
        <w:t xml:space="preserve">. </w:t>
      </w:r>
      <w:r>
        <w:rPr>
          <w:rFonts w:ascii="Times New Roman" w:hAnsi="Times New Roman"/>
          <w:sz w:val="24"/>
        </w:rPr>
        <w:t xml:space="preserve">The blue dashed box indicates a subset of </w:t>
      </w:r>
      <w:r>
        <w:rPr>
          <w:rFonts w:ascii="Times New Roman" w:hAnsi="Times New Roman"/>
          <w:i/>
          <w:iCs/>
          <w:sz w:val="24"/>
        </w:rPr>
        <w:t>H</w:t>
      </w:r>
      <w:r w:rsidR="002606CA">
        <w:rPr>
          <w:rFonts w:ascii="Times New Roman" w:hAnsi="Times New Roman" w:hint="eastAsia"/>
          <w:i/>
          <w:iCs/>
          <w:sz w:val="24"/>
        </w:rPr>
        <w:t>.</w:t>
      </w:r>
      <w:r>
        <w:rPr>
          <w:rFonts w:ascii="Times New Roman" w:hAnsi="Times New Roman"/>
          <w:i/>
          <w:iCs/>
          <w:sz w:val="24"/>
        </w:rPr>
        <w:t xml:space="preserve"> lar</w:t>
      </w:r>
      <w:r>
        <w:rPr>
          <w:rFonts w:ascii="Times New Roman" w:hAnsi="Times New Roman"/>
          <w:sz w:val="24"/>
        </w:rPr>
        <w:t xml:space="preserve"> individuals that exhibit evidence of mild population expansion.</w:t>
      </w:r>
    </w:p>
    <w:p w14:paraId="699A49CB" w14:textId="3F4B481D" w:rsidR="0008380F" w:rsidRDefault="0008380F" w:rsidP="0008380F">
      <w:r>
        <w:rPr>
          <w:noProof/>
        </w:rPr>
        <w:lastRenderedPageBreak/>
        <w:drawing>
          <wp:inline distT="0" distB="0" distL="0" distR="0" wp14:anchorId="32CCC965" wp14:editId="2417C773">
            <wp:extent cx="5273675" cy="6858000"/>
            <wp:effectExtent l="0" t="0" r="3175" b="0"/>
            <wp:docPr id="117282757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32A12" w14:textId="77777777" w:rsidR="0008380F" w:rsidRDefault="0008380F" w:rsidP="0008380F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Fig. S</w:t>
      </w:r>
      <w:r>
        <w:rPr>
          <w:rFonts w:ascii="Times New Roman" w:hAnsi="Times New Roman" w:hint="eastAsia"/>
          <w:b/>
          <w:bCs/>
          <w:sz w:val="24"/>
        </w:rPr>
        <w:t>6</w:t>
      </w:r>
      <w:r>
        <w:rPr>
          <w:rFonts w:ascii="Times New Roman" w:hAnsi="Times New Roman"/>
          <w:b/>
          <w:bCs/>
          <w:sz w:val="24"/>
        </w:rPr>
        <w:t>. Genome-wide distributions of heterozygosity in all individuals.</w:t>
      </w:r>
      <w:r>
        <w:t xml:space="preserve"> </w:t>
      </w:r>
      <w:r>
        <w:rPr>
          <w:rFonts w:ascii="Times New Roman" w:hAnsi="Times New Roman"/>
          <w:sz w:val="24"/>
        </w:rPr>
        <w:t>In each panel: left, example bar plots showing heterozygosity in non-overlapping 1 Mb windows across the autosomal genome; right, histograms of per-window heterozygosity.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Subspecies identities for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H. lar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specimens are provided in Additional file 2: Tables S3 and S4, where individuals labeled as "</w:t>
      </w:r>
      <w:r>
        <w:rPr>
          <w:rFonts w:ascii="Times New Roman" w:hAnsi="Times New Roman"/>
          <w:i/>
          <w:iCs/>
          <w:sz w:val="24"/>
        </w:rPr>
        <w:t>H. lar</w:t>
      </w:r>
      <w:r>
        <w:rPr>
          <w:rFonts w:ascii="Times New Roman" w:hAnsi="Times New Roman"/>
          <w:sz w:val="24"/>
        </w:rPr>
        <w:t xml:space="preserve">" indicate uncertain subspecies identity, </w:t>
      </w:r>
      <w:r>
        <w:rPr>
          <w:rFonts w:ascii="Times New Roman" w:hAnsi="Times New Roman"/>
          <w:sz w:val="24"/>
        </w:rPr>
        <w:lastRenderedPageBreak/>
        <w:t>while specific subspecies names denote confirmed taxonomic assignments.</w:t>
      </w:r>
    </w:p>
    <w:p w14:paraId="435AD0FC" w14:textId="77777777" w:rsidR="0008380F" w:rsidRDefault="0008380F" w:rsidP="0008380F"/>
    <w:p w14:paraId="2344D42F" w14:textId="4D2EE6C2" w:rsidR="0008380F" w:rsidRDefault="0008380F" w:rsidP="0008380F">
      <w:r>
        <w:rPr>
          <w:noProof/>
        </w:rPr>
        <w:drawing>
          <wp:inline distT="0" distB="0" distL="0" distR="0" wp14:anchorId="14FFB3CF" wp14:editId="18777B71">
            <wp:extent cx="5274310" cy="1838325"/>
            <wp:effectExtent l="0" t="0" r="2540" b="9525"/>
            <wp:docPr id="3719098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A606AFA" w14:textId="77777777" w:rsidR="0008380F" w:rsidRDefault="0008380F" w:rsidP="0008380F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Fig.</w:t>
      </w:r>
      <w:r>
        <w:rPr>
          <w:rFonts w:ascii="Times New Roman" w:hAnsi="Times New Roman" w:hint="eastAsia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S</w:t>
      </w:r>
      <w:r>
        <w:rPr>
          <w:rFonts w:ascii="Times New Roman" w:hAnsi="Times New Roman" w:hint="eastAsia"/>
          <w:b/>
          <w:bCs/>
          <w:sz w:val="24"/>
        </w:rPr>
        <w:t>7</w:t>
      </w:r>
      <w:r>
        <w:rPr>
          <w:rFonts w:ascii="Times New Roman" w:hAnsi="Times New Roman"/>
          <w:b/>
          <w:bCs/>
          <w:sz w:val="24"/>
        </w:rPr>
        <w:t>. Linear model based on the mutations load and heterozygosity</w:t>
      </w:r>
      <w:r>
        <w:rPr>
          <w:rFonts w:ascii="Times New Roman" w:hAnsi="Times New Roman" w:hint="eastAsia"/>
          <w:b/>
          <w:bCs/>
          <w:sz w:val="24"/>
        </w:rPr>
        <w:t xml:space="preserve"> (a)</w:t>
      </w:r>
      <w:r>
        <w:rPr>
          <w:rFonts w:hint="eastAsia"/>
          <w:b/>
          <w:bCs/>
        </w:rPr>
        <w:t xml:space="preserve"> </w:t>
      </w:r>
      <w:r>
        <w:rPr>
          <w:rFonts w:ascii="Times New Roman" w:hAnsi="Times New Roman"/>
          <w:b/>
          <w:bCs/>
          <w:sz w:val="24"/>
        </w:rPr>
        <w:t>as well as the Runs of Homozygosity (ROH) (</w:t>
      </w:r>
      <w:r>
        <w:rPr>
          <w:rFonts w:ascii="Times New Roman" w:hAnsi="Times New Roman" w:hint="eastAsia"/>
          <w:b/>
          <w:bCs/>
          <w:sz w:val="24"/>
        </w:rPr>
        <w:t>b</w:t>
      </w:r>
      <w:r>
        <w:rPr>
          <w:rFonts w:ascii="Times New Roman" w:hAnsi="Times New Roman"/>
          <w:b/>
          <w:bCs/>
          <w:sz w:val="24"/>
        </w:rPr>
        <w:t xml:space="preserve">), for all 21 gibbon individuals was analyzed. </w:t>
      </w:r>
      <w:r>
        <w:rPr>
          <w:rFonts w:ascii="Times New Roman" w:hAnsi="Times New Roman"/>
          <w:sz w:val="24"/>
        </w:rPr>
        <w:t>The R-squared value and the p-value indicate a significant negative correlation between mutations load and heterozygosity, while no significant correlation was observed with ROH.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Colors represent different species/lineages: red -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 xml:space="preserve">H. </w:t>
      </w:r>
      <w:proofErr w:type="spellStart"/>
      <w:r>
        <w:rPr>
          <w:rFonts w:ascii="Times New Roman" w:hAnsi="Times New Roman"/>
          <w:i/>
          <w:iCs/>
          <w:sz w:val="24"/>
        </w:rPr>
        <w:t>pileatus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(HPI_Genome2, </w:t>
      </w:r>
      <w:proofErr w:type="spellStart"/>
      <w:r>
        <w:rPr>
          <w:rFonts w:ascii="Times New Roman" w:hAnsi="Times New Roman"/>
          <w:sz w:val="24"/>
        </w:rPr>
        <w:t>HPI_Genome</w:t>
      </w:r>
      <w:proofErr w:type="spellEnd"/>
      <w:r>
        <w:rPr>
          <w:rFonts w:ascii="Times New Roman" w:hAnsi="Times New Roman"/>
          <w:sz w:val="24"/>
        </w:rPr>
        <w:t>, HPI_SRS634441, HPI_YP180706001, HPI_HL006); black -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 xml:space="preserve">H. </w:t>
      </w:r>
      <w:proofErr w:type="spellStart"/>
      <w:r>
        <w:rPr>
          <w:rFonts w:ascii="Times New Roman" w:hAnsi="Times New Roman"/>
          <w:i/>
          <w:iCs/>
          <w:sz w:val="24"/>
        </w:rPr>
        <w:t>klossii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(HKL_YP180706008); green -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H. moloch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(HMO_SRS496869, HMO_SRS5353031, HMO_YP180706003); yellow -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 xml:space="preserve">H. l. </w:t>
      </w:r>
      <w:proofErr w:type="spellStart"/>
      <w:r>
        <w:rPr>
          <w:rFonts w:ascii="Times New Roman" w:hAnsi="Times New Roman"/>
          <w:i/>
          <w:iCs/>
          <w:sz w:val="24"/>
        </w:rPr>
        <w:t>yunnanensis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(HLA_Yunnan146, HLA_Yunnan147, HLA_Yunnan148); purple -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H. agilis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(HAG_YP180706004); orange</w:t>
      </w:r>
      <w:r>
        <w:rPr>
          <w:rFonts w:ascii="Times New Roman" w:hAnsi="Times New Roman" w:hint="eastAsia"/>
          <w:sz w:val="24"/>
        </w:rPr>
        <w:t xml:space="preserve"> - </w:t>
      </w:r>
      <w:r>
        <w:rPr>
          <w:rFonts w:ascii="Times New Roman" w:hAnsi="Times New Roman"/>
          <w:i/>
          <w:iCs/>
          <w:sz w:val="24"/>
        </w:rPr>
        <w:t>H. lar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of uncertain subspecies (HLA_YP180706005, HLA_YP180706006, HLA_YP180706010, HLA_SRS5353028); blue - Bornean gibbons (HMU_YP180706009, HMU_SRS5353035, HAB_B1058, HFU_YP180706002).</w:t>
      </w:r>
    </w:p>
    <w:p w14:paraId="159BA466" w14:textId="77777777" w:rsidR="0008380F" w:rsidRDefault="0008380F" w:rsidP="0008380F"/>
    <w:p w14:paraId="579520CB" w14:textId="6ED77F41" w:rsidR="0008380F" w:rsidRDefault="0008380F" w:rsidP="00665A69">
      <w:pPr>
        <w:jc w:val="left"/>
      </w:pPr>
      <w:r>
        <w:rPr>
          <w:noProof/>
        </w:rPr>
        <w:lastRenderedPageBreak/>
        <w:drawing>
          <wp:inline distT="0" distB="0" distL="0" distR="0" wp14:anchorId="3A378E1C" wp14:editId="73DC19BF">
            <wp:extent cx="5496082" cy="3257550"/>
            <wp:effectExtent l="0" t="0" r="9525" b="0"/>
            <wp:docPr id="135468239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33" cy="325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2C06A" w14:textId="7960073F" w:rsidR="0008380F" w:rsidRDefault="0008380F" w:rsidP="0008380F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Fig.</w:t>
      </w:r>
      <w:r>
        <w:rPr>
          <w:rFonts w:ascii="Times New Roman" w:hAnsi="Times New Roman" w:hint="eastAsia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S</w:t>
      </w:r>
      <w:r>
        <w:rPr>
          <w:rFonts w:ascii="Times New Roman" w:hAnsi="Times New Roman" w:hint="eastAsia"/>
          <w:b/>
          <w:bCs/>
          <w:sz w:val="24"/>
        </w:rPr>
        <w:t>8</w:t>
      </w:r>
      <w:r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 w:hint="eastAsia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Demographic models and corresponding distributions of window-based heterozygosity under six simulation scenarios.</w:t>
      </w:r>
      <w:r>
        <w:rPr>
          <w:rFonts w:ascii="Times New Roman" w:hAnsi="Times New Roman" w:hint="eastAsia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Panels a–f each show (left) the demographic model used in the simulation and (right) the resulting frequency distribution of heterozygosity across non-overlapping </w:t>
      </w:r>
      <w:r>
        <w:rPr>
          <w:rFonts w:ascii="Times New Roman" w:hAnsi="Times New Roman" w:hint="eastAsia"/>
          <w:sz w:val="24"/>
        </w:rPr>
        <w:t>1 Mb</w:t>
      </w:r>
      <w:r>
        <w:rPr>
          <w:rFonts w:ascii="Times New Roman" w:hAnsi="Times New Roman"/>
          <w:sz w:val="24"/>
        </w:rPr>
        <w:t xml:space="preserve"> windows.</w:t>
      </w:r>
      <w:r>
        <w:rPr>
          <w:rFonts w:ascii="Times New Roman" w:hAnsi="Times New Roman" w:hint="eastAsia"/>
          <w:sz w:val="24"/>
        </w:rPr>
        <w:t xml:space="preserve"> </w:t>
      </w:r>
      <w:r w:rsidRPr="000A53BE">
        <w:rPr>
          <w:rFonts w:ascii="Times New Roman" w:hAnsi="Times New Roman" w:hint="eastAsia"/>
          <w:b/>
          <w:bCs/>
          <w:sz w:val="24"/>
        </w:rPr>
        <w:t>a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bottleneck </w:t>
      </w:r>
      <w:r w:rsidR="000A53BE">
        <w:rPr>
          <w:rFonts w:ascii="Times New Roman" w:hAnsi="Times New Roman" w:hint="eastAsia"/>
          <w:sz w:val="24"/>
        </w:rPr>
        <w:t>~</w:t>
      </w:r>
      <w:r>
        <w:rPr>
          <w:rFonts w:ascii="Times New Roman" w:hAnsi="Times New Roman"/>
          <w:sz w:val="24"/>
        </w:rPr>
        <w:t>100 years ago with no subsequent subdivision;</w:t>
      </w:r>
      <w:r>
        <w:rPr>
          <w:rFonts w:ascii="Times New Roman" w:hAnsi="Times New Roman" w:hint="eastAsia"/>
          <w:sz w:val="24"/>
        </w:rPr>
        <w:t xml:space="preserve"> </w:t>
      </w:r>
      <w:r w:rsidRPr="000A53BE">
        <w:rPr>
          <w:rFonts w:ascii="Times New Roman" w:hAnsi="Times New Roman"/>
          <w:b/>
          <w:bCs/>
          <w:sz w:val="24"/>
        </w:rPr>
        <w:t>b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bottleneck </w:t>
      </w:r>
      <w:r w:rsidR="000A53BE">
        <w:rPr>
          <w:rFonts w:ascii="Times New Roman" w:hAnsi="Times New Roman" w:hint="eastAsia"/>
          <w:sz w:val="24"/>
        </w:rPr>
        <w:t>~</w:t>
      </w:r>
      <w:r>
        <w:rPr>
          <w:rFonts w:ascii="Times New Roman" w:hAnsi="Times New Roman"/>
          <w:sz w:val="24"/>
        </w:rPr>
        <w:t>100 years ago followed by subdivision into four subpopulations;</w:t>
      </w:r>
      <w:r>
        <w:rPr>
          <w:rFonts w:ascii="Times New Roman" w:hAnsi="Times New Roman" w:hint="eastAsia"/>
          <w:sz w:val="24"/>
        </w:rPr>
        <w:t xml:space="preserve"> </w:t>
      </w:r>
      <w:r w:rsidRPr="000A53BE">
        <w:rPr>
          <w:rFonts w:ascii="Times New Roman" w:hAnsi="Times New Roman"/>
          <w:b/>
          <w:bCs/>
          <w:sz w:val="24"/>
        </w:rPr>
        <w:t>c</w:t>
      </w:r>
      <w:r>
        <w:rPr>
          <w:rFonts w:ascii="Times New Roman" w:hAnsi="Times New Roman"/>
          <w:sz w:val="24"/>
        </w:rPr>
        <w:t xml:space="preserve"> bottleneck </w:t>
      </w:r>
      <w:r w:rsidR="000A53BE">
        <w:rPr>
          <w:rFonts w:ascii="Times New Roman" w:hAnsi="Times New Roman" w:hint="eastAsia"/>
          <w:sz w:val="24"/>
        </w:rPr>
        <w:t>~</w:t>
      </w:r>
      <w:r>
        <w:rPr>
          <w:rFonts w:ascii="Times New Roman" w:hAnsi="Times New Roman"/>
          <w:sz w:val="24"/>
        </w:rPr>
        <w:t>100 years ago followed by subdivision into ten subpopulations;</w:t>
      </w:r>
      <w:r>
        <w:rPr>
          <w:rFonts w:ascii="Times New Roman" w:hAnsi="Times New Roman" w:hint="eastAsia"/>
          <w:sz w:val="24"/>
        </w:rPr>
        <w:t xml:space="preserve"> </w:t>
      </w:r>
      <w:r w:rsidRPr="000A53BE">
        <w:rPr>
          <w:rFonts w:ascii="Times New Roman" w:hAnsi="Times New Roman"/>
          <w:b/>
          <w:bCs/>
          <w:sz w:val="24"/>
        </w:rPr>
        <w:t>d</w:t>
      </w:r>
      <w:r>
        <w:rPr>
          <w:rFonts w:ascii="Times New Roman" w:hAnsi="Times New Roman"/>
          <w:sz w:val="24"/>
        </w:rPr>
        <w:t xml:space="preserve"> bottleneck </w:t>
      </w:r>
      <w:r w:rsidR="000A53BE">
        <w:rPr>
          <w:rFonts w:ascii="Times New Roman" w:hAnsi="Times New Roman" w:hint="eastAsia"/>
          <w:sz w:val="24"/>
        </w:rPr>
        <w:t>~</w:t>
      </w:r>
      <w:r>
        <w:rPr>
          <w:rFonts w:ascii="Times New Roman" w:hAnsi="Times New Roman"/>
          <w:sz w:val="24"/>
        </w:rPr>
        <w:t>1,000 years ago with four subpopulations;</w:t>
      </w:r>
      <w:r>
        <w:rPr>
          <w:rFonts w:ascii="Times New Roman" w:hAnsi="Times New Roman" w:hint="eastAsia"/>
          <w:sz w:val="24"/>
        </w:rPr>
        <w:t xml:space="preserve"> </w:t>
      </w:r>
      <w:r w:rsidRPr="000A53BE">
        <w:rPr>
          <w:rFonts w:ascii="Times New Roman" w:hAnsi="Times New Roman"/>
          <w:b/>
          <w:bCs/>
          <w:sz w:val="24"/>
        </w:rPr>
        <w:t>e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bottleneck </w:t>
      </w:r>
      <w:r w:rsidR="000A53BE">
        <w:rPr>
          <w:rFonts w:ascii="Times New Roman" w:hAnsi="Times New Roman" w:hint="eastAsia"/>
          <w:sz w:val="24"/>
        </w:rPr>
        <w:t>~</w:t>
      </w:r>
      <w:r>
        <w:rPr>
          <w:rFonts w:ascii="Times New Roman" w:hAnsi="Times New Roman"/>
          <w:sz w:val="24"/>
        </w:rPr>
        <w:t>2,000 years ago with four subpopulations;</w:t>
      </w:r>
      <w:r>
        <w:rPr>
          <w:rFonts w:ascii="Times New Roman" w:hAnsi="Times New Roman" w:hint="eastAsia"/>
          <w:sz w:val="24"/>
        </w:rPr>
        <w:t xml:space="preserve"> </w:t>
      </w:r>
      <w:r w:rsidRPr="000A53BE">
        <w:rPr>
          <w:rFonts w:ascii="Times New Roman" w:hAnsi="Times New Roman"/>
          <w:b/>
          <w:bCs/>
          <w:sz w:val="24"/>
        </w:rPr>
        <w:t>f</w:t>
      </w:r>
      <w:r>
        <w:rPr>
          <w:rFonts w:ascii="Times New Roman" w:hAnsi="Times New Roman"/>
          <w:sz w:val="24"/>
        </w:rPr>
        <w:t xml:space="preserve"> bottleneck </w:t>
      </w:r>
      <w:r w:rsidR="000A53BE">
        <w:rPr>
          <w:rFonts w:ascii="Times New Roman" w:hAnsi="Times New Roman" w:hint="eastAsia"/>
          <w:sz w:val="24"/>
        </w:rPr>
        <w:t>~</w:t>
      </w:r>
      <w:r>
        <w:rPr>
          <w:rFonts w:ascii="Times New Roman" w:hAnsi="Times New Roman"/>
          <w:sz w:val="24"/>
        </w:rPr>
        <w:t>3,000 years ago with four subpopulations.</w:t>
      </w:r>
    </w:p>
    <w:p w14:paraId="08409177" w14:textId="77777777" w:rsidR="0008380F" w:rsidRPr="0008380F" w:rsidRDefault="0008380F" w:rsidP="0008380F"/>
    <w:sectPr w:rsidR="0008380F" w:rsidRPr="0008380F" w:rsidSect="00962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A1274" w14:textId="77777777" w:rsidR="00F351EF" w:rsidRDefault="00F351EF" w:rsidP="0030242F">
      <w:r>
        <w:separator/>
      </w:r>
    </w:p>
  </w:endnote>
  <w:endnote w:type="continuationSeparator" w:id="0">
    <w:p w14:paraId="272AC4D4" w14:textId="77777777" w:rsidR="00F351EF" w:rsidRDefault="00F351EF" w:rsidP="0030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5166C" w14:textId="77777777" w:rsidR="00F351EF" w:rsidRDefault="00F351EF" w:rsidP="0030242F">
      <w:r>
        <w:separator/>
      </w:r>
    </w:p>
  </w:footnote>
  <w:footnote w:type="continuationSeparator" w:id="0">
    <w:p w14:paraId="23B5B712" w14:textId="77777777" w:rsidR="00F351EF" w:rsidRDefault="00F351EF" w:rsidP="003024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4C8"/>
    <w:rsid w:val="0008380F"/>
    <w:rsid w:val="0009467E"/>
    <w:rsid w:val="000A53BE"/>
    <w:rsid w:val="001F3398"/>
    <w:rsid w:val="002606CA"/>
    <w:rsid w:val="002C673A"/>
    <w:rsid w:val="0030242F"/>
    <w:rsid w:val="003B3C6D"/>
    <w:rsid w:val="005A34A8"/>
    <w:rsid w:val="00665A69"/>
    <w:rsid w:val="006A7974"/>
    <w:rsid w:val="00893FB7"/>
    <w:rsid w:val="009627F0"/>
    <w:rsid w:val="009D155A"/>
    <w:rsid w:val="009F3EC6"/>
    <w:rsid w:val="00D36DCA"/>
    <w:rsid w:val="00DB532F"/>
    <w:rsid w:val="00F351EF"/>
    <w:rsid w:val="00F4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4647AB"/>
  <w15:chartTrackingRefBased/>
  <w15:docId w15:val="{680E29F5-658F-403A-A5BD-217CF8D7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42F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444C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4C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4C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4C8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4C8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4C8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4C8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4C8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4C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4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444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44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44C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44C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444C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44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44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44C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444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44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44C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444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44C8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444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44C8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F444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44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444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444C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0242F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30242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0242F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30242F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302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</Pages>
  <Words>488</Words>
  <Characters>3063</Characters>
  <Application>Microsoft Office Word</Application>
  <DocSecurity>0</DocSecurity>
  <Lines>63</Lines>
  <Paragraphs>10</Paragraphs>
  <ScaleCrop>false</ScaleCrop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阿云 骆</cp:lastModifiedBy>
  <cp:revision>6</cp:revision>
  <dcterms:created xsi:type="dcterms:W3CDTF">2025-12-21T11:15:00Z</dcterms:created>
  <dcterms:modified xsi:type="dcterms:W3CDTF">2026-03-18T11:10:00Z</dcterms:modified>
</cp:coreProperties>
</file>