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b w:val="0"/>
          <w:bCs w:val="0"/>
          <w:color w:val="auto"/>
          <w:kern w:val="2"/>
          <w:sz w:val="20"/>
          <w:szCs w:val="20"/>
          <w:lang w:eastAsia="zh-CN"/>
          <w14:ligatures w14:val="standardContextual"/>
        </w:rPr>
        <w:id w:val="273449217"/>
        <w:docPartObj>
          <w:docPartGallery w:val="Table of Contents"/>
          <w:docPartUnique/>
        </w:docPartObj>
      </w:sdtPr>
      <w:sdtEndPr>
        <w:rPr>
          <w:noProof/>
        </w:rPr>
      </w:sdtEndPr>
      <w:sdtContent>
        <w:p w14:paraId="37B58719" w14:textId="4790C15F" w:rsidR="00A15E50" w:rsidRPr="002C7317" w:rsidRDefault="00A15E50" w:rsidP="00CB72D3">
          <w:pPr>
            <w:pStyle w:val="TOCHeading"/>
            <w:jc w:val="center"/>
            <w:rPr>
              <w:rFonts w:ascii="Arial" w:eastAsiaTheme="minorEastAsia" w:hAnsi="Arial" w:cs="Arial"/>
              <w:b w:val="0"/>
              <w:bCs w:val="0"/>
              <w:color w:val="auto"/>
              <w:kern w:val="2"/>
              <w:lang w:eastAsia="zh-CN"/>
              <w14:ligatures w14:val="standardContextual"/>
            </w:rPr>
          </w:pPr>
          <w:r w:rsidRPr="002C7317">
            <w:rPr>
              <w:rFonts w:ascii="Arial" w:hAnsi="Arial" w:cs="Arial"/>
              <w:b w:val="0"/>
              <w:bCs w:val="0"/>
            </w:rPr>
            <w:t>Table of Contents</w:t>
          </w:r>
        </w:p>
        <w:p w14:paraId="391B94E6" w14:textId="4BCD1168" w:rsidR="004E750C" w:rsidRDefault="00B70500">
          <w:pPr>
            <w:pStyle w:val="TOC1"/>
            <w:tabs>
              <w:tab w:val="right" w:leader="dot" w:pos="10790"/>
            </w:tabs>
            <w:rPr>
              <w:b w:val="0"/>
              <w:bCs w:val="0"/>
              <w:i w:val="0"/>
              <w:iCs w:val="0"/>
              <w:noProof/>
            </w:rPr>
          </w:pPr>
          <w:r w:rsidRPr="00292F79">
            <w:rPr>
              <w:rFonts w:ascii="Arial" w:hAnsi="Arial" w:cs="Arial"/>
              <w:b w:val="0"/>
              <w:bCs w:val="0"/>
              <w:i w:val="0"/>
              <w:iCs w:val="0"/>
              <w:sz w:val="22"/>
              <w:szCs w:val="22"/>
            </w:rPr>
            <w:fldChar w:fldCharType="begin"/>
          </w:r>
          <w:r w:rsidRPr="00292F79">
            <w:rPr>
              <w:rFonts w:ascii="Arial" w:hAnsi="Arial" w:cs="Arial"/>
              <w:b w:val="0"/>
              <w:bCs w:val="0"/>
              <w:i w:val="0"/>
              <w:iCs w:val="0"/>
              <w:sz w:val="22"/>
              <w:szCs w:val="22"/>
            </w:rPr>
            <w:instrText xml:space="preserve"> TOC \o "1-3" \h \z \u </w:instrText>
          </w:r>
          <w:r w:rsidRPr="00292F79">
            <w:rPr>
              <w:rFonts w:ascii="Arial" w:hAnsi="Arial" w:cs="Arial"/>
              <w:b w:val="0"/>
              <w:bCs w:val="0"/>
              <w:i w:val="0"/>
              <w:iCs w:val="0"/>
              <w:sz w:val="22"/>
              <w:szCs w:val="22"/>
            </w:rPr>
            <w:fldChar w:fldCharType="separate"/>
          </w:r>
          <w:hyperlink w:anchor="_Toc221608496" w:history="1">
            <w:r w:rsidR="004E750C" w:rsidRPr="004D20BF">
              <w:rPr>
                <w:rStyle w:val="Hyperlink"/>
                <w:rFonts w:ascii="Arial" w:hAnsi="Arial" w:cs="Arial"/>
                <w:noProof/>
              </w:rPr>
              <w:t>Supplemental Figure 1 – Metadata for integrated multiomic atlas</w:t>
            </w:r>
            <w:r w:rsidR="004E750C">
              <w:rPr>
                <w:noProof/>
                <w:webHidden/>
              </w:rPr>
              <w:tab/>
            </w:r>
            <w:r w:rsidR="004E750C">
              <w:rPr>
                <w:noProof/>
                <w:webHidden/>
              </w:rPr>
              <w:fldChar w:fldCharType="begin"/>
            </w:r>
            <w:r w:rsidR="004E750C">
              <w:rPr>
                <w:noProof/>
                <w:webHidden/>
              </w:rPr>
              <w:instrText xml:space="preserve"> PAGEREF _Toc221608496 \h </w:instrText>
            </w:r>
            <w:r w:rsidR="004E750C">
              <w:rPr>
                <w:noProof/>
                <w:webHidden/>
              </w:rPr>
            </w:r>
            <w:r w:rsidR="004E750C">
              <w:rPr>
                <w:noProof/>
                <w:webHidden/>
              </w:rPr>
              <w:fldChar w:fldCharType="separate"/>
            </w:r>
            <w:r w:rsidR="004E750C">
              <w:rPr>
                <w:noProof/>
                <w:webHidden/>
              </w:rPr>
              <w:t>3</w:t>
            </w:r>
            <w:r w:rsidR="004E750C">
              <w:rPr>
                <w:noProof/>
                <w:webHidden/>
              </w:rPr>
              <w:fldChar w:fldCharType="end"/>
            </w:r>
          </w:hyperlink>
        </w:p>
        <w:p w14:paraId="722C105F" w14:textId="46FDC05D" w:rsidR="004E750C" w:rsidRDefault="004E750C">
          <w:pPr>
            <w:pStyle w:val="TOC1"/>
            <w:tabs>
              <w:tab w:val="right" w:leader="dot" w:pos="10790"/>
            </w:tabs>
            <w:rPr>
              <w:b w:val="0"/>
              <w:bCs w:val="0"/>
              <w:i w:val="0"/>
              <w:iCs w:val="0"/>
              <w:noProof/>
            </w:rPr>
          </w:pPr>
          <w:hyperlink w:anchor="_Toc221608497" w:history="1">
            <w:r w:rsidRPr="004D20BF">
              <w:rPr>
                <w:rStyle w:val="Hyperlink"/>
                <w:rFonts w:ascii="Arial" w:hAnsi="Arial" w:cs="Arial"/>
                <w:noProof/>
              </w:rPr>
              <w:t>Supplemental Figure 2 – Single-nucleus RNA-seq dataset of human cardiac development and aging generated in this study (Penn)</w:t>
            </w:r>
            <w:r>
              <w:rPr>
                <w:noProof/>
                <w:webHidden/>
              </w:rPr>
              <w:tab/>
            </w:r>
            <w:r>
              <w:rPr>
                <w:noProof/>
                <w:webHidden/>
              </w:rPr>
              <w:fldChar w:fldCharType="begin"/>
            </w:r>
            <w:r>
              <w:rPr>
                <w:noProof/>
                <w:webHidden/>
              </w:rPr>
              <w:instrText xml:space="preserve"> PAGEREF _Toc221608497 \h </w:instrText>
            </w:r>
            <w:r>
              <w:rPr>
                <w:noProof/>
                <w:webHidden/>
              </w:rPr>
            </w:r>
            <w:r>
              <w:rPr>
                <w:noProof/>
                <w:webHidden/>
              </w:rPr>
              <w:fldChar w:fldCharType="separate"/>
            </w:r>
            <w:r>
              <w:rPr>
                <w:noProof/>
                <w:webHidden/>
              </w:rPr>
              <w:t>4</w:t>
            </w:r>
            <w:r>
              <w:rPr>
                <w:noProof/>
                <w:webHidden/>
              </w:rPr>
              <w:fldChar w:fldCharType="end"/>
            </w:r>
          </w:hyperlink>
        </w:p>
        <w:p w14:paraId="1F7CFE08" w14:textId="4097DD79" w:rsidR="004E750C" w:rsidRDefault="004E750C">
          <w:pPr>
            <w:pStyle w:val="TOC1"/>
            <w:tabs>
              <w:tab w:val="right" w:leader="dot" w:pos="10790"/>
            </w:tabs>
            <w:rPr>
              <w:b w:val="0"/>
              <w:bCs w:val="0"/>
              <w:i w:val="0"/>
              <w:iCs w:val="0"/>
              <w:noProof/>
            </w:rPr>
          </w:pPr>
          <w:hyperlink w:anchor="_Toc221608498" w:history="1">
            <w:r w:rsidRPr="004D20BF">
              <w:rPr>
                <w:rStyle w:val="Hyperlink"/>
                <w:rFonts w:ascii="Arial" w:hAnsi="Arial" w:cs="Arial"/>
                <w:noProof/>
              </w:rPr>
              <w:t>Supplemental Figure 3 – Benchmarking of snRNA-seq integration methods and scVI annotation</w:t>
            </w:r>
            <w:r>
              <w:rPr>
                <w:noProof/>
                <w:webHidden/>
              </w:rPr>
              <w:tab/>
            </w:r>
            <w:r>
              <w:rPr>
                <w:noProof/>
                <w:webHidden/>
              </w:rPr>
              <w:fldChar w:fldCharType="begin"/>
            </w:r>
            <w:r>
              <w:rPr>
                <w:noProof/>
                <w:webHidden/>
              </w:rPr>
              <w:instrText xml:space="preserve"> PAGEREF _Toc221608498 \h </w:instrText>
            </w:r>
            <w:r>
              <w:rPr>
                <w:noProof/>
                <w:webHidden/>
              </w:rPr>
            </w:r>
            <w:r>
              <w:rPr>
                <w:noProof/>
                <w:webHidden/>
              </w:rPr>
              <w:fldChar w:fldCharType="separate"/>
            </w:r>
            <w:r>
              <w:rPr>
                <w:noProof/>
                <w:webHidden/>
              </w:rPr>
              <w:t>6</w:t>
            </w:r>
            <w:r>
              <w:rPr>
                <w:noProof/>
                <w:webHidden/>
              </w:rPr>
              <w:fldChar w:fldCharType="end"/>
            </w:r>
          </w:hyperlink>
        </w:p>
        <w:p w14:paraId="192A3394" w14:textId="444B37DB" w:rsidR="004E750C" w:rsidRDefault="004E750C">
          <w:pPr>
            <w:pStyle w:val="TOC1"/>
            <w:tabs>
              <w:tab w:val="right" w:leader="dot" w:pos="10790"/>
            </w:tabs>
            <w:rPr>
              <w:b w:val="0"/>
              <w:bCs w:val="0"/>
              <w:i w:val="0"/>
              <w:iCs w:val="0"/>
              <w:noProof/>
            </w:rPr>
          </w:pPr>
          <w:hyperlink w:anchor="_Toc221608499" w:history="1">
            <w:r w:rsidRPr="004D20BF">
              <w:rPr>
                <w:rStyle w:val="Hyperlink"/>
                <w:rFonts w:ascii="Arial" w:hAnsi="Arial" w:cs="Arial"/>
                <w:noProof/>
              </w:rPr>
              <w:t>Supplemental Figure 4 – snRNA-seq subclustering analysis</w:t>
            </w:r>
            <w:r>
              <w:rPr>
                <w:noProof/>
                <w:webHidden/>
              </w:rPr>
              <w:tab/>
            </w:r>
            <w:r>
              <w:rPr>
                <w:noProof/>
                <w:webHidden/>
              </w:rPr>
              <w:fldChar w:fldCharType="begin"/>
            </w:r>
            <w:r>
              <w:rPr>
                <w:noProof/>
                <w:webHidden/>
              </w:rPr>
              <w:instrText xml:space="preserve"> PAGEREF _Toc221608499 \h </w:instrText>
            </w:r>
            <w:r>
              <w:rPr>
                <w:noProof/>
                <w:webHidden/>
              </w:rPr>
            </w:r>
            <w:r>
              <w:rPr>
                <w:noProof/>
                <w:webHidden/>
              </w:rPr>
              <w:fldChar w:fldCharType="separate"/>
            </w:r>
            <w:r>
              <w:rPr>
                <w:noProof/>
                <w:webHidden/>
              </w:rPr>
              <w:t>10</w:t>
            </w:r>
            <w:r>
              <w:rPr>
                <w:noProof/>
                <w:webHidden/>
              </w:rPr>
              <w:fldChar w:fldCharType="end"/>
            </w:r>
          </w:hyperlink>
        </w:p>
        <w:p w14:paraId="030970DD" w14:textId="6F9C414C" w:rsidR="004E750C" w:rsidRDefault="004E750C">
          <w:pPr>
            <w:pStyle w:val="TOC1"/>
            <w:tabs>
              <w:tab w:val="right" w:leader="dot" w:pos="10790"/>
            </w:tabs>
            <w:rPr>
              <w:b w:val="0"/>
              <w:bCs w:val="0"/>
              <w:i w:val="0"/>
              <w:iCs w:val="0"/>
              <w:noProof/>
            </w:rPr>
          </w:pPr>
          <w:hyperlink w:anchor="_Toc221608500" w:history="1">
            <w:r w:rsidRPr="004D20BF">
              <w:rPr>
                <w:rStyle w:val="Hyperlink"/>
                <w:rFonts w:ascii="Arial" w:hAnsi="Arial" w:cs="Arial"/>
                <w:noProof/>
              </w:rPr>
              <w:t>Supplemental Figure 5 – Single-nucleus ATAC-seq dataset of human cardiac development and aging generated in this study (Penn)</w:t>
            </w:r>
            <w:r>
              <w:rPr>
                <w:noProof/>
                <w:webHidden/>
              </w:rPr>
              <w:tab/>
            </w:r>
            <w:r>
              <w:rPr>
                <w:noProof/>
                <w:webHidden/>
              </w:rPr>
              <w:fldChar w:fldCharType="begin"/>
            </w:r>
            <w:r>
              <w:rPr>
                <w:noProof/>
                <w:webHidden/>
              </w:rPr>
              <w:instrText xml:space="preserve"> PAGEREF _Toc221608500 \h </w:instrText>
            </w:r>
            <w:r>
              <w:rPr>
                <w:noProof/>
                <w:webHidden/>
              </w:rPr>
            </w:r>
            <w:r>
              <w:rPr>
                <w:noProof/>
                <w:webHidden/>
              </w:rPr>
              <w:fldChar w:fldCharType="separate"/>
            </w:r>
            <w:r>
              <w:rPr>
                <w:noProof/>
                <w:webHidden/>
              </w:rPr>
              <w:t>12</w:t>
            </w:r>
            <w:r>
              <w:rPr>
                <w:noProof/>
                <w:webHidden/>
              </w:rPr>
              <w:fldChar w:fldCharType="end"/>
            </w:r>
          </w:hyperlink>
        </w:p>
        <w:p w14:paraId="1C3B7553" w14:textId="0AF0A525" w:rsidR="004E750C" w:rsidRDefault="004E750C">
          <w:pPr>
            <w:pStyle w:val="TOC1"/>
            <w:tabs>
              <w:tab w:val="right" w:leader="dot" w:pos="10790"/>
            </w:tabs>
            <w:rPr>
              <w:b w:val="0"/>
              <w:bCs w:val="0"/>
              <w:i w:val="0"/>
              <w:iCs w:val="0"/>
              <w:noProof/>
            </w:rPr>
          </w:pPr>
          <w:hyperlink w:anchor="_Toc221608501" w:history="1">
            <w:r w:rsidRPr="004D20BF">
              <w:rPr>
                <w:rStyle w:val="Hyperlink"/>
                <w:noProof/>
              </w:rPr>
              <w:t>Supplemental Figure 6 – Additional snATAC-seq plots</w:t>
            </w:r>
            <w:r>
              <w:rPr>
                <w:noProof/>
                <w:webHidden/>
              </w:rPr>
              <w:tab/>
            </w:r>
            <w:r>
              <w:rPr>
                <w:noProof/>
                <w:webHidden/>
              </w:rPr>
              <w:fldChar w:fldCharType="begin"/>
            </w:r>
            <w:r>
              <w:rPr>
                <w:noProof/>
                <w:webHidden/>
              </w:rPr>
              <w:instrText xml:space="preserve"> PAGEREF _Toc221608501 \h </w:instrText>
            </w:r>
            <w:r>
              <w:rPr>
                <w:noProof/>
                <w:webHidden/>
              </w:rPr>
            </w:r>
            <w:r>
              <w:rPr>
                <w:noProof/>
                <w:webHidden/>
              </w:rPr>
              <w:fldChar w:fldCharType="separate"/>
            </w:r>
            <w:r>
              <w:rPr>
                <w:noProof/>
                <w:webHidden/>
              </w:rPr>
              <w:t>13</w:t>
            </w:r>
            <w:r>
              <w:rPr>
                <w:noProof/>
                <w:webHidden/>
              </w:rPr>
              <w:fldChar w:fldCharType="end"/>
            </w:r>
          </w:hyperlink>
        </w:p>
        <w:p w14:paraId="3010BCFC" w14:textId="033FAB1B" w:rsidR="004E750C" w:rsidRDefault="004E750C">
          <w:pPr>
            <w:pStyle w:val="TOC1"/>
            <w:tabs>
              <w:tab w:val="right" w:leader="dot" w:pos="10790"/>
            </w:tabs>
            <w:rPr>
              <w:b w:val="0"/>
              <w:bCs w:val="0"/>
              <w:i w:val="0"/>
              <w:iCs w:val="0"/>
              <w:noProof/>
            </w:rPr>
          </w:pPr>
          <w:hyperlink w:anchor="_Toc221608502" w:history="1">
            <w:r w:rsidRPr="004D20BF">
              <w:rPr>
                <w:rStyle w:val="Hyperlink"/>
                <w:rFonts w:ascii="Arial" w:hAnsi="Arial" w:cs="Arial"/>
                <w:noProof/>
              </w:rPr>
              <w:t>Supplemental Figure 7 – Sex and aging pseudobulked DESeq2 analysis versus NEBULA analysis</w:t>
            </w:r>
            <w:r>
              <w:rPr>
                <w:noProof/>
                <w:webHidden/>
              </w:rPr>
              <w:tab/>
            </w:r>
            <w:r>
              <w:rPr>
                <w:noProof/>
                <w:webHidden/>
              </w:rPr>
              <w:fldChar w:fldCharType="begin"/>
            </w:r>
            <w:r>
              <w:rPr>
                <w:noProof/>
                <w:webHidden/>
              </w:rPr>
              <w:instrText xml:space="preserve"> PAGEREF _Toc221608502 \h </w:instrText>
            </w:r>
            <w:r>
              <w:rPr>
                <w:noProof/>
                <w:webHidden/>
              </w:rPr>
            </w:r>
            <w:r>
              <w:rPr>
                <w:noProof/>
                <w:webHidden/>
              </w:rPr>
              <w:fldChar w:fldCharType="separate"/>
            </w:r>
            <w:r>
              <w:rPr>
                <w:noProof/>
                <w:webHidden/>
              </w:rPr>
              <w:t>14</w:t>
            </w:r>
            <w:r>
              <w:rPr>
                <w:noProof/>
                <w:webHidden/>
              </w:rPr>
              <w:fldChar w:fldCharType="end"/>
            </w:r>
          </w:hyperlink>
        </w:p>
        <w:p w14:paraId="0D2ED323" w14:textId="0F47CDC2" w:rsidR="004E750C" w:rsidRDefault="004E750C">
          <w:pPr>
            <w:pStyle w:val="TOC1"/>
            <w:tabs>
              <w:tab w:val="right" w:leader="dot" w:pos="10790"/>
            </w:tabs>
            <w:rPr>
              <w:b w:val="0"/>
              <w:bCs w:val="0"/>
              <w:i w:val="0"/>
              <w:iCs w:val="0"/>
              <w:noProof/>
            </w:rPr>
          </w:pPr>
          <w:hyperlink w:anchor="_Toc221608503" w:history="1">
            <w:r w:rsidRPr="004D20BF">
              <w:rPr>
                <w:rStyle w:val="Hyperlink"/>
                <w:rFonts w:ascii="Arial" w:hAnsi="Arial" w:cs="Arial"/>
                <w:noProof/>
              </w:rPr>
              <w:t>Supplemental Figure 8 – Sensitivity of pseudobulked RNA and ATAC profiles to downsampling reads</w:t>
            </w:r>
            <w:r>
              <w:rPr>
                <w:noProof/>
                <w:webHidden/>
              </w:rPr>
              <w:tab/>
            </w:r>
            <w:r>
              <w:rPr>
                <w:noProof/>
                <w:webHidden/>
              </w:rPr>
              <w:fldChar w:fldCharType="begin"/>
            </w:r>
            <w:r>
              <w:rPr>
                <w:noProof/>
                <w:webHidden/>
              </w:rPr>
              <w:instrText xml:space="preserve"> PAGEREF _Toc221608503 \h </w:instrText>
            </w:r>
            <w:r>
              <w:rPr>
                <w:noProof/>
                <w:webHidden/>
              </w:rPr>
            </w:r>
            <w:r>
              <w:rPr>
                <w:noProof/>
                <w:webHidden/>
              </w:rPr>
              <w:fldChar w:fldCharType="separate"/>
            </w:r>
            <w:r>
              <w:rPr>
                <w:noProof/>
                <w:webHidden/>
              </w:rPr>
              <w:t>15</w:t>
            </w:r>
            <w:r>
              <w:rPr>
                <w:noProof/>
                <w:webHidden/>
              </w:rPr>
              <w:fldChar w:fldCharType="end"/>
            </w:r>
          </w:hyperlink>
        </w:p>
        <w:p w14:paraId="5866930C" w14:textId="22859A9B" w:rsidR="004E750C" w:rsidRDefault="004E750C">
          <w:pPr>
            <w:pStyle w:val="TOC1"/>
            <w:tabs>
              <w:tab w:val="right" w:leader="dot" w:pos="10790"/>
            </w:tabs>
            <w:rPr>
              <w:b w:val="0"/>
              <w:bCs w:val="0"/>
              <w:i w:val="0"/>
              <w:iCs w:val="0"/>
              <w:noProof/>
            </w:rPr>
          </w:pPr>
          <w:hyperlink w:anchor="_Toc221608504" w:history="1">
            <w:r w:rsidRPr="004D20BF">
              <w:rPr>
                <w:rStyle w:val="Hyperlink"/>
                <w:noProof/>
              </w:rPr>
              <w:t xml:space="preserve">Supplemental Figure 9 </w:t>
            </w:r>
            <w:r w:rsidRPr="004D20BF">
              <w:rPr>
                <w:rStyle w:val="Hyperlink"/>
                <w:rFonts w:ascii="Arial" w:hAnsi="Arial" w:cs="Arial"/>
                <w:noProof/>
              </w:rPr>
              <w:t>– Comparison of pseudobulked snRNA-seq methods to bulk RNA-seq</w:t>
            </w:r>
            <w:r>
              <w:rPr>
                <w:noProof/>
                <w:webHidden/>
              </w:rPr>
              <w:tab/>
            </w:r>
            <w:r>
              <w:rPr>
                <w:noProof/>
                <w:webHidden/>
              </w:rPr>
              <w:fldChar w:fldCharType="begin"/>
            </w:r>
            <w:r>
              <w:rPr>
                <w:noProof/>
                <w:webHidden/>
              </w:rPr>
              <w:instrText xml:space="preserve"> PAGEREF _Toc221608504 \h </w:instrText>
            </w:r>
            <w:r>
              <w:rPr>
                <w:noProof/>
                <w:webHidden/>
              </w:rPr>
            </w:r>
            <w:r>
              <w:rPr>
                <w:noProof/>
                <w:webHidden/>
              </w:rPr>
              <w:fldChar w:fldCharType="separate"/>
            </w:r>
            <w:r>
              <w:rPr>
                <w:noProof/>
                <w:webHidden/>
              </w:rPr>
              <w:t>16</w:t>
            </w:r>
            <w:r>
              <w:rPr>
                <w:noProof/>
                <w:webHidden/>
              </w:rPr>
              <w:fldChar w:fldCharType="end"/>
            </w:r>
          </w:hyperlink>
        </w:p>
        <w:p w14:paraId="72240913" w14:textId="73734BDB" w:rsidR="004E750C" w:rsidRDefault="004E750C">
          <w:pPr>
            <w:pStyle w:val="TOC1"/>
            <w:tabs>
              <w:tab w:val="right" w:leader="dot" w:pos="10790"/>
            </w:tabs>
            <w:rPr>
              <w:b w:val="0"/>
              <w:bCs w:val="0"/>
              <w:i w:val="0"/>
              <w:iCs w:val="0"/>
              <w:noProof/>
            </w:rPr>
          </w:pPr>
          <w:hyperlink w:anchor="_Toc221608505" w:history="1">
            <w:r w:rsidRPr="004D20BF">
              <w:rPr>
                <w:rStyle w:val="Hyperlink"/>
                <w:rFonts w:ascii="Arial" w:hAnsi="Arial" w:cs="Arial"/>
                <w:noProof/>
              </w:rPr>
              <w:t>Supplemental Figure 10 – Comparison of our study to Read et al. 2024</w:t>
            </w:r>
            <w:r>
              <w:rPr>
                <w:noProof/>
                <w:webHidden/>
              </w:rPr>
              <w:tab/>
            </w:r>
            <w:r>
              <w:rPr>
                <w:noProof/>
                <w:webHidden/>
              </w:rPr>
              <w:fldChar w:fldCharType="begin"/>
            </w:r>
            <w:r>
              <w:rPr>
                <w:noProof/>
                <w:webHidden/>
              </w:rPr>
              <w:instrText xml:space="preserve"> PAGEREF _Toc221608505 \h </w:instrText>
            </w:r>
            <w:r>
              <w:rPr>
                <w:noProof/>
                <w:webHidden/>
              </w:rPr>
            </w:r>
            <w:r>
              <w:rPr>
                <w:noProof/>
                <w:webHidden/>
              </w:rPr>
              <w:fldChar w:fldCharType="separate"/>
            </w:r>
            <w:r>
              <w:rPr>
                <w:noProof/>
                <w:webHidden/>
              </w:rPr>
              <w:t>18</w:t>
            </w:r>
            <w:r>
              <w:rPr>
                <w:noProof/>
                <w:webHidden/>
              </w:rPr>
              <w:fldChar w:fldCharType="end"/>
            </w:r>
          </w:hyperlink>
        </w:p>
        <w:p w14:paraId="6B7D164F" w14:textId="002A210F" w:rsidR="004E750C" w:rsidRDefault="004E750C">
          <w:pPr>
            <w:pStyle w:val="TOC1"/>
            <w:tabs>
              <w:tab w:val="right" w:leader="dot" w:pos="10790"/>
            </w:tabs>
            <w:rPr>
              <w:b w:val="0"/>
              <w:bCs w:val="0"/>
              <w:i w:val="0"/>
              <w:iCs w:val="0"/>
              <w:noProof/>
            </w:rPr>
          </w:pPr>
          <w:hyperlink w:anchor="_Toc221608506" w:history="1">
            <w:r w:rsidRPr="004D20BF">
              <w:rPr>
                <w:rStyle w:val="Hyperlink"/>
                <w:noProof/>
              </w:rPr>
              <w:t>Supplemental Figure 11 – Sex differential expression and accessibility supplemental figures</w:t>
            </w:r>
            <w:r>
              <w:rPr>
                <w:noProof/>
                <w:webHidden/>
              </w:rPr>
              <w:tab/>
            </w:r>
            <w:r>
              <w:rPr>
                <w:noProof/>
                <w:webHidden/>
              </w:rPr>
              <w:fldChar w:fldCharType="begin"/>
            </w:r>
            <w:r>
              <w:rPr>
                <w:noProof/>
                <w:webHidden/>
              </w:rPr>
              <w:instrText xml:space="preserve"> PAGEREF _Toc221608506 \h </w:instrText>
            </w:r>
            <w:r>
              <w:rPr>
                <w:noProof/>
                <w:webHidden/>
              </w:rPr>
            </w:r>
            <w:r>
              <w:rPr>
                <w:noProof/>
                <w:webHidden/>
              </w:rPr>
              <w:fldChar w:fldCharType="separate"/>
            </w:r>
            <w:r>
              <w:rPr>
                <w:noProof/>
                <w:webHidden/>
              </w:rPr>
              <w:t>19</w:t>
            </w:r>
            <w:r>
              <w:rPr>
                <w:noProof/>
                <w:webHidden/>
              </w:rPr>
              <w:fldChar w:fldCharType="end"/>
            </w:r>
          </w:hyperlink>
        </w:p>
        <w:p w14:paraId="38CDD102" w14:textId="7F57A729" w:rsidR="004E750C" w:rsidRDefault="004E750C">
          <w:pPr>
            <w:pStyle w:val="TOC1"/>
            <w:tabs>
              <w:tab w:val="right" w:leader="dot" w:pos="10790"/>
            </w:tabs>
            <w:rPr>
              <w:b w:val="0"/>
              <w:bCs w:val="0"/>
              <w:i w:val="0"/>
              <w:iCs w:val="0"/>
              <w:noProof/>
            </w:rPr>
          </w:pPr>
          <w:hyperlink w:anchor="_Toc221608507" w:history="1">
            <w:r w:rsidRPr="004D20BF">
              <w:rPr>
                <w:rStyle w:val="Hyperlink"/>
                <w:noProof/>
              </w:rPr>
              <w:t>Supplemental Figure 12 – Aging differential expression and accessibility supplemental figures:</w:t>
            </w:r>
            <w:r>
              <w:rPr>
                <w:noProof/>
                <w:webHidden/>
              </w:rPr>
              <w:tab/>
            </w:r>
            <w:r>
              <w:rPr>
                <w:noProof/>
                <w:webHidden/>
              </w:rPr>
              <w:fldChar w:fldCharType="begin"/>
            </w:r>
            <w:r>
              <w:rPr>
                <w:noProof/>
                <w:webHidden/>
              </w:rPr>
              <w:instrText xml:space="preserve"> PAGEREF _Toc221608507 \h </w:instrText>
            </w:r>
            <w:r>
              <w:rPr>
                <w:noProof/>
                <w:webHidden/>
              </w:rPr>
            </w:r>
            <w:r>
              <w:rPr>
                <w:noProof/>
                <w:webHidden/>
              </w:rPr>
              <w:fldChar w:fldCharType="separate"/>
            </w:r>
            <w:r>
              <w:rPr>
                <w:noProof/>
                <w:webHidden/>
              </w:rPr>
              <w:t>20</w:t>
            </w:r>
            <w:r>
              <w:rPr>
                <w:noProof/>
                <w:webHidden/>
              </w:rPr>
              <w:fldChar w:fldCharType="end"/>
            </w:r>
          </w:hyperlink>
        </w:p>
        <w:p w14:paraId="4AD7FA64" w14:textId="115B7AF5" w:rsidR="004E750C" w:rsidRDefault="004E750C">
          <w:pPr>
            <w:pStyle w:val="TOC1"/>
            <w:tabs>
              <w:tab w:val="right" w:leader="dot" w:pos="10790"/>
            </w:tabs>
            <w:rPr>
              <w:b w:val="0"/>
              <w:bCs w:val="0"/>
              <w:i w:val="0"/>
              <w:iCs w:val="0"/>
              <w:noProof/>
            </w:rPr>
          </w:pPr>
          <w:hyperlink w:anchor="_Toc221608508" w:history="1">
            <w:r w:rsidRPr="004D20BF">
              <w:rPr>
                <w:rStyle w:val="Hyperlink"/>
                <w:noProof/>
              </w:rPr>
              <w:t>Supplemental Figure 13 – Other aging analyses</w:t>
            </w:r>
            <w:r>
              <w:rPr>
                <w:noProof/>
                <w:webHidden/>
              </w:rPr>
              <w:tab/>
            </w:r>
            <w:r>
              <w:rPr>
                <w:noProof/>
                <w:webHidden/>
              </w:rPr>
              <w:fldChar w:fldCharType="begin"/>
            </w:r>
            <w:r>
              <w:rPr>
                <w:noProof/>
                <w:webHidden/>
              </w:rPr>
              <w:instrText xml:space="preserve"> PAGEREF _Toc221608508 \h </w:instrText>
            </w:r>
            <w:r>
              <w:rPr>
                <w:noProof/>
                <w:webHidden/>
              </w:rPr>
            </w:r>
            <w:r>
              <w:rPr>
                <w:noProof/>
                <w:webHidden/>
              </w:rPr>
              <w:fldChar w:fldCharType="separate"/>
            </w:r>
            <w:r>
              <w:rPr>
                <w:noProof/>
                <w:webHidden/>
              </w:rPr>
              <w:t>21</w:t>
            </w:r>
            <w:r>
              <w:rPr>
                <w:noProof/>
                <w:webHidden/>
              </w:rPr>
              <w:fldChar w:fldCharType="end"/>
            </w:r>
          </w:hyperlink>
        </w:p>
        <w:p w14:paraId="5AAD9ECD" w14:textId="00F2F506" w:rsidR="004E750C" w:rsidRDefault="004E750C">
          <w:pPr>
            <w:pStyle w:val="TOC1"/>
            <w:tabs>
              <w:tab w:val="right" w:leader="dot" w:pos="10790"/>
            </w:tabs>
            <w:rPr>
              <w:b w:val="0"/>
              <w:bCs w:val="0"/>
              <w:i w:val="0"/>
              <w:iCs w:val="0"/>
              <w:noProof/>
            </w:rPr>
          </w:pPr>
          <w:hyperlink w:anchor="_Toc221608509" w:history="1">
            <w:r w:rsidRPr="004D20BF">
              <w:rPr>
                <w:rStyle w:val="Hyperlink"/>
                <w:noProof/>
              </w:rPr>
              <w:t>Supplemental Figure 14 – Additional development DEG analyses</w:t>
            </w:r>
            <w:r>
              <w:rPr>
                <w:noProof/>
                <w:webHidden/>
              </w:rPr>
              <w:tab/>
            </w:r>
            <w:r>
              <w:rPr>
                <w:noProof/>
                <w:webHidden/>
              </w:rPr>
              <w:fldChar w:fldCharType="begin"/>
            </w:r>
            <w:r>
              <w:rPr>
                <w:noProof/>
                <w:webHidden/>
              </w:rPr>
              <w:instrText xml:space="preserve"> PAGEREF _Toc221608509 \h </w:instrText>
            </w:r>
            <w:r>
              <w:rPr>
                <w:noProof/>
                <w:webHidden/>
              </w:rPr>
            </w:r>
            <w:r>
              <w:rPr>
                <w:noProof/>
                <w:webHidden/>
              </w:rPr>
              <w:fldChar w:fldCharType="separate"/>
            </w:r>
            <w:r>
              <w:rPr>
                <w:noProof/>
                <w:webHidden/>
              </w:rPr>
              <w:t>22</w:t>
            </w:r>
            <w:r>
              <w:rPr>
                <w:noProof/>
                <w:webHidden/>
              </w:rPr>
              <w:fldChar w:fldCharType="end"/>
            </w:r>
          </w:hyperlink>
        </w:p>
        <w:p w14:paraId="51B1FB75" w14:textId="5D83E44A" w:rsidR="004E750C" w:rsidRDefault="004E750C">
          <w:pPr>
            <w:pStyle w:val="TOC1"/>
            <w:tabs>
              <w:tab w:val="right" w:leader="dot" w:pos="10790"/>
            </w:tabs>
            <w:rPr>
              <w:b w:val="0"/>
              <w:bCs w:val="0"/>
              <w:i w:val="0"/>
              <w:iCs w:val="0"/>
              <w:noProof/>
            </w:rPr>
          </w:pPr>
          <w:hyperlink w:anchor="_Toc221608510" w:history="1">
            <w:r w:rsidRPr="004D20BF">
              <w:rPr>
                <w:rStyle w:val="Hyperlink"/>
                <w:noProof/>
              </w:rPr>
              <w:t>Supplemental Figure 15 – Development trajectory analyses</w:t>
            </w:r>
            <w:r>
              <w:rPr>
                <w:noProof/>
                <w:webHidden/>
              </w:rPr>
              <w:tab/>
            </w:r>
            <w:r>
              <w:rPr>
                <w:noProof/>
                <w:webHidden/>
              </w:rPr>
              <w:fldChar w:fldCharType="begin"/>
            </w:r>
            <w:r>
              <w:rPr>
                <w:noProof/>
                <w:webHidden/>
              </w:rPr>
              <w:instrText xml:space="preserve"> PAGEREF _Toc221608510 \h </w:instrText>
            </w:r>
            <w:r>
              <w:rPr>
                <w:noProof/>
                <w:webHidden/>
              </w:rPr>
            </w:r>
            <w:r>
              <w:rPr>
                <w:noProof/>
                <w:webHidden/>
              </w:rPr>
              <w:fldChar w:fldCharType="separate"/>
            </w:r>
            <w:r>
              <w:rPr>
                <w:noProof/>
                <w:webHidden/>
              </w:rPr>
              <w:t>23</w:t>
            </w:r>
            <w:r>
              <w:rPr>
                <w:noProof/>
                <w:webHidden/>
              </w:rPr>
              <w:fldChar w:fldCharType="end"/>
            </w:r>
          </w:hyperlink>
        </w:p>
        <w:p w14:paraId="3408A14E" w14:textId="6838D088" w:rsidR="004E750C" w:rsidRDefault="004E750C">
          <w:pPr>
            <w:pStyle w:val="TOC1"/>
            <w:tabs>
              <w:tab w:val="right" w:leader="dot" w:pos="10790"/>
            </w:tabs>
            <w:rPr>
              <w:b w:val="0"/>
              <w:bCs w:val="0"/>
              <w:i w:val="0"/>
              <w:iCs w:val="0"/>
              <w:noProof/>
            </w:rPr>
          </w:pPr>
          <w:hyperlink w:anchor="_Toc221608511" w:history="1">
            <w:r w:rsidRPr="004D20BF">
              <w:rPr>
                <w:rStyle w:val="Hyperlink"/>
                <w:noProof/>
              </w:rPr>
              <w:t>Supplemental Figure 16 – Disease differential expression analysis</w:t>
            </w:r>
            <w:r>
              <w:rPr>
                <w:noProof/>
                <w:webHidden/>
              </w:rPr>
              <w:tab/>
            </w:r>
            <w:r>
              <w:rPr>
                <w:noProof/>
                <w:webHidden/>
              </w:rPr>
              <w:fldChar w:fldCharType="begin"/>
            </w:r>
            <w:r>
              <w:rPr>
                <w:noProof/>
                <w:webHidden/>
              </w:rPr>
              <w:instrText xml:space="preserve"> PAGEREF _Toc221608511 \h </w:instrText>
            </w:r>
            <w:r>
              <w:rPr>
                <w:noProof/>
                <w:webHidden/>
              </w:rPr>
            </w:r>
            <w:r>
              <w:rPr>
                <w:noProof/>
                <w:webHidden/>
              </w:rPr>
              <w:fldChar w:fldCharType="separate"/>
            </w:r>
            <w:r>
              <w:rPr>
                <w:noProof/>
                <w:webHidden/>
              </w:rPr>
              <w:t>24</w:t>
            </w:r>
            <w:r>
              <w:rPr>
                <w:noProof/>
                <w:webHidden/>
              </w:rPr>
              <w:fldChar w:fldCharType="end"/>
            </w:r>
          </w:hyperlink>
        </w:p>
        <w:p w14:paraId="4A20F318" w14:textId="5D82E59F" w:rsidR="004E750C" w:rsidRDefault="004E750C">
          <w:pPr>
            <w:pStyle w:val="TOC1"/>
            <w:tabs>
              <w:tab w:val="right" w:leader="dot" w:pos="10790"/>
            </w:tabs>
            <w:rPr>
              <w:b w:val="0"/>
              <w:bCs w:val="0"/>
              <w:i w:val="0"/>
              <w:iCs w:val="0"/>
              <w:noProof/>
            </w:rPr>
          </w:pPr>
          <w:hyperlink w:anchor="_Toc221608512" w:history="1">
            <w:r w:rsidRPr="004D20BF">
              <w:rPr>
                <w:rStyle w:val="Hyperlink"/>
                <w:noProof/>
              </w:rPr>
              <w:t>Supplemental Figure 17 – Disease trajectory analyses</w:t>
            </w:r>
            <w:r>
              <w:rPr>
                <w:noProof/>
                <w:webHidden/>
              </w:rPr>
              <w:tab/>
            </w:r>
            <w:r>
              <w:rPr>
                <w:noProof/>
                <w:webHidden/>
              </w:rPr>
              <w:fldChar w:fldCharType="begin"/>
            </w:r>
            <w:r>
              <w:rPr>
                <w:noProof/>
                <w:webHidden/>
              </w:rPr>
              <w:instrText xml:space="preserve"> PAGEREF _Toc221608512 \h </w:instrText>
            </w:r>
            <w:r>
              <w:rPr>
                <w:noProof/>
                <w:webHidden/>
              </w:rPr>
            </w:r>
            <w:r>
              <w:rPr>
                <w:noProof/>
                <w:webHidden/>
              </w:rPr>
              <w:fldChar w:fldCharType="separate"/>
            </w:r>
            <w:r>
              <w:rPr>
                <w:noProof/>
                <w:webHidden/>
              </w:rPr>
              <w:t>27</w:t>
            </w:r>
            <w:r>
              <w:rPr>
                <w:noProof/>
                <w:webHidden/>
              </w:rPr>
              <w:fldChar w:fldCharType="end"/>
            </w:r>
          </w:hyperlink>
        </w:p>
        <w:p w14:paraId="6D1ABDAD" w14:textId="577F17A1" w:rsidR="004E750C" w:rsidRDefault="004E750C">
          <w:pPr>
            <w:pStyle w:val="TOC1"/>
            <w:tabs>
              <w:tab w:val="right" w:leader="dot" w:pos="10790"/>
            </w:tabs>
            <w:rPr>
              <w:b w:val="0"/>
              <w:bCs w:val="0"/>
              <w:i w:val="0"/>
              <w:iCs w:val="0"/>
              <w:noProof/>
            </w:rPr>
          </w:pPr>
          <w:hyperlink w:anchor="_Toc221608513" w:history="1">
            <w:r w:rsidRPr="004D20BF">
              <w:rPr>
                <w:rStyle w:val="Hyperlink"/>
                <w:noProof/>
              </w:rPr>
              <w:t>Supplemental Figure 18 – Disease and fetal overlap</w:t>
            </w:r>
            <w:r>
              <w:rPr>
                <w:noProof/>
                <w:webHidden/>
              </w:rPr>
              <w:tab/>
            </w:r>
            <w:r>
              <w:rPr>
                <w:noProof/>
                <w:webHidden/>
              </w:rPr>
              <w:fldChar w:fldCharType="begin"/>
            </w:r>
            <w:r>
              <w:rPr>
                <w:noProof/>
                <w:webHidden/>
              </w:rPr>
              <w:instrText xml:space="preserve"> PAGEREF _Toc221608513 \h </w:instrText>
            </w:r>
            <w:r>
              <w:rPr>
                <w:noProof/>
                <w:webHidden/>
              </w:rPr>
            </w:r>
            <w:r>
              <w:rPr>
                <w:noProof/>
                <w:webHidden/>
              </w:rPr>
              <w:fldChar w:fldCharType="separate"/>
            </w:r>
            <w:r>
              <w:rPr>
                <w:noProof/>
                <w:webHidden/>
              </w:rPr>
              <w:t>28</w:t>
            </w:r>
            <w:r>
              <w:rPr>
                <w:noProof/>
                <w:webHidden/>
              </w:rPr>
              <w:fldChar w:fldCharType="end"/>
            </w:r>
          </w:hyperlink>
        </w:p>
        <w:p w14:paraId="35EB8D82" w14:textId="2348ED20" w:rsidR="004E750C" w:rsidRDefault="004E750C">
          <w:pPr>
            <w:pStyle w:val="TOC1"/>
            <w:tabs>
              <w:tab w:val="right" w:leader="dot" w:pos="10790"/>
            </w:tabs>
            <w:rPr>
              <w:b w:val="0"/>
              <w:bCs w:val="0"/>
              <w:i w:val="0"/>
              <w:iCs w:val="0"/>
              <w:noProof/>
            </w:rPr>
          </w:pPr>
          <w:hyperlink w:anchor="_Toc221608514" w:history="1">
            <w:r w:rsidRPr="004D20BF">
              <w:rPr>
                <w:rStyle w:val="Hyperlink"/>
                <w:noProof/>
              </w:rPr>
              <w:t>Supplemental Figure 19 – Additional cell-cell communication analyses with liana x tensorcell2cell</w:t>
            </w:r>
            <w:r>
              <w:rPr>
                <w:noProof/>
                <w:webHidden/>
              </w:rPr>
              <w:tab/>
            </w:r>
            <w:r>
              <w:rPr>
                <w:noProof/>
                <w:webHidden/>
              </w:rPr>
              <w:fldChar w:fldCharType="begin"/>
            </w:r>
            <w:r>
              <w:rPr>
                <w:noProof/>
                <w:webHidden/>
              </w:rPr>
              <w:instrText xml:space="preserve"> PAGEREF _Toc221608514 \h </w:instrText>
            </w:r>
            <w:r>
              <w:rPr>
                <w:noProof/>
                <w:webHidden/>
              </w:rPr>
            </w:r>
            <w:r>
              <w:rPr>
                <w:noProof/>
                <w:webHidden/>
              </w:rPr>
              <w:fldChar w:fldCharType="separate"/>
            </w:r>
            <w:r>
              <w:rPr>
                <w:noProof/>
                <w:webHidden/>
              </w:rPr>
              <w:t>29</w:t>
            </w:r>
            <w:r>
              <w:rPr>
                <w:noProof/>
                <w:webHidden/>
              </w:rPr>
              <w:fldChar w:fldCharType="end"/>
            </w:r>
          </w:hyperlink>
        </w:p>
        <w:p w14:paraId="28A09137" w14:textId="6A582E65" w:rsidR="004E750C" w:rsidRDefault="004E750C">
          <w:pPr>
            <w:pStyle w:val="TOC1"/>
            <w:tabs>
              <w:tab w:val="right" w:leader="dot" w:pos="10790"/>
            </w:tabs>
            <w:rPr>
              <w:b w:val="0"/>
              <w:bCs w:val="0"/>
              <w:i w:val="0"/>
              <w:iCs w:val="0"/>
              <w:noProof/>
            </w:rPr>
          </w:pPr>
          <w:hyperlink w:anchor="_Toc221608515" w:history="1">
            <w:r w:rsidRPr="004D20BF">
              <w:rPr>
                <w:rStyle w:val="Hyperlink"/>
                <w:noProof/>
              </w:rPr>
              <w:t>Supplemental Figure 20 – Kanemaru 2023 spatial non-diseased fetal reactivation</w:t>
            </w:r>
            <w:r>
              <w:rPr>
                <w:noProof/>
                <w:webHidden/>
              </w:rPr>
              <w:tab/>
            </w:r>
            <w:r>
              <w:rPr>
                <w:noProof/>
                <w:webHidden/>
              </w:rPr>
              <w:fldChar w:fldCharType="begin"/>
            </w:r>
            <w:r>
              <w:rPr>
                <w:noProof/>
                <w:webHidden/>
              </w:rPr>
              <w:instrText xml:space="preserve"> PAGEREF _Toc221608515 \h </w:instrText>
            </w:r>
            <w:r>
              <w:rPr>
                <w:noProof/>
                <w:webHidden/>
              </w:rPr>
            </w:r>
            <w:r>
              <w:rPr>
                <w:noProof/>
                <w:webHidden/>
              </w:rPr>
              <w:fldChar w:fldCharType="separate"/>
            </w:r>
            <w:r>
              <w:rPr>
                <w:noProof/>
                <w:webHidden/>
              </w:rPr>
              <w:t>30</w:t>
            </w:r>
            <w:r>
              <w:rPr>
                <w:noProof/>
                <w:webHidden/>
              </w:rPr>
              <w:fldChar w:fldCharType="end"/>
            </w:r>
          </w:hyperlink>
        </w:p>
        <w:p w14:paraId="32EFAE6B" w14:textId="0B8EC769" w:rsidR="004E750C" w:rsidRDefault="004E750C">
          <w:pPr>
            <w:pStyle w:val="TOC1"/>
            <w:tabs>
              <w:tab w:val="right" w:leader="dot" w:pos="10790"/>
            </w:tabs>
            <w:rPr>
              <w:b w:val="0"/>
              <w:bCs w:val="0"/>
              <w:i w:val="0"/>
              <w:iCs w:val="0"/>
              <w:noProof/>
            </w:rPr>
          </w:pPr>
          <w:hyperlink w:anchor="_Toc221608516" w:history="1">
            <w:r w:rsidRPr="004D20BF">
              <w:rPr>
                <w:rStyle w:val="Hyperlink"/>
                <w:noProof/>
              </w:rPr>
              <w:t>Supplemental Figure 21 – Kuppe 2022 spatial non-diseased fetal reactivation</w:t>
            </w:r>
            <w:r>
              <w:rPr>
                <w:noProof/>
                <w:webHidden/>
              </w:rPr>
              <w:tab/>
            </w:r>
            <w:r>
              <w:rPr>
                <w:noProof/>
                <w:webHidden/>
              </w:rPr>
              <w:fldChar w:fldCharType="begin"/>
            </w:r>
            <w:r>
              <w:rPr>
                <w:noProof/>
                <w:webHidden/>
              </w:rPr>
              <w:instrText xml:space="preserve"> PAGEREF _Toc221608516 \h </w:instrText>
            </w:r>
            <w:r>
              <w:rPr>
                <w:noProof/>
                <w:webHidden/>
              </w:rPr>
            </w:r>
            <w:r>
              <w:rPr>
                <w:noProof/>
                <w:webHidden/>
              </w:rPr>
              <w:fldChar w:fldCharType="separate"/>
            </w:r>
            <w:r>
              <w:rPr>
                <w:noProof/>
                <w:webHidden/>
              </w:rPr>
              <w:t>31</w:t>
            </w:r>
            <w:r>
              <w:rPr>
                <w:noProof/>
                <w:webHidden/>
              </w:rPr>
              <w:fldChar w:fldCharType="end"/>
            </w:r>
          </w:hyperlink>
        </w:p>
        <w:p w14:paraId="300304A1" w14:textId="2450FC68" w:rsidR="004E750C" w:rsidRDefault="004E750C">
          <w:pPr>
            <w:pStyle w:val="TOC1"/>
            <w:tabs>
              <w:tab w:val="right" w:leader="dot" w:pos="10790"/>
            </w:tabs>
            <w:rPr>
              <w:b w:val="0"/>
              <w:bCs w:val="0"/>
              <w:i w:val="0"/>
              <w:iCs w:val="0"/>
              <w:noProof/>
            </w:rPr>
          </w:pPr>
          <w:hyperlink w:anchor="_Toc221608517" w:history="1">
            <w:r w:rsidRPr="004D20BF">
              <w:rPr>
                <w:rStyle w:val="Hyperlink"/>
                <w:noProof/>
              </w:rPr>
              <w:t>Supplemental Figure 22 – Kuppe 2022 spatial fibrotic zone fetal reactivation</w:t>
            </w:r>
            <w:r>
              <w:rPr>
                <w:noProof/>
                <w:webHidden/>
              </w:rPr>
              <w:tab/>
            </w:r>
            <w:r>
              <w:rPr>
                <w:noProof/>
                <w:webHidden/>
              </w:rPr>
              <w:fldChar w:fldCharType="begin"/>
            </w:r>
            <w:r>
              <w:rPr>
                <w:noProof/>
                <w:webHidden/>
              </w:rPr>
              <w:instrText xml:space="preserve"> PAGEREF _Toc221608517 \h </w:instrText>
            </w:r>
            <w:r>
              <w:rPr>
                <w:noProof/>
                <w:webHidden/>
              </w:rPr>
            </w:r>
            <w:r>
              <w:rPr>
                <w:noProof/>
                <w:webHidden/>
              </w:rPr>
              <w:fldChar w:fldCharType="separate"/>
            </w:r>
            <w:r>
              <w:rPr>
                <w:noProof/>
                <w:webHidden/>
              </w:rPr>
              <w:t>32</w:t>
            </w:r>
            <w:r>
              <w:rPr>
                <w:noProof/>
                <w:webHidden/>
              </w:rPr>
              <w:fldChar w:fldCharType="end"/>
            </w:r>
          </w:hyperlink>
        </w:p>
        <w:p w14:paraId="7ED57272" w14:textId="7BEE72F3" w:rsidR="004E750C" w:rsidRDefault="004E750C">
          <w:pPr>
            <w:pStyle w:val="TOC1"/>
            <w:tabs>
              <w:tab w:val="right" w:leader="dot" w:pos="10790"/>
            </w:tabs>
            <w:rPr>
              <w:b w:val="0"/>
              <w:bCs w:val="0"/>
              <w:i w:val="0"/>
              <w:iCs w:val="0"/>
              <w:noProof/>
            </w:rPr>
          </w:pPr>
          <w:hyperlink w:anchor="_Toc221608518" w:history="1">
            <w:r w:rsidRPr="004D20BF">
              <w:rPr>
                <w:rStyle w:val="Hyperlink"/>
                <w:noProof/>
              </w:rPr>
              <w:t>Supplemental Figure 23 – Kuppe 2022 spatial fibrotic zone + granulation tissue fetal reactivation</w:t>
            </w:r>
            <w:r>
              <w:rPr>
                <w:noProof/>
                <w:webHidden/>
              </w:rPr>
              <w:tab/>
            </w:r>
            <w:r>
              <w:rPr>
                <w:noProof/>
                <w:webHidden/>
              </w:rPr>
              <w:fldChar w:fldCharType="begin"/>
            </w:r>
            <w:r>
              <w:rPr>
                <w:noProof/>
                <w:webHidden/>
              </w:rPr>
              <w:instrText xml:space="preserve"> PAGEREF _Toc221608518 \h </w:instrText>
            </w:r>
            <w:r>
              <w:rPr>
                <w:noProof/>
                <w:webHidden/>
              </w:rPr>
            </w:r>
            <w:r>
              <w:rPr>
                <w:noProof/>
                <w:webHidden/>
              </w:rPr>
              <w:fldChar w:fldCharType="separate"/>
            </w:r>
            <w:r>
              <w:rPr>
                <w:noProof/>
                <w:webHidden/>
              </w:rPr>
              <w:t>33</w:t>
            </w:r>
            <w:r>
              <w:rPr>
                <w:noProof/>
                <w:webHidden/>
              </w:rPr>
              <w:fldChar w:fldCharType="end"/>
            </w:r>
          </w:hyperlink>
        </w:p>
        <w:p w14:paraId="5D947713" w14:textId="3A246DEE" w:rsidR="004E750C" w:rsidRDefault="004E750C">
          <w:pPr>
            <w:pStyle w:val="TOC1"/>
            <w:tabs>
              <w:tab w:val="right" w:leader="dot" w:pos="10790"/>
            </w:tabs>
            <w:rPr>
              <w:b w:val="0"/>
              <w:bCs w:val="0"/>
              <w:i w:val="0"/>
              <w:iCs w:val="0"/>
              <w:noProof/>
            </w:rPr>
          </w:pPr>
          <w:hyperlink w:anchor="_Toc221608519" w:history="1">
            <w:r w:rsidRPr="004D20BF">
              <w:rPr>
                <w:rStyle w:val="Hyperlink"/>
                <w:noProof/>
              </w:rPr>
              <w:t>Supplemental Figure 24 – Kuppe 2022 spatial ischemic zone fetal reactivation</w:t>
            </w:r>
            <w:r>
              <w:rPr>
                <w:noProof/>
                <w:webHidden/>
              </w:rPr>
              <w:tab/>
            </w:r>
            <w:r>
              <w:rPr>
                <w:noProof/>
                <w:webHidden/>
              </w:rPr>
              <w:fldChar w:fldCharType="begin"/>
            </w:r>
            <w:r>
              <w:rPr>
                <w:noProof/>
                <w:webHidden/>
              </w:rPr>
              <w:instrText xml:space="preserve"> PAGEREF _Toc221608519 \h </w:instrText>
            </w:r>
            <w:r>
              <w:rPr>
                <w:noProof/>
                <w:webHidden/>
              </w:rPr>
            </w:r>
            <w:r>
              <w:rPr>
                <w:noProof/>
                <w:webHidden/>
              </w:rPr>
              <w:fldChar w:fldCharType="separate"/>
            </w:r>
            <w:r>
              <w:rPr>
                <w:noProof/>
                <w:webHidden/>
              </w:rPr>
              <w:t>34</w:t>
            </w:r>
            <w:r>
              <w:rPr>
                <w:noProof/>
                <w:webHidden/>
              </w:rPr>
              <w:fldChar w:fldCharType="end"/>
            </w:r>
          </w:hyperlink>
        </w:p>
        <w:p w14:paraId="23A8F0E4" w14:textId="0A63672E" w:rsidR="004E750C" w:rsidRDefault="004E750C">
          <w:pPr>
            <w:pStyle w:val="TOC1"/>
            <w:tabs>
              <w:tab w:val="right" w:leader="dot" w:pos="10790"/>
            </w:tabs>
            <w:rPr>
              <w:b w:val="0"/>
              <w:bCs w:val="0"/>
              <w:i w:val="0"/>
              <w:iCs w:val="0"/>
              <w:noProof/>
            </w:rPr>
          </w:pPr>
          <w:hyperlink w:anchor="_Toc221608520" w:history="1">
            <w:r w:rsidRPr="004D20BF">
              <w:rPr>
                <w:rStyle w:val="Hyperlink"/>
                <w:noProof/>
              </w:rPr>
              <w:t>Supplemental Figure 25 – Kuppe 2022 spatial ischemic zone and granulation tissue fetal reactivation</w:t>
            </w:r>
            <w:r>
              <w:rPr>
                <w:noProof/>
                <w:webHidden/>
              </w:rPr>
              <w:tab/>
            </w:r>
            <w:r>
              <w:rPr>
                <w:noProof/>
                <w:webHidden/>
              </w:rPr>
              <w:fldChar w:fldCharType="begin"/>
            </w:r>
            <w:r>
              <w:rPr>
                <w:noProof/>
                <w:webHidden/>
              </w:rPr>
              <w:instrText xml:space="preserve"> PAGEREF _Toc221608520 \h </w:instrText>
            </w:r>
            <w:r>
              <w:rPr>
                <w:noProof/>
                <w:webHidden/>
              </w:rPr>
            </w:r>
            <w:r>
              <w:rPr>
                <w:noProof/>
                <w:webHidden/>
              </w:rPr>
              <w:fldChar w:fldCharType="separate"/>
            </w:r>
            <w:r>
              <w:rPr>
                <w:noProof/>
                <w:webHidden/>
              </w:rPr>
              <w:t>35</w:t>
            </w:r>
            <w:r>
              <w:rPr>
                <w:noProof/>
                <w:webHidden/>
              </w:rPr>
              <w:fldChar w:fldCharType="end"/>
            </w:r>
          </w:hyperlink>
        </w:p>
        <w:p w14:paraId="232E1E44" w14:textId="3BF34FF7" w:rsidR="004E750C" w:rsidRDefault="004E750C">
          <w:pPr>
            <w:pStyle w:val="TOC1"/>
            <w:tabs>
              <w:tab w:val="right" w:leader="dot" w:pos="10790"/>
            </w:tabs>
            <w:rPr>
              <w:b w:val="0"/>
              <w:bCs w:val="0"/>
              <w:i w:val="0"/>
              <w:iCs w:val="0"/>
              <w:noProof/>
            </w:rPr>
          </w:pPr>
          <w:hyperlink w:anchor="_Toc221608521" w:history="1">
            <w:r w:rsidRPr="004D20BF">
              <w:rPr>
                <w:rStyle w:val="Hyperlink"/>
                <w:noProof/>
              </w:rPr>
              <w:t>Supplemental Figure 26 – Kuppe 2022 spatial remote zone and border zone fetal reactivation</w:t>
            </w:r>
            <w:r>
              <w:rPr>
                <w:noProof/>
                <w:webHidden/>
              </w:rPr>
              <w:tab/>
            </w:r>
            <w:r>
              <w:rPr>
                <w:noProof/>
                <w:webHidden/>
              </w:rPr>
              <w:fldChar w:fldCharType="begin"/>
            </w:r>
            <w:r>
              <w:rPr>
                <w:noProof/>
                <w:webHidden/>
              </w:rPr>
              <w:instrText xml:space="preserve"> PAGEREF _Toc221608521 \h </w:instrText>
            </w:r>
            <w:r>
              <w:rPr>
                <w:noProof/>
                <w:webHidden/>
              </w:rPr>
            </w:r>
            <w:r>
              <w:rPr>
                <w:noProof/>
                <w:webHidden/>
              </w:rPr>
              <w:fldChar w:fldCharType="separate"/>
            </w:r>
            <w:r>
              <w:rPr>
                <w:noProof/>
                <w:webHidden/>
              </w:rPr>
              <w:t>36</w:t>
            </w:r>
            <w:r>
              <w:rPr>
                <w:noProof/>
                <w:webHidden/>
              </w:rPr>
              <w:fldChar w:fldCharType="end"/>
            </w:r>
          </w:hyperlink>
        </w:p>
        <w:p w14:paraId="3B4BDC76" w14:textId="083BD946" w:rsidR="004E750C" w:rsidRDefault="004E750C">
          <w:pPr>
            <w:pStyle w:val="TOC1"/>
            <w:tabs>
              <w:tab w:val="right" w:leader="dot" w:pos="10790"/>
            </w:tabs>
            <w:rPr>
              <w:b w:val="0"/>
              <w:bCs w:val="0"/>
              <w:i w:val="0"/>
              <w:iCs w:val="0"/>
              <w:noProof/>
            </w:rPr>
          </w:pPr>
          <w:hyperlink w:anchor="_Toc221608522" w:history="1">
            <w:r w:rsidRPr="004D20BF">
              <w:rPr>
                <w:rStyle w:val="Hyperlink"/>
                <w:noProof/>
              </w:rPr>
              <w:t>Supplemental Figure 27 – Kuppe 2022 spatial remote zone fetal reactivation</w:t>
            </w:r>
            <w:r>
              <w:rPr>
                <w:noProof/>
                <w:webHidden/>
              </w:rPr>
              <w:tab/>
            </w:r>
            <w:r>
              <w:rPr>
                <w:noProof/>
                <w:webHidden/>
              </w:rPr>
              <w:fldChar w:fldCharType="begin"/>
            </w:r>
            <w:r>
              <w:rPr>
                <w:noProof/>
                <w:webHidden/>
              </w:rPr>
              <w:instrText xml:space="preserve"> PAGEREF _Toc221608522 \h </w:instrText>
            </w:r>
            <w:r>
              <w:rPr>
                <w:noProof/>
                <w:webHidden/>
              </w:rPr>
            </w:r>
            <w:r>
              <w:rPr>
                <w:noProof/>
                <w:webHidden/>
              </w:rPr>
              <w:fldChar w:fldCharType="separate"/>
            </w:r>
            <w:r>
              <w:rPr>
                <w:noProof/>
                <w:webHidden/>
              </w:rPr>
              <w:t>37</w:t>
            </w:r>
            <w:r>
              <w:rPr>
                <w:noProof/>
                <w:webHidden/>
              </w:rPr>
              <w:fldChar w:fldCharType="end"/>
            </w:r>
          </w:hyperlink>
        </w:p>
        <w:p w14:paraId="685578D3" w14:textId="71C60BA1" w:rsidR="004E750C" w:rsidRDefault="004E750C">
          <w:pPr>
            <w:pStyle w:val="TOC1"/>
            <w:tabs>
              <w:tab w:val="right" w:leader="dot" w:pos="10790"/>
            </w:tabs>
            <w:rPr>
              <w:b w:val="0"/>
              <w:bCs w:val="0"/>
              <w:i w:val="0"/>
              <w:iCs w:val="0"/>
              <w:noProof/>
            </w:rPr>
          </w:pPr>
          <w:hyperlink w:anchor="_Toc221608523" w:history="1">
            <w:r w:rsidRPr="004D20BF">
              <w:rPr>
                <w:rStyle w:val="Hyperlink"/>
                <w:noProof/>
              </w:rPr>
              <w:t>Supplemental Figure 28 – Kuppe 2022 spatial remote zone and fibrotic zone fetal reactivation</w:t>
            </w:r>
            <w:r>
              <w:rPr>
                <w:noProof/>
                <w:webHidden/>
              </w:rPr>
              <w:tab/>
            </w:r>
            <w:r>
              <w:rPr>
                <w:noProof/>
                <w:webHidden/>
              </w:rPr>
              <w:fldChar w:fldCharType="begin"/>
            </w:r>
            <w:r>
              <w:rPr>
                <w:noProof/>
                <w:webHidden/>
              </w:rPr>
              <w:instrText xml:space="preserve"> PAGEREF _Toc221608523 \h </w:instrText>
            </w:r>
            <w:r>
              <w:rPr>
                <w:noProof/>
                <w:webHidden/>
              </w:rPr>
            </w:r>
            <w:r>
              <w:rPr>
                <w:noProof/>
                <w:webHidden/>
              </w:rPr>
              <w:fldChar w:fldCharType="separate"/>
            </w:r>
            <w:r>
              <w:rPr>
                <w:noProof/>
                <w:webHidden/>
              </w:rPr>
              <w:t>38</w:t>
            </w:r>
            <w:r>
              <w:rPr>
                <w:noProof/>
                <w:webHidden/>
              </w:rPr>
              <w:fldChar w:fldCharType="end"/>
            </w:r>
          </w:hyperlink>
        </w:p>
        <w:p w14:paraId="32092E50" w14:textId="369D821B" w:rsidR="004E750C" w:rsidRDefault="004E750C">
          <w:pPr>
            <w:pStyle w:val="TOC1"/>
            <w:tabs>
              <w:tab w:val="right" w:leader="dot" w:pos="10790"/>
            </w:tabs>
            <w:rPr>
              <w:b w:val="0"/>
              <w:bCs w:val="0"/>
              <w:i w:val="0"/>
              <w:iCs w:val="0"/>
              <w:noProof/>
            </w:rPr>
          </w:pPr>
          <w:hyperlink w:anchor="_Toc221608524" w:history="1">
            <w:r w:rsidRPr="004D20BF">
              <w:rPr>
                <w:rStyle w:val="Hyperlink"/>
                <w:noProof/>
              </w:rPr>
              <w:t>Supplemental Figure 29 – DCM GWAS localization</w:t>
            </w:r>
            <w:r>
              <w:rPr>
                <w:noProof/>
                <w:webHidden/>
              </w:rPr>
              <w:tab/>
            </w:r>
            <w:r>
              <w:rPr>
                <w:noProof/>
                <w:webHidden/>
              </w:rPr>
              <w:fldChar w:fldCharType="begin"/>
            </w:r>
            <w:r>
              <w:rPr>
                <w:noProof/>
                <w:webHidden/>
              </w:rPr>
              <w:instrText xml:space="preserve"> PAGEREF _Toc221608524 \h </w:instrText>
            </w:r>
            <w:r>
              <w:rPr>
                <w:noProof/>
                <w:webHidden/>
              </w:rPr>
            </w:r>
            <w:r>
              <w:rPr>
                <w:noProof/>
                <w:webHidden/>
              </w:rPr>
              <w:fldChar w:fldCharType="separate"/>
            </w:r>
            <w:r>
              <w:rPr>
                <w:noProof/>
                <w:webHidden/>
              </w:rPr>
              <w:t>42</w:t>
            </w:r>
            <w:r>
              <w:rPr>
                <w:noProof/>
                <w:webHidden/>
              </w:rPr>
              <w:fldChar w:fldCharType="end"/>
            </w:r>
          </w:hyperlink>
        </w:p>
        <w:p w14:paraId="25428FFA" w14:textId="18AFEEB7" w:rsidR="004E750C" w:rsidRDefault="004E750C">
          <w:pPr>
            <w:pStyle w:val="TOC1"/>
            <w:tabs>
              <w:tab w:val="right" w:leader="dot" w:pos="10790"/>
            </w:tabs>
            <w:rPr>
              <w:b w:val="0"/>
              <w:bCs w:val="0"/>
              <w:i w:val="0"/>
              <w:iCs w:val="0"/>
              <w:noProof/>
            </w:rPr>
          </w:pPr>
          <w:hyperlink w:anchor="_Toc221608525" w:history="1">
            <w:r w:rsidRPr="004D20BF">
              <w:rPr>
                <w:rStyle w:val="Hyperlink"/>
                <w:noProof/>
              </w:rPr>
              <w:t>Supplemental Figure 30 – HCM GWAS intersection with peak-to-gene linkages</w:t>
            </w:r>
            <w:r>
              <w:rPr>
                <w:noProof/>
                <w:webHidden/>
              </w:rPr>
              <w:tab/>
            </w:r>
            <w:r>
              <w:rPr>
                <w:noProof/>
                <w:webHidden/>
              </w:rPr>
              <w:fldChar w:fldCharType="begin"/>
            </w:r>
            <w:r>
              <w:rPr>
                <w:noProof/>
                <w:webHidden/>
              </w:rPr>
              <w:instrText xml:space="preserve"> PAGEREF _Toc221608525 \h </w:instrText>
            </w:r>
            <w:r>
              <w:rPr>
                <w:noProof/>
                <w:webHidden/>
              </w:rPr>
            </w:r>
            <w:r>
              <w:rPr>
                <w:noProof/>
                <w:webHidden/>
              </w:rPr>
              <w:fldChar w:fldCharType="separate"/>
            </w:r>
            <w:r>
              <w:rPr>
                <w:noProof/>
                <w:webHidden/>
              </w:rPr>
              <w:t>45</w:t>
            </w:r>
            <w:r>
              <w:rPr>
                <w:noProof/>
                <w:webHidden/>
              </w:rPr>
              <w:fldChar w:fldCharType="end"/>
            </w:r>
          </w:hyperlink>
        </w:p>
        <w:p w14:paraId="059A264B" w14:textId="4650317E" w:rsidR="004E750C" w:rsidRDefault="004E750C">
          <w:pPr>
            <w:pStyle w:val="TOC1"/>
            <w:tabs>
              <w:tab w:val="right" w:leader="dot" w:pos="10790"/>
            </w:tabs>
            <w:rPr>
              <w:b w:val="0"/>
              <w:bCs w:val="0"/>
              <w:i w:val="0"/>
              <w:iCs w:val="0"/>
              <w:noProof/>
            </w:rPr>
          </w:pPr>
          <w:hyperlink w:anchor="_Toc221608526" w:history="1">
            <w:r w:rsidRPr="004D20BF">
              <w:rPr>
                <w:rStyle w:val="Hyperlink"/>
                <w:noProof/>
              </w:rPr>
              <w:t>Supplemental Figure 31 – Bulk tissue expression for prioritized genes of rs4616</w:t>
            </w:r>
            <w:r>
              <w:rPr>
                <w:noProof/>
                <w:webHidden/>
              </w:rPr>
              <w:tab/>
            </w:r>
            <w:r>
              <w:rPr>
                <w:noProof/>
                <w:webHidden/>
              </w:rPr>
              <w:fldChar w:fldCharType="begin"/>
            </w:r>
            <w:r>
              <w:rPr>
                <w:noProof/>
                <w:webHidden/>
              </w:rPr>
              <w:instrText xml:space="preserve"> PAGEREF _Toc221608526 \h </w:instrText>
            </w:r>
            <w:r>
              <w:rPr>
                <w:noProof/>
                <w:webHidden/>
              </w:rPr>
            </w:r>
            <w:r>
              <w:rPr>
                <w:noProof/>
                <w:webHidden/>
              </w:rPr>
              <w:fldChar w:fldCharType="separate"/>
            </w:r>
            <w:r>
              <w:rPr>
                <w:noProof/>
                <w:webHidden/>
              </w:rPr>
              <w:t>46</w:t>
            </w:r>
            <w:r>
              <w:rPr>
                <w:noProof/>
                <w:webHidden/>
              </w:rPr>
              <w:fldChar w:fldCharType="end"/>
            </w:r>
          </w:hyperlink>
        </w:p>
        <w:p w14:paraId="5BA08C69" w14:textId="05BBAEC4" w:rsidR="00194353" w:rsidRPr="00292F79" w:rsidRDefault="00B70500" w:rsidP="00A2062C">
          <w:pPr>
            <w:rPr>
              <w:rFonts w:ascii="Arial" w:hAnsi="Arial" w:cs="Arial"/>
              <w:sz w:val="20"/>
              <w:szCs w:val="20"/>
            </w:rPr>
          </w:pPr>
          <w:r w:rsidRPr="00292F79">
            <w:rPr>
              <w:rFonts w:ascii="Arial" w:hAnsi="Arial" w:cs="Arial"/>
              <w:noProof/>
              <w:sz w:val="22"/>
              <w:szCs w:val="22"/>
            </w:rPr>
            <w:fldChar w:fldCharType="end"/>
          </w:r>
        </w:p>
      </w:sdtContent>
    </w:sdt>
    <w:p w14:paraId="1C61D332" w14:textId="77777777" w:rsidR="00194353" w:rsidRDefault="00194353" w:rsidP="00A2062C">
      <w:pPr>
        <w:rPr>
          <w:rFonts w:ascii="Arial" w:hAnsi="Arial" w:cs="Arial"/>
          <w:sz w:val="21"/>
          <w:szCs w:val="21"/>
        </w:rPr>
      </w:pPr>
    </w:p>
    <w:p w14:paraId="35AC413B" w14:textId="2B007D33" w:rsidR="00F94AAA" w:rsidRPr="00F75BDD" w:rsidRDefault="00F94AAA">
      <w:pPr>
        <w:rPr>
          <w:rFonts w:ascii="Arial" w:hAnsi="Arial" w:cs="Arial"/>
          <w:b/>
          <w:bCs/>
          <w:sz w:val="22"/>
          <w:szCs w:val="22"/>
        </w:rPr>
      </w:pPr>
      <w:r w:rsidRPr="00F75BDD">
        <w:rPr>
          <w:rFonts w:ascii="Arial" w:hAnsi="Arial" w:cs="Arial"/>
          <w:b/>
          <w:bCs/>
          <w:sz w:val="22"/>
          <w:szCs w:val="22"/>
        </w:rPr>
        <w:br w:type="page"/>
      </w:r>
      <w:r w:rsidR="0046591D" w:rsidRPr="00F75BDD">
        <w:rPr>
          <w:rFonts w:ascii="Arial" w:hAnsi="Arial" w:cs="Arial"/>
          <w:b/>
          <w:bCs/>
          <w:sz w:val="22"/>
          <w:szCs w:val="22"/>
        </w:rPr>
        <w:lastRenderedPageBreak/>
        <w:t>All references cited in this document correspond to the reference list in the main text.</w:t>
      </w:r>
      <w:r w:rsidR="0046591D" w:rsidRPr="00F75BDD">
        <w:rPr>
          <w:rFonts w:ascii="Arial" w:hAnsi="Arial" w:cs="Arial"/>
          <w:b/>
          <w:bCs/>
          <w:sz w:val="22"/>
          <w:szCs w:val="22"/>
        </w:rPr>
        <w:br w:type="page"/>
      </w:r>
    </w:p>
    <w:p w14:paraId="39C8A5FD" w14:textId="2AC6DC82" w:rsidR="00F94AAA" w:rsidRDefault="00F94AAA" w:rsidP="00F94AAA">
      <w:pPr>
        <w:rPr>
          <w:rFonts w:ascii="Arial" w:hAnsi="Arial" w:cs="Arial"/>
          <w:noProof/>
          <w:sz w:val="21"/>
          <w:szCs w:val="21"/>
        </w:rPr>
      </w:pPr>
    </w:p>
    <w:p w14:paraId="6194B99E" w14:textId="77777777" w:rsidR="00F94AAA" w:rsidRDefault="00F94AAA" w:rsidP="00F94AAA">
      <w:pPr>
        <w:jc w:val="center"/>
        <w:rPr>
          <w:rFonts w:ascii="Arial" w:hAnsi="Arial" w:cs="Arial"/>
          <w:sz w:val="22"/>
          <w:szCs w:val="22"/>
        </w:rPr>
      </w:pPr>
      <w:r>
        <w:rPr>
          <w:rFonts w:ascii="Arial" w:hAnsi="Arial" w:cs="Arial"/>
          <w:noProof/>
          <w:sz w:val="22"/>
          <w:szCs w:val="22"/>
        </w:rPr>
        <w:drawing>
          <wp:inline distT="0" distB="0" distL="0" distR="0" wp14:anchorId="403AB370" wp14:editId="154EC6DF">
            <wp:extent cx="5702300" cy="7150100"/>
            <wp:effectExtent l="0" t="0" r="0" b="0"/>
            <wp:docPr id="20443849" name="Picture 1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849" name="Picture 18" descr="A screenshot of a computer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02300" cy="7150100"/>
                    </a:xfrm>
                    <a:prstGeom prst="rect">
                      <a:avLst/>
                    </a:prstGeom>
                  </pic:spPr>
                </pic:pic>
              </a:graphicData>
            </a:graphic>
          </wp:inline>
        </w:drawing>
      </w:r>
    </w:p>
    <w:p w14:paraId="21A1D305" w14:textId="77777777" w:rsidR="00F94AAA" w:rsidRPr="00625B8A" w:rsidRDefault="00F94AAA" w:rsidP="00F94AAA">
      <w:pPr>
        <w:rPr>
          <w:rFonts w:ascii="Arial" w:hAnsi="Arial" w:cs="Arial"/>
          <w:sz w:val="20"/>
          <w:szCs w:val="20"/>
        </w:rPr>
      </w:pPr>
      <w:bookmarkStart w:id="0" w:name="_Toc221608496"/>
      <w:r>
        <w:rPr>
          <w:rStyle w:val="Heading1Char"/>
          <w:rFonts w:ascii="Arial" w:hAnsi="Arial" w:cs="Arial"/>
          <w:b/>
          <w:bCs/>
          <w:sz w:val="20"/>
          <w:szCs w:val="20"/>
        </w:rPr>
        <w:t>Fig.</w:t>
      </w:r>
      <w:r w:rsidRPr="00904255">
        <w:rPr>
          <w:rStyle w:val="Heading1Char"/>
          <w:rFonts w:ascii="Arial" w:hAnsi="Arial" w:cs="Arial"/>
          <w:b/>
          <w:bCs/>
          <w:sz w:val="20"/>
          <w:szCs w:val="20"/>
        </w:rPr>
        <w:t xml:space="preserve"> </w:t>
      </w:r>
      <w:r>
        <w:rPr>
          <w:rStyle w:val="Heading1Char"/>
          <w:rFonts w:ascii="Arial" w:hAnsi="Arial" w:cs="Arial"/>
          <w:b/>
          <w:bCs/>
          <w:sz w:val="20"/>
          <w:szCs w:val="20"/>
        </w:rPr>
        <w:t>S1</w:t>
      </w:r>
      <w:r w:rsidRPr="00904255">
        <w:rPr>
          <w:rStyle w:val="Heading1Char"/>
          <w:rFonts w:ascii="Arial" w:hAnsi="Arial" w:cs="Arial"/>
          <w:b/>
          <w:bCs/>
          <w:sz w:val="20"/>
          <w:szCs w:val="20"/>
        </w:rPr>
        <w:t xml:space="preserve"> – </w:t>
      </w:r>
      <w:r>
        <w:rPr>
          <w:rStyle w:val="Heading1Char"/>
          <w:rFonts w:ascii="Arial" w:hAnsi="Arial" w:cs="Arial"/>
          <w:b/>
          <w:bCs/>
          <w:sz w:val="20"/>
          <w:szCs w:val="20"/>
        </w:rPr>
        <w:t>Metadata for integrated multiomic atlas</w:t>
      </w:r>
      <w:bookmarkEnd w:id="0"/>
      <w:r w:rsidRPr="00904255">
        <w:rPr>
          <w:rFonts w:ascii="Arial" w:hAnsi="Arial" w:cs="Arial"/>
          <w:sz w:val="20"/>
          <w:szCs w:val="20"/>
        </w:rPr>
        <w:t xml:space="preserve">: </w:t>
      </w:r>
      <w:r w:rsidRPr="00904255">
        <w:rPr>
          <w:rFonts w:ascii="Arial" w:hAnsi="Arial" w:cs="Arial"/>
          <w:b/>
          <w:bCs/>
          <w:sz w:val="20"/>
          <w:szCs w:val="20"/>
        </w:rPr>
        <w:t>(a)</w:t>
      </w:r>
      <w:r>
        <w:rPr>
          <w:rFonts w:ascii="Arial" w:hAnsi="Arial" w:cs="Arial"/>
          <w:sz w:val="20"/>
          <w:szCs w:val="20"/>
        </w:rPr>
        <w:t xml:space="preserve"> Integration of 11 different snRNA-seq datasets that had varying numbers of fetal, non-diseased postnatal, and diseased postnatal donors. The technology used by each study also varies.</w:t>
      </w:r>
      <w:r>
        <w:rPr>
          <w:rFonts w:ascii="Arial" w:hAnsi="Arial" w:cs="Arial"/>
          <w:b/>
          <w:bCs/>
          <w:sz w:val="20"/>
          <w:szCs w:val="20"/>
        </w:rPr>
        <w:t xml:space="preserve"> </w:t>
      </w:r>
      <w:r w:rsidRPr="00904255">
        <w:rPr>
          <w:rFonts w:ascii="Arial" w:hAnsi="Arial" w:cs="Arial"/>
          <w:b/>
          <w:bCs/>
          <w:sz w:val="20"/>
          <w:szCs w:val="20"/>
        </w:rPr>
        <w:t>(</w:t>
      </w:r>
      <w:r>
        <w:rPr>
          <w:rFonts w:ascii="Arial" w:hAnsi="Arial" w:cs="Arial"/>
          <w:b/>
          <w:bCs/>
          <w:sz w:val="20"/>
          <w:szCs w:val="20"/>
        </w:rPr>
        <w:t>b</w:t>
      </w:r>
      <w:r w:rsidRPr="00904255">
        <w:rPr>
          <w:rFonts w:ascii="Arial" w:hAnsi="Arial" w:cs="Arial"/>
          <w:b/>
          <w:bCs/>
          <w:sz w:val="20"/>
          <w:szCs w:val="20"/>
        </w:rPr>
        <w:t>)</w:t>
      </w:r>
      <w:r w:rsidRPr="00904255">
        <w:rPr>
          <w:rFonts w:ascii="Arial" w:hAnsi="Arial" w:cs="Arial"/>
          <w:sz w:val="20"/>
          <w:szCs w:val="20"/>
        </w:rPr>
        <w:t xml:space="preserve"> </w:t>
      </w:r>
      <w:r>
        <w:rPr>
          <w:rFonts w:ascii="Arial" w:hAnsi="Arial" w:cs="Arial"/>
          <w:sz w:val="20"/>
          <w:szCs w:val="20"/>
        </w:rPr>
        <w:t xml:space="preserve">We defined young as age </w:t>
      </w:r>
      <w:r w:rsidRPr="00C068FA">
        <w:rPr>
          <w:rFonts w:ascii="Arial" w:hAnsi="Arial" w:cs="Arial"/>
          <w:color w:val="001D35"/>
          <w:sz w:val="20"/>
          <w:szCs w:val="20"/>
          <w:shd w:val="clear" w:color="auto" w:fill="FFFFFF"/>
        </w:rPr>
        <w:t>≤</w:t>
      </w:r>
      <w:r>
        <w:rPr>
          <w:rFonts w:ascii="Arial" w:hAnsi="Arial" w:cs="Arial"/>
          <w:sz w:val="20"/>
          <w:szCs w:val="20"/>
        </w:rPr>
        <w:t xml:space="preserve">40 and old as age </w:t>
      </w:r>
      <w:r w:rsidRPr="00C068FA">
        <w:rPr>
          <w:rFonts w:ascii="Arial" w:hAnsi="Arial" w:cs="Arial"/>
          <w:color w:val="001D35"/>
          <w:sz w:val="20"/>
          <w:szCs w:val="20"/>
          <w:shd w:val="clear" w:color="auto" w:fill="FFFFFF"/>
        </w:rPr>
        <w:t>≥</w:t>
      </w:r>
      <w:r>
        <w:rPr>
          <w:rFonts w:ascii="Arial" w:hAnsi="Arial" w:cs="Arial"/>
          <w:sz w:val="20"/>
          <w:szCs w:val="20"/>
        </w:rPr>
        <w:t>60. These cutoffs were used to provide enough donors for the aging contrast (old vs. young) in differential expression analysis and since cardiovascular disease risk increases significantly after age 60. Using other approaches such as k-means clustering and using tertiles would not greatly change the exact age cutoffs of “young” and “old”.</w:t>
      </w:r>
      <w:r w:rsidRPr="00D44FB8">
        <w:rPr>
          <w:rFonts w:ascii="Arial" w:hAnsi="Arial" w:cs="Arial"/>
          <w:b/>
          <w:bCs/>
          <w:sz w:val="20"/>
          <w:szCs w:val="20"/>
        </w:rPr>
        <w:t xml:space="preserve"> </w:t>
      </w:r>
      <w:r w:rsidRPr="00F402FC">
        <w:rPr>
          <w:rFonts w:ascii="Arial" w:hAnsi="Arial" w:cs="Arial"/>
          <w:b/>
          <w:bCs/>
          <w:sz w:val="20"/>
          <w:szCs w:val="20"/>
        </w:rPr>
        <w:t>(</w:t>
      </w:r>
      <w:r>
        <w:rPr>
          <w:rFonts w:ascii="Arial" w:hAnsi="Arial" w:cs="Arial"/>
          <w:b/>
          <w:bCs/>
          <w:sz w:val="20"/>
          <w:szCs w:val="20"/>
        </w:rPr>
        <w:t>c</w:t>
      </w:r>
      <w:r w:rsidRPr="00F402FC">
        <w:rPr>
          <w:rFonts w:ascii="Arial" w:hAnsi="Arial" w:cs="Arial"/>
          <w:b/>
          <w:bCs/>
          <w:sz w:val="20"/>
          <w:szCs w:val="20"/>
        </w:rPr>
        <w:t>)</w:t>
      </w:r>
      <w:r w:rsidRPr="00F402FC">
        <w:rPr>
          <w:rFonts w:ascii="Arial" w:hAnsi="Arial" w:cs="Arial"/>
          <w:sz w:val="20"/>
          <w:szCs w:val="20"/>
        </w:rPr>
        <w:t xml:space="preserve"> Donors </w:t>
      </w:r>
      <w:r>
        <w:rPr>
          <w:rFonts w:ascii="Arial" w:hAnsi="Arial" w:cs="Arial"/>
          <w:sz w:val="20"/>
          <w:szCs w:val="20"/>
        </w:rPr>
        <w:t>in terms of</w:t>
      </w:r>
      <w:r w:rsidRPr="00F402FC">
        <w:rPr>
          <w:rFonts w:ascii="Arial" w:hAnsi="Arial" w:cs="Arial"/>
          <w:sz w:val="20"/>
          <w:szCs w:val="20"/>
        </w:rPr>
        <w:t xml:space="preserve"> age status and disease class (not binarized but split according to t</w:t>
      </w:r>
      <w:r>
        <w:rPr>
          <w:rFonts w:ascii="Arial" w:hAnsi="Arial" w:cs="Arial"/>
          <w:sz w:val="20"/>
          <w:szCs w:val="20"/>
        </w:rPr>
        <w:t xml:space="preserve">he </w:t>
      </w:r>
      <w:r w:rsidRPr="00F402FC">
        <w:rPr>
          <w:rFonts w:ascii="Arial" w:hAnsi="Arial" w:cs="Arial"/>
          <w:sz w:val="20"/>
          <w:szCs w:val="20"/>
        </w:rPr>
        <w:t>disease</w:t>
      </w:r>
      <w:r>
        <w:rPr>
          <w:rFonts w:ascii="Arial" w:hAnsi="Arial" w:cs="Arial"/>
          <w:sz w:val="20"/>
          <w:szCs w:val="20"/>
        </w:rPr>
        <w:t xml:space="preserve"> subtype</w:t>
      </w:r>
      <w:r w:rsidRPr="00F402FC">
        <w:rPr>
          <w:rFonts w:ascii="Arial" w:hAnsi="Arial" w:cs="Arial"/>
          <w:sz w:val="20"/>
          <w:szCs w:val="20"/>
        </w:rPr>
        <w:t>)</w:t>
      </w:r>
      <w:r>
        <w:rPr>
          <w:rFonts w:ascii="Arial" w:hAnsi="Arial" w:cs="Arial"/>
          <w:sz w:val="20"/>
          <w:szCs w:val="20"/>
        </w:rPr>
        <w:t>.</w:t>
      </w:r>
    </w:p>
    <w:p w14:paraId="58291A84" w14:textId="77777777" w:rsidR="00F94AAA" w:rsidRPr="00B82E9A" w:rsidRDefault="00F94AAA" w:rsidP="00F94AAA">
      <w:pPr>
        <w:rPr>
          <w:rStyle w:val="Heading1Char"/>
          <w:rFonts w:ascii="Arial" w:eastAsiaTheme="minorEastAsia" w:hAnsi="Arial" w:cs="Arial"/>
          <w:color w:val="auto"/>
          <w:sz w:val="21"/>
          <w:szCs w:val="21"/>
        </w:rPr>
      </w:pPr>
      <w:r>
        <w:rPr>
          <w:rFonts w:ascii="Arial" w:hAnsi="Arial" w:cs="Arial"/>
          <w:noProof/>
          <w:sz w:val="21"/>
          <w:szCs w:val="21"/>
        </w:rPr>
        <w:lastRenderedPageBreak/>
        <w:drawing>
          <wp:inline distT="0" distB="0" distL="0" distR="0" wp14:anchorId="2B81F97A" wp14:editId="0A301961">
            <wp:extent cx="6858000" cy="5957570"/>
            <wp:effectExtent l="0" t="0" r="0" b="0"/>
            <wp:docPr id="216151777" name="Picture 1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51777" name="Picture 19" descr="A screenshot of a computer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5957570"/>
                    </a:xfrm>
                    <a:prstGeom prst="rect">
                      <a:avLst/>
                    </a:prstGeom>
                  </pic:spPr>
                </pic:pic>
              </a:graphicData>
            </a:graphic>
          </wp:inline>
        </w:drawing>
      </w:r>
    </w:p>
    <w:p w14:paraId="3BEB2088" w14:textId="77777777" w:rsidR="00F94AAA" w:rsidRPr="00904255" w:rsidRDefault="00F94AAA" w:rsidP="00F94AAA">
      <w:pPr>
        <w:rPr>
          <w:rFonts w:ascii="Arial" w:hAnsi="Arial" w:cs="Arial"/>
          <w:sz w:val="20"/>
          <w:szCs w:val="20"/>
        </w:rPr>
      </w:pPr>
      <w:bookmarkStart w:id="1" w:name="_Toc221608497"/>
      <w:r>
        <w:rPr>
          <w:rStyle w:val="Heading1Char"/>
          <w:rFonts w:ascii="Arial" w:hAnsi="Arial" w:cs="Arial"/>
          <w:b/>
          <w:bCs/>
          <w:sz w:val="20"/>
          <w:szCs w:val="20"/>
        </w:rPr>
        <w:t>Fig. S2</w:t>
      </w:r>
      <w:r w:rsidRPr="00904255">
        <w:rPr>
          <w:rStyle w:val="Heading1Char"/>
          <w:rFonts w:ascii="Arial" w:hAnsi="Arial" w:cs="Arial"/>
          <w:b/>
          <w:bCs/>
          <w:sz w:val="20"/>
          <w:szCs w:val="20"/>
        </w:rPr>
        <w:t xml:space="preserve"> – </w:t>
      </w:r>
      <w:r w:rsidRPr="002C6AA6">
        <w:rPr>
          <w:rStyle w:val="Heading1Char"/>
          <w:rFonts w:ascii="Arial" w:hAnsi="Arial" w:cs="Arial"/>
          <w:b/>
          <w:bCs/>
          <w:sz w:val="20"/>
          <w:szCs w:val="20"/>
        </w:rPr>
        <w:t xml:space="preserve">Single-nucleus </w:t>
      </w:r>
      <w:r>
        <w:rPr>
          <w:rStyle w:val="Heading1Char"/>
          <w:rFonts w:ascii="Arial" w:hAnsi="Arial" w:cs="Arial"/>
          <w:b/>
          <w:bCs/>
          <w:sz w:val="20"/>
          <w:szCs w:val="20"/>
        </w:rPr>
        <w:t>RNA</w:t>
      </w:r>
      <w:r w:rsidRPr="002C6AA6">
        <w:rPr>
          <w:rStyle w:val="Heading1Char"/>
          <w:rFonts w:ascii="Arial" w:hAnsi="Arial" w:cs="Arial"/>
          <w:b/>
          <w:bCs/>
          <w:sz w:val="20"/>
          <w:szCs w:val="20"/>
        </w:rPr>
        <w:t>-seq dataset of human cardiac development and aging generated in this study</w:t>
      </w:r>
      <w:r>
        <w:rPr>
          <w:rStyle w:val="Heading1Char"/>
          <w:rFonts w:ascii="Arial" w:hAnsi="Arial" w:cs="Arial"/>
          <w:b/>
          <w:bCs/>
          <w:sz w:val="20"/>
          <w:szCs w:val="20"/>
        </w:rPr>
        <w:t xml:space="preserve"> (Penn)</w:t>
      </w:r>
      <w:bookmarkEnd w:id="1"/>
      <w:r w:rsidRPr="00904255">
        <w:rPr>
          <w:rFonts w:ascii="Arial" w:hAnsi="Arial" w:cs="Arial"/>
          <w:sz w:val="20"/>
          <w:szCs w:val="20"/>
        </w:rPr>
        <w:t xml:space="preserve">: </w:t>
      </w:r>
      <w:r w:rsidRPr="00904255">
        <w:rPr>
          <w:rFonts w:ascii="Arial" w:hAnsi="Arial" w:cs="Arial"/>
          <w:b/>
          <w:bCs/>
          <w:sz w:val="20"/>
          <w:szCs w:val="20"/>
        </w:rPr>
        <w:t xml:space="preserve">(a) </w:t>
      </w:r>
      <w:r w:rsidRPr="00904255">
        <w:rPr>
          <w:rFonts w:ascii="Arial" w:hAnsi="Arial" w:cs="Arial"/>
          <w:sz w:val="20"/>
          <w:szCs w:val="20"/>
        </w:rPr>
        <w:t>Summary of new donors included in this study, including 2 fetal donors and 17 postnatal donors (ages 22-91). 2 donors had a diagnosis of dilated cardiomyopathy (DCM).</w:t>
      </w:r>
      <w:r>
        <w:rPr>
          <w:rFonts w:ascii="Arial" w:hAnsi="Arial" w:cs="Arial"/>
          <w:sz w:val="20"/>
          <w:szCs w:val="20"/>
        </w:rPr>
        <w:t xml:space="preserve"> snRNA-seq data was generated using the generated the sNucDrop-seq protocol. Preprocessing of raw sequencing reads to count matrix was performed using </w:t>
      </w:r>
      <w:proofErr w:type="spellStart"/>
      <w:r>
        <w:rPr>
          <w:rFonts w:ascii="Arial" w:hAnsi="Arial" w:cs="Arial"/>
          <w:sz w:val="20"/>
          <w:szCs w:val="20"/>
        </w:rPr>
        <w:t>STARSolo</w:t>
      </w:r>
      <w:proofErr w:type="spellEnd"/>
      <w:r>
        <w:rPr>
          <w:rFonts w:ascii="Arial" w:hAnsi="Arial" w:cs="Arial"/>
          <w:sz w:val="20"/>
          <w:szCs w:val="20"/>
        </w:rPr>
        <w:t>.</w:t>
      </w:r>
      <w:r w:rsidRPr="00904255">
        <w:rPr>
          <w:rFonts w:ascii="Arial" w:hAnsi="Arial" w:cs="Arial"/>
          <w:sz w:val="20"/>
          <w:szCs w:val="20"/>
        </w:rPr>
        <w:t xml:space="preserve"> </w:t>
      </w:r>
      <w:r w:rsidRPr="00904255">
        <w:rPr>
          <w:rFonts w:ascii="Arial" w:hAnsi="Arial" w:cs="Arial"/>
          <w:b/>
          <w:bCs/>
          <w:sz w:val="20"/>
          <w:szCs w:val="20"/>
        </w:rPr>
        <w:t>(b)</w:t>
      </w:r>
      <w:r w:rsidRPr="00904255">
        <w:rPr>
          <w:rFonts w:ascii="Arial" w:hAnsi="Arial" w:cs="Arial"/>
          <w:sz w:val="20"/>
          <w:szCs w:val="20"/>
        </w:rPr>
        <w:t xml:space="preserve"> Cardiac regions sampled per donor and number of high-quality nuclei per region x donor. </w:t>
      </w:r>
      <w:r w:rsidRPr="00904255">
        <w:rPr>
          <w:rFonts w:ascii="Arial" w:hAnsi="Arial" w:cs="Arial"/>
          <w:b/>
          <w:bCs/>
          <w:sz w:val="20"/>
          <w:szCs w:val="20"/>
        </w:rPr>
        <w:t>(c-d)</w:t>
      </w:r>
      <w:r w:rsidRPr="00904255">
        <w:rPr>
          <w:rFonts w:ascii="Arial" w:hAnsi="Arial" w:cs="Arial"/>
          <w:sz w:val="20"/>
          <w:szCs w:val="20"/>
        </w:rPr>
        <w:t xml:space="preserve"> Summary statistics of snRNA-seq libraries with different nuclei isolation methods, including number of genes and transcripts/UMIs per nucleus, in log scale, respectively. </w:t>
      </w:r>
      <w:r w:rsidRPr="00904255">
        <w:rPr>
          <w:rFonts w:ascii="Arial" w:hAnsi="Arial" w:cs="Arial"/>
          <w:b/>
          <w:bCs/>
          <w:sz w:val="20"/>
          <w:szCs w:val="20"/>
        </w:rPr>
        <w:t>(e)</w:t>
      </w:r>
      <w:r w:rsidRPr="00904255">
        <w:rPr>
          <w:rFonts w:ascii="Arial" w:hAnsi="Arial" w:cs="Arial"/>
          <w:sz w:val="20"/>
          <w:szCs w:val="20"/>
        </w:rPr>
        <w:t xml:space="preserve"> Dotplot showing marker gene expression across annotated cell-types </w:t>
      </w:r>
      <w:r w:rsidRPr="00904255">
        <w:rPr>
          <w:rFonts w:ascii="Arial" w:hAnsi="Arial" w:cs="Arial"/>
          <w:b/>
          <w:bCs/>
          <w:sz w:val="20"/>
          <w:szCs w:val="20"/>
        </w:rPr>
        <w:t>(f-g)</w:t>
      </w:r>
      <w:r w:rsidRPr="00904255">
        <w:rPr>
          <w:rFonts w:ascii="Arial" w:hAnsi="Arial" w:cs="Arial"/>
          <w:sz w:val="20"/>
          <w:szCs w:val="20"/>
        </w:rPr>
        <w:t xml:space="preserve"> UMAP visualization of cardiac cells colored by annotated cel</w:t>
      </w:r>
      <w:r>
        <w:rPr>
          <w:rFonts w:ascii="Arial" w:hAnsi="Arial" w:cs="Arial"/>
          <w:sz w:val="20"/>
          <w:szCs w:val="20"/>
        </w:rPr>
        <w:t xml:space="preserve">l </w:t>
      </w:r>
      <w:r w:rsidRPr="00904255">
        <w:rPr>
          <w:rFonts w:ascii="Arial" w:hAnsi="Arial" w:cs="Arial"/>
          <w:sz w:val="20"/>
          <w:szCs w:val="20"/>
        </w:rPr>
        <w:t xml:space="preserve">types and developmental + disease status, respectively. </w:t>
      </w:r>
      <w:r w:rsidRPr="00904255">
        <w:rPr>
          <w:rFonts w:ascii="Arial" w:hAnsi="Arial" w:cs="Arial"/>
          <w:b/>
          <w:bCs/>
          <w:sz w:val="20"/>
          <w:szCs w:val="20"/>
        </w:rPr>
        <w:t>(h)</w:t>
      </w:r>
      <w:r w:rsidRPr="00904255">
        <w:rPr>
          <w:rFonts w:ascii="Arial" w:hAnsi="Arial" w:cs="Arial"/>
          <w:sz w:val="20"/>
          <w:szCs w:val="20"/>
        </w:rPr>
        <w:t xml:space="preserve"> UMAP visualization of integrated snRNA-seq datasets of adult human left ventricle (LV, non-diseased) from this study and a published study (</w:t>
      </w:r>
      <w:proofErr w:type="spellStart"/>
      <w:r w:rsidRPr="00904255">
        <w:rPr>
          <w:rFonts w:ascii="Arial" w:hAnsi="Arial" w:cs="Arial"/>
          <w:sz w:val="20"/>
          <w:szCs w:val="20"/>
        </w:rPr>
        <w:t>Litvinukova</w:t>
      </w:r>
      <w:proofErr w:type="spellEnd"/>
      <w:r w:rsidRPr="00904255">
        <w:rPr>
          <w:rFonts w:ascii="Arial" w:hAnsi="Arial" w:cs="Arial"/>
          <w:sz w:val="20"/>
          <w:szCs w:val="20"/>
        </w:rPr>
        <w:t xml:space="preserve"> et al. 2020</w:t>
      </w:r>
      <w:r>
        <w:rPr>
          <w:rFonts w:ascii="Arial" w:hAnsi="Arial" w:cs="Arial"/>
          <w:sz w:val="20"/>
          <w:szCs w:val="20"/>
        </w:rPr>
        <w:fldChar w:fldCharType="begin"/>
      </w:r>
      <w:r>
        <w:rPr>
          <w:rFonts w:ascii="Arial" w:hAnsi="Arial" w:cs="Arial"/>
          <w:sz w:val="20"/>
          <w:szCs w:val="20"/>
        </w:rPr>
        <w:instrText xml:space="preserve"> ADDIN ZOTERO_ITEM CSL_CITATION {"citationID":"4ZwMzwwh","properties":{"unsorted":false,"formattedCitation":"(8)","plainCitation":"(8)","noteIndex":0},"citationItems":[{"id":7078,"uris":["http://zotero.org/users/12236467/items/886H2RAC"],"itemData":{"id":7078,"type":"article-journal","abstract":"Cardiovascular disease is the leading cause of death worldwide. Advanced insights into disease mechanisms and therapeutic strategies require a deeper understanding of the molecular processes involved in the healthy heart. Knowledge of the full repertoire of cardiac cells and their gene expression profiles is a fundamental first step in this endeavour. Here, using state-of-the-art analyses of large-scale single-cell and single-nucleus transcriptomes, we characterize six anatomical adult heart regions. Our results highlight the cellular heterogeneity of cardiomyocytes, pericytes and fibroblasts, and reveal distinct atrial and ventricular subsets of cells with diverse developmental origins and specialized properties. We define the complexity of the cardiac vasculature and its changes along the arterio-venous axis. In the immune compartment, we identify cardiac-resident macrophages with inflammatory and protective transcriptional signatures. Furthermore, analyses of cell-to-cell interactions highlight different networks of macrophages, fibroblasts and cardiomyocytes between atria and ventricles that are distinct from those of skeletal muscle. Our human cardiac cell atlas improves our understanding of the human heart and provides a valuable reference for future studies.","container-title":"Nature","DOI":"10.1038/s41586-020-2797-4","ISSN":"1476-4687","issue":"7838","language":"en","license":"2020 The Author(s)","page":"466-472","publisher":"Nature Publishing Group","source":"www-nature-com.proxy.library.upenn.edu","title":"Cells of the adult human heart","URL":"https://www.nature.com/articles/s41586-020-2797-4","volume":"588","author":[{"family":"Litviňuková","given":"Monika"},{"family":"Talavera-López","given":"Carlos"},{"family":"Maatz","given":"Henrike"},{"family":"Reichart","given":"Daniel"},{"family":"Worth","given":"Catherine L."},{"family":"Lindberg","given":"Eric L."},{"family":"Kanda","given":"Masatoshi"},{"family":"Polanski","given":"Krzysztof"},{"family":"Heinig","given":"Matthias"},{"family":"Lee","given":"Michael"},{"family":"Nadelmann","given":"Emily R."},{"family":"Roberts","given":"Kenny"},{"family":"Tuck","given":"Liz"},{"family":"Fasouli","given":"Eirini S."},{"family":"DeLaughter","given":"Daniel M."},{"family":"McDonough","given":"Barbara"},{"family":"Wakimoto","given":"Hiroko"},{"family":"Gorham","given":"Joshua M."},{"family":"Samari","given":"Sara"},{"family":"Mahbubani","given":"Krishnaa T."},{"family":"Saeb-Parsy","given":"Kourosh"},{"family":"Patone","given":"Giannino"},{"family":"Boyle","given":"Joseph J."},{"family":"Zhang","given":"Hongbo"},{"family":"Zhang","given":"Hao"},{"family":"Viveiros","given":"Anissa"},{"family":"Oudit","given":"Gavin Y."},{"family":"Bayraktar","given":"Omer Ali"},{"family":"Seidman","given":"J. G."},{"family":"Seidman","given":"Christine E."},{"family":"Noseda","given":"Michela"},{"family":"Hubner","given":"Norbert"},{"family":"Teichmann","given":"Sarah A."}],"accessed":{"date-parts":[["2024",3,11]]},"issued":{"date-parts":[["2020",12]]}}}],"schema":"https://github.com/citation-style-language/schema/raw/master/csl-citation.json"} </w:instrText>
      </w:r>
      <w:r>
        <w:rPr>
          <w:rFonts w:ascii="Arial" w:hAnsi="Arial" w:cs="Arial"/>
          <w:sz w:val="20"/>
          <w:szCs w:val="20"/>
        </w:rPr>
        <w:fldChar w:fldCharType="separate"/>
      </w:r>
      <w:r>
        <w:rPr>
          <w:rFonts w:ascii="Arial" w:hAnsi="Arial" w:cs="Arial"/>
          <w:sz w:val="20"/>
        </w:rPr>
        <w:t>(8)</w:t>
      </w:r>
      <w:r>
        <w:rPr>
          <w:rFonts w:ascii="Arial" w:hAnsi="Arial" w:cs="Arial"/>
          <w:sz w:val="20"/>
          <w:szCs w:val="20"/>
        </w:rPr>
        <w:fldChar w:fldCharType="end"/>
      </w:r>
      <w:r w:rsidRPr="00904255">
        <w:rPr>
          <w:rFonts w:ascii="Arial" w:hAnsi="Arial" w:cs="Arial"/>
          <w:sz w:val="20"/>
          <w:szCs w:val="20"/>
        </w:rPr>
        <w:t xml:space="preserve">). </w:t>
      </w:r>
      <w:r w:rsidRPr="00904255">
        <w:rPr>
          <w:rFonts w:ascii="Arial" w:hAnsi="Arial" w:cs="Arial"/>
          <w:b/>
          <w:bCs/>
          <w:sz w:val="20"/>
          <w:szCs w:val="20"/>
        </w:rPr>
        <w:t>(</w:t>
      </w:r>
      <w:proofErr w:type="spellStart"/>
      <w:r w:rsidRPr="00904255">
        <w:rPr>
          <w:rFonts w:ascii="Arial" w:hAnsi="Arial" w:cs="Arial"/>
          <w:b/>
          <w:bCs/>
          <w:sz w:val="20"/>
          <w:szCs w:val="20"/>
        </w:rPr>
        <w:t>i</w:t>
      </w:r>
      <w:proofErr w:type="spellEnd"/>
      <w:r w:rsidRPr="00904255">
        <w:rPr>
          <w:rFonts w:ascii="Arial" w:hAnsi="Arial" w:cs="Arial"/>
          <w:b/>
          <w:bCs/>
          <w:sz w:val="20"/>
          <w:szCs w:val="20"/>
        </w:rPr>
        <w:t>)</w:t>
      </w:r>
      <w:r w:rsidRPr="00904255">
        <w:rPr>
          <w:rFonts w:ascii="Arial" w:hAnsi="Arial" w:cs="Arial"/>
          <w:sz w:val="20"/>
          <w:szCs w:val="20"/>
        </w:rPr>
        <w:t xml:space="preserve"> Heatmaps showing the median prediction scores of paired clusters between this and </w:t>
      </w:r>
      <w:r>
        <w:rPr>
          <w:rFonts w:ascii="Arial" w:hAnsi="Arial" w:cs="Arial"/>
          <w:sz w:val="20"/>
          <w:szCs w:val="20"/>
        </w:rPr>
        <w:t xml:space="preserve">the </w:t>
      </w:r>
      <w:proofErr w:type="spellStart"/>
      <w:r w:rsidRPr="00904255">
        <w:rPr>
          <w:rFonts w:ascii="Arial" w:hAnsi="Arial" w:cs="Arial"/>
          <w:sz w:val="20"/>
          <w:szCs w:val="20"/>
        </w:rPr>
        <w:t>Litvinukova</w:t>
      </w:r>
      <w:proofErr w:type="spellEnd"/>
      <w:r w:rsidRPr="00904255">
        <w:rPr>
          <w:rFonts w:ascii="Arial" w:hAnsi="Arial" w:cs="Arial"/>
          <w:sz w:val="20"/>
          <w:szCs w:val="20"/>
        </w:rPr>
        <w:t xml:space="preserve"> et al. 2020</w:t>
      </w:r>
      <w:r>
        <w:rPr>
          <w:rFonts w:ascii="Arial" w:hAnsi="Arial" w:cs="Arial"/>
          <w:sz w:val="20"/>
          <w:szCs w:val="20"/>
        </w:rPr>
        <w:fldChar w:fldCharType="begin"/>
      </w:r>
      <w:r>
        <w:rPr>
          <w:rFonts w:ascii="Arial" w:hAnsi="Arial" w:cs="Arial"/>
          <w:sz w:val="20"/>
          <w:szCs w:val="20"/>
        </w:rPr>
        <w:instrText xml:space="preserve"> ADDIN ZOTERO_ITEM CSL_CITATION {"citationID":"ZI7qao9o","properties":{"unsorted":false,"formattedCitation":"(8)","plainCitation":"(8)","noteIndex":0},"citationItems":[{"id":7078,"uris":["http://zotero.org/users/12236467/items/886H2RAC"],"itemData":{"id":7078,"type":"article-journal","abstract":"Cardiovascular disease is the leading cause of death worldwide. Advanced insights into disease mechanisms and therapeutic strategies require a deeper understanding of the molecular processes involved in the healthy heart. Knowledge of the full repertoire of cardiac cells and their gene expression profiles is a fundamental first step in this endeavour. Here, using state-of-the-art analyses of large-scale single-cell and single-nucleus transcriptomes, we characterize six anatomical adult heart regions. Our results highlight the cellular heterogeneity of cardiomyocytes, pericytes and fibroblasts, and reveal distinct atrial and ventricular subsets of cells with diverse developmental origins and specialized properties. We define the complexity of the cardiac vasculature and its changes along the arterio-venous axis. In the immune compartment, we identify cardiac-resident macrophages with inflammatory and protective transcriptional signatures. Furthermore, analyses of cell-to-cell interactions highlight different networks of macrophages, fibroblasts and cardiomyocytes between atria and ventricles that are distinct from those of skeletal muscle. Our human cardiac cell atlas improves our understanding of the human heart and provides a valuable reference for future studies.","container-title":"Nature","DOI":"10.1038/s41586-020-2797-4","ISSN":"1476-4687","issue":"7838","language":"en","license":"2020 The Author(s)","page":"466-472","publisher":"Nature Publishing Group","source":"www-nature-com.proxy.library.upenn.edu","title":"Cells of the adult human heart","URL":"https://www.nature.com/articles/s41586-020-2797-4","volume":"588","author":[{"family":"Litviňuková","given":"Monika"},{"family":"Talavera-López","given":"Carlos"},{"family":"Maatz","given":"Henrike"},{"family":"Reichart","given":"Daniel"},{"family":"Worth","given":"Catherine L."},{"family":"Lindberg","given":"Eric L."},{"family":"Kanda","given":"Masatoshi"},{"family":"Polanski","given":"Krzysztof"},{"family":"Heinig","given":"Matthias"},{"family":"Lee","given":"Michael"},{"family":"Nadelmann","given":"Emily R."},{"family":"Roberts","given":"Kenny"},{"family":"Tuck","given":"Liz"},{"family":"Fasouli","given":"Eirini S."},{"family":"DeLaughter","given":"Daniel M."},{"family":"McDonough","given":"Barbara"},{"family":"Wakimoto","given":"Hiroko"},{"family":"Gorham","given":"Joshua M."},{"family":"Samari","given":"Sara"},{"family":"Mahbubani","given":"Krishnaa T."},{"family":"Saeb-Parsy","given":"Kourosh"},{"family":"Patone","given":"Giannino"},{"family":"Boyle","given":"Joseph J."},{"family":"Zhang","given":"Hongbo"},{"family":"Zhang","given":"Hao"},{"family":"Viveiros","given":"Anissa"},{"family":"Oudit","given":"Gavin Y."},{"family":"Bayraktar","given":"Omer Ali"},{"family":"Seidman","given":"J. G."},{"family":"Seidman","given":"Christine E."},{"family":"Noseda","given":"Michela"},{"family":"Hubner","given":"Norbert"},{"family":"Teichmann","given":"Sarah A."}],"accessed":{"date-parts":[["2024",3,11]]},"issued":{"date-parts":[["2020",12]]}}}],"schema":"https://github.com/citation-style-language/schema/raw/master/csl-citation.json"} </w:instrText>
      </w:r>
      <w:r>
        <w:rPr>
          <w:rFonts w:ascii="Arial" w:hAnsi="Arial" w:cs="Arial"/>
          <w:sz w:val="20"/>
          <w:szCs w:val="20"/>
        </w:rPr>
        <w:fldChar w:fldCharType="separate"/>
      </w:r>
      <w:r>
        <w:rPr>
          <w:rFonts w:ascii="Arial" w:hAnsi="Arial" w:cs="Arial"/>
          <w:sz w:val="20"/>
        </w:rPr>
        <w:t>(8)</w:t>
      </w:r>
      <w:r>
        <w:rPr>
          <w:rFonts w:ascii="Arial" w:hAnsi="Arial" w:cs="Arial"/>
          <w:sz w:val="20"/>
          <w:szCs w:val="20"/>
        </w:rPr>
        <w:fldChar w:fldCharType="end"/>
      </w:r>
      <w:r>
        <w:rPr>
          <w:rFonts w:ascii="Arial" w:hAnsi="Arial" w:cs="Arial"/>
          <w:sz w:val="20"/>
          <w:szCs w:val="20"/>
        </w:rPr>
        <w:t xml:space="preserve"> </w:t>
      </w:r>
      <w:r w:rsidRPr="00904255">
        <w:rPr>
          <w:rFonts w:ascii="Arial" w:hAnsi="Arial" w:cs="Arial"/>
          <w:sz w:val="20"/>
          <w:szCs w:val="20"/>
        </w:rPr>
        <w:t>using label transfer.</w:t>
      </w:r>
    </w:p>
    <w:p w14:paraId="464BCE6F" w14:textId="77777777" w:rsidR="00F94AAA" w:rsidRDefault="00F94AAA" w:rsidP="00F94AAA">
      <w:pPr>
        <w:rPr>
          <w:rFonts w:ascii="Arial" w:hAnsi="Arial" w:cs="Arial"/>
          <w:sz w:val="22"/>
          <w:szCs w:val="22"/>
        </w:rPr>
      </w:pPr>
    </w:p>
    <w:p w14:paraId="653B47AC" w14:textId="77777777" w:rsidR="00F94AAA" w:rsidRDefault="00F94AAA" w:rsidP="00F94AAA">
      <w:pPr>
        <w:rPr>
          <w:rFonts w:ascii="Arial" w:hAnsi="Arial" w:cs="Arial"/>
          <w:sz w:val="20"/>
          <w:szCs w:val="20"/>
        </w:rPr>
      </w:pPr>
      <w:r w:rsidRPr="002C6AA6">
        <w:rPr>
          <w:rFonts w:ascii="Arial" w:hAnsi="Arial" w:cs="Arial"/>
          <w:sz w:val="20"/>
          <w:szCs w:val="20"/>
        </w:rPr>
        <w:t xml:space="preserve"> </w:t>
      </w:r>
    </w:p>
    <w:p w14:paraId="2E397909" w14:textId="77777777" w:rsidR="00F94AAA" w:rsidRDefault="00F94AAA" w:rsidP="00F94AAA">
      <w:pPr>
        <w:rPr>
          <w:rFonts w:ascii="Arial" w:hAnsi="Arial" w:cs="Arial"/>
          <w:sz w:val="20"/>
          <w:szCs w:val="20"/>
        </w:rPr>
      </w:pPr>
    </w:p>
    <w:p w14:paraId="6DE52928"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760E3711" wp14:editId="1A638CC7">
            <wp:extent cx="5631121" cy="7109138"/>
            <wp:effectExtent l="0" t="0" r="0" b="3175"/>
            <wp:docPr id="153053574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35749" name="Picture 15305357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36234" cy="7115592"/>
                    </a:xfrm>
                    <a:prstGeom prst="rect">
                      <a:avLst/>
                    </a:prstGeom>
                  </pic:spPr>
                </pic:pic>
              </a:graphicData>
            </a:graphic>
          </wp:inline>
        </w:drawing>
      </w:r>
      <w:r>
        <w:rPr>
          <w:rFonts w:ascii="Arial" w:hAnsi="Arial" w:cs="Arial"/>
          <w:noProof/>
          <w:sz w:val="22"/>
          <w:szCs w:val="22"/>
        </w:rPr>
        <w:lastRenderedPageBreak/>
        <w:drawing>
          <wp:inline distT="0" distB="0" distL="0" distR="0" wp14:anchorId="781C5CAC" wp14:editId="731C1D08">
            <wp:extent cx="6858000" cy="7916545"/>
            <wp:effectExtent l="0" t="0" r="0" b="0"/>
            <wp:docPr id="730149624" name="Picture 2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49624" name="Picture 22" descr="A screenshot of a computer scree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7916545"/>
                    </a:xfrm>
                    <a:prstGeom prst="rect">
                      <a:avLst/>
                    </a:prstGeom>
                  </pic:spPr>
                </pic:pic>
              </a:graphicData>
            </a:graphic>
          </wp:inline>
        </w:drawing>
      </w:r>
    </w:p>
    <w:p w14:paraId="0B68CA09" w14:textId="77777777" w:rsidR="00F94AAA" w:rsidRDefault="00F94AAA" w:rsidP="00F94AAA">
      <w:pPr>
        <w:rPr>
          <w:rFonts w:ascii="Arial" w:hAnsi="Arial" w:cs="Arial"/>
          <w:sz w:val="22"/>
          <w:szCs w:val="22"/>
        </w:rPr>
      </w:pPr>
    </w:p>
    <w:p w14:paraId="4E1B8154" w14:textId="77777777" w:rsidR="00F94AAA" w:rsidRPr="00237861" w:rsidRDefault="00F94AAA" w:rsidP="00F94AAA">
      <w:pPr>
        <w:rPr>
          <w:rFonts w:ascii="Arial" w:hAnsi="Arial" w:cs="Arial"/>
          <w:sz w:val="20"/>
          <w:szCs w:val="20"/>
        </w:rPr>
      </w:pPr>
      <w:bookmarkStart w:id="2" w:name="_Toc221608498"/>
      <w:r>
        <w:rPr>
          <w:rStyle w:val="Heading1Char"/>
          <w:rFonts w:ascii="Arial" w:hAnsi="Arial" w:cs="Arial"/>
          <w:b/>
          <w:bCs/>
          <w:sz w:val="20"/>
          <w:szCs w:val="20"/>
        </w:rPr>
        <w:t>Fig. S3</w:t>
      </w:r>
      <w:r w:rsidRPr="00904255">
        <w:rPr>
          <w:rStyle w:val="Heading1Char"/>
          <w:rFonts w:ascii="Arial" w:hAnsi="Arial" w:cs="Arial"/>
          <w:b/>
          <w:bCs/>
          <w:sz w:val="20"/>
          <w:szCs w:val="20"/>
        </w:rPr>
        <w:t xml:space="preserve"> – Benchmarking of snRNA-seq integration methods</w:t>
      </w:r>
      <w:r>
        <w:rPr>
          <w:rStyle w:val="Heading1Char"/>
          <w:rFonts w:ascii="Arial" w:hAnsi="Arial" w:cs="Arial"/>
          <w:b/>
          <w:bCs/>
          <w:sz w:val="20"/>
          <w:szCs w:val="20"/>
        </w:rPr>
        <w:t xml:space="preserve"> and scVI annotation</w:t>
      </w:r>
      <w:bookmarkEnd w:id="2"/>
      <w:r w:rsidRPr="00904255">
        <w:rPr>
          <w:rFonts w:ascii="Arial" w:hAnsi="Arial" w:cs="Arial"/>
          <w:sz w:val="20"/>
          <w:szCs w:val="20"/>
        </w:rPr>
        <w:t>:</w:t>
      </w:r>
      <w:r>
        <w:rPr>
          <w:rFonts w:ascii="Arial" w:hAnsi="Arial" w:cs="Arial"/>
          <w:sz w:val="20"/>
          <w:szCs w:val="20"/>
        </w:rPr>
        <w:t xml:space="preserve"> </w:t>
      </w:r>
      <w:r w:rsidRPr="0041528F">
        <w:rPr>
          <w:rFonts w:ascii="Arial" w:hAnsi="Arial" w:cs="Arial"/>
          <w:b/>
          <w:bCs/>
          <w:sz w:val="20"/>
          <w:szCs w:val="20"/>
        </w:rPr>
        <w:t xml:space="preserve">(a) </w:t>
      </w:r>
      <w:r>
        <w:rPr>
          <w:rFonts w:ascii="Arial" w:hAnsi="Arial" w:cs="Arial"/>
          <w:sz w:val="20"/>
          <w:szCs w:val="20"/>
        </w:rPr>
        <w:t>Strategy for integrating multiple human cardiac datasets together.</w:t>
      </w:r>
      <w:r w:rsidRPr="00904255">
        <w:rPr>
          <w:rFonts w:ascii="Arial" w:hAnsi="Arial" w:cs="Arial"/>
          <w:sz w:val="20"/>
          <w:szCs w:val="20"/>
        </w:rPr>
        <w:t xml:space="preserve"> </w:t>
      </w:r>
      <w:r w:rsidRPr="00904255">
        <w:rPr>
          <w:rFonts w:ascii="Arial" w:hAnsi="Arial" w:cs="Arial"/>
          <w:b/>
          <w:bCs/>
          <w:sz w:val="20"/>
          <w:szCs w:val="20"/>
        </w:rPr>
        <w:t>(</w:t>
      </w:r>
      <w:r>
        <w:rPr>
          <w:rFonts w:ascii="Arial" w:hAnsi="Arial" w:cs="Arial"/>
          <w:b/>
          <w:bCs/>
          <w:sz w:val="20"/>
          <w:szCs w:val="20"/>
        </w:rPr>
        <w:t>b</w:t>
      </w:r>
      <w:r w:rsidRPr="00904255">
        <w:rPr>
          <w:rFonts w:ascii="Arial" w:hAnsi="Arial" w:cs="Arial"/>
          <w:b/>
          <w:bCs/>
          <w:sz w:val="20"/>
          <w:szCs w:val="20"/>
        </w:rPr>
        <w:t>)</w:t>
      </w:r>
      <w:r w:rsidRPr="00904255">
        <w:rPr>
          <w:rFonts w:ascii="Arial" w:hAnsi="Arial" w:cs="Arial"/>
          <w:sz w:val="20"/>
          <w:szCs w:val="20"/>
        </w:rPr>
        <w:t xml:space="preserve"> </w:t>
      </w:r>
      <w:r>
        <w:rPr>
          <w:rFonts w:ascii="Arial" w:hAnsi="Arial" w:cs="Arial"/>
          <w:sz w:val="20"/>
          <w:szCs w:val="20"/>
        </w:rPr>
        <w:t xml:space="preserve">Benchmarking of integration methods. </w:t>
      </w:r>
      <w:r w:rsidRPr="00904255">
        <w:rPr>
          <w:rFonts w:ascii="Arial" w:hAnsi="Arial" w:cs="Arial"/>
          <w:sz w:val="20"/>
          <w:szCs w:val="20"/>
        </w:rPr>
        <w:t xml:space="preserve">Since many integration methods do not scale beyond 50,000 cells, we </w:t>
      </w:r>
      <w:proofErr w:type="spellStart"/>
      <w:r w:rsidRPr="00904255">
        <w:rPr>
          <w:rFonts w:ascii="Arial" w:hAnsi="Arial" w:cs="Arial"/>
          <w:sz w:val="20"/>
          <w:szCs w:val="20"/>
        </w:rPr>
        <w:t>downsampled</w:t>
      </w:r>
      <w:proofErr w:type="spellEnd"/>
      <w:r w:rsidRPr="00904255">
        <w:rPr>
          <w:rFonts w:ascii="Arial" w:hAnsi="Arial" w:cs="Arial"/>
          <w:sz w:val="20"/>
          <w:szCs w:val="20"/>
        </w:rPr>
        <w:t xml:space="preserve"> our aggregated snRNA-seq dataset to 30,000 cells by sampling </w:t>
      </w:r>
      <w:r>
        <w:rPr>
          <w:rFonts w:ascii="Arial" w:hAnsi="Arial" w:cs="Arial"/>
          <w:sz w:val="20"/>
          <w:szCs w:val="20"/>
        </w:rPr>
        <w:t>while</w:t>
      </w:r>
      <w:r w:rsidRPr="00904255">
        <w:rPr>
          <w:rFonts w:ascii="Arial" w:hAnsi="Arial" w:cs="Arial"/>
          <w:sz w:val="20"/>
          <w:szCs w:val="20"/>
        </w:rPr>
        <w:t xml:space="preserve"> </w:t>
      </w:r>
      <w:r>
        <w:rPr>
          <w:rFonts w:ascii="Arial" w:hAnsi="Arial" w:cs="Arial"/>
          <w:sz w:val="20"/>
          <w:szCs w:val="20"/>
        </w:rPr>
        <w:t>maintaining</w:t>
      </w:r>
      <w:r w:rsidRPr="00904255">
        <w:rPr>
          <w:rFonts w:ascii="Arial" w:hAnsi="Arial" w:cs="Arial"/>
          <w:sz w:val="20"/>
          <w:szCs w:val="20"/>
        </w:rPr>
        <w:t xml:space="preserve"> </w:t>
      </w:r>
      <w:r w:rsidRPr="00904255">
        <w:rPr>
          <w:rFonts w:ascii="Arial" w:hAnsi="Arial" w:cs="Arial"/>
          <w:sz w:val="20"/>
          <w:szCs w:val="20"/>
        </w:rPr>
        <w:lastRenderedPageBreak/>
        <w:t>even representation across each study and cell type. We then used the scIB</w:t>
      </w:r>
      <w:r>
        <w:rPr>
          <w:rFonts w:ascii="Arial" w:hAnsi="Arial" w:cs="Arial"/>
          <w:sz w:val="20"/>
          <w:szCs w:val="20"/>
        </w:rPr>
        <w:fldChar w:fldCharType="begin"/>
      </w:r>
      <w:r>
        <w:rPr>
          <w:rFonts w:ascii="Arial" w:hAnsi="Arial" w:cs="Arial"/>
          <w:sz w:val="20"/>
          <w:szCs w:val="20"/>
        </w:rPr>
        <w:instrText xml:space="preserve"> ADDIN ZOTERO_ITEM CSL_CITATION {"citationID":"wAOL7llB","properties":{"unsorted":false,"formattedCitation":"(13)","plainCitation":"(13)","noteIndex":0},"citationItems":[{"id":7438,"uris":["http://zotero.org/users/12236467/items/JL9R7LX8"],"itemData":{"id":7438,"type":"article-journal","abstract":"Single-cell atlases often include samples that span locations, laboratories and conditions, leading to complex, nested batch effects in data. Thus, joint analysis of atlas datasets requires reliable data integration. To guide integration method choice, we benchmarked 68 method and preprocessing combinations on 85 batches of gene expression, chromatin accessibility and simulation data from 23 publications, altogether representing &gt;1.2 million cells distributed in 13 atlas-level integration tasks. We evaluated methods according to scalability, usability and their ability to remove batch effects while retaining biological variation using 14 evaluation metrics. We show that highly variable gene selection improves the performance of data integration methods, whereas scaling pushes methods to prioritize batch removal over conservation of biological variation. Overall, scANVI, Scanorama, scVI and scGen perform well, particularly on complex integration tasks, while single-cell ATAC-sequencing integration performance is strongly affected by choice of feature space. Our freely available Python module and benchmarking pipeline can identify optimal data integration methods for new data, benchmark new methods and improve method development.","container-title":"Nature Methods","DOI":"10.1038/s41592-021-01336-8","ISSN":"1548-7105","issue":"1","journalAbbreviation":"Nat Methods","language":"en","license":"2021 The Author(s)","page":"41-50","publisher":"Nature Publishing Group","source":"www-nature-com.proxy.library.upenn.edu","title":"Benchmarking atlas-level data integration in single-cell genomics","URL":"https://www.nature.com/articles/s41592-021-01336-8","volume":"19","author":[{"family":"Luecken","given":"Malte D."},{"family":"Büttner","given":"M."},{"family":"Chaichoompu","given":"K."},{"family":"Danese","given":"A."},{"family":"Interlandi","given":"M."},{"family":"Mueller","given":"M. F."},{"family":"Strobl","given":"D. C."},{"family":"Zappia","given":"L."},{"family":"Dugas","given":"M."},{"family":"Colomé-Tatché","given":"M."},{"family":"Theis","given":"Fabian J."}],"accessed":{"date-parts":[["2024",3,14]]},"issued":{"date-parts":[["2022",1]]}}}],"schema":"https://github.com/citation-style-language/schema/raw/master/csl-citation.json"} </w:instrText>
      </w:r>
      <w:r>
        <w:rPr>
          <w:rFonts w:ascii="Arial" w:hAnsi="Arial" w:cs="Arial"/>
          <w:sz w:val="20"/>
          <w:szCs w:val="20"/>
        </w:rPr>
        <w:fldChar w:fldCharType="separate"/>
      </w:r>
      <w:r>
        <w:rPr>
          <w:rFonts w:ascii="Arial" w:hAnsi="Arial" w:cs="Arial"/>
          <w:sz w:val="20"/>
        </w:rPr>
        <w:t>(13)</w:t>
      </w:r>
      <w:r>
        <w:rPr>
          <w:rFonts w:ascii="Arial" w:hAnsi="Arial" w:cs="Arial"/>
          <w:sz w:val="20"/>
          <w:szCs w:val="20"/>
        </w:rPr>
        <w:fldChar w:fldCharType="end"/>
      </w:r>
      <w:r w:rsidRPr="00904255">
        <w:rPr>
          <w:rFonts w:ascii="Arial" w:hAnsi="Arial" w:cs="Arial"/>
          <w:sz w:val="20"/>
          <w:szCs w:val="20"/>
        </w:rPr>
        <w:t xml:space="preserve"> framework to measure the performance of 13 batch correction methods across 13 metrics, which include </w:t>
      </w:r>
      <w:proofErr w:type="spellStart"/>
      <w:r w:rsidRPr="00904255">
        <w:rPr>
          <w:rFonts w:ascii="Arial" w:hAnsi="Arial" w:cs="Arial"/>
          <w:sz w:val="20"/>
          <w:szCs w:val="20"/>
        </w:rPr>
        <w:t>bioconservation</w:t>
      </w:r>
      <w:proofErr w:type="spellEnd"/>
      <w:r w:rsidRPr="00904255">
        <w:rPr>
          <w:rFonts w:ascii="Arial" w:hAnsi="Arial" w:cs="Arial"/>
          <w:sz w:val="20"/>
          <w:szCs w:val="20"/>
        </w:rPr>
        <w:t xml:space="preserve"> metrics and batch removal metrics. The goal of batch correction is to maintain </w:t>
      </w:r>
      <w:proofErr w:type="spellStart"/>
      <w:r w:rsidRPr="00904255">
        <w:rPr>
          <w:rFonts w:ascii="Arial" w:hAnsi="Arial" w:cs="Arial"/>
          <w:sz w:val="20"/>
          <w:szCs w:val="20"/>
        </w:rPr>
        <w:t>bioconservation</w:t>
      </w:r>
      <w:proofErr w:type="spellEnd"/>
      <w:r w:rsidRPr="00904255">
        <w:rPr>
          <w:rFonts w:ascii="Arial" w:hAnsi="Arial" w:cs="Arial"/>
          <w:sz w:val="20"/>
          <w:szCs w:val="20"/>
        </w:rPr>
        <w:t xml:space="preserve"> (“signal”) while removing technical artifacts (“noise”). A higher score for both types of metrics indicates higher performance, with scores scaled from 0 to 1. </w:t>
      </w:r>
      <w:r w:rsidRPr="00904255">
        <w:rPr>
          <w:rFonts w:ascii="Arial" w:hAnsi="Arial" w:cs="Arial"/>
          <w:b/>
          <w:bCs/>
          <w:sz w:val="20"/>
          <w:szCs w:val="20"/>
        </w:rPr>
        <w:t>(</w:t>
      </w:r>
      <w:r>
        <w:rPr>
          <w:rFonts w:ascii="Arial" w:hAnsi="Arial" w:cs="Arial"/>
          <w:b/>
          <w:bCs/>
          <w:sz w:val="20"/>
          <w:szCs w:val="20"/>
        </w:rPr>
        <w:t>c</w:t>
      </w:r>
      <w:r w:rsidRPr="00904255">
        <w:rPr>
          <w:rFonts w:ascii="Arial" w:hAnsi="Arial" w:cs="Arial"/>
          <w:b/>
          <w:bCs/>
          <w:sz w:val="20"/>
          <w:szCs w:val="20"/>
        </w:rPr>
        <w:t xml:space="preserve">) </w:t>
      </w:r>
      <w:r w:rsidRPr="00904255">
        <w:rPr>
          <w:rFonts w:ascii="Arial" w:hAnsi="Arial" w:cs="Arial"/>
          <w:sz w:val="20"/>
          <w:szCs w:val="20"/>
        </w:rPr>
        <w:t xml:space="preserve">Integration methods ranked by their overall score, which is computed as weighted average of the mean of the scores across the 9 </w:t>
      </w:r>
      <w:proofErr w:type="spellStart"/>
      <w:r w:rsidRPr="00904255">
        <w:rPr>
          <w:rFonts w:ascii="Arial" w:hAnsi="Arial" w:cs="Arial"/>
          <w:sz w:val="20"/>
          <w:szCs w:val="20"/>
        </w:rPr>
        <w:t>bioconservation</w:t>
      </w:r>
      <w:proofErr w:type="spellEnd"/>
      <w:r w:rsidRPr="00904255">
        <w:rPr>
          <w:rFonts w:ascii="Arial" w:hAnsi="Arial" w:cs="Arial"/>
          <w:sz w:val="20"/>
          <w:szCs w:val="20"/>
        </w:rPr>
        <w:t xml:space="preserve"> metrics (weight = 0.6) and the weighted average of the mean of the</w:t>
      </w:r>
      <w:r>
        <w:rPr>
          <w:rFonts w:ascii="Arial" w:hAnsi="Arial" w:cs="Arial"/>
          <w:sz w:val="20"/>
          <w:szCs w:val="20"/>
        </w:rPr>
        <w:t xml:space="preserve"> four</w:t>
      </w:r>
      <w:r w:rsidRPr="00904255">
        <w:rPr>
          <w:rFonts w:ascii="Arial" w:hAnsi="Arial" w:cs="Arial"/>
          <w:sz w:val="20"/>
          <w:szCs w:val="20"/>
        </w:rPr>
        <w:t xml:space="preserve"> batch correction </w:t>
      </w:r>
      <w:r>
        <w:rPr>
          <w:rFonts w:ascii="Arial" w:hAnsi="Arial" w:cs="Arial"/>
          <w:sz w:val="20"/>
          <w:szCs w:val="20"/>
        </w:rPr>
        <w:t>metrics</w:t>
      </w:r>
      <w:r w:rsidRPr="00904255">
        <w:rPr>
          <w:rFonts w:ascii="Arial" w:hAnsi="Arial" w:cs="Arial"/>
          <w:sz w:val="20"/>
          <w:szCs w:val="20"/>
        </w:rPr>
        <w:t xml:space="preserve"> (weight = 0.4).</w:t>
      </w:r>
      <w:r>
        <w:rPr>
          <w:rFonts w:ascii="Arial" w:hAnsi="Arial" w:cs="Arial"/>
          <w:sz w:val="20"/>
          <w:szCs w:val="20"/>
        </w:rPr>
        <w:t xml:space="preserve"> scVI and its semi-supervised variant </w:t>
      </w:r>
      <w:proofErr w:type="spellStart"/>
      <w:r>
        <w:rPr>
          <w:rFonts w:ascii="Arial" w:hAnsi="Arial" w:cs="Arial"/>
          <w:sz w:val="20"/>
          <w:szCs w:val="20"/>
        </w:rPr>
        <w:t>scANVI</w:t>
      </w:r>
      <w:proofErr w:type="spellEnd"/>
      <w:r>
        <w:rPr>
          <w:rFonts w:ascii="Arial" w:hAnsi="Arial" w:cs="Arial"/>
          <w:sz w:val="20"/>
          <w:szCs w:val="20"/>
        </w:rPr>
        <w:t xml:space="preserve"> performed best.</w:t>
      </w:r>
      <w:r w:rsidRPr="00F402FC">
        <w:rPr>
          <w:rFonts w:ascii="Arial" w:hAnsi="Arial" w:cs="Arial"/>
          <w:sz w:val="20"/>
          <w:szCs w:val="20"/>
        </w:rPr>
        <w:t xml:space="preserve"> </w:t>
      </w:r>
      <w:r>
        <w:rPr>
          <w:rFonts w:ascii="Arial" w:hAnsi="Arial" w:cs="Arial"/>
          <w:sz w:val="20"/>
          <w:szCs w:val="20"/>
        </w:rPr>
        <w:t xml:space="preserve">Since </w:t>
      </w:r>
      <w:proofErr w:type="spellStart"/>
      <w:r>
        <w:rPr>
          <w:rFonts w:ascii="Arial" w:hAnsi="Arial" w:cs="Arial"/>
          <w:sz w:val="20"/>
          <w:szCs w:val="20"/>
        </w:rPr>
        <w:t>scANVI</w:t>
      </w:r>
      <w:proofErr w:type="spellEnd"/>
      <w:r>
        <w:rPr>
          <w:rFonts w:ascii="Arial" w:hAnsi="Arial" w:cs="Arial"/>
          <w:sz w:val="20"/>
          <w:szCs w:val="20"/>
        </w:rPr>
        <w:t xml:space="preserve"> involves using a reference annotation, we opted to use the unsupervised scVI instead. </w:t>
      </w:r>
      <w:r w:rsidRPr="00F402FC">
        <w:rPr>
          <w:rFonts w:ascii="Arial" w:hAnsi="Arial" w:cs="Arial"/>
          <w:b/>
          <w:bCs/>
          <w:sz w:val="20"/>
          <w:szCs w:val="20"/>
        </w:rPr>
        <w:t>(</w:t>
      </w:r>
      <w:r>
        <w:rPr>
          <w:rFonts w:ascii="Arial" w:hAnsi="Arial" w:cs="Arial"/>
          <w:b/>
          <w:bCs/>
          <w:sz w:val="20"/>
          <w:szCs w:val="20"/>
        </w:rPr>
        <w:t>d-f</w:t>
      </w:r>
      <w:r w:rsidRPr="00F402FC">
        <w:rPr>
          <w:rFonts w:ascii="Arial" w:hAnsi="Arial" w:cs="Arial"/>
          <w:b/>
          <w:bCs/>
          <w:sz w:val="20"/>
          <w:szCs w:val="20"/>
        </w:rPr>
        <w:t>)</w:t>
      </w:r>
      <w:r w:rsidRPr="00F402FC">
        <w:rPr>
          <w:rFonts w:ascii="Arial" w:hAnsi="Arial" w:cs="Arial"/>
          <w:sz w:val="20"/>
          <w:szCs w:val="20"/>
        </w:rPr>
        <w:t xml:space="preserve"> scVI-based UMAP embedding based on study, technology, and developmental + disease status, respectively.</w:t>
      </w:r>
      <w:r>
        <w:rPr>
          <w:rFonts w:ascii="Arial" w:hAnsi="Arial" w:cs="Arial"/>
          <w:sz w:val="20"/>
          <w:szCs w:val="20"/>
        </w:rPr>
        <w:t xml:space="preserve"> </w:t>
      </w:r>
      <w:r w:rsidRPr="00F402FC">
        <w:rPr>
          <w:rFonts w:ascii="Arial" w:hAnsi="Arial" w:cs="Arial"/>
          <w:b/>
          <w:bCs/>
          <w:sz w:val="20"/>
          <w:szCs w:val="20"/>
        </w:rPr>
        <w:t>(</w:t>
      </w:r>
      <w:r>
        <w:rPr>
          <w:rFonts w:ascii="Arial" w:hAnsi="Arial" w:cs="Arial"/>
          <w:b/>
          <w:bCs/>
          <w:sz w:val="20"/>
          <w:szCs w:val="20"/>
        </w:rPr>
        <w:t>g</w:t>
      </w:r>
      <w:r w:rsidRPr="00F402FC">
        <w:rPr>
          <w:rFonts w:ascii="Arial" w:hAnsi="Arial" w:cs="Arial"/>
          <w:b/>
          <w:bCs/>
          <w:sz w:val="20"/>
          <w:szCs w:val="20"/>
        </w:rPr>
        <w:t>)</w:t>
      </w:r>
      <w:r w:rsidRPr="00F402FC">
        <w:rPr>
          <w:rFonts w:ascii="Arial" w:hAnsi="Arial" w:cs="Arial"/>
          <w:sz w:val="20"/>
          <w:szCs w:val="20"/>
        </w:rPr>
        <w:t xml:space="preserve"> </w:t>
      </w:r>
      <w:r>
        <w:rPr>
          <w:rFonts w:ascii="Arial" w:hAnsi="Arial" w:cs="Arial"/>
          <w:sz w:val="20"/>
          <w:szCs w:val="20"/>
        </w:rPr>
        <w:t xml:space="preserve">We explored integrating whole cells vs. nuclei together using scVI, the highest performing integration metric. </w:t>
      </w:r>
      <w:r w:rsidRPr="00B671CC">
        <w:rPr>
          <w:rFonts w:ascii="Arial" w:hAnsi="Arial" w:cs="Arial"/>
          <w:sz w:val="20"/>
          <w:szCs w:val="20"/>
        </w:rPr>
        <w:t>50,000 scRNA-seq cells from the only two datasets (Koenig et al. 2022</w:t>
      </w:r>
      <w:r>
        <w:rPr>
          <w:rFonts w:ascii="Arial" w:hAnsi="Arial" w:cs="Arial"/>
          <w:sz w:val="20"/>
          <w:szCs w:val="20"/>
        </w:rPr>
        <w:fldChar w:fldCharType="begin"/>
      </w:r>
      <w:r>
        <w:rPr>
          <w:rFonts w:ascii="Arial" w:hAnsi="Arial" w:cs="Arial"/>
          <w:sz w:val="20"/>
          <w:szCs w:val="20"/>
        </w:rPr>
        <w:instrText xml:space="preserve"> ADDIN ZOTERO_ITEM CSL_CITATION {"citationID":"87CqMivC","properties":{"unsorted":false,"formattedCitation":"(19)","plainCitation":"(19)","noteIndex":0},"citationItems":[{"id":6,"uris":["http://zotero.org/users/12236467/items/FR9MBNWN"],"itemData":{"id":6,"type":"article-journal","abstract":"Abstract\n            Heart failure represents a major cause of morbidity and mortality worldwide. Single-cell transcriptomics have revolutionized our understanding of cell composition and associated gene expression. Through integrated analysis of single-cell and single-nucleus RNA-sequencing data generated from 27 healthy donors and 18 individuals with dilated cardiomyopathy, here we define the cell composition of the healthy and failing human heart. We identify cell-specific transcriptional signatures associated with age and heart failure and reveal the emergence of disease-associated cell states. Notably, cardiomyocytes converge toward common disease-associated cell states, whereas fibroblasts and myeloid cells undergo dramatic diversification. Endothelial cells and pericytes display global transcriptional shifts without changes in cell complexity. Collectively, our findings provide a comprehensive analysis of the cellular and transcriptomic landscape of human heart failure, identify cell type-specific transcriptional programs and disease-associated cell states and establish a valuable resource for the investigation of human heart failure.","container-title":"Nature Cardiovascular Research","DOI":"10.1038/s44161-022-00028-6","ISSN":"2731-0590","issue":"3","journalAbbreviation":"Nat Cardiovasc Res","language":"en","page":"263-280","source":"DOI.org (Crossref)","title":"Single-cell transcriptomics reveals cell-type-specific diversification in human heart failure","URL":"https://www.nature.com/articles/s44161-022-00028-6","volume":"1","author":[{"family":"Koenig","given":"Andrew L."},{"family":"Shchukina","given":"Irina"},{"family":"Amrute","given":"Junedh"},{"family":"Andhey","given":"Prabhakar S."},{"family":"Zaitsev","given":"Konstantin"},{"family":"Lai","given":"Lulu"},{"family":"Bajpai","given":"Geetika"},{"family":"Bredemeyer","given":"Andrea"},{"family":"Smith","given":"Gabriella"},{"family":"Jones","given":"Cameran"},{"family":"Terrebonne","given":"Emily"},{"family":"Rentschler","given":"Stacey L."},{"family":"Artyomov","given":"Maxim N."},{"family":"Lavine","given":"Kory J."}],"accessed":{"date-parts":[["2023",8,24]]},"issued":{"date-parts":[["2022",3,16]]}}}],"schema":"https://github.com/citation-style-language/schema/raw/master/csl-citation.json"} </w:instrText>
      </w:r>
      <w:r>
        <w:rPr>
          <w:rFonts w:ascii="Arial" w:hAnsi="Arial" w:cs="Arial"/>
          <w:sz w:val="20"/>
          <w:szCs w:val="20"/>
        </w:rPr>
        <w:fldChar w:fldCharType="separate"/>
      </w:r>
      <w:r>
        <w:rPr>
          <w:rFonts w:ascii="Arial" w:hAnsi="Arial" w:cs="Arial"/>
          <w:sz w:val="20"/>
        </w:rPr>
        <w:t>(19)</w:t>
      </w:r>
      <w:r>
        <w:rPr>
          <w:rFonts w:ascii="Arial" w:hAnsi="Arial" w:cs="Arial"/>
          <w:sz w:val="20"/>
          <w:szCs w:val="20"/>
        </w:rPr>
        <w:fldChar w:fldCharType="end"/>
      </w:r>
      <w:r w:rsidRPr="00B671CC">
        <w:rPr>
          <w:rFonts w:ascii="Arial" w:hAnsi="Arial" w:cs="Arial"/>
          <w:sz w:val="20"/>
          <w:szCs w:val="20"/>
        </w:rPr>
        <w:t xml:space="preserve"> and Kanemaru et al. 2023</w:t>
      </w:r>
      <w:r>
        <w:rPr>
          <w:rFonts w:ascii="Arial" w:hAnsi="Arial" w:cs="Arial"/>
          <w:sz w:val="20"/>
          <w:szCs w:val="20"/>
        </w:rPr>
        <w:fldChar w:fldCharType="begin"/>
      </w:r>
      <w:r>
        <w:rPr>
          <w:rFonts w:ascii="Arial" w:hAnsi="Arial" w:cs="Arial"/>
          <w:sz w:val="20"/>
          <w:szCs w:val="20"/>
        </w:rPr>
        <w:instrText xml:space="preserve"> ADDIN ZOTERO_ITEM CSL_CITATION {"citationID":"xpLRxDPB","properties":{"unsorted":false,"formattedCitation":"(16)","plainCitation":"(16)","noteIndex":0},"citationItems":[{"id":7080,"uris":["http://zotero.org/users/12236467/items/QMPAW4PB"],"itemData":{"id":7080,"type":"article-journal","abstract":"The function of a cell is defined by its intrinsic characteristics and its niche: the tissue microenvironment in which it dwells. Here we combine single-cell and spatial transcriptomics data to discover cellular niches within eight regions of the human heart. We map cells to microanatomical locations and integrate knowledge-based and unsupervised structural annotations. We also profile the cells of the human cardiac conduction system1. The results revealed their distinctive repertoire of ion channels, G-protein-coupled receptors (GPCRs) and regulatory networks, and implicated FOXP2 in the pacemaker phenotype. We show that the sinoatrial node is compartmentalized, with a core of pacemaker cells, fibroblasts and glial cells supporting glutamatergic signalling. Using a custom CellPhoneDB.org module, we identify trans-synaptic pacemaker cell interactions with glia. We introduce a druggable target prediction tool, drug2cell, which leverages single-cell profiles and drug–target interactions to provide mechanistic insights into the chronotropic effects of drugs, including GLP-1 analogues. In the epicardium, we show enrichment of both IgG+ and IgA+ plasma cells forming immune niches that may contribute to infection defence. Overall, we provide new clarity to cardiac electro-anatomy and immunology, and our suite of computational approaches can be applied to other tissues and organs.","container-title":"Nature","DOI":"10.1038/s41586-023-06311-1","ISSN":"1476-4687","issue":"7971","language":"en","license":"2023 The Author(s)","page":"801-810","publisher":"Nature Publishing Group","source":"www-nature-com.proxy.library.upenn.edu","title":"Spatially resolved multiomics of human cardiac niches","URL":"https://www.nature.com/articles/s41586-023-06311-1","volume":"619","author":[{"family":"Kanemaru","given":"Kazumasa"},{"family":"Cranley","given":"James"},{"family":"Muraro","given":"Daniele"},{"family":"Miranda","given":"Antonio M. A."},{"family":"Ho","given":"Siew Yen"},{"family":"Wilbrey-Clark","given":"Anna"},{"family":"Patrick Pett","given":"Jan"},{"family":"Polanski","given":"Krzysztof"},{"family":"Richardson","given":"Laura"},{"family":"Litvinukova","given":"Monika"},{"family":"Kumasaka","given":"Natsuhiko"},{"family":"Qin","given":"Yue"},{"family":"Jablonska","given":"Zuzanna"},{"family":"Semprich","given":"Claudia I."},{"family":"Mach","given":"Lukas"},{"family":"Dabrowska","given":"Monika"},{"family":"Richoz","given":"Nathan"},{"family":"Bolt","given":"Liam"},{"family":"Mamanova","given":"Lira"},{"family":"Kapuge","given":"Rakeshlal"},{"family":"Barnett","given":"Sam N."},{"family":"Perera","given":"Shani"},{"family":"Talavera-López","given":"Carlos"},{"family":"Mulas","given":"Ilaria"},{"family":"Mahbubani","given":"Krishnaa T."},{"family":"Tuck","given":"Liz"},{"family":"Wang","given":"Lu"},{"family":"Huang","given":"Margaret M."},{"family":"Prete","given":"Martin"},{"family":"Pritchard","given":"Sophie"},{"family":"Dark","given":"John"},{"family":"Saeb-Parsy","given":"Kourosh"},{"family":"Patel","given":"Minal"},{"family":"Clatworthy","given":"Menna R."},{"family":"Hübner","given":"Norbert"},{"family":"Chowdhury","given":"Rasheda A."},{"family":"Noseda","given":"Michela"},{"family":"Teichmann","given":"Sarah A."}],"accessed":{"date-parts":[["2024",3,11]]},"issued":{"date-parts":[["2023",7]]}}}],"schema":"https://github.com/citation-style-language/schema/raw/master/csl-citation.json"} </w:instrText>
      </w:r>
      <w:r>
        <w:rPr>
          <w:rFonts w:ascii="Arial" w:hAnsi="Arial" w:cs="Arial"/>
          <w:sz w:val="20"/>
          <w:szCs w:val="20"/>
        </w:rPr>
        <w:fldChar w:fldCharType="separate"/>
      </w:r>
      <w:r>
        <w:rPr>
          <w:rFonts w:ascii="Arial" w:hAnsi="Arial" w:cs="Arial"/>
          <w:sz w:val="20"/>
        </w:rPr>
        <w:t>(16)</w:t>
      </w:r>
      <w:r>
        <w:rPr>
          <w:rFonts w:ascii="Arial" w:hAnsi="Arial" w:cs="Arial"/>
          <w:sz w:val="20"/>
          <w:szCs w:val="20"/>
        </w:rPr>
        <w:fldChar w:fldCharType="end"/>
      </w:r>
      <w:r w:rsidRPr="00B671CC">
        <w:rPr>
          <w:rFonts w:ascii="Arial" w:hAnsi="Arial" w:cs="Arial"/>
          <w:sz w:val="20"/>
          <w:szCs w:val="20"/>
        </w:rPr>
        <w:t xml:space="preserve">) that performed </w:t>
      </w:r>
      <w:r>
        <w:rPr>
          <w:rFonts w:ascii="Arial" w:hAnsi="Arial" w:cs="Arial"/>
          <w:sz w:val="20"/>
          <w:szCs w:val="20"/>
        </w:rPr>
        <w:t>scRNA-seq</w:t>
      </w:r>
      <w:r w:rsidRPr="00B671CC">
        <w:rPr>
          <w:rFonts w:ascii="Arial" w:hAnsi="Arial" w:cs="Arial"/>
          <w:sz w:val="20"/>
          <w:szCs w:val="20"/>
        </w:rPr>
        <w:t xml:space="preserve"> were combined with 50,000 snRNA-seq randomly subsampled from the aggregated snRNA-seq dataset (comprised of ~2.3 million nuclei). </w:t>
      </w:r>
      <w:r>
        <w:rPr>
          <w:rFonts w:ascii="Arial" w:hAnsi="Arial" w:cs="Arial"/>
          <w:sz w:val="20"/>
          <w:szCs w:val="20"/>
        </w:rPr>
        <w:t>scVI i</w:t>
      </w:r>
      <w:r w:rsidRPr="00B671CC">
        <w:rPr>
          <w:rFonts w:ascii="Arial" w:hAnsi="Arial" w:cs="Arial"/>
          <w:sz w:val="20"/>
          <w:szCs w:val="20"/>
        </w:rPr>
        <w:t xml:space="preserve">ntegration </w:t>
      </w:r>
      <w:r>
        <w:rPr>
          <w:rFonts w:ascii="Arial" w:hAnsi="Arial" w:cs="Arial"/>
          <w:sz w:val="20"/>
          <w:szCs w:val="20"/>
        </w:rPr>
        <w:t>mixes cells and nuclei belonging to the same cell type together, but cells and nuclei do not fully mix in the UMAP embedding. This is likely due to true biological heterogeneity as some transcripts are enriched in nuclei and others are enriched in whole cells</w:t>
      </w:r>
      <w:r w:rsidRPr="00B671CC">
        <w:rPr>
          <w:rFonts w:ascii="Arial" w:hAnsi="Arial" w:cs="Arial"/>
          <w:sz w:val="20"/>
          <w:szCs w:val="20"/>
        </w:rPr>
        <w:t xml:space="preserve">. </w:t>
      </w:r>
      <w:r w:rsidRPr="009A0E36">
        <w:rPr>
          <w:rFonts w:ascii="Arial" w:hAnsi="Arial" w:cs="Arial"/>
          <w:b/>
          <w:bCs/>
          <w:sz w:val="20"/>
          <w:szCs w:val="20"/>
        </w:rPr>
        <w:t>(</w:t>
      </w:r>
      <w:r>
        <w:rPr>
          <w:rFonts w:ascii="Arial" w:hAnsi="Arial" w:cs="Arial"/>
          <w:b/>
          <w:bCs/>
          <w:sz w:val="20"/>
          <w:szCs w:val="20"/>
        </w:rPr>
        <w:t>h</w:t>
      </w:r>
      <w:r w:rsidRPr="009A0E36">
        <w:rPr>
          <w:rFonts w:ascii="Arial" w:hAnsi="Arial" w:cs="Arial"/>
          <w:b/>
          <w:bCs/>
          <w:sz w:val="20"/>
          <w:szCs w:val="20"/>
        </w:rPr>
        <w:t>)</w:t>
      </w:r>
      <w:r>
        <w:rPr>
          <w:rFonts w:ascii="Arial" w:hAnsi="Arial" w:cs="Arial"/>
          <w:sz w:val="20"/>
          <w:szCs w:val="20"/>
        </w:rPr>
        <w:t xml:space="preserve"> </w:t>
      </w:r>
      <w:r w:rsidRPr="00F402FC">
        <w:rPr>
          <w:rFonts w:ascii="Arial" w:hAnsi="Arial" w:cs="Arial"/>
          <w:sz w:val="20"/>
          <w:szCs w:val="20"/>
        </w:rPr>
        <w:t>Number of nuclei per cell type in snRNA-seq aggregated dataset</w:t>
      </w:r>
      <w:r>
        <w:rPr>
          <w:rFonts w:ascii="Arial" w:hAnsi="Arial" w:cs="Arial"/>
          <w:sz w:val="20"/>
          <w:szCs w:val="20"/>
        </w:rPr>
        <w:t xml:space="preserve"> based on our revised annotation</w:t>
      </w:r>
      <w:r w:rsidRPr="00F402FC">
        <w:rPr>
          <w:rFonts w:ascii="Arial" w:hAnsi="Arial" w:cs="Arial"/>
          <w:sz w:val="20"/>
          <w:szCs w:val="20"/>
        </w:rPr>
        <w:t>.</w:t>
      </w:r>
      <w:r w:rsidRPr="00904255">
        <w:rPr>
          <w:rFonts w:ascii="Arial" w:hAnsi="Arial" w:cs="Arial"/>
          <w:b/>
          <w:bCs/>
          <w:sz w:val="20"/>
          <w:szCs w:val="20"/>
        </w:rPr>
        <w:t xml:space="preserve"> (</w:t>
      </w:r>
      <w:proofErr w:type="spellStart"/>
      <w:r>
        <w:rPr>
          <w:rFonts w:ascii="Arial" w:hAnsi="Arial" w:cs="Arial"/>
          <w:b/>
          <w:bCs/>
          <w:sz w:val="20"/>
          <w:szCs w:val="20"/>
        </w:rPr>
        <w:t>i</w:t>
      </w:r>
      <w:proofErr w:type="spellEnd"/>
      <w:r w:rsidRPr="00904255">
        <w:rPr>
          <w:rFonts w:ascii="Arial" w:hAnsi="Arial" w:cs="Arial"/>
          <w:b/>
          <w:bCs/>
          <w:sz w:val="20"/>
          <w:szCs w:val="20"/>
        </w:rPr>
        <w:t>)</w:t>
      </w:r>
      <w:r w:rsidRPr="00904255">
        <w:rPr>
          <w:rFonts w:ascii="Arial" w:hAnsi="Arial" w:cs="Arial"/>
          <w:sz w:val="20"/>
          <w:szCs w:val="20"/>
        </w:rPr>
        <w:t xml:space="preserve"> Concordance between revised annotation from this stud</w:t>
      </w:r>
      <w:r>
        <w:rPr>
          <w:rFonts w:ascii="Arial" w:hAnsi="Arial" w:cs="Arial"/>
          <w:sz w:val="20"/>
          <w:szCs w:val="20"/>
        </w:rPr>
        <w:t>y, based on the scVI integration,</w:t>
      </w:r>
      <w:r w:rsidRPr="00904255">
        <w:rPr>
          <w:rFonts w:ascii="Arial" w:hAnsi="Arial" w:cs="Arial"/>
          <w:sz w:val="20"/>
          <w:szCs w:val="20"/>
        </w:rPr>
        <w:t xml:space="preserve"> versus the original annotation from each study. </w:t>
      </w:r>
      <w:r w:rsidRPr="00904255">
        <w:rPr>
          <w:rFonts w:ascii="Arial" w:hAnsi="Arial" w:cs="Arial"/>
          <w:b/>
          <w:bCs/>
          <w:sz w:val="20"/>
          <w:szCs w:val="20"/>
        </w:rPr>
        <w:t>(</w:t>
      </w:r>
      <w:r>
        <w:rPr>
          <w:rFonts w:ascii="Arial" w:hAnsi="Arial" w:cs="Arial"/>
          <w:b/>
          <w:bCs/>
          <w:sz w:val="20"/>
          <w:szCs w:val="20"/>
        </w:rPr>
        <w:t>j</w:t>
      </w:r>
      <w:r w:rsidRPr="00904255">
        <w:rPr>
          <w:rFonts w:ascii="Arial" w:hAnsi="Arial" w:cs="Arial"/>
          <w:b/>
          <w:bCs/>
          <w:sz w:val="20"/>
          <w:szCs w:val="20"/>
        </w:rPr>
        <w:t>)</w:t>
      </w:r>
      <w:r w:rsidRPr="00904255">
        <w:rPr>
          <w:rFonts w:ascii="Arial" w:hAnsi="Arial" w:cs="Arial"/>
          <w:sz w:val="20"/>
          <w:szCs w:val="20"/>
        </w:rPr>
        <w:t xml:space="preserve"> Discordance rate in annotation as a function of the cell type frequency. Rarer cell types tend to have higher discordance.</w:t>
      </w:r>
      <w:r>
        <w:rPr>
          <w:rFonts w:ascii="Arial" w:hAnsi="Arial" w:cs="Arial"/>
          <w:sz w:val="20"/>
          <w:szCs w:val="20"/>
        </w:rPr>
        <w:t xml:space="preserve"> Transcriptionally similar cell types such as </w:t>
      </w:r>
      <w:proofErr w:type="spellStart"/>
      <w:r>
        <w:rPr>
          <w:rFonts w:ascii="Arial" w:hAnsi="Arial" w:cs="Arial"/>
          <w:sz w:val="20"/>
          <w:szCs w:val="20"/>
        </w:rPr>
        <w:t>vSMC</w:t>
      </w:r>
      <w:proofErr w:type="spellEnd"/>
      <w:r>
        <w:rPr>
          <w:rFonts w:ascii="Arial" w:hAnsi="Arial" w:cs="Arial"/>
          <w:sz w:val="20"/>
          <w:szCs w:val="20"/>
        </w:rPr>
        <w:t xml:space="preserve"> and pericyte also tend to have higher discordance rates.</w:t>
      </w:r>
      <w:r w:rsidRPr="00904255">
        <w:rPr>
          <w:rFonts w:ascii="Arial" w:hAnsi="Arial" w:cs="Arial"/>
          <w:sz w:val="20"/>
          <w:szCs w:val="20"/>
        </w:rPr>
        <w:t xml:space="preserve"> </w:t>
      </w:r>
      <w:r w:rsidRPr="00904255">
        <w:rPr>
          <w:rFonts w:ascii="Arial" w:hAnsi="Arial" w:cs="Arial"/>
          <w:b/>
          <w:bCs/>
          <w:sz w:val="20"/>
          <w:szCs w:val="20"/>
        </w:rPr>
        <w:t>(</w:t>
      </w:r>
      <w:r>
        <w:rPr>
          <w:rFonts w:ascii="Arial" w:hAnsi="Arial" w:cs="Arial"/>
          <w:b/>
          <w:bCs/>
          <w:sz w:val="20"/>
          <w:szCs w:val="20"/>
        </w:rPr>
        <w:t>k</w:t>
      </w:r>
      <w:r w:rsidRPr="00904255">
        <w:rPr>
          <w:rFonts w:ascii="Arial" w:hAnsi="Arial" w:cs="Arial"/>
          <w:b/>
          <w:bCs/>
          <w:sz w:val="20"/>
          <w:szCs w:val="20"/>
        </w:rPr>
        <w:t xml:space="preserve">) </w:t>
      </w:r>
      <w:r w:rsidRPr="00904255">
        <w:rPr>
          <w:rFonts w:ascii="Arial" w:hAnsi="Arial" w:cs="Arial"/>
          <w:sz w:val="20"/>
          <w:szCs w:val="20"/>
        </w:rPr>
        <w:t>To assess whether our annotation is more likely correct when compared to the original annotation, we sought to compare the transcriptome for cells with disagreement against the cells that are agreed upon from both annotations (serving as a “ground truth”). Therefore, we compared the Pearson correlations of those annotated as a cell type in the revised annotation to the “ground truth”</w:t>
      </w:r>
      <w:r>
        <w:rPr>
          <w:rFonts w:ascii="Arial" w:hAnsi="Arial" w:cs="Arial"/>
          <w:sz w:val="20"/>
          <w:szCs w:val="20"/>
        </w:rPr>
        <w:t>, consensus-label</w:t>
      </w:r>
      <w:r w:rsidRPr="00904255">
        <w:rPr>
          <w:rFonts w:ascii="Arial" w:hAnsi="Arial" w:cs="Arial"/>
          <w:sz w:val="20"/>
          <w:szCs w:val="20"/>
        </w:rPr>
        <w:t xml:space="preserve"> cells versus those annotated only</w:t>
      </w:r>
      <w:r>
        <w:rPr>
          <w:rFonts w:ascii="Arial" w:hAnsi="Arial" w:cs="Arial"/>
          <w:sz w:val="20"/>
          <w:szCs w:val="20"/>
        </w:rPr>
        <w:t xml:space="preserve"> in</w:t>
      </w:r>
      <w:r w:rsidRPr="00904255">
        <w:rPr>
          <w:rFonts w:ascii="Arial" w:hAnsi="Arial" w:cs="Arial"/>
          <w:sz w:val="20"/>
          <w:szCs w:val="20"/>
        </w:rPr>
        <w:t xml:space="preserve"> the original study. The density plot of the pairwise correlations is shown for Mast cells, which had the highest discordance rate. The correlation for “revised only” cells to “ground truth” cells is higher than it is for “original only” cells, providing support that our revised annotation may be more accurate.</w:t>
      </w:r>
      <w:r>
        <w:rPr>
          <w:rFonts w:ascii="Arial" w:hAnsi="Arial" w:cs="Arial"/>
          <w:sz w:val="20"/>
          <w:szCs w:val="20"/>
        </w:rPr>
        <w:t xml:space="preserve"> The Pearson correlation is overall quite low due to the sparsity of single-cell data. </w:t>
      </w:r>
    </w:p>
    <w:p w14:paraId="103D46FD" w14:textId="77777777" w:rsidR="00F94AAA" w:rsidRDefault="00F94AAA" w:rsidP="00F94AAA">
      <w:pPr>
        <w:rPr>
          <w:rFonts w:ascii="Arial" w:hAnsi="Arial" w:cs="Arial"/>
          <w:sz w:val="21"/>
          <w:szCs w:val="21"/>
        </w:rPr>
      </w:pPr>
    </w:p>
    <w:p w14:paraId="19D918BA" w14:textId="77777777" w:rsidR="00F94AAA" w:rsidRDefault="00F94AAA" w:rsidP="00F94AAA">
      <w:pPr>
        <w:jc w:val="center"/>
        <w:rPr>
          <w:rStyle w:val="Heading1Char"/>
          <w:rFonts w:ascii="Arial" w:hAnsi="Arial" w:cs="Arial"/>
          <w:b/>
          <w:bCs/>
          <w:sz w:val="20"/>
          <w:szCs w:val="20"/>
        </w:rPr>
      </w:pPr>
    </w:p>
    <w:p w14:paraId="38964F9E" w14:textId="77777777" w:rsidR="00F94AAA" w:rsidRDefault="00F94AAA" w:rsidP="00F94AAA">
      <w:pPr>
        <w:jc w:val="center"/>
        <w:rPr>
          <w:rStyle w:val="Heading1Char"/>
          <w:rFonts w:ascii="Arial" w:hAnsi="Arial" w:cs="Arial"/>
          <w:b/>
          <w:bCs/>
          <w:sz w:val="20"/>
          <w:szCs w:val="20"/>
        </w:rPr>
      </w:pPr>
      <w:r>
        <w:rPr>
          <w:rFonts w:ascii="Arial" w:eastAsiaTheme="majorEastAsia" w:hAnsi="Arial" w:cs="Arial"/>
          <w:b/>
          <w:bCs/>
          <w:noProof/>
          <w:color w:val="0F4761" w:themeColor="accent1" w:themeShade="BF"/>
          <w:sz w:val="20"/>
          <w:szCs w:val="20"/>
        </w:rPr>
        <w:lastRenderedPageBreak/>
        <w:drawing>
          <wp:inline distT="0" distB="0" distL="0" distR="0" wp14:anchorId="1892A0FD" wp14:editId="4C36BEBC">
            <wp:extent cx="5842635" cy="9144000"/>
            <wp:effectExtent l="0" t="0" r="0" b="0"/>
            <wp:docPr id="2074925017" name="Picture 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25017" name="Picture 8" descr="A screenshot of a computer scree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635" cy="9144000"/>
                    </a:xfrm>
                    <a:prstGeom prst="rect">
                      <a:avLst/>
                    </a:prstGeom>
                  </pic:spPr>
                </pic:pic>
              </a:graphicData>
            </a:graphic>
          </wp:inline>
        </w:drawing>
      </w:r>
    </w:p>
    <w:p w14:paraId="79793524" w14:textId="77777777" w:rsidR="00F94AAA" w:rsidRDefault="00F94AAA" w:rsidP="00F94AAA">
      <w:pPr>
        <w:jc w:val="center"/>
        <w:rPr>
          <w:rStyle w:val="Heading1Char"/>
          <w:rFonts w:ascii="Arial" w:hAnsi="Arial" w:cs="Arial"/>
          <w:b/>
          <w:bCs/>
          <w:sz w:val="20"/>
          <w:szCs w:val="20"/>
        </w:rPr>
      </w:pPr>
      <w:r>
        <w:rPr>
          <w:rFonts w:ascii="Arial" w:eastAsiaTheme="majorEastAsia" w:hAnsi="Arial" w:cs="Arial"/>
          <w:b/>
          <w:bCs/>
          <w:noProof/>
          <w:color w:val="0F4761" w:themeColor="accent1" w:themeShade="BF"/>
          <w:sz w:val="20"/>
          <w:szCs w:val="20"/>
        </w:rPr>
        <w:lastRenderedPageBreak/>
        <w:drawing>
          <wp:inline distT="0" distB="0" distL="0" distR="0" wp14:anchorId="6B400E4E" wp14:editId="1371C8A4">
            <wp:extent cx="6316345" cy="9144000"/>
            <wp:effectExtent l="0" t="0" r="0" b="0"/>
            <wp:docPr id="2071298851" name="Picture 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98851" name="Picture 9" descr="A screenshot of a computer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6345" cy="9144000"/>
                    </a:xfrm>
                    <a:prstGeom prst="rect">
                      <a:avLst/>
                    </a:prstGeom>
                  </pic:spPr>
                </pic:pic>
              </a:graphicData>
            </a:graphic>
          </wp:inline>
        </w:drawing>
      </w:r>
    </w:p>
    <w:p w14:paraId="39F890A0" w14:textId="77777777" w:rsidR="00F94AAA" w:rsidRDefault="00F94AAA" w:rsidP="00F94AAA">
      <w:pPr>
        <w:jc w:val="center"/>
        <w:rPr>
          <w:rStyle w:val="Heading1Char"/>
          <w:rFonts w:ascii="Arial" w:hAnsi="Arial" w:cs="Arial"/>
          <w:b/>
          <w:bCs/>
          <w:sz w:val="20"/>
          <w:szCs w:val="20"/>
        </w:rPr>
      </w:pPr>
      <w:r>
        <w:rPr>
          <w:rFonts w:ascii="Arial" w:eastAsiaTheme="majorEastAsia" w:hAnsi="Arial" w:cs="Arial"/>
          <w:b/>
          <w:bCs/>
          <w:noProof/>
          <w:color w:val="0F4761" w:themeColor="accent1" w:themeShade="BF"/>
          <w:sz w:val="20"/>
          <w:szCs w:val="20"/>
        </w:rPr>
        <w:lastRenderedPageBreak/>
        <w:drawing>
          <wp:inline distT="0" distB="0" distL="0" distR="0" wp14:anchorId="0F2AEA43" wp14:editId="1962FA65">
            <wp:extent cx="6449804" cy="2199503"/>
            <wp:effectExtent l="0" t="0" r="1905" b="0"/>
            <wp:docPr id="1287465526" name="Picture 2" descr="A close-up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65526" name="Picture 2" descr="A close-up of a black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09896" cy="2219996"/>
                    </a:xfrm>
                    <a:prstGeom prst="rect">
                      <a:avLst/>
                    </a:prstGeom>
                  </pic:spPr>
                </pic:pic>
              </a:graphicData>
            </a:graphic>
          </wp:inline>
        </w:drawing>
      </w:r>
    </w:p>
    <w:p w14:paraId="0FD12F35" w14:textId="77777777" w:rsidR="00F94AAA" w:rsidRDefault="00F94AAA" w:rsidP="00F94AAA">
      <w:pPr>
        <w:rPr>
          <w:rFonts w:ascii="Arial" w:hAnsi="Arial" w:cs="Arial"/>
          <w:sz w:val="20"/>
          <w:szCs w:val="20"/>
        </w:rPr>
      </w:pPr>
      <w:bookmarkStart w:id="3" w:name="_Toc221608499"/>
      <w:r>
        <w:rPr>
          <w:rStyle w:val="Heading1Char"/>
          <w:rFonts w:ascii="Arial" w:hAnsi="Arial" w:cs="Arial"/>
          <w:b/>
          <w:bCs/>
          <w:sz w:val="20"/>
          <w:szCs w:val="20"/>
        </w:rPr>
        <w:t>Fig. S4</w:t>
      </w:r>
      <w:r w:rsidRPr="006F3678">
        <w:rPr>
          <w:rStyle w:val="Heading1Char"/>
          <w:rFonts w:ascii="Arial" w:hAnsi="Arial" w:cs="Arial"/>
          <w:b/>
          <w:bCs/>
          <w:sz w:val="20"/>
          <w:szCs w:val="20"/>
        </w:rPr>
        <w:t xml:space="preserve"> – snRNA-seq subclustering analysis</w:t>
      </w:r>
      <w:bookmarkEnd w:id="3"/>
      <w:r w:rsidRPr="006F3678">
        <w:rPr>
          <w:rFonts w:ascii="Arial" w:hAnsi="Arial" w:cs="Arial"/>
          <w:sz w:val="20"/>
          <w:szCs w:val="20"/>
        </w:rPr>
        <w:t xml:space="preserve">: </w:t>
      </w:r>
      <w:r w:rsidRPr="005E3ADC">
        <w:rPr>
          <w:rFonts w:ascii="Arial" w:hAnsi="Arial" w:cs="Arial"/>
          <w:sz w:val="20"/>
          <w:szCs w:val="20"/>
        </w:rPr>
        <w:t>Using a second round of scVI integration for each individual cell type (</w:t>
      </w:r>
      <w:r w:rsidRPr="005E3ADC">
        <w:rPr>
          <w:rFonts w:ascii="Arial" w:hAnsi="Arial" w:cs="Arial"/>
          <w:b/>
          <w:bCs/>
          <w:sz w:val="20"/>
          <w:szCs w:val="20"/>
        </w:rPr>
        <w:t>Methods</w:t>
      </w:r>
      <w:r w:rsidRPr="005E3ADC">
        <w:rPr>
          <w:rFonts w:ascii="Arial" w:hAnsi="Arial" w:cs="Arial"/>
          <w:sz w:val="20"/>
          <w:szCs w:val="20"/>
        </w:rPr>
        <w:t xml:space="preserve">), we performed subclustering annotation for all cell types. We did not identify any further Epicardial </w:t>
      </w:r>
      <w:r>
        <w:rPr>
          <w:rFonts w:ascii="Arial" w:hAnsi="Arial" w:cs="Arial"/>
          <w:sz w:val="20"/>
          <w:szCs w:val="20"/>
        </w:rPr>
        <w:t>and</w:t>
      </w:r>
      <w:r w:rsidRPr="005E3ADC">
        <w:rPr>
          <w:rFonts w:ascii="Arial" w:hAnsi="Arial" w:cs="Arial"/>
          <w:sz w:val="20"/>
          <w:szCs w:val="20"/>
        </w:rPr>
        <w:t xml:space="preserve"> Mast</w:t>
      </w:r>
      <w:r>
        <w:rPr>
          <w:rFonts w:ascii="Arial" w:hAnsi="Arial" w:cs="Arial"/>
          <w:sz w:val="20"/>
          <w:szCs w:val="20"/>
        </w:rPr>
        <w:t xml:space="preserve"> cells</w:t>
      </w:r>
      <w:r w:rsidRPr="005E3ADC">
        <w:rPr>
          <w:rFonts w:ascii="Arial" w:hAnsi="Arial" w:cs="Arial"/>
          <w:sz w:val="20"/>
          <w:szCs w:val="20"/>
        </w:rPr>
        <w:t xml:space="preserve">, so they are not displayed in this figure. </w:t>
      </w:r>
      <w:r w:rsidRPr="00F56F62">
        <w:rPr>
          <w:rFonts w:ascii="Arial" w:hAnsi="Arial" w:cs="Arial"/>
          <w:sz w:val="20"/>
          <w:szCs w:val="20"/>
        </w:rPr>
        <w:t xml:space="preserve">Z-score scaled expression per gene is shown on </w:t>
      </w:r>
      <w:proofErr w:type="spellStart"/>
      <w:r w:rsidRPr="00F56F62">
        <w:rPr>
          <w:rFonts w:ascii="Arial" w:hAnsi="Arial" w:cs="Arial"/>
          <w:sz w:val="20"/>
          <w:szCs w:val="20"/>
        </w:rPr>
        <w:t>dotplots</w:t>
      </w:r>
      <w:proofErr w:type="spellEnd"/>
      <w:r w:rsidRPr="00F56F62">
        <w:rPr>
          <w:rFonts w:ascii="Arial" w:hAnsi="Arial" w:cs="Arial"/>
          <w:sz w:val="20"/>
          <w:szCs w:val="20"/>
        </w:rPr>
        <w:t xml:space="preserve"> to illustrate key markers per subcluster.</w:t>
      </w:r>
      <w:r>
        <w:rPr>
          <w:rFonts w:ascii="Arial" w:hAnsi="Arial" w:cs="Arial"/>
          <w:sz w:val="20"/>
          <w:szCs w:val="20"/>
        </w:rPr>
        <w:t xml:space="preserve"> On the right side, the fold changes of observed vs. expected for each subcluster are obtained using the chi-squared test for developmental and disease categories and non-diseased aging. Enrichments with a log</w:t>
      </w:r>
      <w:r w:rsidRPr="00EC264F">
        <w:rPr>
          <w:rFonts w:ascii="Arial" w:hAnsi="Arial" w:cs="Arial"/>
          <w:sz w:val="20"/>
          <w:szCs w:val="20"/>
          <w:vertAlign w:val="subscript"/>
        </w:rPr>
        <w:t>2</w:t>
      </w:r>
      <w:r>
        <w:rPr>
          <w:rFonts w:ascii="Arial" w:hAnsi="Arial" w:cs="Arial"/>
          <w:sz w:val="20"/>
          <w:szCs w:val="20"/>
        </w:rPr>
        <w:t xml:space="preserve"> fold change greater than 0.5 are indicated with an asterisk.</w:t>
      </w:r>
    </w:p>
    <w:p w14:paraId="670CB900" w14:textId="77777777" w:rsidR="00F94AAA" w:rsidRDefault="00F94AAA" w:rsidP="00F94AAA">
      <w:pPr>
        <w:rPr>
          <w:rFonts w:ascii="Arial" w:hAnsi="Arial" w:cs="Arial"/>
          <w:sz w:val="20"/>
          <w:szCs w:val="20"/>
        </w:rPr>
      </w:pPr>
      <w:r>
        <w:rPr>
          <w:rFonts w:ascii="Arial" w:hAnsi="Arial" w:cs="Arial"/>
          <w:sz w:val="20"/>
          <w:szCs w:val="20"/>
        </w:rPr>
        <w:t xml:space="preserve"> </w:t>
      </w:r>
      <w:r w:rsidRPr="00C61257">
        <w:rPr>
          <w:rFonts w:ascii="Arial" w:hAnsi="Arial" w:cs="Arial"/>
          <w:b/>
          <w:bCs/>
          <w:sz w:val="20"/>
          <w:szCs w:val="20"/>
        </w:rPr>
        <w:t>(a)</w:t>
      </w:r>
      <w:r>
        <w:rPr>
          <w:rFonts w:ascii="Arial" w:hAnsi="Arial" w:cs="Arial"/>
          <w:sz w:val="20"/>
          <w:szCs w:val="20"/>
        </w:rPr>
        <w:t xml:space="preserve"> Two subclusters of Adipocytes were identified. These include white adipocytes, which show high expression of </w:t>
      </w:r>
      <w:r w:rsidRPr="00876D85">
        <w:rPr>
          <w:rFonts w:ascii="Arial" w:hAnsi="Arial" w:cs="Arial"/>
          <w:i/>
          <w:iCs/>
          <w:sz w:val="20"/>
          <w:szCs w:val="20"/>
        </w:rPr>
        <w:t>ADIPOQ</w:t>
      </w:r>
      <w:r>
        <w:rPr>
          <w:rFonts w:ascii="Arial" w:hAnsi="Arial" w:cs="Arial"/>
          <w:sz w:val="20"/>
          <w:szCs w:val="20"/>
        </w:rPr>
        <w:t>/</w:t>
      </w:r>
      <w:r w:rsidRPr="00876D85">
        <w:rPr>
          <w:rFonts w:ascii="Arial" w:hAnsi="Arial" w:cs="Arial"/>
          <w:i/>
          <w:iCs/>
          <w:sz w:val="20"/>
          <w:szCs w:val="20"/>
        </w:rPr>
        <w:t>L</w:t>
      </w:r>
      <w:r>
        <w:rPr>
          <w:rFonts w:ascii="Arial" w:hAnsi="Arial" w:cs="Arial"/>
          <w:i/>
          <w:iCs/>
          <w:sz w:val="20"/>
          <w:szCs w:val="20"/>
        </w:rPr>
        <w:t>P</w:t>
      </w:r>
      <w:r w:rsidRPr="00876D85">
        <w:rPr>
          <w:rFonts w:ascii="Arial" w:hAnsi="Arial" w:cs="Arial"/>
          <w:i/>
          <w:iCs/>
          <w:sz w:val="20"/>
          <w:szCs w:val="20"/>
        </w:rPr>
        <w:t>L</w:t>
      </w:r>
      <w:r>
        <w:rPr>
          <w:rFonts w:ascii="Arial" w:hAnsi="Arial" w:cs="Arial"/>
          <w:sz w:val="20"/>
          <w:szCs w:val="20"/>
        </w:rPr>
        <w:t>/</w:t>
      </w:r>
      <w:r w:rsidRPr="00921A0F">
        <w:rPr>
          <w:rFonts w:ascii="Arial" w:hAnsi="Arial" w:cs="Arial"/>
          <w:i/>
          <w:iCs/>
          <w:sz w:val="20"/>
          <w:szCs w:val="20"/>
        </w:rPr>
        <w:t>CEB</w:t>
      </w:r>
      <w:r>
        <w:rPr>
          <w:rFonts w:ascii="Arial" w:hAnsi="Arial" w:cs="Arial"/>
          <w:i/>
          <w:iCs/>
          <w:sz w:val="20"/>
          <w:szCs w:val="20"/>
        </w:rPr>
        <w:t>P</w:t>
      </w:r>
      <w:r w:rsidRPr="00921A0F">
        <w:rPr>
          <w:rFonts w:ascii="Arial" w:hAnsi="Arial" w:cs="Arial"/>
          <w:i/>
          <w:iCs/>
          <w:sz w:val="20"/>
          <w:szCs w:val="20"/>
        </w:rPr>
        <w:t>A</w:t>
      </w:r>
      <w:r>
        <w:rPr>
          <w:rFonts w:ascii="Arial" w:hAnsi="Arial" w:cs="Arial"/>
          <w:sz w:val="20"/>
          <w:szCs w:val="20"/>
        </w:rPr>
        <w:t xml:space="preserve">; and beige adipocytes, which express the non-white adipocyte driver TFs </w:t>
      </w:r>
      <w:bookmarkStart w:id="4" w:name="_Hlk219794786"/>
      <w:r w:rsidRPr="008E11CB">
        <w:rPr>
          <w:rFonts w:ascii="Arial" w:hAnsi="Arial" w:cs="Arial"/>
          <w:i/>
          <w:iCs/>
          <w:sz w:val="20"/>
          <w:szCs w:val="20"/>
        </w:rPr>
        <w:t>EBF2</w:t>
      </w:r>
      <w:r>
        <w:rPr>
          <w:rFonts w:ascii="Arial" w:hAnsi="Arial" w:cs="Arial"/>
          <w:i/>
          <w:iCs/>
          <w:sz w:val="20"/>
          <w:szCs w:val="20"/>
        </w:rPr>
        <w:fldChar w:fldCharType="begin"/>
      </w:r>
      <w:r>
        <w:rPr>
          <w:rFonts w:ascii="Arial" w:hAnsi="Arial" w:cs="Arial"/>
          <w:i/>
          <w:iCs/>
          <w:sz w:val="20"/>
          <w:szCs w:val="20"/>
        </w:rPr>
        <w:instrText xml:space="preserve"> ADDIN ZOTERO_ITEM CSL_CITATION {"citationID":"hBBX44BF","properties":{"unsorted":false,"formattedCitation":"(132)","plainCitation":"(132)","noteIndex":0},"citationItems":[{"id":28917,"uris":["http://zotero.org/users/12236467/items/9UN4ISEL"],"itemData":{"id":28917,"type":"article-journal","abstract":"OBJECTIVE: The induction of beige/brite adipose cells in white adipose tissue (WAT) is associated with protection against high fat diet-induced obesity and insulin resistance in animals. The helix-loop-helix transcription factor Early B-Cell Factor-2 (EBF2) regulates brown adipose tissue development. Here, we asked if EBF2 regulates beige fat cell biogenesis and protects animals against obesity.\nMETHODS: In addition to primary cell culture studies, we used ​Ebf2 knockout mice and mice overexpressing EBF2 in the adipose tissue to study the necessity and sufficiency of EBF2 to induce beiging in vivo.\nRESULTS: We found that EBF2 is required for beige adipocyte development in mice. Subcutaneous WAT or primary adipose cell cultures from Ebf2 knockout mice did not induce Uncoupling Protein 1 (UCP1) or a thermogenic program following adrenergic stimulation. Conversely, over-expression of EBF2 in adipocyte cultures induced UCP1 expression and a brown-like/beige fat-selective differentiation program. Transgenic expression of Ebf2 in adipose tissues robustly stimulated beige adipocyte development in the WAT of mice, even while housed at thermoneutrality. EBF2 overexpression was sufficient to increase mitochondrial function in WAT and protect animals against high fat diet-induced weight gain.\nCONCLUSIONS: Taken together, our results demonstrate that EBF2 controls the beiging process and suggest that activation of EBF2 in WAT could be used to reduce obesity.","container-title":"Molecular Metabolism","DOI":"10.1016/j.molmet.2015.11.001","ISSN":"2212-8778","issue":"1","journalAbbreviation":"Mol Metab","language":"eng","page":"57-65","PMID":"26844207","PMCID":"PMC4703852","source":"PubMed","title":"EBF2 promotes the recruitment of beige adipocytes in white adipose tissue","volume":"5","author":[{"family":"Stine","given":"Rachel R."},{"family":"Shapira","given":"Suzanne N."},{"family":"Lim","given":"Hee-Woong"},{"family":"Ishibashi","given":"Jeff"},{"family":"Harms","given":"Matthew"},{"family":"Won","given":"Kyoung-Jae"},{"family":"Seale","given":"Patrick"}],"issued":{"date-parts":[["2016",1]]}}}],"schema":"https://github.com/citation-style-language/schema/raw/master/csl-citation.json"} </w:instrText>
      </w:r>
      <w:r>
        <w:rPr>
          <w:rFonts w:ascii="Arial" w:hAnsi="Arial" w:cs="Arial"/>
          <w:i/>
          <w:iCs/>
          <w:sz w:val="20"/>
          <w:szCs w:val="20"/>
        </w:rPr>
        <w:fldChar w:fldCharType="separate"/>
      </w:r>
      <w:r>
        <w:rPr>
          <w:rFonts w:ascii="Arial" w:hAnsi="Arial" w:cs="Arial"/>
          <w:sz w:val="20"/>
        </w:rPr>
        <w:t>(132)</w:t>
      </w:r>
      <w:r>
        <w:rPr>
          <w:rFonts w:ascii="Arial" w:hAnsi="Arial" w:cs="Arial"/>
          <w:i/>
          <w:iCs/>
          <w:sz w:val="20"/>
          <w:szCs w:val="20"/>
        </w:rPr>
        <w:fldChar w:fldCharType="end"/>
      </w:r>
      <w:r>
        <w:rPr>
          <w:rFonts w:ascii="Arial" w:hAnsi="Arial" w:cs="Arial"/>
          <w:sz w:val="20"/>
          <w:szCs w:val="20"/>
        </w:rPr>
        <w:t xml:space="preserve"> </w:t>
      </w:r>
      <w:bookmarkEnd w:id="4"/>
      <w:r>
        <w:rPr>
          <w:rFonts w:ascii="Arial" w:hAnsi="Arial" w:cs="Arial"/>
          <w:sz w:val="20"/>
          <w:szCs w:val="20"/>
        </w:rPr>
        <w:t xml:space="preserve">and </w:t>
      </w:r>
      <w:r w:rsidRPr="008D4E63">
        <w:rPr>
          <w:rFonts w:ascii="Arial" w:hAnsi="Arial" w:cs="Arial"/>
          <w:i/>
          <w:iCs/>
          <w:sz w:val="20"/>
          <w:szCs w:val="20"/>
        </w:rPr>
        <w:t>PRDM16</w:t>
      </w:r>
      <w:r>
        <w:rPr>
          <w:rFonts w:ascii="Arial" w:hAnsi="Arial" w:cs="Arial"/>
          <w:i/>
          <w:iCs/>
          <w:sz w:val="20"/>
          <w:szCs w:val="20"/>
        </w:rPr>
        <w:fldChar w:fldCharType="begin"/>
      </w:r>
      <w:r>
        <w:rPr>
          <w:rFonts w:ascii="Arial" w:hAnsi="Arial" w:cs="Arial"/>
          <w:i/>
          <w:iCs/>
          <w:sz w:val="20"/>
          <w:szCs w:val="20"/>
        </w:rPr>
        <w:instrText xml:space="preserve"> ADDIN ZOTERO_ITEM CSL_CITATION {"citationID":"PxoRB9gR","properties":{"unsorted":false,"formattedCitation":"(133)","plainCitation":"(133)","noteIndex":0},"citationItems":[{"id":28920,"uris":["http://zotero.org/users/12236467/items/PYSUV4NR"],"itemData":{"id":28920,"type":"article-journal","abstract":"Prdm16 is a transcription factor that regulates the thermogenic gene program in brown and beige adipocytes. However, whether Prdm16 is required for the development or physiological function of brown adipose tissue (BAT) in vivo has been unclear. By analyzing mice that selectively lacked Prdm16 in the brown adipose lineage, we found that Prdm16 was dispensable for embryonic BAT development. However, Prdm16 was required in young mice to suppress the expression of white fat-selective genes in BAT through recruitment of the histone methyltransferase Ehmt1. Additionally, Prdm16-deficiency caused a severe adult-onset decline in the thermogenic character of interscapular BAT. This resulted in BAT dysfunction and cold sensitivity but did not predispose the animals to obesity. Interestingly, the loss of brown fat identity due to ablation of Prdm16 was accelerated by concurrent deletion of the closely related Prdm3 gene. Together, these results show that Prdm16 and Prdm3 control postnatal BAT identity and function.","container-title":"Cell metabolism","DOI":"10.1016/j.cmet.2014.03.007","ISSN":"1550-4131","issue":"4","journalAbbreviation":"Cell Metab","page":"593-604","PMID":"24703692","PMCID":"PMC4012340","source":"PubMed Central","title":"Prdm16 is required for the maintenance of brown adipocyte identity and function in adult mice","URL":"https://pmc.ncbi.nlm.nih.gov/articles/PMC4012340/","volume":"19","author":[{"family":"Harms","given":"Matthew J."},{"family":"Ishibashi","given":"Jeff"},{"family":"Wang","given":"Wenshan"},{"family":"Lim","given":"Hee-Woong"},{"family":"Goyama","given":"Susumu"},{"family":"Sato","given":"Tomohiko"},{"family":"Kurokawa","given":"Mineo"},{"family":"Won","given":"Kyoung-Jae"},{"family":"Seale","given":"Patrick"}],"accessed":{"date-parts":[["2026",1,20]]},"issued":{"date-parts":[["2014",4,1]]}}}],"schema":"https://github.com/citation-style-language/schema/raw/master/csl-citation.json"} </w:instrText>
      </w:r>
      <w:r>
        <w:rPr>
          <w:rFonts w:ascii="Arial" w:hAnsi="Arial" w:cs="Arial"/>
          <w:i/>
          <w:iCs/>
          <w:sz w:val="20"/>
          <w:szCs w:val="20"/>
        </w:rPr>
        <w:fldChar w:fldCharType="separate"/>
      </w:r>
      <w:r>
        <w:rPr>
          <w:rFonts w:ascii="Arial" w:hAnsi="Arial" w:cs="Arial"/>
          <w:sz w:val="20"/>
        </w:rPr>
        <w:t>(133)</w:t>
      </w:r>
      <w:r>
        <w:rPr>
          <w:rFonts w:ascii="Arial" w:hAnsi="Arial" w:cs="Arial"/>
          <w:i/>
          <w:iCs/>
          <w:sz w:val="20"/>
          <w:szCs w:val="20"/>
        </w:rPr>
        <w:fldChar w:fldCharType="end"/>
      </w:r>
      <w:r>
        <w:rPr>
          <w:rFonts w:ascii="Arial" w:hAnsi="Arial" w:cs="Arial"/>
          <w:sz w:val="20"/>
          <w:szCs w:val="20"/>
        </w:rPr>
        <w:t>.</w:t>
      </w:r>
    </w:p>
    <w:p w14:paraId="6E223068" w14:textId="77777777" w:rsidR="00F94AAA" w:rsidRDefault="00F94AAA" w:rsidP="00F94AAA">
      <w:pPr>
        <w:rPr>
          <w:rFonts w:ascii="Arial" w:hAnsi="Arial" w:cs="Arial"/>
          <w:sz w:val="20"/>
          <w:szCs w:val="20"/>
        </w:rPr>
      </w:pPr>
      <w:r>
        <w:rPr>
          <w:rFonts w:ascii="Arial" w:hAnsi="Arial" w:cs="Arial"/>
          <w:sz w:val="20"/>
          <w:szCs w:val="20"/>
        </w:rPr>
        <w:t xml:space="preserve">White adipocytes are slightly enriched in HCM. </w:t>
      </w:r>
    </w:p>
    <w:p w14:paraId="30A7E5D7" w14:textId="77777777" w:rsidR="00F94AAA" w:rsidRDefault="00F94AAA" w:rsidP="00F94AAA">
      <w:pPr>
        <w:rPr>
          <w:rFonts w:ascii="Arial" w:hAnsi="Arial" w:cs="Arial"/>
          <w:sz w:val="20"/>
          <w:szCs w:val="20"/>
        </w:rPr>
      </w:pPr>
      <w:r w:rsidRPr="00211438">
        <w:rPr>
          <w:rFonts w:ascii="Arial" w:hAnsi="Arial" w:cs="Arial"/>
          <w:b/>
          <w:bCs/>
          <w:sz w:val="20"/>
          <w:szCs w:val="20"/>
        </w:rPr>
        <w:t>(b)</w:t>
      </w:r>
      <w:r>
        <w:rPr>
          <w:rFonts w:ascii="Arial" w:hAnsi="Arial" w:cs="Arial"/>
          <w:b/>
          <w:bCs/>
          <w:sz w:val="20"/>
          <w:szCs w:val="20"/>
        </w:rPr>
        <w:t xml:space="preserve"> </w:t>
      </w:r>
      <w:r>
        <w:rPr>
          <w:rFonts w:ascii="Arial" w:hAnsi="Arial" w:cs="Arial"/>
          <w:sz w:val="20"/>
          <w:szCs w:val="20"/>
        </w:rPr>
        <w:t>Seven clusters are cardiomyocytes were identified. These include: a “DCM-HCM enriched” cluster with high expression of genes involved in hypertrophy and adverse remodeling (</w:t>
      </w:r>
      <w:bookmarkStart w:id="5" w:name="_Hlk220229190"/>
      <w:r>
        <w:rPr>
          <w:rFonts w:ascii="Arial" w:hAnsi="Arial" w:cs="Arial"/>
          <w:i/>
          <w:iCs/>
          <w:sz w:val="20"/>
          <w:szCs w:val="20"/>
        </w:rPr>
        <w:t>BCLAF1</w:t>
      </w:r>
      <w:bookmarkEnd w:id="5"/>
      <w:r>
        <w:rPr>
          <w:rFonts w:ascii="Arial" w:hAnsi="Arial" w:cs="Arial"/>
          <w:i/>
          <w:iCs/>
          <w:sz w:val="20"/>
          <w:szCs w:val="20"/>
        </w:rPr>
        <w:fldChar w:fldCharType="begin"/>
      </w:r>
      <w:r>
        <w:rPr>
          <w:rFonts w:ascii="Arial" w:hAnsi="Arial" w:cs="Arial"/>
          <w:i/>
          <w:iCs/>
          <w:sz w:val="20"/>
          <w:szCs w:val="20"/>
        </w:rPr>
        <w:instrText xml:space="preserve"> ADDIN ZOTERO_ITEM CSL_CITATION {"citationID":"rcxSfsAL","properties":{"unsorted":false,"formattedCitation":"(134)","plainCitation":"(134)","noteIndex":0},"citationItems":[{"id":29054,"uris":["http://zotero.org/users/12236467/items/VF9H596H"],"itemData":{"id":29054,"type":"article-journal","abstract":"Background: Post-infarction chronic heart failure is the most common type of heart failure. Patients with chronic heart failure show elevated morbidity and mortality with limited evidence-based therapies. Phosphoproteomic and proteomic analysis can provide insights regarding molecular mechanisms underlying post-infarction chronic heart failure and explore new therapeutic approaches., \nMethods and results: Global quantitative phosphoproteomic and proteomic analysis of left ventricular tissues from post-infarction chronic heart failure rats were performed. A total of 33 differentially expressed phosphorylated proteins (DPPs) and 129 differentially expressed proteins were identified. Bioinformatic analysis indicated that DPPs were enriched mostly in nucleocytoplasmic transport and mRNA surveillance pathway. Bclaf1 Ser658 was identified after construction of Protein-Protein Interaction Network and intersection with Thanatos Apoptosis Database. Predicted Upstream Kinases of DPPs based on kinase-substrate enrichment analysis (KSEA) app showed 13 kinases enhanced in heart failure. Proteomic analysis showed marked changes in protein expression related to cardiac contractility and metabolism., \nConclusion: The present study marked phosphoproteomics and proteomics changes in post-infarction chronic heart failure. Bclaf1 Ser658 might play a critical role in apoptosis in heart failure. PRKAA1, PRKACA, and PAK1 might serve as potential therapeutic targets for post-infarction chronic heart failure.","container-title":"Frontiers in Pharmacology","DOI":"10.3389/fphar.2023.1181622","ISSN":"1663-9812","journalAbbreviation":"Front Pharmacol","page":"1181622","PMID":"37405054","PMCID":"PMC10315476","source":"PubMed Central","title":"Phosphoproteomic and proteomic profiling in post-infarction chronic heart failure","URL":"https://pmc.ncbi.nlm.nih.gov/articles/PMC10315476/","volume":"14","author":[{"family":"Wang","given":"Jiayue"},{"family":"Zhu","given":"Xiuhua"},{"family":"Wang","given":"Shenrui"},{"family":"Zhang","given":"Yingjie"},{"family":"Hua","given":"Wenjie"},{"family":"Liu","given":"Zhenyu"},{"family":"Zheng","given":"Yu"},{"family":"Lu","given":"Xiao"}],"accessed":{"date-parts":[["2026",1,25]]},"issued":{"date-parts":[["2023",6,19]]}}}],"schema":"https://github.com/citation-style-language/schema/raw/master/csl-citation.json"} </w:instrText>
      </w:r>
      <w:r>
        <w:rPr>
          <w:rFonts w:ascii="Arial" w:hAnsi="Arial" w:cs="Arial"/>
          <w:i/>
          <w:iCs/>
          <w:sz w:val="20"/>
          <w:szCs w:val="20"/>
        </w:rPr>
        <w:fldChar w:fldCharType="separate"/>
      </w:r>
      <w:r>
        <w:rPr>
          <w:rFonts w:ascii="Arial" w:hAnsi="Arial" w:cs="Arial"/>
          <w:sz w:val="20"/>
        </w:rPr>
        <w:t>(134)</w:t>
      </w:r>
      <w:r>
        <w:rPr>
          <w:rFonts w:ascii="Arial" w:hAnsi="Arial" w:cs="Arial"/>
          <w:i/>
          <w:iCs/>
          <w:sz w:val="20"/>
          <w:szCs w:val="20"/>
        </w:rPr>
        <w:fldChar w:fldCharType="end"/>
      </w:r>
      <w:r w:rsidRPr="005B58D3">
        <w:rPr>
          <w:rFonts w:ascii="Arial" w:hAnsi="Arial" w:cs="Arial"/>
          <w:i/>
          <w:iCs/>
          <w:sz w:val="20"/>
          <w:szCs w:val="20"/>
        </w:rPr>
        <w:t>/</w:t>
      </w:r>
      <w:r>
        <w:rPr>
          <w:rFonts w:ascii="Arial" w:hAnsi="Arial" w:cs="Arial"/>
          <w:i/>
          <w:iCs/>
          <w:sz w:val="20"/>
          <w:szCs w:val="20"/>
        </w:rPr>
        <w:t>CDYL</w:t>
      </w:r>
      <w:r>
        <w:rPr>
          <w:rFonts w:ascii="Arial" w:hAnsi="Arial" w:cs="Arial"/>
          <w:i/>
          <w:iCs/>
          <w:sz w:val="20"/>
          <w:szCs w:val="20"/>
        </w:rPr>
        <w:fldChar w:fldCharType="begin"/>
      </w:r>
      <w:r>
        <w:rPr>
          <w:rFonts w:ascii="Arial" w:hAnsi="Arial" w:cs="Arial"/>
          <w:i/>
          <w:iCs/>
          <w:sz w:val="20"/>
          <w:szCs w:val="20"/>
        </w:rPr>
        <w:instrText xml:space="preserve"> ADDIN ZOTERO_ITEM CSL_CITATION {"citationID":"PBZzOt7W","properties":{"unsorted":false,"formattedCitation":"(135)","plainCitation":"(135)","noteIndex":0},"citationItems":[{"id":29057,"uris":["http://zotero.org/users/12236467/items/JJQ59KVK"],"itemData":{"id":29057,"type":"webpage","title":"Novel Truncated Peptide Derived From circCDYL Exacerbates Cardiac Hypertrophy | Circulation Research","URL":"https://www-ahajournals-org.proxy.library.upenn.edu/doi/10.1161/CIRCRESAHA.124.325573","accessed":{"date-parts":[["2026",1,25]]}}}],"schema":"https://github.com/citation-style-language/schema/raw/master/csl-citation.json"} </w:instrText>
      </w:r>
      <w:r>
        <w:rPr>
          <w:rFonts w:ascii="Arial" w:hAnsi="Arial" w:cs="Arial"/>
          <w:i/>
          <w:iCs/>
          <w:sz w:val="20"/>
          <w:szCs w:val="20"/>
        </w:rPr>
        <w:fldChar w:fldCharType="separate"/>
      </w:r>
      <w:r>
        <w:rPr>
          <w:rFonts w:ascii="Arial" w:hAnsi="Arial" w:cs="Arial"/>
          <w:sz w:val="20"/>
        </w:rPr>
        <w:t>(135)</w:t>
      </w:r>
      <w:r>
        <w:rPr>
          <w:rFonts w:ascii="Arial" w:hAnsi="Arial" w:cs="Arial"/>
          <w:i/>
          <w:iCs/>
          <w:sz w:val="20"/>
          <w:szCs w:val="20"/>
        </w:rPr>
        <w:fldChar w:fldCharType="end"/>
      </w:r>
      <w:r w:rsidRPr="005B58D3">
        <w:rPr>
          <w:rFonts w:ascii="Arial" w:hAnsi="Arial" w:cs="Arial"/>
          <w:i/>
          <w:iCs/>
          <w:sz w:val="20"/>
          <w:szCs w:val="20"/>
        </w:rPr>
        <w:t>/</w:t>
      </w:r>
      <w:r>
        <w:rPr>
          <w:rFonts w:ascii="Arial" w:hAnsi="Arial" w:cs="Arial"/>
          <w:i/>
          <w:iCs/>
          <w:sz w:val="20"/>
          <w:szCs w:val="20"/>
        </w:rPr>
        <w:t>GATA6</w:t>
      </w:r>
      <w:r>
        <w:rPr>
          <w:rFonts w:ascii="Arial" w:hAnsi="Arial" w:cs="Arial"/>
          <w:i/>
          <w:iCs/>
          <w:sz w:val="20"/>
          <w:szCs w:val="20"/>
        </w:rPr>
        <w:fldChar w:fldCharType="begin"/>
      </w:r>
      <w:r>
        <w:rPr>
          <w:rFonts w:ascii="Arial" w:hAnsi="Arial" w:cs="Arial"/>
          <w:i/>
          <w:iCs/>
          <w:sz w:val="20"/>
          <w:szCs w:val="20"/>
        </w:rPr>
        <w:instrText xml:space="preserve"> ADDIN ZOTERO_ITEM CSL_CITATION {"citationID":"pLlH7ZMI","properties":{"unsorted":false,"formattedCitation":"(136)","plainCitation":"(136)","noteIndex":0},"citationItems":[{"id":29059,"uris":["http://zotero.org/users/12236467/items/IL3C4M5P"],"itemData":{"id":29059,"type":"article-journal","abstract":"Rationale\nThe transcriptional code that programs maladaptive cardiac hypertrophy involves the zinc finger-containing DNA binding factor GATA-4. The highly related transcription factor GATA-6 is also expressed in the adult heart, although its role in controlling the hypertrophic program is unknown.\n\nObjective\nTo determine the role of GATA-6 in cardiac hypertrophy and homeostasis.\n\nMethods and Results\nHere we performed a cardiomyocyte-specific conditional gene targeting approach for Gata6, as well as a transgenic approach to overexpress GATA-6 in the mouse heart. Deletion of Gata6-loxP with Nkx2.5-cre produced late embryonic lethality with heart defects, while deletion with β-myosin heavy chain-cre (βMHC-cre) produced viable adults with greater than 95% loss of GATA-6 protein in the heart. These later mice were subjected to pressure overload induced hypertrophy for 2 and 6 weeks, which showed a significant reduction in cardiac hypertrophy similar to that observed Gata4 heart-specific deleted mice. Gata6-deleted mice subjected to pressure overload also developed heart failure while control mice maintained proper cardiac function. Gata6-deleted mice also developed less cardiac hypertrophy following 2 weeks of angiotensin II/phenylephrine infusion. Controlled GATA-6 overexpression in the heart induced hypertrophy with aging and predisposed to greater hypertrophy with pressure overload stimulation. Combinatorial deletion of Gata4 and Gata6 from the adult heart resulted in dilated cardiomyopathy and lethality by 16 weeks of age. Mechanistically, deletion of Gata6 from the heart resulted in fundamental changes in the levels of key regulatory genes and myocyte differentiation-specific genes.\n\nConclusions\nThese results indicate that GATA-6 is both necessary and sufficient for regulating the cardiac hypertrophic response and differentiated gene expression, both alone and in coordination with GATA-4.","container-title":"Circulation research","DOI":"10.1161/CIRCRESAHA.110.220764","ISSN":"0009-7330","issue":"8","journalAbbreviation":"Circ Res","page":"10.1161/CIRCRESAHA.110.220764","PMID":"20705924","PMCID":"PMC2967029","source":"PubMed Central","title":"The transcription factor GATA-6 regulates pathological cardiac hypertrophy","URL":"https://pmc.ncbi.nlm.nih.gov/articles/PMC2967029/","volume":"107","author":[{"family":"Berlo","given":"Jop H.","non-dropping-particle":"van"},{"family":"Elrod","given":"John W."},{"family":"Hoogenhof","given":"Maarten M.G.","non-dropping-particle":"van den"},{"family":"York","given":"Allen J."},{"family":"Aronow","given":"Bruce J."},{"family":"Duncan","given":"Stephen A."},{"family":"Molkentin","given":"Jeffery D."}],"accessed":{"date-parts":[["2026",1,25]]},"issued":{"date-parts":[["2010",10,15]]}}}],"schema":"https://github.com/citation-style-language/schema/raw/master/csl-citation.json"} </w:instrText>
      </w:r>
      <w:r>
        <w:rPr>
          <w:rFonts w:ascii="Arial" w:hAnsi="Arial" w:cs="Arial"/>
          <w:i/>
          <w:iCs/>
          <w:sz w:val="20"/>
          <w:szCs w:val="20"/>
        </w:rPr>
        <w:fldChar w:fldCharType="separate"/>
      </w:r>
      <w:r>
        <w:rPr>
          <w:rFonts w:ascii="Arial" w:hAnsi="Arial" w:cs="Arial"/>
          <w:sz w:val="20"/>
        </w:rPr>
        <w:t>(136)</w:t>
      </w:r>
      <w:r>
        <w:rPr>
          <w:rFonts w:ascii="Arial" w:hAnsi="Arial" w:cs="Arial"/>
          <w:i/>
          <w:iCs/>
          <w:sz w:val="20"/>
          <w:szCs w:val="20"/>
        </w:rPr>
        <w:fldChar w:fldCharType="end"/>
      </w:r>
      <w:r>
        <w:rPr>
          <w:rFonts w:ascii="Arial" w:hAnsi="Arial" w:cs="Arial"/>
          <w:sz w:val="20"/>
          <w:szCs w:val="20"/>
        </w:rPr>
        <w:t>); two fetal-enriched clusters: “</w:t>
      </w:r>
      <w:proofErr w:type="spellStart"/>
      <w:r>
        <w:rPr>
          <w:rFonts w:ascii="Arial" w:hAnsi="Arial" w:cs="Arial"/>
          <w:sz w:val="20"/>
          <w:szCs w:val="20"/>
        </w:rPr>
        <w:t>fetal_enriched_conduction</w:t>
      </w:r>
      <w:proofErr w:type="spellEnd"/>
      <w:r>
        <w:rPr>
          <w:rFonts w:ascii="Arial" w:hAnsi="Arial" w:cs="Arial"/>
          <w:sz w:val="20"/>
          <w:szCs w:val="20"/>
        </w:rPr>
        <w:t xml:space="preserve">” marked by </w:t>
      </w:r>
      <w:bookmarkStart w:id="6" w:name="_Hlk219829558"/>
      <w:r w:rsidRPr="007D3C2F">
        <w:rPr>
          <w:rFonts w:ascii="Arial" w:hAnsi="Arial" w:cs="Arial"/>
          <w:i/>
          <w:iCs/>
          <w:sz w:val="20"/>
          <w:szCs w:val="20"/>
        </w:rPr>
        <w:t>IRX5</w:t>
      </w:r>
      <w:bookmarkEnd w:id="6"/>
      <w:r w:rsidRPr="007D3C2F">
        <w:rPr>
          <w:rFonts w:ascii="Arial" w:hAnsi="Arial" w:cs="Arial"/>
          <w:i/>
          <w:iCs/>
          <w:sz w:val="20"/>
          <w:szCs w:val="20"/>
        </w:rPr>
        <w:t>/GJA5</w:t>
      </w:r>
      <w:r>
        <w:rPr>
          <w:rFonts w:ascii="Arial" w:hAnsi="Arial" w:cs="Arial"/>
          <w:i/>
          <w:iCs/>
          <w:sz w:val="20"/>
          <w:szCs w:val="20"/>
        </w:rPr>
        <w:t xml:space="preserve"> </w:t>
      </w:r>
      <w:r>
        <w:rPr>
          <w:rFonts w:ascii="Arial" w:hAnsi="Arial" w:cs="Arial"/>
          <w:sz w:val="20"/>
          <w:szCs w:val="20"/>
        </w:rPr>
        <w:t>and a “</w:t>
      </w:r>
      <w:proofErr w:type="spellStart"/>
      <w:r>
        <w:rPr>
          <w:rFonts w:ascii="Arial" w:hAnsi="Arial" w:cs="Arial"/>
          <w:sz w:val="20"/>
          <w:szCs w:val="20"/>
        </w:rPr>
        <w:t>fetal_enriched_metabolic</w:t>
      </w:r>
      <w:proofErr w:type="spellEnd"/>
      <w:r>
        <w:rPr>
          <w:rFonts w:ascii="Arial" w:hAnsi="Arial" w:cs="Arial"/>
          <w:sz w:val="20"/>
          <w:szCs w:val="20"/>
        </w:rPr>
        <w:t>” with high expression of metabolic genes (</w:t>
      </w:r>
      <w:r w:rsidRPr="00D4113A">
        <w:rPr>
          <w:rFonts w:ascii="Arial" w:hAnsi="Arial" w:cs="Arial"/>
          <w:i/>
          <w:iCs/>
          <w:sz w:val="20"/>
          <w:szCs w:val="20"/>
        </w:rPr>
        <w:t>FABP2/DECR1</w:t>
      </w:r>
      <w:r>
        <w:rPr>
          <w:rFonts w:ascii="Arial" w:hAnsi="Arial" w:cs="Arial"/>
          <w:i/>
          <w:iCs/>
          <w:sz w:val="20"/>
          <w:szCs w:val="20"/>
        </w:rPr>
        <w:t>/PECR</w:t>
      </w:r>
      <w:r>
        <w:rPr>
          <w:rFonts w:ascii="Arial" w:hAnsi="Arial" w:cs="Arial"/>
          <w:sz w:val="20"/>
          <w:szCs w:val="20"/>
        </w:rPr>
        <w:t xml:space="preserve">); an “inflammatory” cluster marked by high expression of </w:t>
      </w:r>
      <w:r w:rsidRPr="00482183">
        <w:rPr>
          <w:rFonts w:ascii="Arial" w:hAnsi="Arial" w:cs="Arial"/>
          <w:i/>
          <w:iCs/>
          <w:sz w:val="20"/>
          <w:szCs w:val="20"/>
        </w:rPr>
        <w:t>SERP</w:t>
      </w:r>
      <w:r>
        <w:rPr>
          <w:rFonts w:ascii="Arial" w:hAnsi="Arial" w:cs="Arial"/>
          <w:i/>
          <w:iCs/>
          <w:sz w:val="20"/>
          <w:szCs w:val="20"/>
        </w:rPr>
        <w:t>IN</w:t>
      </w:r>
      <w:r w:rsidRPr="00482183">
        <w:rPr>
          <w:rFonts w:ascii="Arial" w:hAnsi="Arial" w:cs="Arial"/>
          <w:i/>
          <w:iCs/>
          <w:sz w:val="20"/>
          <w:szCs w:val="20"/>
        </w:rPr>
        <w:t>B1</w:t>
      </w:r>
      <w:r>
        <w:rPr>
          <w:rFonts w:ascii="Arial" w:hAnsi="Arial" w:cs="Arial"/>
          <w:i/>
          <w:iCs/>
          <w:sz w:val="20"/>
          <w:szCs w:val="20"/>
        </w:rPr>
        <w:fldChar w:fldCharType="begin"/>
      </w:r>
      <w:r>
        <w:rPr>
          <w:rFonts w:ascii="Arial" w:hAnsi="Arial" w:cs="Arial"/>
          <w:i/>
          <w:iCs/>
          <w:sz w:val="20"/>
          <w:szCs w:val="20"/>
        </w:rPr>
        <w:instrText xml:space="preserve"> ADDIN ZOTERO_ITEM CSL_CITATION {"citationID":"AoENqs2T","properties":{"unsorted":false,"formattedCitation":"(137)","plainCitation":"(137)","noteIndex":0},"citationItems":[{"id":29046,"uris":["http://zotero.org/users/12236467/items/5FYNGT5E"],"itemData":{"id":29046,"type":"article-journal","abstract":"AIMS: While the pivotal role of inflammation in pathological cardiac hypertrophy and remodelling is widely acknowledged, the mechanisms triggering inflammation initiation remain largely obscure. This study aims to elucidate the role and mechanism of serpin family B member 1 (SerpinB1) in pro-inflammatory cardiomyocyte pyroptosis, heart inflammation, and cardiac remodelling.\nMETHODS AND RESULTS: C57BL/6J wild-type, inducible cardiac-specific SerpinB1 overexpression or knockout mice underwent transverse aortic constriction (TAC) surgery. Cardiac hypertrophy and remodelling were assessed through echocardiography and histology. Cardiomyocyte pyroptosis and heart inflammation were monitored. Adeno-associated virus 9 -mediated gene manipulations and molecular assays were employed to explore the mechanisms through which SerpinB1 regulates cardiomyocyte pyroptosis and heart inflammation. Finally, recombinant mouse SerpinB1 protein (rSerpinB1) was administrated both in vivo through osmotic minipump delivery and in vitro to investigate the therapeutic potential of SerpinB1 in cardiac remodelling. Myocardial SerpinB1 overexpression was up-regulated shortly upon TAC or phenylephrine challenge, with no further elevation during prolonged hypertrophic stimuli. It is important to note that cardiac-specific overexpression of SerpinB1 markedly attenuated TAC-induced cardiac remodelling, while deletion of SerpinB1 exacerbated it. At the mechanistic level, SerpinB1 gain-of-function inhibited cardiomyocyte pyroptosis and inflammation in hypertrophic hearts; the protective effect was nullified by overexpression of either cleaved N-terminal gasdermin D or cleaved caspase-1. Co-immunoprecipitation and confocal assays confirmed that SerpinB1 directly interacts with caspase-1 in cardiomyocytes. Remarkably, rSerpinB1 replicated the cardioprotective effect against cardiac hypertrophy and remodelling.\nCONCLUSION: SerpinB1 safeguards against pathological cardiac hypertrophy and remodelling by impeding cardiomyocyte pyroptosis to suppress inflammation initiation, achieved through interaction with caspase-1 to inhibit its activation. Targeting SerpinB1 could represent a novel therapeutic strategy for treating pathological cardiac hypertrophy and remodelling.","container-title":"Cardiovascular Research","DOI":"10.1093/cvr/cvae241","ISSN":"1755-3245","issue":"1","journalAbbreviation":"Cardiovasc Res","language":"eng","page":"113-127","PMID":"39688818","source":"PubMed","title":"SerpinB1 targeting safeguards against pathological cardiac hypertrophy and remodelling by suppressing cardiomyocyte pyroptosis and inflammation initiation","volume":"121","author":[{"family":"Lan","given":"Cong"},{"family":"Fang","given":"Guangyao"},{"family":"Li","given":"Xiuchuan"},{"family":"Chen","given":"Xiao"},{"family":"Chen","given":"Yingmei"},{"family":"Hu","given":"Tao"},{"family":"Wang","given":"Xuenan"},{"family":"Cai","given":"Huiling"},{"family":"Hao","given":"Jiajin"},{"family":"Li","given":"Haoran"},{"family":"Zhang","given":"Yan"},{"family":"Peng","given":"Ke"},{"family":"Xu","given":"Zaicheng"},{"family":"Yang","given":"Dachun"},{"family":"Kang","given":"Xia"},{"family":"Xin","given":"Qian"},{"family":"Yang","given":"Yongjian"}],"issued":{"date-parts":[["2025",4,15]]}}}],"schema":"https://github.com/citation-style-language/schema/raw/master/csl-citation.json"} </w:instrText>
      </w:r>
      <w:r>
        <w:rPr>
          <w:rFonts w:ascii="Arial" w:hAnsi="Arial" w:cs="Arial"/>
          <w:i/>
          <w:iCs/>
          <w:sz w:val="20"/>
          <w:szCs w:val="20"/>
        </w:rPr>
        <w:fldChar w:fldCharType="separate"/>
      </w:r>
      <w:r>
        <w:rPr>
          <w:rFonts w:ascii="Arial" w:hAnsi="Arial" w:cs="Arial"/>
          <w:sz w:val="20"/>
        </w:rPr>
        <w:t>(137)</w:t>
      </w:r>
      <w:r>
        <w:rPr>
          <w:rFonts w:ascii="Arial" w:hAnsi="Arial" w:cs="Arial"/>
          <w:i/>
          <w:iCs/>
          <w:sz w:val="20"/>
          <w:szCs w:val="20"/>
        </w:rPr>
        <w:fldChar w:fldCharType="end"/>
      </w:r>
      <w:r w:rsidRPr="00482183">
        <w:rPr>
          <w:rFonts w:ascii="Arial" w:hAnsi="Arial" w:cs="Arial"/>
          <w:i/>
          <w:iCs/>
          <w:sz w:val="20"/>
          <w:szCs w:val="20"/>
        </w:rPr>
        <w:t>/ANKRD1</w:t>
      </w:r>
      <w:r>
        <w:rPr>
          <w:rFonts w:ascii="Arial" w:hAnsi="Arial" w:cs="Arial"/>
          <w:i/>
          <w:iCs/>
          <w:sz w:val="20"/>
          <w:szCs w:val="20"/>
        </w:rPr>
        <w:fldChar w:fldCharType="begin"/>
      </w:r>
      <w:r>
        <w:rPr>
          <w:rFonts w:ascii="Arial" w:hAnsi="Arial" w:cs="Arial"/>
          <w:i/>
          <w:iCs/>
          <w:sz w:val="20"/>
          <w:szCs w:val="20"/>
        </w:rPr>
        <w:instrText xml:space="preserve"> ADDIN ZOTERO_ITEM CSL_CITATION {"citationID":"AFbRrkY9","properties":{"unsorted":false,"formattedCitation":"(11)","plainCitation":"(11)","noteIndex":0},"citationItems":[{"id":484,"uris":["http://zotero.org/users/12236467/items/4EPTZ4EA"],"itemData":{"id":484,"type":"article-journal","abstract":"Myocardial infarction is a leading cause of death worldwide1. Although advances have been made in acute treatment, an incomplete understanding of remodelling processes has limited the effectiveness of therapies to reduce late-stage mortality2. Here we generate an integrative high-resolution map of human cardiac remodelling after myocardial infarction using single-cell gene expression, chromatin accessibility and spatial transcriptomic profiling of multiple physiological zones at distinct time points in myocardium from patients with myocardial infarction and controls. Multi-modal data integration enabled us to evaluate cardiac cell-type compositions at increased resolution, yielding insights into changes of the cardiac transcriptome and epigenome through the identification of distinct tissue structures of injury, repair and remodelling. We identified and validated disease-specific cardiac cell states of major cell types and analysed them in their spatial context, evaluating their dependency on other cell types. Our data elucidate the molecular principles of human myocardial tissue organization, recapitulating a gradual cardiomyocyte and myeloid continuum following ischaemic injury. In sum, our study provides an integrative molecular map of human myocardial infarction, represents an essential reference for the field and paves the way for advanced mechanistic and therapeutic studies of cardiac disease.","container-title":"Nature","DOI":"10.1038/s41586-022-05060-x","ISSN":"1476-4687","issue":"7924","language":"en","license":"2022 The Author(s), under exclusive licence to Springer Nature Limited","note":"number: 7924","page":"766-777","publisher":"Nature Publishing Group","source":"www.nature.com","title":"Spatial multi-omic map of human myocardial infarction","URL":"https://www.nature.com/articles/s41586-022-05060-x","volume":"608","author":[{"family":"Kuppe","given":"Christoph"},{"family":"Ramirez Flores","given":"Ricardo O."},{"family":"Li","given":"Zhijian"},{"family":"Hayat","given":"Sikander"},{"family":"Levinson","given":"Rebecca T."},{"family":"Liao","given":"Xian"},{"family":"Hannani","given":"Monica T."},{"family":"Tanevski","given":"Jovan"},{"family":"Wünnemann","given":"Florian"},{"family":"Nagai","given":"James S."},{"family":"Halder","given":"Maurice"},{"family":"Schumacher","given":"David"},{"family":"Menzel","given":"Sylvia"},{"family":"Schäfer","given":"Gideon"},{"family":"Hoeft","given":"Konrad"},{"family":"Cheng","given":"Mingbo"},{"family":"Ziegler","given":"Susanne"},{"family":"Zhang","given":"Xiaoting"},{"family":"Peisker","given":"Fabian"},{"family":"Kaesler","given":"Nadine"},{"family":"Saritas","given":"Turgay"},{"family":"Xu","given":"Yaoxian"},{"family":"Kassner","given":"Astrid"},{"family":"Gummert","given":"Jan"},{"family":"Morshuis","given":"Michiel"},{"family":"Amrute","given":"Junedh"},{"family":"Veltrop","given":"Rogier J. A."},{"family":"Boor","given":"Peter"},{"family":"Klingel","given":"Karin"},{"family":"Van Laake","given":"Linda W."},{"family":"Vink","given":"Aryan"},{"family":"Hoogenboezem","given":"Remco M."},{"family":"Bindels","given":"Eric M. J."},{"family":"Schurgers","given":"Leon"},{"family":"Sattler","given":"Susanne"},{"family":"Schapiro","given":"Denis"},{"family":"Schneider","given":"Rebekka K."},{"family":"Lavine","given":"Kory"},{"family":"Milting","given":"Hendrik"},{"family":"Costa","given":"Ivan G."},{"family":"Saez-Rodriguez","given":"Julio"},{"family":"Kramann","given":"Rafael"}],"accessed":{"date-parts":[["2023",10,5]]},"issued":{"date-parts":[["2022",8]]}}}],"schema":"https://github.com/citation-style-language/schema/raw/master/csl-citation.json"} </w:instrText>
      </w:r>
      <w:r>
        <w:rPr>
          <w:rFonts w:ascii="Arial" w:hAnsi="Arial" w:cs="Arial"/>
          <w:i/>
          <w:iCs/>
          <w:sz w:val="20"/>
          <w:szCs w:val="20"/>
        </w:rPr>
        <w:fldChar w:fldCharType="separate"/>
      </w:r>
      <w:r>
        <w:rPr>
          <w:rFonts w:ascii="Arial" w:hAnsi="Arial" w:cs="Arial"/>
          <w:sz w:val="20"/>
        </w:rPr>
        <w:t>(11)</w:t>
      </w:r>
      <w:r>
        <w:rPr>
          <w:rFonts w:ascii="Arial" w:hAnsi="Arial" w:cs="Arial"/>
          <w:i/>
          <w:iCs/>
          <w:sz w:val="20"/>
          <w:szCs w:val="20"/>
        </w:rPr>
        <w:fldChar w:fldCharType="end"/>
      </w:r>
      <w:r w:rsidRPr="00482183">
        <w:rPr>
          <w:rFonts w:ascii="Arial" w:hAnsi="Arial" w:cs="Arial"/>
          <w:i/>
          <w:iCs/>
          <w:sz w:val="20"/>
          <w:szCs w:val="20"/>
        </w:rPr>
        <w:t>/BCL3</w:t>
      </w:r>
      <w:r>
        <w:rPr>
          <w:rFonts w:ascii="Arial" w:hAnsi="Arial" w:cs="Arial"/>
          <w:sz w:val="20"/>
          <w:szCs w:val="20"/>
        </w:rPr>
        <w:t>; a “metabolic” cluster with high expression of metabolic genes (</w:t>
      </w:r>
      <w:r>
        <w:rPr>
          <w:rFonts w:ascii="Arial" w:hAnsi="Arial" w:cs="Arial"/>
          <w:i/>
          <w:iCs/>
          <w:sz w:val="20"/>
          <w:szCs w:val="20"/>
        </w:rPr>
        <w:t>PRKAA2</w:t>
      </w:r>
      <w:r w:rsidRPr="00867CD1">
        <w:rPr>
          <w:rFonts w:ascii="Arial" w:hAnsi="Arial" w:cs="Arial"/>
          <w:i/>
          <w:iCs/>
          <w:sz w:val="20"/>
          <w:szCs w:val="20"/>
        </w:rPr>
        <w:t>/GPX2/COX20</w:t>
      </w:r>
      <w:r>
        <w:rPr>
          <w:rFonts w:ascii="Arial" w:hAnsi="Arial" w:cs="Arial"/>
          <w:sz w:val="20"/>
          <w:szCs w:val="20"/>
        </w:rPr>
        <w:t xml:space="preserve">); a “senescent” cell population expressing canonical senescence markers </w:t>
      </w:r>
      <w:r w:rsidRPr="00373BA0">
        <w:rPr>
          <w:rFonts w:ascii="Arial" w:hAnsi="Arial" w:cs="Arial"/>
          <w:i/>
          <w:iCs/>
          <w:sz w:val="20"/>
          <w:szCs w:val="20"/>
        </w:rPr>
        <w:t>CDKN1A</w:t>
      </w:r>
      <w:r>
        <w:rPr>
          <w:rFonts w:ascii="Arial" w:hAnsi="Arial" w:cs="Arial"/>
          <w:sz w:val="20"/>
          <w:szCs w:val="20"/>
        </w:rPr>
        <w:t>/</w:t>
      </w:r>
      <w:r w:rsidRPr="00373BA0">
        <w:rPr>
          <w:rFonts w:ascii="Arial" w:hAnsi="Arial" w:cs="Arial"/>
          <w:i/>
          <w:iCs/>
          <w:sz w:val="20"/>
          <w:szCs w:val="20"/>
        </w:rPr>
        <w:t>CDKN2A</w:t>
      </w:r>
      <w:r>
        <w:rPr>
          <w:rFonts w:ascii="Arial" w:hAnsi="Arial" w:cs="Arial"/>
          <w:sz w:val="20"/>
          <w:szCs w:val="20"/>
        </w:rPr>
        <w:t xml:space="preserve"> and </w:t>
      </w:r>
      <w:r w:rsidRPr="00373BA0">
        <w:rPr>
          <w:rFonts w:ascii="Arial" w:hAnsi="Arial" w:cs="Arial"/>
          <w:i/>
          <w:iCs/>
          <w:sz w:val="20"/>
          <w:szCs w:val="20"/>
        </w:rPr>
        <w:t>PTCHD4</w:t>
      </w:r>
      <w:r>
        <w:rPr>
          <w:rFonts w:ascii="Arial" w:hAnsi="Arial" w:cs="Arial"/>
          <w:i/>
          <w:iCs/>
          <w:sz w:val="20"/>
          <w:szCs w:val="20"/>
        </w:rPr>
        <w:fldChar w:fldCharType="begin"/>
      </w:r>
      <w:r>
        <w:rPr>
          <w:rFonts w:ascii="Arial" w:hAnsi="Arial" w:cs="Arial"/>
          <w:i/>
          <w:iCs/>
          <w:sz w:val="20"/>
          <w:szCs w:val="20"/>
        </w:rPr>
        <w:instrText xml:space="preserve"> ADDIN ZOTERO_ITEM CSL_CITATION {"citationID":"II9D6we6","properties":{"unsorted":false,"formattedCitation":"(51)","plainCitation":"(51)","noteIndex":0},"citationItems":[{"id":15791,"uris":["http://zotero.org/users/12236467/items/HLPYPR3J"],"itemData":{"id":15791,"type":"article-journal","abstract":"RNA modifications, including N6-methyladenosine (m6A), critically modulate protein expression programs in a range of cellular processes. Although the transcriptomes of cells undergoing senescence are strongly regulated, the landscape and impact of m6A modifications during senescence are poorly understood. Here, we report a robust m6A modification of PTCHD4 mRNA, encoding Patched Domain-Containing Protein 4, in senescent cells. The METTL3/METTL14 complex was found to incorporate the m6A modification on PTCHD4 mRNA; addition of m6A rendered PTCHD4 mRNA more stable and increased PTCHD4 production. MeRIP RT-qPCR and eCLIP analyses were used to map this m6A modification to the last exon of PTCHD4 mRNA. Further investigation identified IGF2BP1, but not other m6A readers, as responsible for the stabilization and increased abundance of m6A-modified PTCHD4 mRNA. Silencing PTCHD4, a transmembrane protein, enhanced growth arrest and DNA damage in pre-senescent cells and sensitized them to senolysis and apoptosis. Our results indicate that m6A modification of PTCHD4 mRNA increases the production of PTCHD4, a protein associated with senescent cell survival, supporting the notion that regulating m6A modification on specific mRNAs could be exploited to eliminate senescent cells for therapeutic benefit.","container-title":"Nucleic Acids Research","DOI":"10.1093/nar/gkae322","ISSN":"0305-1048","issue":"12","journalAbbreviation":"Nucleic Acids Research","page":"7261-7278","source":"Silverchair","title":"Increased PTCHD4 expression via m6A modification of PTCHD4 mRNA promotes senescent cell survival","URL":"https://doi.org/10.1093/nar/gkae322","volume":"52","author":[{"family":"Rossi","given":"Martina"},{"family":"Banskota","given":"Nirad"},{"family":"Shin","given":"Chang Hoon"},{"family":"Anerillas","given":"Carlos"},{"family":"Tsitsipatis","given":"Dimitrios"},{"family":"Yang","given":"Jen-Hao"},{"family":"Munk","given":"Rachel"},{"family":"Martindale","given":"Jennifer L"},{"family":"Yang","given":"Xiaoling"},{"family":"Piao","given":"Yulan"},{"family":"Mazan-Mamczarz","given":"Krystyna"},{"family":"Fan","given":"Jinshui"},{"family":"Lehrmann","given":"Elin"},{"family":"Lam","given":"Kwan-Wood Gabriel"},{"family":"De","given":"Supriyo"},{"family":"Abdelmohsen","given":"Kotb"},{"family":"Gorospe","given":"Myriam"}],"accessed":{"date-parts":[["2024",7,12]]},"issued":{"date-parts":[["2024",7,8]]}}}],"schema":"https://github.com/citation-style-language/schema/raw/master/csl-citation.json"} </w:instrText>
      </w:r>
      <w:r>
        <w:rPr>
          <w:rFonts w:ascii="Arial" w:hAnsi="Arial" w:cs="Arial"/>
          <w:i/>
          <w:iCs/>
          <w:sz w:val="20"/>
          <w:szCs w:val="20"/>
        </w:rPr>
        <w:fldChar w:fldCharType="separate"/>
      </w:r>
      <w:r>
        <w:rPr>
          <w:rFonts w:ascii="Arial" w:hAnsi="Arial" w:cs="Arial"/>
          <w:sz w:val="20"/>
        </w:rPr>
        <w:t>(51)</w:t>
      </w:r>
      <w:r>
        <w:rPr>
          <w:rFonts w:ascii="Arial" w:hAnsi="Arial" w:cs="Arial"/>
          <w:i/>
          <w:iCs/>
          <w:sz w:val="20"/>
          <w:szCs w:val="20"/>
        </w:rPr>
        <w:fldChar w:fldCharType="end"/>
      </w:r>
      <w:r>
        <w:rPr>
          <w:rFonts w:ascii="Arial" w:hAnsi="Arial" w:cs="Arial"/>
          <w:sz w:val="20"/>
          <w:szCs w:val="20"/>
        </w:rPr>
        <w:t xml:space="preserve">; and a “stressed” cluster expressing high levels of </w:t>
      </w:r>
      <w:r w:rsidRPr="00196115">
        <w:rPr>
          <w:rFonts w:ascii="Arial" w:hAnsi="Arial" w:cs="Arial"/>
          <w:i/>
          <w:iCs/>
          <w:sz w:val="20"/>
          <w:szCs w:val="20"/>
        </w:rPr>
        <w:t>ANKRD1</w:t>
      </w:r>
      <w:r>
        <w:rPr>
          <w:rFonts w:ascii="Arial" w:hAnsi="Arial" w:cs="Arial"/>
          <w:i/>
          <w:iCs/>
          <w:sz w:val="20"/>
          <w:szCs w:val="20"/>
        </w:rPr>
        <w:t xml:space="preserve"> </w:t>
      </w:r>
      <w:r>
        <w:rPr>
          <w:rFonts w:ascii="Arial" w:hAnsi="Arial" w:cs="Arial"/>
          <w:sz w:val="20"/>
          <w:szCs w:val="20"/>
        </w:rPr>
        <w:t xml:space="preserve">but also contractile proteins important for survival such as </w:t>
      </w:r>
      <w:r w:rsidRPr="00A80373">
        <w:rPr>
          <w:rFonts w:ascii="Arial" w:hAnsi="Arial" w:cs="Arial"/>
          <w:i/>
          <w:iCs/>
          <w:sz w:val="20"/>
          <w:szCs w:val="20"/>
        </w:rPr>
        <w:t>CNN1</w:t>
      </w:r>
      <w:r>
        <w:rPr>
          <w:rFonts w:ascii="Arial" w:hAnsi="Arial" w:cs="Arial"/>
          <w:i/>
          <w:iCs/>
          <w:sz w:val="20"/>
          <w:szCs w:val="20"/>
        </w:rPr>
        <w:fldChar w:fldCharType="begin"/>
      </w:r>
      <w:r>
        <w:rPr>
          <w:rFonts w:ascii="Arial" w:hAnsi="Arial" w:cs="Arial"/>
          <w:i/>
          <w:iCs/>
          <w:sz w:val="20"/>
          <w:szCs w:val="20"/>
        </w:rPr>
        <w:instrText xml:space="preserve"> ADDIN ZOTERO_ITEM CSL_CITATION {"citationID":"ChmJ8Kys","properties":{"unsorted":false,"formattedCitation":"(138)","plainCitation":"(138)","noteIndex":0},"citationItems":[{"id":29048,"uris":["http://zotero.org/users/12236467/items/W6TMUVFA"],"itemData":{"id":29048,"type":"article-journal","abstract":"Background\nCalponin1 (CNN1) is involved in the regulation of smooth muscle contraction in physiological situation and it also expresses abnormally in a variety of pathological situations. We found that the expression of CNN1 decreased significantly in the heart tissue of a cTnTR141W transgenic dilated cardiomyopathy (DCM) mouse model and an adriamycin (ADR)-induced DCM mouse model, suggesting that CNN1 is involved in the pathogenesis of DCM. However, the role of CNN1 on cardiac function, especially on pathogenesis of DCM, has not been clarified. In this study, we tested whether rescued expression of CNN1 could prevent the development of DCM and investigated its possible mechanisms.\nMethods and results\nThe DCM phenotypes were significantly improved with the transgenic expression of CNN1 in the cTnTR141W×CNN1 double transgenic (DTG) mice, which was demonstrated by the survival, cardiac geometry and function analyses, as well as microstructural and ultrastructural observations based on echocardiography and histology examination. The expression of CNN1 could also resist the cardiac geometry breakage and dysfunction in the ADR-induced DCM mice model. Meanwhile, the epsilon isoform of protein kinase C (εPKC) activator and inhibitor could reverse the activation of εPKC/ERK/mTOR pathway and DCM phenotypes in the cTnTR141W and cTnTR141W×CNN1 double transgenic (DTG) mice.\nConclusions\nεPKC/ERK/mTOR pathway activation induced by the rescued expression of CNN1 contributed to the improvement of cardiac dysfunction and pathological changes observed in the DTG mice. CNN1 could be a therapeutic target to prevent the development of DCM and heart failure (HF).","container-title":"International Journal of Cardiology","DOI":"10.1016/j.ijcard.2014.02.032","ISSN":"0167-5273","issue":"2","journalAbbreviation":"International Journal of Cardiology","page":"146-153","source":"ScienceDirect","title":"Calponin1 inhibits dilated cardiomyopathy development in mice through the εPKC pathway","URL":"https://www.sciencedirect.com/science/article/pii/S0167527314003854","volume":"173","author":[{"family":"Lu","given":"Dan"},{"family":"Zhang","given":"Li"},{"family":"Bao","given":"Dan"},{"family":"Lu","given":"Yingdong"},{"family":"Zhang","given":"Xu"},{"family":"Liu","given":"Ning"},{"family":"Ge","given":"Wenping"},{"family":"Gao","given":"Xiang"},{"family":"Li","given":"Hongliang"},{"family":"Zhang","given":"Lianfeng"}],"accessed":{"date-parts":[["2026",1,25]]},"issued":{"date-parts":[["2014",5,1]]}}}],"schema":"https://github.com/citation-style-language/schema/raw/master/csl-citation.json"} </w:instrText>
      </w:r>
      <w:r>
        <w:rPr>
          <w:rFonts w:ascii="Arial" w:hAnsi="Arial" w:cs="Arial"/>
          <w:i/>
          <w:iCs/>
          <w:sz w:val="20"/>
          <w:szCs w:val="20"/>
        </w:rPr>
        <w:fldChar w:fldCharType="separate"/>
      </w:r>
      <w:r>
        <w:rPr>
          <w:rFonts w:ascii="Arial" w:hAnsi="Arial" w:cs="Arial"/>
          <w:sz w:val="20"/>
        </w:rPr>
        <w:t>(138)</w:t>
      </w:r>
      <w:r>
        <w:rPr>
          <w:rFonts w:ascii="Arial" w:hAnsi="Arial" w:cs="Arial"/>
          <w:i/>
          <w:iCs/>
          <w:sz w:val="20"/>
          <w:szCs w:val="20"/>
        </w:rPr>
        <w:fldChar w:fldCharType="end"/>
      </w:r>
      <w:r>
        <w:rPr>
          <w:rFonts w:ascii="Arial" w:hAnsi="Arial" w:cs="Arial"/>
          <w:sz w:val="20"/>
          <w:szCs w:val="20"/>
        </w:rPr>
        <w:t>.</w:t>
      </w:r>
    </w:p>
    <w:p w14:paraId="34293DB3" w14:textId="77777777" w:rsidR="00F94AAA" w:rsidRDefault="00F94AAA" w:rsidP="00F94AAA">
      <w:pPr>
        <w:rPr>
          <w:rFonts w:ascii="Arial" w:hAnsi="Arial" w:cs="Arial"/>
          <w:sz w:val="20"/>
          <w:szCs w:val="20"/>
        </w:rPr>
      </w:pPr>
      <w:r w:rsidRPr="006D3C2E">
        <w:rPr>
          <w:rFonts w:ascii="Arial" w:hAnsi="Arial" w:cs="Arial"/>
          <w:b/>
          <w:bCs/>
          <w:sz w:val="20"/>
          <w:szCs w:val="20"/>
        </w:rPr>
        <w:t>(c)</w:t>
      </w:r>
      <w:r>
        <w:rPr>
          <w:rFonts w:ascii="Arial" w:hAnsi="Arial" w:cs="Arial"/>
          <w:sz w:val="20"/>
          <w:szCs w:val="20"/>
        </w:rPr>
        <w:t xml:space="preserve"> Four endocardial cell clusters were identified. These include an “arterial” cluster enriched for genes important for Notch-signaling genes important for arterial specification (</w:t>
      </w:r>
      <w:r w:rsidRPr="003B3215">
        <w:rPr>
          <w:rFonts w:ascii="Arial" w:hAnsi="Arial" w:cs="Arial"/>
          <w:i/>
          <w:iCs/>
          <w:sz w:val="20"/>
          <w:szCs w:val="20"/>
        </w:rPr>
        <w:t>DLL4</w:t>
      </w:r>
      <w:r>
        <w:rPr>
          <w:rFonts w:ascii="Arial" w:hAnsi="Arial" w:cs="Arial"/>
          <w:i/>
          <w:iCs/>
          <w:sz w:val="20"/>
          <w:szCs w:val="20"/>
        </w:rPr>
        <w:fldChar w:fldCharType="begin"/>
      </w:r>
      <w:r>
        <w:rPr>
          <w:rFonts w:ascii="Arial" w:hAnsi="Arial" w:cs="Arial"/>
          <w:i/>
          <w:iCs/>
          <w:sz w:val="20"/>
          <w:szCs w:val="20"/>
        </w:rPr>
        <w:instrText xml:space="preserve"> ADDIN ZOTERO_ITEM CSL_CITATION {"citationID":"z5LPy0eG","properties":{"unsorted":false,"formattedCitation":"(139)","plainCitation":"(139)","noteIndex":0},"citationItems":[{"id":28938,"uris":["http://zotero.org/users/12236467/items/FDIPRYTF"],"itemData":{"id":28938,"type":"article-journal","abstract":"Involvement of the Notch signaling pathway in vascular development has been demonstrated by both gain- and loss-of-function mutations in humans, mice, and zebrafish. In zebrafish, Notch signaling is required for arterial identity by suppressing the venous fate in developing artery cells. In mice, the Notch4 receptor and the Delta-like 4 (Dll4) ligand are specifically expressed in arterial endothelial cells, suggesting a similar role. Here we show that the Dll4 ligand alone is required in a dosage-sensitive manner for normal arterial patterning in development. This implicates Dll4 as the specific mammalian endothelial ligand for autocrine endothelial Notch signaling, and suggests that Dll4 may be a suitable target for intervention in arterial angiogenesis.","container-title":"Genes &amp; Development","DOI":"10.1101/gad.1239004","ISSN":"0890-9369","issue":"20","journalAbbreviation":"Genes Dev","language":"eng","page":"2474-2478","PMID":"15466159","PMCID":"PMC529534","source":"PubMed","title":"Dosage-sensitive requirement for mouse Dll4 in artery development","volume":"18","author":[{"family":"Duarte","given":"António"},{"family":"Hirashima","given":"Masanori"},{"family":"Benedito","given":"Rui"},{"family":"Trindade","given":"Alexandre"},{"family":"Diniz","given":"Patrícia"},{"family":"Bekman","given":"Evguenia"},{"family":"Costa","given":"Luís"},{"family":"Henrique","given":"Domingos"},{"family":"Rossant","given":"Janet"}],"issued":{"date-parts":[["2004",10,15]]}}}],"schema":"https://github.com/citation-style-language/schema/raw/master/csl-citation.json"} </w:instrText>
      </w:r>
      <w:r>
        <w:rPr>
          <w:rFonts w:ascii="Arial" w:hAnsi="Arial" w:cs="Arial"/>
          <w:i/>
          <w:iCs/>
          <w:sz w:val="20"/>
          <w:szCs w:val="20"/>
        </w:rPr>
        <w:fldChar w:fldCharType="separate"/>
      </w:r>
      <w:r>
        <w:rPr>
          <w:rFonts w:ascii="Arial" w:hAnsi="Arial" w:cs="Arial"/>
          <w:sz w:val="20"/>
        </w:rPr>
        <w:t>(139)</w:t>
      </w:r>
      <w:r>
        <w:rPr>
          <w:rFonts w:ascii="Arial" w:hAnsi="Arial" w:cs="Arial"/>
          <w:i/>
          <w:iCs/>
          <w:sz w:val="20"/>
          <w:szCs w:val="20"/>
        </w:rPr>
        <w:fldChar w:fldCharType="end"/>
      </w:r>
      <w:r w:rsidRPr="003B3215">
        <w:rPr>
          <w:rFonts w:ascii="Arial" w:hAnsi="Arial" w:cs="Arial"/>
          <w:i/>
          <w:iCs/>
          <w:sz w:val="20"/>
          <w:szCs w:val="20"/>
        </w:rPr>
        <w:t>HES</w:t>
      </w:r>
      <w:r>
        <w:rPr>
          <w:rFonts w:ascii="Arial" w:hAnsi="Arial" w:cs="Arial"/>
          <w:i/>
          <w:iCs/>
          <w:sz w:val="20"/>
          <w:szCs w:val="20"/>
        </w:rPr>
        <w:t>5</w:t>
      </w:r>
      <w:r>
        <w:rPr>
          <w:rFonts w:ascii="Arial" w:hAnsi="Arial" w:cs="Arial"/>
          <w:i/>
          <w:iCs/>
          <w:sz w:val="20"/>
          <w:szCs w:val="20"/>
        </w:rPr>
        <w:fldChar w:fldCharType="begin"/>
      </w:r>
      <w:r>
        <w:rPr>
          <w:rFonts w:ascii="Arial" w:hAnsi="Arial" w:cs="Arial"/>
          <w:i/>
          <w:iCs/>
          <w:sz w:val="20"/>
          <w:szCs w:val="20"/>
        </w:rPr>
        <w:instrText xml:space="preserve"> ADDIN ZOTERO_ITEM CSL_CITATION {"citationID":"r3VmMsQ3","properties":{"unsorted":false,"formattedCitation":"(140)","plainCitation":"(140)","noteIndex":0},"citationItems":[{"id":28941,"uris":["http://zotero.org/users/12236467/items/MME6QCLU"],"itemData":{"id":28941,"type":"article-journal","abstract":"The vascular system is the first organ to form in the developing mammalian embryo. The Notch signaling pathway is an evolutionarily conserved signaling mechanism essential for proper embryonic development in almost all vertebrate organs. The analysis of targeted mouse mutants has demonstrated essential roles of the Notch signaling pathway in embryonic vascular development. However, Notch signaling-deficient mice have so far not been examined in detail in the head region. The bHLH genes Hes1 and Hes5 are essential effectors for Notch signaling, which regulate the maintenance of progenitor cells and the timing of their differentiation in various tissues and organs. Here, we report that endothelial-specific Hes1 and Hes5 mutant embryos exhibited defective vascular remodeling in the brain. In addition, arterial identity of endothelial cells was partially lost in the brain of these mutant mice. These data suggest that Hes1 and Hes5 regulate vascular remodeling and arterial fate specification of endothelial cells in the development of the brain. Hes1 and Hes5 represent critical transducers of Notch signals in brain vascular development.","container-title":"Mechanisms of Development","DOI":"10.1016/j.mod.2013.07.001","ISSN":"1872-6356","issue":"9-10","journalAbbreviation":"Mech Dev","language":"eng","page":"458-466","PMID":"23871867","source":"PubMed","title":"Hes1 and Hes5 regulate vascular remodeling and arterial specification of endothelial cells in brain vascular development","volume":"130","author":[{"family":"Kitagawa","given":"Masashi"},{"family":"Hojo","given":"Masato"},{"family":"Imayoshi","given":"Itaru"},{"family":"Goto","given":"Masanori"},{"family":"Ando","given":"Mitsushige"},{"family":"Ohtsuka","given":"Toshiyuki"},{"family":"Kageyama","given":"Ryoichiro"},{"family":"Miyamoto","given":"Susumu"}],"issued":{"date-parts":[["2013"]]}}}],"schema":"https://github.com/citation-style-language/schema/raw/master/csl-citation.json"} </w:instrText>
      </w:r>
      <w:r>
        <w:rPr>
          <w:rFonts w:ascii="Arial" w:hAnsi="Arial" w:cs="Arial"/>
          <w:i/>
          <w:iCs/>
          <w:sz w:val="20"/>
          <w:szCs w:val="20"/>
        </w:rPr>
        <w:fldChar w:fldCharType="separate"/>
      </w:r>
      <w:r>
        <w:rPr>
          <w:rFonts w:ascii="Arial" w:hAnsi="Arial" w:cs="Arial"/>
          <w:sz w:val="20"/>
        </w:rPr>
        <w:t>(140)</w:t>
      </w:r>
      <w:r>
        <w:rPr>
          <w:rFonts w:ascii="Arial" w:hAnsi="Arial" w:cs="Arial"/>
          <w:i/>
          <w:iCs/>
          <w:sz w:val="20"/>
          <w:szCs w:val="20"/>
        </w:rPr>
        <w:fldChar w:fldCharType="end"/>
      </w:r>
      <w:r w:rsidRPr="003B3215">
        <w:rPr>
          <w:rFonts w:ascii="Arial" w:hAnsi="Arial" w:cs="Arial"/>
          <w:i/>
          <w:iCs/>
          <w:sz w:val="20"/>
          <w:szCs w:val="20"/>
        </w:rPr>
        <w:t>/VEGFC</w:t>
      </w:r>
      <w:r>
        <w:rPr>
          <w:rFonts w:ascii="Arial" w:hAnsi="Arial" w:cs="Arial"/>
          <w:i/>
          <w:iCs/>
          <w:sz w:val="20"/>
          <w:szCs w:val="20"/>
        </w:rPr>
        <w:fldChar w:fldCharType="begin"/>
      </w:r>
      <w:r>
        <w:rPr>
          <w:rFonts w:ascii="Arial" w:hAnsi="Arial" w:cs="Arial"/>
          <w:i/>
          <w:iCs/>
          <w:sz w:val="20"/>
          <w:szCs w:val="20"/>
        </w:rPr>
        <w:instrText xml:space="preserve"> ADDIN ZOTERO_ITEM CSL_CITATION {"citationID":"4ZcYXtoq","properties":{"unsorted":false,"formattedCitation":"(141)","plainCitation":"(141)","noteIndex":0},"citationItems":[{"id":28943,"uris":["http://zotero.org/users/12236467/items/M6XY9VCE"],"itemData":{"id":28943,"type":"article-journal","abstract":"Cardiac lymphatic vessels play important roles in fluid homeostasis, inflammation, disease, and regeneration of the heart. The developing cardiac lymphatics in human fetal hearts are closely associated with coronary arteries, similar to those in zebrafish hearts. We identify a population of cardiac lymphatic endothelial cells (LECs) that reside in the epicardium. Single-nuclei multiomic analysis of the human fetal heart reveals the plasticity and heterogeneity of the cardiac endothelium. Furthermore, we find that VEGFC is highly expressed in arterial endothelial cells and epicardium-derived cells, providing a molecular basis for the arterial association of cardiac lymphatic development. Using a cell-type-specific integrative analysis, we identify a population of cardiac lymphatic endothelial cells marked by the PROX1 and the lymphangiocrine RELN and enriched in binding motifs of erythroblast transformation specific (ETS) variant (ETV) transcription factors. We report the in vivo molecular characterization of human cardiac lymphatics and provide a valuable resource to understand fetal heart development.","container-title":"Cell Reports","DOI":"10.1016/j.celrep.2023.113106","ISSN":"2211-1247","issue":"9","journalAbbreviation":"Cell Reports","page":"113106","source":"ScienceDirect","title":"Single-nuclei multiomic analyses identify human cardiac lymphatic endothelial cells associated with coronary arteries in the epicardium","URL":"https://www.sciencedirect.com/science/article/pii/S2211124723011178","volume":"42","author":[{"family":"Travisano","given":"Stanislao Igor"},{"family":"Harrison","given":"Michael R. M."},{"family":"Thornton","given":"Matthew E."},{"family":"Grubbs","given":"Brendan H."},{"family":"Quertermous","given":"Thomas"},{"family":"Lien","given":"Ching-Ling"}],"accessed":{"date-parts":[["2026",1,20]]},"issued":{"date-parts":[["2023",9,26]]}}}],"schema":"https://github.com/citation-style-language/schema/raw/master/csl-citation.json"} </w:instrText>
      </w:r>
      <w:r>
        <w:rPr>
          <w:rFonts w:ascii="Arial" w:hAnsi="Arial" w:cs="Arial"/>
          <w:i/>
          <w:iCs/>
          <w:sz w:val="20"/>
          <w:szCs w:val="20"/>
        </w:rPr>
        <w:fldChar w:fldCharType="separate"/>
      </w:r>
      <w:r>
        <w:rPr>
          <w:rFonts w:ascii="Arial" w:hAnsi="Arial" w:cs="Arial"/>
          <w:sz w:val="20"/>
        </w:rPr>
        <w:t>(141)</w:t>
      </w:r>
      <w:r>
        <w:rPr>
          <w:rFonts w:ascii="Arial" w:hAnsi="Arial" w:cs="Arial"/>
          <w:i/>
          <w:iCs/>
          <w:sz w:val="20"/>
          <w:szCs w:val="20"/>
        </w:rPr>
        <w:fldChar w:fldCharType="end"/>
      </w:r>
      <w:r>
        <w:rPr>
          <w:rFonts w:ascii="Arial" w:hAnsi="Arial" w:cs="Arial"/>
          <w:sz w:val="20"/>
          <w:szCs w:val="20"/>
        </w:rPr>
        <w:t xml:space="preserve">); and a “fetal-enriched” cluster marked by developmental TFs such as </w:t>
      </w:r>
      <w:r>
        <w:rPr>
          <w:rFonts w:ascii="Arial" w:hAnsi="Arial" w:cs="Arial"/>
          <w:i/>
          <w:iCs/>
          <w:sz w:val="20"/>
          <w:szCs w:val="20"/>
        </w:rPr>
        <w:t>HAND2</w:t>
      </w:r>
      <w:r>
        <w:rPr>
          <w:rFonts w:ascii="Arial" w:hAnsi="Arial" w:cs="Arial"/>
          <w:i/>
          <w:iCs/>
          <w:sz w:val="20"/>
          <w:szCs w:val="20"/>
        </w:rPr>
        <w:fldChar w:fldCharType="begin"/>
      </w:r>
      <w:r>
        <w:rPr>
          <w:rFonts w:ascii="Arial" w:hAnsi="Arial" w:cs="Arial"/>
          <w:i/>
          <w:iCs/>
          <w:sz w:val="20"/>
          <w:szCs w:val="20"/>
        </w:rPr>
        <w:instrText xml:space="preserve"> ADDIN ZOTERO_ITEM CSL_CITATION {"citationID":"2AZgMUvu","properties":{"unsorted":false,"formattedCitation":"(142)","plainCitation":"(142)","noteIndex":0},"citationItems":[{"id":27818,"uris":["http://zotero.org/users/12236467/items/XVYRRS4S"],"itemData":{"id":27818,"type":"article-journal","abstract":"The Notch signaling pathway is an ancient and highly conserved signaling pathway that controls cell fate specification and tissue patterning in the embryo and in the adult. Region-specific endocardial Notch activity regulates heart morphogenesis through the interaction with multiple myocardial-, epicardial-, and neural crest–derived signals. Mutations in NOTCH signaling elements cause congenital heart disease in humans and mice, demonstrating its essential role in cardiac development. Studies in model systems have provided mechanistic understanding of Notch function in cardiac development, congenital heart disease, and heart regeneration. Notch patterns the embryonic endocardium into prospective territories for valve and chamber formation, and later regulates the signaling processes leading to outflow tract and valve morphogenesis and ventricular trabeculae compaction. Alterations in NOTCH signaling in the endocardium result in congenital structural malformations that can lead to disease in the neonate and adult heart.","container-title":"Circulation Research","DOI":"10.1161/CIRCRESAHA.115.305350","issue":"1","page":"e1-e18","publisher":"American Heart Association","source":"www-ahajournals-org.proxy.library.upenn.edu (Atypon)","title":"Endocardial Notch Signaling in Cardiac Development and Disease","URL":"https://www.ahajournals.org/doi/10.1161/circresaha.115.305350","volume":"118","author":[{"family":"Luxán","given":"Guillermo"},{"family":"D’Amato","given":"Gaetano"},{"family":"MacGrogan","given":"Donal"},{"family":"Pompa","given":"José Luis","non-dropping-particle":"de la"}],"accessed":{"date-parts":[["2025",10,6]]},"issued":{"date-parts":[["2016",1,8]]}}}],"schema":"https://github.com/citation-style-language/schema/raw/master/csl-citation.json"} </w:instrText>
      </w:r>
      <w:r>
        <w:rPr>
          <w:rFonts w:ascii="Arial" w:hAnsi="Arial" w:cs="Arial"/>
          <w:i/>
          <w:iCs/>
          <w:sz w:val="20"/>
          <w:szCs w:val="20"/>
        </w:rPr>
        <w:fldChar w:fldCharType="separate"/>
      </w:r>
      <w:r>
        <w:rPr>
          <w:rFonts w:ascii="Arial" w:hAnsi="Arial" w:cs="Arial"/>
          <w:sz w:val="20"/>
        </w:rPr>
        <w:t>(142)</w:t>
      </w:r>
      <w:r>
        <w:rPr>
          <w:rFonts w:ascii="Arial" w:hAnsi="Arial" w:cs="Arial"/>
          <w:i/>
          <w:iCs/>
          <w:sz w:val="20"/>
          <w:szCs w:val="20"/>
        </w:rPr>
        <w:fldChar w:fldCharType="end"/>
      </w:r>
      <w:r>
        <w:rPr>
          <w:rFonts w:ascii="Arial" w:hAnsi="Arial" w:cs="Arial"/>
          <w:sz w:val="20"/>
          <w:szCs w:val="20"/>
        </w:rPr>
        <w:t xml:space="preserve"> and </w:t>
      </w:r>
      <w:proofErr w:type="spellStart"/>
      <w:r>
        <w:rPr>
          <w:rFonts w:ascii="Arial" w:hAnsi="Arial" w:cs="Arial"/>
          <w:sz w:val="20"/>
          <w:szCs w:val="20"/>
        </w:rPr>
        <w:t>Wnt</w:t>
      </w:r>
      <w:proofErr w:type="spellEnd"/>
      <w:r>
        <w:rPr>
          <w:rFonts w:ascii="Arial" w:hAnsi="Arial" w:cs="Arial"/>
          <w:sz w:val="20"/>
          <w:szCs w:val="20"/>
        </w:rPr>
        <w:t xml:space="preserve"> signaling regulators (</w:t>
      </w:r>
      <w:r w:rsidRPr="00883AE9">
        <w:rPr>
          <w:rFonts w:ascii="Arial" w:hAnsi="Arial" w:cs="Arial"/>
          <w:i/>
          <w:iCs/>
          <w:sz w:val="20"/>
          <w:szCs w:val="20"/>
        </w:rPr>
        <w:t>WNT5A</w:t>
      </w:r>
      <w:r>
        <w:rPr>
          <w:rFonts w:ascii="Arial" w:hAnsi="Arial" w:cs="Arial"/>
          <w:i/>
          <w:iCs/>
          <w:sz w:val="20"/>
          <w:szCs w:val="20"/>
        </w:rPr>
        <w:t>/LRG5</w:t>
      </w:r>
      <w:r>
        <w:rPr>
          <w:rFonts w:ascii="Arial" w:hAnsi="Arial" w:cs="Arial"/>
          <w:i/>
          <w:iCs/>
          <w:sz w:val="20"/>
          <w:szCs w:val="20"/>
        </w:rPr>
        <w:fldChar w:fldCharType="begin"/>
      </w:r>
      <w:r>
        <w:rPr>
          <w:rFonts w:ascii="Arial" w:hAnsi="Arial" w:cs="Arial"/>
          <w:i/>
          <w:iCs/>
          <w:sz w:val="20"/>
          <w:szCs w:val="20"/>
        </w:rPr>
        <w:instrText xml:space="preserve"> ADDIN ZOTERO_ITEM CSL_CITATION {"citationID":"yGoBAw7r","properties":{"unsorted":false,"formattedCitation":"(143)","plainCitation":"(143)","noteIndex":0},"citationItems":[{"id":28946,"uris":["http://zotero.org/users/12236467/items/E578GPZS"],"itemData":{"id":28946,"type":"article-journal","abstract":"LGR5, a seven-transmembrane domain receptor of the rhodopsin family, is a Wnt target gene and a bona fide marker of adult stem cells in the gastrointestinal tract and hair follicle bulge. Recently, we and others demonstrated that LGR5 and its homologues function as receptors of the R-spondin family of stem cell factors to potentiate Wnt/β-catenin signaling. However, the mechanism of how LGR5 enhances the signaling output remains unclear. Here we report that following costimulation with the ligands R-spondin1 and Wnt3a, LGR5 interacts and forms a supercomplex with the Wnt coreceptors LRP6 and Fzd5 which is rapidly internalized and then degraded. Internalization of LGR5 is mediated through a dynamin- and clathrin-dependent pathway. Inhibition of this endocytic process has no effect on LGR5 signaling. Deletion of the C-terminal tail of LGR5 maintains its ability to interact with LRP6, yet this LGR5 mutant exhibits increased signaling activity and a decreased rate of endocytosis in response to R-spondin1 compared to the wild-type receptor. This study provides direct evidence that LGR5 becomes part of the Wnt signaling complex at the membrane level to enhance Wnt/β-catenin signaling. However, internalization of LGR5 does not appear to be essential for potentiating the canonical Wnt signaling pathway.","container-title":"Molecular and Cellular Biology","DOI":"10.1128/MCB.00272-12","ISSN":"0270-7306","issue":"11","journalAbbreviation":"Mol Cell Biol","page":"2054-2064","PMID":"22473993","PMCID":"PMC3372227","source":"PubMed Central","title":"LGR5 Interacts and Cointernalizes with Wnt Receptors To Modulate Wnt/β-Catenin Signaling","URL":"https://pmc.ncbi.nlm.nih.gov/articles/PMC3372227/","volume":"32","author":[{"family":"Carmon","given":"Kendra S."},{"family":"Lin","given":"Qiushi"},{"family":"Gong","given":"Xing"},{"family":"Thomas","given":"Anthony"},{"family":"Liu","given":"Qingyun"}],"accessed":{"date-parts":[["2026",1,20]]},"issued":{"date-parts":[["2012",6]]}}}],"schema":"https://github.com/citation-style-language/schema/raw/master/csl-citation.json"} </w:instrText>
      </w:r>
      <w:r>
        <w:rPr>
          <w:rFonts w:ascii="Arial" w:hAnsi="Arial" w:cs="Arial"/>
          <w:i/>
          <w:iCs/>
          <w:sz w:val="20"/>
          <w:szCs w:val="20"/>
        </w:rPr>
        <w:fldChar w:fldCharType="separate"/>
      </w:r>
      <w:r>
        <w:rPr>
          <w:rFonts w:ascii="Arial" w:hAnsi="Arial" w:cs="Arial"/>
          <w:sz w:val="20"/>
        </w:rPr>
        <w:t>(143)</w:t>
      </w:r>
      <w:r>
        <w:rPr>
          <w:rFonts w:ascii="Arial" w:hAnsi="Arial" w:cs="Arial"/>
          <w:i/>
          <w:iCs/>
          <w:sz w:val="20"/>
          <w:szCs w:val="20"/>
        </w:rPr>
        <w:fldChar w:fldCharType="end"/>
      </w:r>
      <w:r>
        <w:rPr>
          <w:rFonts w:ascii="Arial" w:hAnsi="Arial" w:cs="Arial"/>
          <w:i/>
          <w:iCs/>
          <w:sz w:val="20"/>
          <w:szCs w:val="20"/>
        </w:rPr>
        <w:t>)</w:t>
      </w:r>
      <w:r>
        <w:rPr>
          <w:rFonts w:ascii="Arial" w:hAnsi="Arial" w:cs="Arial"/>
          <w:sz w:val="20"/>
          <w:szCs w:val="20"/>
        </w:rPr>
        <w:t>; a cluster with “valvular”/endocardial cushion features, as supported by expression of neuregulin and BMP signaling-associated genes, which are critical for endocardial cushion formation (</w:t>
      </w:r>
      <w:bookmarkStart w:id="7" w:name="_Hlk219804519"/>
      <w:r>
        <w:rPr>
          <w:rFonts w:ascii="Arial" w:hAnsi="Arial" w:cs="Arial"/>
          <w:i/>
          <w:iCs/>
          <w:sz w:val="20"/>
          <w:szCs w:val="20"/>
        </w:rPr>
        <w:t>NRG1</w:t>
      </w:r>
      <w:bookmarkEnd w:id="7"/>
      <w:r>
        <w:rPr>
          <w:rFonts w:ascii="Arial" w:hAnsi="Arial" w:cs="Arial"/>
          <w:i/>
          <w:iCs/>
          <w:sz w:val="20"/>
          <w:szCs w:val="20"/>
        </w:rPr>
        <w:fldChar w:fldCharType="begin"/>
      </w:r>
      <w:r>
        <w:rPr>
          <w:rFonts w:ascii="Arial" w:hAnsi="Arial" w:cs="Arial"/>
          <w:i/>
          <w:iCs/>
          <w:sz w:val="20"/>
          <w:szCs w:val="20"/>
        </w:rPr>
        <w:instrText xml:space="preserve"> ADDIN ZOTERO_ITEM CSL_CITATION {"citationID":"5NLVZS31","properties":{"unsorted":false,"formattedCitation":"\\super 16\\nosupersub{}","plainCitation":"16","dontUpdate":true,"noteIndex":0},"citationItems":[{"id":28961,"uris":["http://zotero.org/users/12236467/items/32ZW6PEH"],"itemData":{"id":28961,"type":"article-journal","abstract":"NEUREGULIN (also called NDF, heregulin, GGF and ARIA) is a member of the EGF family which induces growth and differentiation of epithelial, glial and muscle cells in culture1–4. The biological effects of the factor are mediated by tyrosine kinase receptors. Neuregulin can bind directly to erbB3 and erbB4 and receptor heterodimerization allows neuregulin-dependent activation of erbB2 (refs 1, 2, 5). A targeted mutation in mice reveals multiple essential roles of neuregulin in development. Here we show that neuregulin -/ - embryos die during embryogenesis and display heart malformations. In addition, Schwann cell precursors and cranial ganglia fail to develop normally. The phenotype demonstrates that in vivo neuregulin acts locally and frequently in a paracrine manner. All cell types affected by the mutation express either erbB3 or erbB4, indicating that either of these tyrosine kinase receptors can be a component in recognition and transmission of essential neuregulin signals.","container-title":"Nature","DOI":"10.1038/378386a0","ISSN":"1476-4687","issue":"6555","language":"en","license":"1995 Springer Nature Limited","page":"386-390","publisher":"Nature Publishing Group","source":"www-nature-com.proxy.library.upenn.edu","title":"Multiple essential functions of neuregulin in development","URL":"https://www.nature.com/articles/378386a0","volume":"378","author":[{"family":"Meyer","given":"Dirk"},{"family":"Birchmeier","given":"Carmen"}],"accessed":{"date-parts":[["2026",1,20]]},"issued":{"date-parts":[["1995",11]]}}}],"schema":"https://github.com/citation-style-language/schema/raw/master/csl-citation.json"} </w:instrText>
      </w:r>
      <w:r>
        <w:rPr>
          <w:rFonts w:ascii="Arial" w:hAnsi="Arial" w:cs="Arial"/>
          <w:i/>
          <w:iCs/>
          <w:sz w:val="20"/>
          <w:szCs w:val="20"/>
        </w:rPr>
        <w:fldChar w:fldCharType="separate"/>
      </w:r>
      <w:r w:rsidRPr="00400DC8">
        <w:rPr>
          <w:rFonts w:ascii="Arial" w:hAnsi="Arial" w:cs="Arial"/>
          <w:sz w:val="20"/>
          <w:vertAlign w:val="superscript"/>
        </w:rPr>
        <w:t>17</w:t>
      </w:r>
      <w:r>
        <w:rPr>
          <w:rFonts w:ascii="Arial" w:hAnsi="Arial" w:cs="Arial"/>
          <w:i/>
          <w:iCs/>
          <w:sz w:val="20"/>
          <w:szCs w:val="20"/>
        </w:rPr>
        <w:fldChar w:fldCharType="end"/>
      </w:r>
      <w:r>
        <w:rPr>
          <w:rFonts w:ascii="Arial" w:hAnsi="Arial" w:cs="Arial"/>
          <w:i/>
          <w:iCs/>
          <w:sz w:val="20"/>
          <w:szCs w:val="20"/>
        </w:rPr>
        <w:t>/BMPR1B/GDF7</w:t>
      </w:r>
      <w:r>
        <w:rPr>
          <w:rFonts w:ascii="Arial" w:hAnsi="Arial" w:cs="Arial"/>
          <w:i/>
          <w:iCs/>
          <w:sz w:val="20"/>
          <w:szCs w:val="20"/>
        </w:rPr>
        <w:fldChar w:fldCharType="begin"/>
      </w:r>
      <w:r>
        <w:rPr>
          <w:rFonts w:ascii="Arial" w:hAnsi="Arial" w:cs="Arial"/>
          <w:i/>
          <w:iCs/>
          <w:sz w:val="20"/>
          <w:szCs w:val="20"/>
        </w:rPr>
        <w:instrText xml:space="preserve"> ADDIN ZOTERO_ITEM CSL_CITATION {"citationID":"hyS5Gocl","properties":{"unsorted":false,"formattedCitation":"(145)","plainCitation":"(145)","noteIndex":0},"citationItems":[{"id":28958,"uris":["http://zotero.org/users/12236467/items/XH2G9LCW"],"itemData":{"id":28958,"type":"article-journal","abstract":"Epithelial–mesenchymal interactions play an important role in the development of many different organs and tissues. The secretory glands of the male reproductive system, including the prostate and seminal vesicles, are derived from epithelial precursors. Signals from the underlying mesenchyme are required for normal growth, branching, and differentiation of the seminal vesicle epithelium. Here, we show that a member of the BMP family, Gdf7, is required for normal seminal vesicle development. Expression and tissue recombination experiments suggest that Gdf7 is a mesenchymal signal that acts in a paracrine fashion to control the differentiation of the seminal vesicle epithelium.","container-title":"Developmental Biology","DOI":"10.1006/dbio.2001.0244","ISSN":"0012-1606","issue":"1","journalAbbreviation":"Developmental Biology","page":"138-150","source":"ScienceDirect","title":"The BMP Family Member &lt;i&gt;Gdf7&lt;/i&gt; Is Required for Seminal Vesicle Growth, Branching Morphogenesis, and Cytodifferentiation","URL":"https://www.sciencedirect.com/science/article/pii/S0012160601902441","volume":"234","author":[{"family":"Settle","given":"Stephen"},{"family":"Marker","given":"Paul"},{"family":"Gurley","given":"Kyle"},{"family":"Sinha","given":"Abhishek"},{"family":"Thacker","given":"Abigail"},{"family":"Wang","given":"Yuzhuo"},{"family":"Higgins","given":"Kay"},{"family":"Cunha","given":"Gerald"},{"family":"Kingsley","given":"David M."}],"accessed":{"date-parts":[["2026",1,20]]},"issued":{"date-parts":[["2001",6,1]]}}}],"schema":"https://github.com/citation-style-language/schema/raw/master/csl-citation.json"} </w:instrText>
      </w:r>
      <w:r>
        <w:rPr>
          <w:rFonts w:ascii="Arial" w:hAnsi="Arial" w:cs="Arial"/>
          <w:i/>
          <w:iCs/>
          <w:sz w:val="20"/>
          <w:szCs w:val="20"/>
        </w:rPr>
        <w:fldChar w:fldCharType="separate"/>
      </w:r>
      <w:r>
        <w:rPr>
          <w:rFonts w:ascii="Arial" w:hAnsi="Arial" w:cs="Arial"/>
          <w:sz w:val="20"/>
        </w:rPr>
        <w:t>(145)</w:t>
      </w:r>
      <w:r>
        <w:rPr>
          <w:rFonts w:ascii="Arial" w:hAnsi="Arial" w:cs="Arial"/>
          <w:i/>
          <w:iCs/>
          <w:sz w:val="20"/>
          <w:szCs w:val="20"/>
        </w:rPr>
        <w:fldChar w:fldCharType="end"/>
      </w:r>
      <w:r>
        <w:rPr>
          <w:rFonts w:ascii="Arial" w:hAnsi="Arial" w:cs="Arial"/>
          <w:sz w:val="20"/>
          <w:szCs w:val="20"/>
        </w:rPr>
        <w:t>); and an “activated” cluster with expression of valvular-associated genes as well as immediately early gene signatures (</w:t>
      </w:r>
      <w:r w:rsidRPr="00855FC7">
        <w:rPr>
          <w:rFonts w:ascii="Arial" w:hAnsi="Arial" w:cs="Arial"/>
          <w:i/>
          <w:iCs/>
          <w:sz w:val="20"/>
          <w:szCs w:val="20"/>
        </w:rPr>
        <w:t>NR4A1</w:t>
      </w:r>
      <w:r>
        <w:rPr>
          <w:rFonts w:ascii="Arial" w:hAnsi="Arial" w:cs="Arial"/>
          <w:i/>
          <w:iCs/>
          <w:sz w:val="20"/>
          <w:szCs w:val="20"/>
        </w:rPr>
        <w:fldChar w:fldCharType="begin"/>
      </w:r>
      <w:r>
        <w:rPr>
          <w:rFonts w:ascii="Arial" w:hAnsi="Arial" w:cs="Arial"/>
          <w:i/>
          <w:iCs/>
          <w:sz w:val="20"/>
          <w:szCs w:val="20"/>
        </w:rPr>
        <w:instrText xml:space="preserve"> ADDIN ZOTERO_ITEM CSL_CITATION {"citationID":"y9N76ENv","properties":{"unsorted":false,"formattedCitation":"(146)","plainCitation":"(146)","noteIndex":0},"citationItems":[{"id":28952,"uris":["http://zotero.org/users/12236467/items/CZPCE8UU"],"itemData":{"id":28952,"type":"article-journal","abstract":"The nuclear hormone receptor (NR) superfamily includes the orphan NR4A subgroup, comprised of Nur77 (NR4A1), Nurr1 (NR4A2) and NOR-1 (NR4A3). These NRs are classified as early response genes, are induced by a diverse range of signals, including fatty acids, stress, growth factors, cytokines, peptide hormones, phorbol esters, neurotransmitters, and physical stimuli (for example magnetic fields, shear stress). The ability to sense and rapidly respond to changes in the cellular environment thus appears to be a hallmark of this subfamily. The members of the NR4A subgroup are well conserved in the DNA binding domain (~91-95%) and the C-terminal ligand-binding domain (~60%), but are divergent in the N-terminal AB region.  These receptors bind as monomers, homodimers and heterodimers with RXRs (to mediate retinoid signaling) to different permutations of the canonical NR binding motif. The NR4A subgroup activates gene expression in a constitutive ligand-independent manner.  NR4A-mediated trans-activation (LBD) involves unusually active N-terminal AF-1 domains that mediate coactivator recruitment. Moreover, the NR4A receptors encode atypical LBDs and AF-2 domains.  For example, the LBDs contain no cavity due to bulky hydrophobic residue side chains, and lack the classical coactivator-binding cleft constituted by helices 3, 4 and 12.  However, a hydrophobic patch exists between helices 11 and 12, that encodes a novel cofactor interface that modulates transcriptional activity.  In line with the pleiotropic physiological stimuli that induce the NR4A subgroup, these orphan NRs have been implicated in cell cycle regulation (and apoptosis), neurological disease, steroidogenesis, inflammation, carcinogenesis and atherogenesis.","container-title":"Nuclear Receptor Signaling","DOI":"10.1621/nrs.04002","ISSN":"1550-7629","journalAbbreviation":"Nucl Recept Signal","page":"e002","PMID":"16604165","PMCID":"PMC1402209","source":"PubMed Central","title":"The NR4A subgroup: immediate early response genes with pleiotropic physiological roles","title-short":"The NR4A subgroup","URL":"https://pmc.ncbi.nlm.nih.gov/articles/PMC1402209/","volume":"4","author":[{"family":"Maxwell","given":"Megan A."},{"family":"Muscat","given":"George E.O."}],"accessed":{"date-parts":[["2026",1,20]]},"issued":{"date-parts":[["2006",2,8]]}}}],"schema":"https://github.com/citation-style-language/schema/raw/master/csl-citation.json"} </w:instrText>
      </w:r>
      <w:r>
        <w:rPr>
          <w:rFonts w:ascii="Arial" w:hAnsi="Arial" w:cs="Arial"/>
          <w:i/>
          <w:iCs/>
          <w:sz w:val="20"/>
          <w:szCs w:val="20"/>
        </w:rPr>
        <w:fldChar w:fldCharType="separate"/>
      </w:r>
      <w:r>
        <w:rPr>
          <w:rFonts w:ascii="Arial" w:hAnsi="Arial" w:cs="Arial"/>
          <w:sz w:val="20"/>
        </w:rPr>
        <w:t>(146)</w:t>
      </w:r>
      <w:r>
        <w:rPr>
          <w:rFonts w:ascii="Arial" w:hAnsi="Arial" w:cs="Arial"/>
          <w:i/>
          <w:iCs/>
          <w:sz w:val="20"/>
          <w:szCs w:val="20"/>
        </w:rPr>
        <w:fldChar w:fldCharType="end"/>
      </w:r>
      <w:r w:rsidRPr="00855FC7">
        <w:rPr>
          <w:rFonts w:ascii="Arial" w:hAnsi="Arial" w:cs="Arial"/>
          <w:i/>
          <w:iCs/>
          <w:sz w:val="20"/>
          <w:szCs w:val="20"/>
        </w:rPr>
        <w:t>/EGR3/CREM</w:t>
      </w:r>
      <w:r>
        <w:rPr>
          <w:rFonts w:ascii="Arial" w:hAnsi="Arial" w:cs="Arial"/>
          <w:sz w:val="20"/>
          <w:szCs w:val="20"/>
        </w:rPr>
        <w:t>).</w:t>
      </w:r>
    </w:p>
    <w:p w14:paraId="2D30D8A4" w14:textId="77777777" w:rsidR="00F94AAA" w:rsidRDefault="00F94AAA" w:rsidP="00F94AAA">
      <w:pPr>
        <w:rPr>
          <w:rFonts w:ascii="Arial" w:hAnsi="Arial" w:cs="Arial"/>
          <w:sz w:val="20"/>
          <w:szCs w:val="20"/>
        </w:rPr>
      </w:pPr>
      <w:r>
        <w:rPr>
          <w:rFonts w:ascii="Arial" w:hAnsi="Arial" w:cs="Arial"/>
          <w:sz w:val="20"/>
          <w:szCs w:val="20"/>
        </w:rPr>
        <w:t>The “</w:t>
      </w:r>
      <w:proofErr w:type="gramStart"/>
      <w:r>
        <w:rPr>
          <w:rFonts w:ascii="Arial" w:hAnsi="Arial" w:cs="Arial"/>
          <w:sz w:val="20"/>
          <w:szCs w:val="20"/>
        </w:rPr>
        <w:t>Valvular-activated</w:t>
      </w:r>
      <w:proofErr w:type="gramEnd"/>
      <w:r>
        <w:rPr>
          <w:rFonts w:ascii="Arial" w:hAnsi="Arial" w:cs="Arial"/>
          <w:sz w:val="20"/>
          <w:szCs w:val="20"/>
        </w:rPr>
        <w:t>” cluster is enriched in several diseases (AMI, ACM and ICM).</w:t>
      </w:r>
    </w:p>
    <w:p w14:paraId="45F3D289" w14:textId="77777777" w:rsidR="00F94AAA" w:rsidRDefault="00F94AAA" w:rsidP="00F94AAA">
      <w:pPr>
        <w:rPr>
          <w:rFonts w:ascii="Arial" w:hAnsi="Arial" w:cs="Arial"/>
          <w:sz w:val="20"/>
          <w:szCs w:val="20"/>
        </w:rPr>
      </w:pPr>
      <w:r w:rsidRPr="001C22AE">
        <w:rPr>
          <w:rFonts w:ascii="Arial" w:hAnsi="Arial" w:cs="Arial"/>
          <w:b/>
          <w:bCs/>
          <w:sz w:val="20"/>
          <w:szCs w:val="20"/>
        </w:rPr>
        <w:t>(d)</w:t>
      </w:r>
      <w:r>
        <w:rPr>
          <w:rFonts w:ascii="Arial" w:hAnsi="Arial" w:cs="Arial"/>
          <w:sz w:val="20"/>
          <w:szCs w:val="20"/>
        </w:rPr>
        <w:t xml:space="preserve"> Seven endothelial subclusters were identified, associated with vascular localization. These include an “activated” cluster marked by expression of inducible nitric oxide (</w:t>
      </w:r>
      <w:r w:rsidRPr="00BA7296">
        <w:rPr>
          <w:rFonts w:ascii="Arial" w:hAnsi="Arial" w:cs="Arial"/>
          <w:i/>
          <w:iCs/>
          <w:sz w:val="20"/>
          <w:szCs w:val="20"/>
        </w:rPr>
        <w:t>NOS2</w:t>
      </w:r>
      <w:r>
        <w:rPr>
          <w:rFonts w:ascii="Arial" w:hAnsi="Arial" w:cs="Arial"/>
          <w:i/>
          <w:iCs/>
          <w:sz w:val="20"/>
          <w:szCs w:val="20"/>
        </w:rPr>
        <w:fldChar w:fldCharType="begin"/>
      </w:r>
      <w:r>
        <w:rPr>
          <w:rFonts w:ascii="Arial" w:hAnsi="Arial" w:cs="Arial"/>
          <w:i/>
          <w:iCs/>
          <w:sz w:val="20"/>
          <w:szCs w:val="20"/>
        </w:rPr>
        <w:instrText xml:space="preserve"> ADDIN ZOTERO_ITEM CSL_CITATION {"citationID":"cC1oAQNz","properties":{"unsorted":false,"formattedCitation":"(147)","plainCitation":"(147)","noteIndex":0},"citationItems":[{"id":28970,"uris":["http://zotero.org/users/12236467/items/TFWXZYJ8"],"itemData":{"id":28970,"type":"article-journal","abstract":"The enzyme nitric oxide synthase 2 (NOS2), often called inducible NOS, plays a central role in the inflammatory reactions that follow infection or tissue damage. NOS2 has been detected in virtually every cell type, and the NO it produces can perform both beneficial and detrimental actions. It is thus conceivable that regulatory mechanisms exist which control the timing and intensity of NO production by NOS2 in order to outweigh protective effects against detrimental ones. Since cyclic AMP inhibits numerous immunological reactions, studies have been carried out to determine whether cAMP-dependent pathways could inhibit NOS2 expression as well. Pharmacological studies in cultured cells show that, depending on the cell type examined, increased cAMP can exert opposite effects on the endotoxin- or cytokine-induced expression of NOS2, being either stimulatory or inhibitory in macrophages, stimulatory in adipocytes, smooth muscle, skeletal muscle, and brain endothelial cells, and inhibitory in pancreatic, liver, and brain glial cells. Regulation of NOS2 gene transcription appears to be the primary mechanism of action of cAMP, and whether it is stimulatory or inhibitory hinges on the cell-specific regulation of transcription factors including CREB, NF-kappaB, and C/EBP. Cyclic AMP must therefore be considered a modulator rather than a suppressor of NOS2 expression. This review summarizes evidence derived from in vitro studies, considers regulation of NOS2 by cAMP in vivo, and discusses possible therapeutic applications of cAMP treatment.-Galea, E., Feinstein, D. L. Regulation of the expression of the inflammatory nitric oxide synthase (NOS2) by cyclic AMP.","container-title":"FASEB journal: official publication of the Federation of American Societies for Experimental Biology","DOI":"10.1096/fasebj.13.15.2125","ISSN":"0892-6638","issue":"15","journalAbbreviation":"FASEB J","language":"eng","page":"2125-2137","PMID":"10593859","source":"PubMed","title":"Regulation of the expression of the inflammatory nitric oxide synthase (NOS2) by cyclic AMP","volume":"13","author":[{"family":"Galea","given":"E."},{"family":"Feinstein","given":"D. L."}],"issued":{"date-parts":[["1999",12]]}}}],"schema":"https://github.com/citation-style-language/schema/raw/master/csl-citation.json"} </w:instrText>
      </w:r>
      <w:r>
        <w:rPr>
          <w:rFonts w:ascii="Arial" w:hAnsi="Arial" w:cs="Arial"/>
          <w:i/>
          <w:iCs/>
          <w:sz w:val="20"/>
          <w:szCs w:val="20"/>
        </w:rPr>
        <w:fldChar w:fldCharType="separate"/>
      </w:r>
      <w:r>
        <w:rPr>
          <w:rFonts w:ascii="Arial" w:hAnsi="Arial" w:cs="Arial"/>
          <w:sz w:val="20"/>
        </w:rPr>
        <w:t>(147)</w:t>
      </w:r>
      <w:r>
        <w:rPr>
          <w:rFonts w:ascii="Arial" w:hAnsi="Arial" w:cs="Arial"/>
          <w:i/>
          <w:iCs/>
          <w:sz w:val="20"/>
          <w:szCs w:val="20"/>
        </w:rPr>
        <w:fldChar w:fldCharType="end"/>
      </w:r>
      <w:r>
        <w:rPr>
          <w:rFonts w:ascii="Arial" w:hAnsi="Arial" w:cs="Arial"/>
          <w:sz w:val="20"/>
          <w:szCs w:val="20"/>
        </w:rPr>
        <w:t>) and inflammatory genes (</w:t>
      </w:r>
      <w:r w:rsidRPr="00C41110">
        <w:rPr>
          <w:rFonts w:ascii="Arial" w:hAnsi="Arial" w:cs="Arial"/>
          <w:i/>
          <w:iCs/>
          <w:sz w:val="20"/>
          <w:szCs w:val="20"/>
        </w:rPr>
        <w:t>EBI3</w:t>
      </w:r>
      <w:r>
        <w:rPr>
          <w:rFonts w:ascii="Arial" w:hAnsi="Arial" w:cs="Arial"/>
          <w:i/>
          <w:iCs/>
          <w:sz w:val="20"/>
          <w:szCs w:val="20"/>
        </w:rPr>
        <w:fldChar w:fldCharType="begin"/>
      </w:r>
      <w:r>
        <w:rPr>
          <w:rFonts w:ascii="Arial" w:hAnsi="Arial" w:cs="Arial"/>
          <w:i/>
          <w:iCs/>
          <w:sz w:val="20"/>
          <w:szCs w:val="20"/>
        </w:rPr>
        <w:instrText xml:space="preserve"> ADDIN ZOTERO_ITEM CSL_CITATION {"citationID":"t7JpzUzl","properties":{"unsorted":false,"formattedCitation":"(148)","plainCitation":"(148)","noteIndex":0},"citationItems":[{"id":28972,"uris":["http://zotero.org/users/12236467/items/MPHLZEYA"],"itemData":{"id":28972,"type":"article-journal","abstract":"Epstein-Barr virus-induced gene 3 (EBI3) is a subunit of the composite cytokines IL-27 and IL-35. Both have beneficial functions or effects in models of infectious and autoimmune diseases. This suggests that administration of EBI3 could be therapeutically useful by binding free p28 and p35 to generate IL-27 and IL-35. IL-27- and IL-35-independent functions of EBI3 could compromise its therapeutic uses. We therefore assessed the effects of EBI3 on cytokine receptor-expressing cells. We observed that EBI3 activates STAT3 and induces the proliferation of the IL-6-dependent B9 mouse plasmacytoma cell line. Analyses using blocking mAbs and Ba/F3 transfectants expressing gp130 indicate that EBI3 activity was linked to its capacity to mediate IL-6 trans-signaling, albeit less efficiently than soluble IL-6Rα. In line with this interpretation, co-immunoprecipitation and SPR experiments indicated that EBI3 binds IL-6. An important pro-inflammatory function of IL-6 trans-signaling is to activate blood vessel endothelial cells. We observed that EBI3 in combination with IL-6 could induce the expression of chemokines by human venal endothelial cells. Our results indicate that EBI3 can promote pro-inflammatory IL-6 functions by mediating trans-signaling. These unexpected observations suggest that use of EBI3 as a therapeutic biologic for autoimmune diseases will likely require co-administration of soluble gp130 to prevent the side effects associated with IL-6 trans-signaling. Together with previous studies that demonstrated activation of IL-6R by p28 (IL-30), new findings further suggest a complex interrelation between IL-27 and IL-6.","container-title":"Journal of Biological Chemistry","DOI":"10.1074/jbc.M116.762021","ISSN":"0021-9258","issue":"16","journalAbbreviation":"Journal of Biological Chemistry","page":"6644-6656","source":"ScienceDirect","title":"Epstein-Barr virus-induced gene 3 (EBI3) can mediate IL-6 &lt;i&gt;trans&lt;/i&gt;-signaling","URL":"https://www.sciencedirect.com/science/article/pii/S0021925820365790","volume":"292","author":[{"family":"Chehboun","given":"Salma"},{"family":"Labrecque-Carbonneau","given":"Jérémie"},{"family":"Pasquin","given":"Sarah"},{"family":"Meliani","given":"Yasmine"},{"family":"Meddah","given":"Bouchra"},{"family":"Ferlin","given":"Walter"},{"family":"Sharma","given":"Mukut"},{"family":"Tormo","given":"Aurélie"},{"family":"Masson","given":"Jean-François"},{"family":"Gauchat","given":"Jean-François"}],"accessed":{"date-parts":[["2026",1,20]]},"issued":{"date-parts":[["2017",4,21]]}}}],"schema":"https://github.com/citation-style-language/schema/raw/master/csl-citation.json"} </w:instrText>
      </w:r>
      <w:r>
        <w:rPr>
          <w:rFonts w:ascii="Arial" w:hAnsi="Arial" w:cs="Arial"/>
          <w:i/>
          <w:iCs/>
          <w:sz w:val="20"/>
          <w:szCs w:val="20"/>
        </w:rPr>
        <w:fldChar w:fldCharType="separate"/>
      </w:r>
      <w:r>
        <w:rPr>
          <w:rFonts w:ascii="Arial" w:hAnsi="Arial" w:cs="Arial"/>
          <w:sz w:val="20"/>
        </w:rPr>
        <w:t>(148)</w:t>
      </w:r>
      <w:r>
        <w:rPr>
          <w:rFonts w:ascii="Arial" w:hAnsi="Arial" w:cs="Arial"/>
          <w:i/>
          <w:iCs/>
          <w:sz w:val="20"/>
          <w:szCs w:val="20"/>
        </w:rPr>
        <w:fldChar w:fldCharType="end"/>
      </w:r>
      <w:r>
        <w:rPr>
          <w:rFonts w:ascii="Arial" w:hAnsi="Arial" w:cs="Arial"/>
          <w:i/>
          <w:iCs/>
          <w:sz w:val="20"/>
          <w:szCs w:val="20"/>
        </w:rPr>
        <w:t>/TNFRSF4</w:t>
      </w:r>
      <w:r>
        <w:rPr>
          <w:rFonts w:ascii="Arial" w:hAnsi="Arial" w:cs="Arial"/>
          <w:i/>
          <w:iCs/>
          <w:sz w:val="20"/>
          <w:szCs w:val="20"/>
        </w:rPr>
        <w:fldChar w:fldCharType="begin"/>
      </w:r>
      <w:r>
        <w:rPr>
          <w:rFonts w:ascii="Arial" w:hAnsi="Arial" w:cs="Arial"/>
          <w:i/>
          <w:iCs/>
          <w:sz w:val="20"/>
          <w:szCs w:val="20"/>
        </w:rPr>
        <w:instrText xml:space="preserve"> ADDIN ZOTERO_ITEM CSL_CITATION {"citationID":"VBNkG9yR","properties":{"unsorted":false,"formattedCitation":"(149)","plainCitation":"(149)","noteIndex":0},"citationItems":[{"id":28975,"uris":["http://zotero.org/users/12236467/items/LWDN5S78"],"itemData":{"id":28975,"type":"article-journal","abstract":"Mucosal-associated invariant T (MAIT) cells play a key role in local and systemic immune responses. Studies suggest that type 2 diabetes (T2D) is associated with alterations in the human MAIT cell response. However, the mechanisms that regulate the survival and homeostasis of human MAIT cells are poorly defined. In this study, we demonstrate that the costimulatory TNF superfamily receptor OX40 was highly expressed in MAIT cells of patients with T2D. Compared with OX40-negative MAIT cells, OX40-positive MAIT cells showed a high activation and a memory phenotype. Surprisingly, OX40 expression was negatively correlated with the frequency of MAIT cells in the peripheral blood of T2D patients. Increased cleaved caspase-3 levels were observed in OX40+-expressing MAIT cells in T2D patients. In vitro, activated OX40 signaling by recombinant OX40L protein promoted caspase-3 activation and apoptosis of MAIT cells. Inhibition of caspase-3 restored apoptosis of MAIT cells induced by OX40 signaling. These results identify OX40 as an amplifier of activation-induced cell death of human blood MAIT cells and shed new light on the regulation of MAIT cells in the phase of immune responses in T2D.","container-title":"Journal of Immunology (Baltimore, Md.: 1950)","DOI":"10.4049/jimmunol.1900367","ISSN":"1550-6606","issue":"10","journalAbbreviation":"J Immunol","language":"eng","page":"2614-2620","PMID":"31578271","source":"PubMed","title":"Activation-Induced Cell Death of Mucosal-Associated Invariant T Cells Is Amplified by OX40 in Type 2 Diabetic Patients","volume":"203","author":[{"family":"Zhang","given":"Mei"},{"family":"Ming","given":"Siqi"},{"family":"Gong","given":"Sitang"},{"family":"Liang","given":"Siping"},{"family":"Luo","given":"Yuanmei"},{"family":"Liang","given":"Zibin"},{"family":"Cao","given":"Can"},{"family":"Lao","given":"Juanfeng"},{"family":"Shang","given":"Yuqi"},{"family":"Li","given":"Xingyu"},{"family":"Wang","given":"Manni"},{"family":"Zhong","given":"Guoquan"},{"family":"Xu","given":"Lingqing"},{"family":"Wu","given":"Minhao"},{"family":"Wu","given":"Yongjian"}],"issued":{"date-parts":[["2019",11,15]]}}}],"schema":"https://github.com/citation-style-language/schema/raw/master/csl-citation.json"} </w:instrText>
      </w:r>
      <w:r>
        <w:rPr>
          <w:rFonts w:ascii="Arial" w:hAnsi="Arial" w:cs="Arial"/>
          <w:i/>
          <w:iCs/>
          <w:sz w:val="20"/>
          <w:szCs w:val="20"/>
        </w:rPr>
        <w:fldChar w:fldCharType="separate"/>
      </w:r>
      <w:r>
        <w:rPr>
          <w:rFonts w:ascii="Arial" w:hAnsi="Arial" w:cs="Arial"/>
          <w:sz w:val="20"/>
        </w:rPr>
        <w:t>(149)</w:t>
      </w:r>
      <w:r>
        <w:rPr>
          <w:rFonts w:ascii="Arial" w:hAnsi="Arial" w:cs="Arial"/>
          <w:i/>
          <w:iCs/>
          <w:sz w:val="20"/>
          <w:szCs w:val="20"/>
        </w:rPr>
        <w:fldChar w:fldCharType="end"/>
      </w:r>
      <w:r>
        <w:rPr>
          <w:rFonts w:ascii="Arial" w:hAnsi="Arial" w:cs="Arial"/>
          <w:i/>
          <w:iCs/>
          <w:sz w:val="20"/>
          <w:szCs w:val="20"/>
        </w:rPr>
        <w:t>)</w:t>
      </w:r>
      <w:r>
        <w:rPr>
          <w:rFonts w:ascii="Arial" w:hAnsi="Arial" w:cs="Arial"/>
          <w:sz w:val="20"/>
          <w:szCs w:val="20"/>
        </w:rPr>
        <w:t>; an “arterial” cluster (</w:t>
      </w:r>
      <w:r w:rsidRPr="00C177AD">
        <w:rPr>
          <w:rFonts w:ascii="Arial" w:hAnsi="Arial" w:cs="Arial"/>
          <w:i/>
          <w:iCs/>
          <w:sz w:val="20"/>
          <w:szCs w:val="20"/>
        </w:rPr>
        <w:t>GJA5/EFBN2/BMX</w:t>
      </w:r>
      <w:r>
        <w:rPr>
          <w:rFonts w:ascii="Arial" w:hAnsi="Arial" w:cs="Arial"/>
          <w:i/>
          <w:iCs/>
          <w:sz w:val="20"/>
          <w:szCs w:val="20"/>
        </w:rPr>
        <w:fldChar w:fldCharType="begin"/>
      </w:r>
      <w:r>
        <w:rPr>
          <w:rFonts w:ascii="Arial" w:hAnsi="Arial" w:cs="Arial"/>
          <w:i/>
          <w:iCs/>
          <w:sz w:val="20"/>
          <w:szCs w:val="20"/>
        </w:rPr>
        <w:instrText xml:space="preserve"> ADDIN ZOTERO_ITEM CSL_CITATION {"citationID":"VwxHIuqH","properties":{"unsorted":false,"formattedCitation":"(150)","plainCitation":"(150)","noteIndex":0},"citationItems":[{"id":27820,"uris":["http://zotero.org/users/12236467/items/3XY4QUJP"],"itemData":{"id":27820,"type":"article-journal","abstract":"Supplemental Digital Content is available in the text., Cellular diversity of the lung endothelium has not been systematically characterized in humans. We provide a reference atlas of human lung endothelial cells (ECs) to facilitate a better understanding of the phenotypic diversity and composition of cells comprising the lung endothelium.","container-title":"Circulation","DOI":"10.1161/CIRCULATIONAHA.120.052318","ISSN":"0009-7322","issue":"4","journalAbbreviation":"Circulation","page":"286-302","PMID":"34030460","PMCID":"PMC8300155","source":"PubMed Central","title":"Integrated Single-Cell Atlas of Endothelial Cells of the Human Lung","URL":"https://pmc.ncbi.nlm.nih.gov/articles/PMC8300155/","volume":"144","author":[{"family":"Schupp","given":"Jonas C."},{"family":"Adams","given":"Taylor S."},{"family":"Cosme","given":"Carlos"},{"family":"Raredon","given":"Micha Sam Brickman"},{"family":"Yuan","given":"Yifan"},{"family":"Omote","given":"Norihito"},{"family":"Poli","given":"Sergio"},{"family":"Chioccioli","given":"Maurizio"},{"family":"Rose","given":"Kadi-Ann"},{"family":"Manning","given":"Edward P."},{"family":"Sauler","given":"Maor"},{"family":"DeIuliis","given":"Giuseppe"},{"family":"Ahangari","given":"Farida"},{"family":"Neumark","given":"Nir"},{"family":"Habermann","given":"Arun C."},{"family":"Gutierrez","given":"Austin J."},{"family":"Bui","given":"Linh T."},{"family":"Lafyatis","given":"Robert"},{"family":"Pierce","given":"Richard W."},{"family":"Meyer","given":"Kerstin B."},{"family":"Nawijn","given":"Martijn C."},{"family":"Teichmann","given":"Sarah A."},{"family":"Banovich","given":"Nicholas E."},{"family":"Kropski","given":"Jonathan A."},{"family":"Niklason","given":"Laura E."},{"family":"Pe’er","given":"Dana"},{"family":"Yan","given":"Xiting"},{"family":"Homer","given":"Robert J."},{"family":"Rosas","given":"Ivan O."},{"family":"Kaminski","given":"Naftali"}],"accessed":{"date-parts":[["2025",10,6]]},"issued":{"date-parts":[["2021",7,27]]}}}],"schema":"https://github.com/citation-style-language/schema/raw/master/csl-citation.json"} </w:instrText>
      </w:r>
      <w:r>
        <w:rPr>
          <w:rFonts w:ascii="Arial" w:hAnsi="Arial" w:cs="Arial"/>
          <w:i/>
          <w:iCs/>
          <w:sz w:val="20"/>
          <w:szCs w:val="20"/>
        </w:rPr>
        <w:fldChar w:fldCharType="separate"/>
      </w:r>
      <w:r>
        <w:rPr>
          <w:rFonts w:ascii="Arial" w:hAnsi="Arial" w:cs="Arial"/>
          <w:sz w:val="20"/>
        </w:rPr>
        <w:t>(150)</w:t>
      </w:r>
      <w:r>
        <w:rPr>
          <w:rFonts w:ascii="Arial" w:hAnsi="Arial" w:cs="Arial"/>
          <w:i/>
          <w:iCs/>
          <w:sz w:val="20"/>
          <w:szCs w:val="20"/>
        </w:rPr>
        <w:fldChar w:fldCharType="end"/>
      </w:r>
      <w:r>
        <w:rPr>
          <w:rFonts w:ascii="Arial" w:hAnsi="Arial" w:cs="Arial"/>
          <w:sz w:val="20"/>
          <w:szCs w:val="20"/>
        </w:rPr>
        <w:t xml:space="preserve">); an “arteriole” cluster, which has a mixture of arterial markers such as </w:t>
      </w:r>
      <w:r w:rsidRPr="00C177AD">
        <w:rPr>
          <w:rFonts w:ascii="Arial" w:hAnsi="Arial" w:cs="Arial"/>
          <w:i/>
          <w:iCs/>
          <w:sz w:val="20"/>
          <w:szCs w:val="20"/>
        </w:rPr>
        <w:t>HEY1</w:t>
      </w:r>
      <w:r>
        <w:rPr>
          <w:rFonts w:ascii="Arial" w:hAnsi="Arial" w:cs="Arial"/>
          <w:i/>
          <w:iCs/>
          <w:sz w:val="20"/>
          <w:szCs w:val="20"/>
        </w:rPr>
        <w:fldChar w:fldCharType="begin"/>
      </w:r>
      <w:r>
        <w:rPr>
          <w:rFonts w:ascii="Arial" w:hAnsi="Arial" w:cs="Arial"/>
          <w:i/>
          <w:iCs/>
          <w:sz w:val="20"/>
          <w:szCs w:val="20"/>
        </w:rPr>
        <w:instrText xml:space="preserve"> ADDIN ZOTERO_ITEM CSL_CITATION {"citationID":"90uFciA5","properties":{"unsorted":false,"formattedCitation":"(150)","plainCitation":"(150)","noteIndex":0},"citationItems":[{"id":27820,"uris":["http://zotero.org/users/12236467/items/3XY4QUJP"],"itemData":{"id":27820,"type":"article-journal","abstract":"Supplemental Digital Content is available in the text., Cellular diversity of the lung endothelium has not been systematically characterized in humans. We provide a reference atlas of human lung endothelial cells (ECs) to facilitate a better understanding of the phenotypic diversity and composition of cells comprising the lung endothelium.","container-title":"Circulation","DOI":"10.1161/CIRCULATIONAHA.120.052318","ISSN":"0009-7322","issue":"4","journalAbbreviation":"Circulation","page":"286-302","PMID":"34030460","PMCID":"PMC8300155","source":"PubMed Central","title":"Integrated Single-Cell Atlas of Endothelial Cells of the Human Lung","URL":"https://pmc.ncbi.nlm.nih.gov/articles/PMC8300155/","volume":"144","author":[{"family":"Schupp","given":"Jonas C."},{"family":"Adams","given":"Taylor S."},{"family":"Cosme","given":"Carlos"},{"family":"Raredon","given":"Micha Sam Brickman"},{"family":"Yuan","given":"Yifan"},{"family":"Omote","given":"Norihito"},{"family":"Poli","given":"Sergio"},{"family":"Chioccioli","given":"Maurizio"},{"family":"Rose","given":"Kadi-Ann"},{"family":"Manning","given":"Edward P."},{"family":"Sauler","given":"Maor"},{"family":"DeIuliis","given":"Giuseppe"},{"family":"Ahangari","given":"Farida"},{"family":"Neumark","given":"Nir"},{"family":"Habermann","given":"Arun C."},{"family":"Gutierrez","given":"Austin J."},{"family":"Bui","given":"Linh T."},{"family":"Lafyatis","given":"Robert"},{"family":"Pierce","given":"Richard W."},{"family":"Meyer","given":"Kerstin B."},{"family":"Nawijn","given":"Martijn C."},{"family":"Teichmann","given":"Sarah A."},{"family":"Banovich","given":"Nicholas E."},{"family":"Kropski","given":"Jonathan A."},{"family":"Niklason","given":"Laura E."},{"family":"Pe’er","given":"Dana"},{"family":"Yan","given":"Xiting"},{"family":"Homer","given":"Robert J."},{"family":"Rosas","given":"Ivan O."},{"family":"Kaminski","given":"Naftali"}],"accessed":{"date-parts":[["2025",10,6]]},"issued":{"date-parts":[["2021",7,27]]}}}],"schema":"https://github.com/citation-style-language/schema/raw/master/csl-citation.json"} </w:instrText>
      </w:r>
      <w:r>
        <w:rPr>
          <w:rFonts w:ascii="Arial" w:hAnsi="Arial" w:cs="Arial"/>
          <w:i/>
          <w:iCs/>
          <w:sz w:val="20"/>
          <w:szCs w:val="20"/>
        </w:rPr>
        <w:fldChar w:fldCharType="separate"/>
      </w:r>
      <w:r>
        <w:rPr>
          <w:rFonts w:ascii="Arial" w:hAnsi="Arial" w:cs="Arial"/>
          <w:sz w:val="20"/>
        </w:rPr>
        <w:t>(150)</w:t>
      </w:r>
      <w:r>
        <w:rPr>
          <w:rFonts w:ascii="Arial" w:hAnsi="Arial" w:cs="Arial"/>
          <w:i/>
          <w:iCs/>
          <w:sz w:val="20"/>
          <w:szCs w:val="20"/>
        </w:rPr>
        <w:fldChar w:fldCharType="end"/>
      </w:r>
      <w:r>
        <w:rPr>
          <w:rFonts w:ascii="Arial" w:hAnsi="Arial" w:cs="Arial"/>
          <w:i/>
          <w:iCs/>
          <w:sz w:val="20"/>
          <w:szCs w:val="20"/>
        </w:rPr>
        <w:t>,</w:t>
      </w:r>
      <w:r>
        <w:rPr>
          <w:rFonts w:ascii="Arial" w:hAnsi="Arial" w:cs="Arial"/>
          <w:sz w:val="20"/>
          <w:szCs w:val="20"/>
        </w:rPr>
        <w:t xml:space="preserve"> distal arterial markers such as </w:t>
      </w:r>
      <w:r>
        <w:rPr>
          <w:rFonts w:ascii="Arial" w:hAnsi="Arial" w:cs="Arial"/>
          <w:i/>
          <w:iCs/>
          <w:sz w:val="20"/>
          <w:szCs w:val="20"/>
        </w:rPr>
        <w:t>CXCL12</w:t>
      </w:r>
      <w:r>
        <w:rPr>
          <w:rFonts w:ascii="Arial" w:hAnsi="Arial" w:cs="Arial"/>
          <w:i/>
          <w:iCs/>
          <w:sz w:val="20"/>
          <w:szCs w:val="20"/>
        </w:rPr>
        <w:fldChar w:fldCharType="begin"/>
      </w:r>
      <w:r>
        <w:rPr>
          <w:rFonts w:ascii="Arial" w:hAnsi="Arial" w:cs="Arial"/>
          <w:i/>
          <w:iCs/>
          <w:sz w:val="20"/>
          <w:szCs w:val="20"/>
        </w:rPr>
        <w:instrText xml:space="preserve"> ADDIN ZOTERO_ITEM CSL_CITATION {"citationID":"OorqW6TO","properties":{"unsorted":false,"formattedCitation":"(151)","plainCitation":"(151)","noteIndex":0},"citationItems":[{"id":28965,"uris":["http://zotero.org/users/12236467/items/8HLH4M2Q"],"itemData":{"id":28965,"type":"article-journal","abstract":"There is a growing amount of data uncovering the cellular diversity of the pulmonary circulation and mechanisms governing vascular repair after injury. However, the molecular and cellular mechanisms contributing to the morphogenesis and growth of the pulmonary vasculature during embryonic development are less clear. Importantly, deficits in vascular development lead to significant pediatric lung diseases, indicating a need to uncover fetal programs promoting vascular growth. To address this, we used a transgenic mouse reporter for expression of Cxcl12, an arterial endothelial hallmark gene, and performed single-cell RNA sequencing on isolated Cxcl12-DsRed+ endothelium to assess cellular heterogeneity within pulmonary endothelium. Combining cell annotation with gene ontology and histological analysis allowed us to segregate the developing artery endothelium into functionally and spatially distinct subpopulations. Expression of Cxcl12 is highest in the distal arterial endothelial subpopulation, a compartment enriched in genes for vascular development. Accordingly, disruption of CXCL12 signaling led to, not only abnormal branching, but also distal vascular hypoplasia. These data provide evidence for arterial endothelial functional heterogeneity and reveal conserved signaling mechanisms essential for pulmonary vascular development., Summary: Analysis of a Cxcl12 transgenic reporter mouse reveals distinct gene enrichment that defines functional and spatially unique endothelial subtypes in the developing pulmonary arterial tree.","container-title":"Development (Cambridge, England)","DOI":"10.1242/dev.200909","ISSN":"0950-1991","issue":"21","journalAbbreviation":"Development","page":"dev200909","PMID":"36239312","PMCID":"PMC9687018","source":"PubMed Central","title":"CXCL12 defines lung endothelial heterogeneity and promotes distal vascular growth","URL":"https://pmc.ncbi.nlm.nih.gov/articles/PMC9687018/","volume":"149","author":[{"family":"Chandrasekaran","given":"Prashant"},{"family":"Negretti","given":"Nicholas M."},{"family":"Sivakumar","given":"Aravind"},{"family":"Liberti","given":"Derek C."},{"family":"Wen","given":"Hongbo"},{"family":"Peers de Nieuwburgh","given":"Maureen"},{"family":"Wang","given":"Joanna Y."},{"family":"Michki","given":"Nigel S."},{"family":"Chaudhry","given":"Fatima N."},{"family":"Kaur","given":"Sukhmani"},{"family":"Lu","given":"MinQi"},{"family":"Jin","given":"Annabelle"},{"family":"Zepp","given":"Jarod A."},{"family":"Young","given":"Lisa R."},{"family":"Sucre","given":"Jennifer M. S."},{"family":"Frank","given":"David B."}],"accessed":{"date-parts":[["2026",1,20]]},"issued":{"date-parts":[["2022",10,31]]}}}],"schema":"https://github.com/citation-style-language/schema/raw/master/csl-citation.json"} </w:instrText>
      </w:r>
      <w:r>
        <w:rPr>
          <w:rFonts w:ascii="Arial" w:hAnsi="Arial" w:cs="Arial"/>
          <w:i/>
          <w:iCs/>
          <w:sz w:val="20"/>
          <w:szCs w:val="20"/>
        </w:rPr>
        <w:fldChar w:fldCharType="separate"/>
      </w:r>
      <w:r>
        <w:rPr>
          <w:rFonts w:ascii="Arial" w:hAnsi="Arial" w:cs="Arial"/>
          <w:sz w:val="20"/>
        </w:rPr>
        <w:t>(151)</w:t>
      </w:r>
      <w:r>
        <w:rPr>
          <w:rFonts w:ascii="Arial" w:hAnsi="Arial" w:cs="Arial"/>
          <w:i/>
          <w:iCs/>
          <w:sz w:val="20"/>
          <w:szCs w:val="20"/>
        </w:rPr>
        <w:fldChar w:fldCharType="end"/>
      </w:r>
      <w:r>
        <w:rPr>
          <w:rFonts w:ascii="Arial" w:hAnsi="Arial" w:cs="Arial"/>
          <w:i/>
          <w:iCs/>
          <w:sz w:val="20"/>
          <w:szCs w:val="20"/>
        </w:rPr>
        <w:t xml:space="preserve"> </w:t>
      </w:r>
      <w:r>
        <w:rPr>
          <w:rFonts w:ascii="Arial" w:hAnsi="Arial" w:cs="Arial"/>
          <w:sz w:val="20"/>
          <w:szCs w:val="20"/>
        </w:rPr>
        <w:t xml:space="preserve">and capillary associated markers such as </w:t>
      </w:r>
      <w:r w:rsidRPr="00357F7F">
        <w:rPr>
          <w:rFonts w:ascii="Arial" w:hAnsi="Arial" w:cs="Arial"/>
          <w:i/>
          <w:iCs/>
          <w:sz w:val="20"/>
          <w:szCs w:val="20"/>
        </w:rPr>
        <w:t>NTRK2</w:t>
      </w:r>
      <w:r>
        <w:rPr>
          <w:rFonts w:ascii="Arial" w:hAnsi="Arial" w:cs="Arial"/>
          <w:i/>
          <w:iCs/>
          <w:sz w:val="20"/>
          <w:szCs w:val="20"/>
        </w:rPr>
        <w:fldChar w:fldCharType="begin"/>
      </w:r>
      <w:r>
        <w:rPr>
          <w:rFonts w:ascii="Arial" w:hAnsi="Arial" w:cs="Arial"/>
          <w:i/>
          <w:iCs/>
          <w:sz w:val="20"/>
          <w:szCs w:val="20"/>
        </w:rPr>
        <w:instrText xml:space="preserve"> ADDIN ZOTERO_ITEM CSL_CITATION {"citationID":"vsnJ3dgK","properties":{"unsorted":false,"formattedCitation":"(152)","plainCitation":"(152)","noteIndex":0},"citationItems":[{"id":28963,"uris":["http://zotero.org/users/12236467/items/SS59G9LU"],"itemData":{"id":28963,"type":"article-journal","abstract":"Pulmonary capillary endothelial cells (ECs) consist of two populations, CAP1 and CAP2; how each population reacts to diverse tissue injury is incompletely understood. Using single-cell multiome and mouse genetics, we characterize the induction and function of a truncated isoform of Ntrk2, Ntrk2-T1, in multiple lung injury models. Upon Sendai parainfluenza infection, Ntrk2-T1 is broadly induced in CAP1s after the initial interferon response, associated with increased intronic chromatin accessibility, and persists for weeks. Ntrk2-T1 ECs arise from CAP1s but not CAP2s-traced by Kit CreER and Car4 CreER , respectively-and proliferate and give rise to CAP1s but not CAP2s, as traced by Ntrk2 CreER . Although also induced by lipopolysaccharide, H3N2 influenza, and COVID-19 injuries, EC-specific deletion of Ntrk2 has limited molecular and cellular consequences. Individuals with incident and prevalent respiratory diseases have lower plasma NTRK2. Our data identifies Ntrk2-T1 as an EC marker of lung injury-repair and enhances our understanding of EC heterogeneity.","container-title":"iScience","DOI":"10.1016/j.isci.2025.112973","ISSN":"2589-0042","issue":"7","journalAbbreviation":"iScience","language":"eng","page":"112973","PMID":"40687816","PMCID":"PMC12275058","source":"PubMed","title":"Truncated NTRK2 is induced in CAP1 endothelial cells during mouse lung injury-repair","volume":"28","author":[{"family":"Kong","given":"Celine Shuet Lin"},{"family":"V","given":"Mitheera"},{"family":"Pantaleón-García","given":"Jezreel"},{"family":"Evans","given":"Scott E."},{"family":"Chen","given":"Jichao"}],"issued":{"date-parts":[["2025",7,18]]}}}],"schema":"https://github.com/citation-style-language/schema/raw/master/csl-citation.json"} </w:instrText>
      </w:r>
      <w:r>
        <w:rPr>
          <w:rFonts w:ascii="Arial" w:hAnsi="Arial" w:cs="Arial"/>
          <w:i/>
          <w:iCs/>
          <w:sz w:val="20"/>
          <w:szCs w:val="20"/>
        </w:rPr>
        <w:fldChar w:fldCharType="separate"/>
      </w:r>
      <w:r>
        <w:rPr>
          <w:rFonts w:ascii="Arial" w:hAnsi="Arial" w:cs="Arial"/>
          <w:sz w:val="20"/>
        </w:rPr>
        <w:t>(152)</w:t>
      </w:r>
      <w:r>
        <w:rPr>
          <w:rFonts w:ascii="Arial" w:hAnsi="Arial" w:cs="Arial"/>
          <w:i/>
          <w:iCs/>
          <w:sz w:val="20"/>
          <w:szCs w:val="20"/>
        </w:rPr>
        <w:fldChar w:fldCharType="end"/>
      </w:r>
      <w:r>
        <w:rPr>
          <w:rFonts w:ascii="Arial" w:hAnsi="Arial" w:cs="Arial"/>
          <w:sz w:val="20"/>
          <w:szCs w:val="20"/>
        </w:rPr>
        <w:t xml:space="preserve">; two capillary clusters (marked by </w:t>
      </w:r>
      <w:r w:rsidRPr="00B94EB5">
        <w:rPr>
          <w:rFonts w:ascii="Arial" w:hAnsi="Arial" w:cs="Arial"/>
          <w:i/>
          <w:iCs/>
          <w:sz w:val="20"/>
          <w:szCs w:val="20"/>
        </w:rPr>
        <w:t>CA4</w:t>
      </w:r>
      <w:r>
        <w:rPr>
          <w:rFonts w:ascii="Arial" w:hAnsi="Arial" w:cs="Arial"/>
          <w:i/>
          <w:iCs/>
          <w:sz w:val="20"/>
          <w:szCs w:val="20"/>
        </w:rPr>
        <w:fldChar w:fldCharType="begin"/>
      </w:r>
      <w:r>
        <w:rPr>
          <w:rFonts w:ascii="Arial" w:hAnsi="Arial" w:cs="Arial"/>
          <w:i/>
          <w:iCs/>
          <w:sz w:val="20"/>
          <w:szCs w:val="20"/>
        </w:rPr>
        <w:instrText xml:space="preserve"> ADDIN ZOTERO_ITEM CSL_CITATION {"citationID":"nZvGFQoS","properties":{"unsorted":false,"formattedCitation":"(150)","plainCitation":"(150)","noteIndex":0},"citationItems":[{"id":27820,"uris":["http://zotero.org/users/12236467/items/3XY4QUJP"],"itemData":{"id":27820,"type":"article-journal","abstract":"Supplemental Digital Content is available in the text., Cellular diversity of the lung endothelium has not been systematically characterized in humans. We provide a reference atlas of human lung endothelial cells (ECs) to facilitate a better understanding of the phenotypic diversity and composition of cells comprising the lung endothelium.","container-title":"Circulation","DOI":"10.1161/CIRCULATIONAHA.120.052318","ISSN":"0009-7322","issue":"4","journalAbbreviation":"Circulation","page":"286-302","PMID":"34030460","PMCID":"PMC8300155","source":"PubMed Central","title":"Integrated Single-Cell Atlas of Endothelial Cells of the Human Lung","URL":"https://pmc.ncbi.nlm.nih.gov/articles/PMC8300155/","volume":"144","author":[{"family":"Schupp","given":"Jonas C."},{"family":"Adams","given":"Taylor S."},{"family":"Cosme","given":"Carlos"},{"family":"Raredon","given":"Micha Sam Brickman"},{"family":"Yuan","given":"Yifan"},{"family":"Omote","given":"Norihito"},{"family":"Poli","given":"Sergio"},{"family":"Chioccioli","given":"Maurizio"},{"family":"Rose","given":"Kadi-Ann"},{"family":"Manning","given":"Edward P."},{"family":"Sauler","given":"Maor"},{"family":"DeIuliis","given":"Giuseppe"},{"family":"Ahangari","given":"Farida"},{"family":"Neumark","given":"Nir"},{"family":"Habermann","given":"Arun C."},{"family":"Gutierrez","given":"Austin J."},{"family":"Bui","given":"Linh T."},{"family":"Lafyatis","given":"Robert"},{"family":"Pierce","given":"Richard W."},{"family":"Meyer","given":"Kerstin B."},{"family":"Nawijn","given":"Martijn C."},{"family":"Teichmann","given":"Sarah A."},{"family":"Banovich","given":"Nicholas E."},{"family":"Kropski","given":"Jonathan A."},{"family":"Niklason","given":"Laura E."},{"family":"Pe’er","given":"Dana"},{"family":"Yan","given":"Xiting"},{"family":"Homer","given":"Robert J."},{"family":"Rosas","given":"Ivan O."},{"family":"Kaminski","given":"Naftali"}],"accessed":{"date-parts":[["2025",10,6]]},"issued":{"date-parts":[["2021",7,27]]}}}],"schema":"https://github.com/citation-style-language/schema/raw/master/csl-citation.json"} </w:instrText>
      </w:r>
      <w:r>
        <w:rPr>
          <w:rFonts w:ascii="Arial" w:hAnsi="Arial" w:cs="Arial"/>
          <w:i/>
          <w:iCs/>
          <w:sz w:val="20"/>
          <w:szCs w:val="20"/>
        </w:rPr>
        <w:fldChar w:fldCharType="separate"/>
      </w:r>
      <w:r>
        <w:rPr>
          <w:rFonts w:ascii="Arial" w:hAnsi="Arial" w:cs="Arial"/>
          <w:sz w:val="20"/>
        </w:rPr>
        <w:t>(150)</w:t>
      </w:r>
      <w:r>
        <w:rPr>
          <w:rFonts w:ascii="Arial" w:hAnsi="Arial" w:cs="Arial"/>
          <w:i/>
          <w:iCs/>
          <w:sz w:val="20"/>
          <w:szCs w:val="20"/>
        </w:rPr>
        <w:fldChar w:fldCharType="end"/>
      </w:r>
      <w:r>
        <w:rPr>
          <w:rFonts w:ascii="Arial" w:hAnsi="Arial" w:cs="Arial"/>
          <w:sz w:val="20"/>
          <w:szCs w:val="20"/>
        </w:rPr>
        <w:t>); a fetal-enriched cluster marked by cell-cycle associated genes (</w:t>
      </w:r>
      <w:r w:rsidRPr="001D76CE">
        <w:rPr>
          <w:rFonts w:ascii="Arial" w:hAnsi="Arial" w:cs="Arial"/>
          <w:i/>
          <w:iCs/>
          <w:sz w:val="20"/>
          <w:szCs w:val="20"/>
        </w:rPr>
        <w:t>AURKB/DIAPH3/EZH2</w:t>
      </w:r>
      <w:r>
        <w:rPr>
          <w:rFonts w:ascii="Arial" w:hAnsi="Arial" w:cs="Arial"/>
          <w:sz w:val="20"/>
          <w:szCs w:val="20"/>
        </w:rPr>
        <w:t xml:space="preserve">); and an venous cluster (marked by </w:t>
      </w:r>
      <w:r w:rsidRPr="008E4CC9">
        <w:rPr>
          <w:rFonts w:ascii="Arial" w:hAnsi="Arial" w:cs="Arial"/>
          <w:i/>
          <w:iCs/>
          <w:sz w:val="20"/>
          <w:szCs w:val="20"/>
        </w:rPr>
        <w:t>N</w:t>
      </w:r>
      <w:r>
        <w:rPr>
          <w:rFonts w:ascii="Arial" w:hAnsi="Arial" w:cs="Arial"/>
          <w:i/>
          <w:iCs/>
          <w:sz w:val="20"/>
          <w:szCs w:val="20"/>
        </w:rPr>
        <w:t>R2F2</w:t>
      </w:r>
      <w:r>
        <w:rPr>
          <w:rFonts w:ascii="Arial" w:hAnsi="Arial" w:cs="Arial"/>
          <w:sz w:val="20"/>
          <w:szCs w:val="20"/>
        </w:rPr>
        <w:t xml:space="preserve"> and selectins </w:t>
      </w:r>
      <w:r w:rsidRPr="008E4CC9">
        <w:rPr>
          <w:rFonts w:ascii="Arial" w:hAnsi="Arial" w:cs="Arial"/>
          <w:i/>
          <w:iCs/>
          <w:sz w:val="20"/>
          <w:szCs w:val="20"/>
        </w:rPr>
        <w:t>SELE/SELP</w:t>
      </w:r>
      <w:r>
        <w:rPr>
          <w:rFonts w:ascii="Arial" w:hAnsi="Arial" w:cs="Arial"/>
          <w:i/>
          <w:iCs/>
          <w:sz w:val="20"/>
          <w:szCs w:val="20"/>
        </w:rPr>
        <w:fldChar w:fldCharType="begin"/>
      </w:r>
      <w:r>
        <w:rPr>
          <w:rFonts w:ascii="Arial" w:hAnsi="Arial" w:cs="Arial"/>
          <w:i/>
          <w:iCs/>
          <w:sz w:val="20"/>
          <w:szCs w:val="20"/>
        </w:rPr>
        <w:instrText xml:space="preserve"> ADDIN ZOTERO_ITEM CSL_CITATION {"citationID":"zkPKmxxs","properties":{"unsorted":false,"formattedCitation":"(150)","plainCitation":"(150)","noteIndex":0},"citationItems":[{"id":27820,"uris":["http://zotero.org/users/12236467/items/3XY4QUJP"],"itemData":{"id":27820,"type":"article-journal","abstract":"Supplemental Digital Content is available in the text., Cellular diversity of the lung endothelium has not been systematically characterized in humans. We provide a reference atlas of human lung endothelial cells (ECs) to facilitate a better understanding of the phenotypic diversity and composition of cells comprising the lung endothelium.","container-title":"Circulation","DOI":"10.1161/CIRCULATIONAHA.120.052318","ISSN":"0009-7322","issue":"4","journalAbbreviation":"Circulation","page":"286-302","PMID":"34030460","PMCID":"PMC8300155","source":"PubMed Central","title":"Integrated Single-Cell Atlas of Endothelial Cells of the Human Lung","URL":"https://pmc.ncbi.nlm.nih.gov/articles/PMC8300155/","volume":"144","author":[{"family":"Schupp","given":"Jonas C."},{"family":"Adams","given":"Taylor S."},{"family":"Cosme","given":"Carlos"},{"family":"Raredon","given":"Micha Sam Brickman"},{"family":"Yuan","given":"Yifan"},{"family":"Omote","given":"Norihito"},{"family":"Poli","given":"Sergio"},{"family":"Chioccioli","given":"Maurizio"},{"family":"Rose","given":"Kadi-Ann"},{"family":"Manning","given":"Edward P."},{"family":"Sauler","given":"Maor"},{"family":"DeIuliis","given":"Giuseppe"},{"family":"Ahangari","given":"Farida"},{"family":"Neumark","given":"Nir"},{"family":"Habermann","given":"Arun C."},{"family":"Gutierrez","given":"Austin J."},{"family":"Bui","given":"Linh T."},{"family":"Lafyatis","given":"Robert"},{"family":"Pierce","given":"Richard W."},{"family":"Meyer","given":"Kerstin B."},{"family":"Nawijn","given":"Martijn C."},{"family":"Teichmann","given":"Sarah A."},{"family":"Banovich","given":"Nicholas E."},{"family":"Kropski","given":"Jonathan A."},{"family":"Niklason","given":"Laura E."},{"family":"Pe’er","given":"Dana"},{"family":"Yan","given":"Xiting"},{"family":"Homer","given":"Robert J."},{"family":"Rosas","given":"Ivan O."},{"family":"Kaminski","given":"Naftali"}],"accessed":{"date-parts":[["2025",10,6]]},"issued":{"date-parts":[["2021",7,27]]}}}],"schema":"https://github.com/citation-style-language/schema/raw/master/csl-citation.json"} </w:instrText>
      </w:r>
      <w:r>
        <w:rPr>
          <w:rFonts w:ascii="Arial" w:hAnsi="Arial" w:cs="Arial"/>
          <w:i/>
          <w:iCs/>
          <w:sz w:val="20"/>
          <w:szCs w:val="20"/>
        </w:rPr>
        <w:fldChar w:fldCharType="separate"/>
      </w:r>
      <w:r>
        <w:rPr>
          <w:rFonts w:ascii="Arial" w:hAnsi="Arial" w:cs="Arial"/>
          <w:sz w:val="20"/>
        </w:rPr>
        <w:t>(150)</w:t>
      </w:r>
      <w:r>
        <w:rPr>
          <w:rFonts w:ascii="Arial" w:hAnsi="Arial" w:cs="Arial"/>
          <w:i/>
          <w:iCs/>
          <w:sz w:val="20"/>
          <w:szCs w:val="20"/>
        </w:rPr>
        <w:fldChar w:fldCharType="end"/>
      </w:r>
      <w:r>
        <w:rPr>
          <w:rFonts w:ascii="Arial" w:hAnsi="Arial" w:cs="Arial"/>
          <w:sz w:val="20"/>
          <w:szCs w:val="20"/>
        </w:rPr>
        <w:t xml:space="preserve">). </w:t>
      </w:r>
    </w:p>
    <w:p w14:paraId="35E0AC22" w14:textId="77777777" w:rsidR="00F94AAA" w:rsidRDefault="00F94AAA" w:rsidP="00F94AAA">
      <w:pPr>
        <w:rPr>
          <w:rFonts w:ascii="Arial" w:hAnsi="Arial" w:cs="Arial"/>
          <w:sz w:val="20"/>
          <w:szCs w:val="20"/>
        </w:rPr>
      </w:pPr>
      <w:r>
        <w:rPr>
          <w:rFonts w:ascii="Arial" w:hAnsi="Arial" w:cs="Arial"/>
          <w:sz w:val="20"/>
          <w:szCs w:val="20"/>
        </w:rPr>
        <w:t>The “fetal-enriched” cluster is enriched for both fetal and ICM hearts. The “activated” cluster is enriched in fetal hearts and in HCM and ICM.</w:t>
      </w:r>
    </w:p>
    <w:p w14:paraId="1B3E5B98" w14:textId="1EB07244" w:rsidR="00F94AAA" w:rsidRDefault="00F94AAA" w:rsidP="00F94AAA">
      <w:pPr>
        <w:rPr>
          <w:rFonts w:ascii="Arial" w:hAnsi="Arial" w:cs="Arial"/>
          <w:sz w:val="20"/>
          <w:szCs w:val="20"/>
        </w:rPr>
      </w:pPr>
      <w:r w:rsidRPr="004F6595">
        <w:rPr>
          <w:rFonts w:ascii="Arial" w:hAnsi="Arial" w:cs="Arial"/>
          <w:b/>
          <w:bCs/>
          <w:sz w:val="20"/>
          <w:szCs w:val="20"/>
        </w:rPr>
        <w:lastRenderedPageBreak/>
        <w:t>(e)</w:t>
      </w:r>
      <w:r>
        <w:rPr>
          <w:rFonts w:ascii="Arial" w:hAnsi="Arial" w:cs="Arial"/>
          <w:sz w:val="20"/>
          <w:szCs w:val="20"/>
        </w:rPr>
        <w:t xml:space="preserve"> Seven fibroblast subclusters were identified. These include an “activated” cluster (</w:t>
      </w:r>
      <w:r w:rsidRPr="00FF0A04">
        <w:rPr>
          <w:rFonts w:ascii="Arial" w:hAnsi="Arial" w:cs="Arial"/>
          <w:i/>
          <w:iCs/>
          <w:sz w:val="20"/>
          <w:szCs w:val="20"/>
        </w:rPr>
        <w:t>POSTN</w:t>
      </w:r>
      <w:r>
        <w:rPr>
          <w:rFonts w:ascii="Arial" w:hAnsi="Arial" w:cs="Arial"/>
          <w:i/>
          <w:iCs/>
          <w:sz w:val="20"/>
          <w:szCs w:val="20"/>
        </w:rPr>
        <w:fldChar w:fldCharType="begin"/>
      </w:r>
      <w:r>
        <w:rPr>
          <w:rFonts w:ascii="Arial" w:hAnsi="Arial" w:cs="Arial"/>
          <w:i/>
          <w:iCs/>
          <w:sz w:val="20"/>
          <w:szCs w:val="20"/>
        </w:rPr>
        <w:instrText xml:space="preserve"> ADDIN ZOTERO_ITEM CSL_CITATION {"citationID":"dBdc8G2X","properties":{"unsorted":false,"formattedCitation":"(8)","plainCitation":"(8)","noteIndex":0},"citationItems":[{"id":7078,"uris":["http://zotero.org/users/12236467/items/886H2RAC"],"itemData":{"id":7078,"type":"article-journal","abstract":"Cardiovascular disease is the leading cause of death worldwide. Advanced insights into disease mechanisms and therapeutic strategies require a deeper understanding of the molecular processes involved in the healthy heart. Knowledge of the full repertoire of cardiac cells and their gene expression profiles is a fundamental first step in this endeavour. Here, using state-of-the-art analyses of large-scale single-cell and single-nucleus transcriptomes, we characterize six anatomical adult heart regions. Our results highlight the cellular heterogeneity of cardiomyocytes, pericytes and fibroblasts, and reveal distinct atrial and ventricular subsets of cells with diverse developmental origins and specialized properties. We define the complexity of the cardiac vasculature and its changes along the arterio-venous axis. In the immune compartment, we identify cardiac-resident macrophages with inflammatory and protective transcriptional signatures. Furthermore, analyses of cell-to-cell interactions highlight different networks of macrophages, fibroblasts and cardiomyocytes between atria and ventricles that are distinct from those of skeletal muscle. Our human cardiac cell atlas improves our understanding of the human heart and provides a valuable reference for future studies.","container-title":"Nature","DOI":"10.1038/s41586-020-2797-4","ISSN":"1476-4687","issue":"7838","language":"en","license":"2020 The Author(s)","page":"466-472","publisher":"Nature Publishing Group","source":"www-nature-com.proxy.library.upenn.edu","title":"Cells of the adult human heart","URL":"https://www.nature.com/articles/s41586-020-2797-4","volume":"588","author":[{"family":"Litviňuková","given":"Monika"},{"family":"Talavera-López","given":"Carlos"},{"family":"Maatz","given":"Henrike"},{"family":"Reichart","given":"Daniel"},{"family":"Worth","given":"Catherine L."},{"family":"Lindberg","given":"Eric L."},{"family":"Kanda","given":"Masatoshi"},{"family":"Polanski","given":"Krzysztof"},{"family":"Heinig","given":"Matthias"},{"family":"Lee","given":"Michael"},{"family":"Nadelmann","given":"Emily R."},{"family":"Roberts","given":"Kenny"},{"family":"Tuck","given":"Liz"},{"family":"Fasouli","given":"Eirini S."},{"family":"DeLaughter","given":"Daniel M."},{"family":"McDonough","given":"Barbara"},{"family":"Wakimoto","given":"Hiroko"},{"family":"Gorham","given":"Joshua M."},{"family":"Samari","given":"Sara"},{"family":"Mahbubani","given":"Krishnaa T."},{"family":"Saeb-Parsy","given":"Kourosh"},{"family":"Patone","given":"Giannino"},{"family":"Boyle","given":"Joseph J."},{"family":"Zhang","given":"Hongbo"},{"family":"Zhang","given":"Hao"},{"family":"Viveiros","given":"Anissa"},{"family":"Oudit","given":"Gavin Y."},{"family":"Bayraktar","given":"Omer Ali"},{"family":"Seidman","given":"J. G."},{"family":"Seidman","given":"Christine E."},{"family":"Noseda","given":"Michela"},{"family":"Hubner","given":"Norbert"},{"family":"Teichmann","given":"Sarah A."}],"accessed":{"date-parts":[["2024",3,11]]},"issued":{"date-parts":[["2020",12]]}}}],"schema":"https://github.com/citation-style-language/schema/raw/master/csl-citation.json"} </w:instrText>
      </w:r>
      <w:r>
        <w:rPr>
          <w:rFonts w:ascii="Arial" w:hAnsi="Arial" w:cs="Arial"/>
          <w:i/>
          <w:iCs/>
          <w:sz w:val="20"/>
          <w:szCs w:val="20"/>
        </w:rPr>
        <w:fldChar w:fldCharType="separate"/>
      </w:r>
      <w:r>
        <w:rPr>
          <w:rFonts w:ascii="Arial" w:hAnsi="Arial" w:cs="Arial"/>
          <w:sz w:val="20"/>
        </w:rPr>
        <w:t>(8)</w:t>
      </w:r>
      <w:r>
        <w:rPr>
          <w:rFonts w:ascii="Arial" w:hAnsi="Arial" w:cs="Arial"/>
          <w:i/>
          <w:iCs/>
          <w:sz w:val="20"/>
          <w:szCs w:val="20"/>
        </w:rPr>
        <w:fldChar w:fldCharType="end"/>
      </w:r>
      <w:r w:rsidRPr="00FF0A04">
        <w:rPr>
          <w:rFonts w:ascii="Arial" w:hAnsi="Arial" w:cs="Arial"/>
          <w:i/>
          <w:iCs/>
          <w:sz w:val="20"/>
          <w:szCs w:val="20"/>
        </w:rPr>
        <w:t>/FAP</w:t>
      </w:r>
      <w:r>
        <w:rPr>
          <w:rFonts w:ascii="Arial" w:hAnsi="Arial" w:cs="Arial"/>
          <w:i/>
          <w:iCs/>
          <w:sz w:val="20"/>
          <w:szCs w:val="20"/>
        </w:rPr>
        <w:fldChar w:fldCharType="begin"/>
      </w:r>
      <w:r>
        <w:rPr>
          <w:rFonts w:ascii="Arial" w:hAnsi="Arial" w:cs="Arial"/>
          <w:i/>
          <w:iCs/>
          <w:sz w:val="20"/>
          <w:szCs w:val="20"/>
        </w:rPr>
        <w:instrText xml:space="preserve"> ADDIN ZOTERO_ITEM CSL_CITATION {"citationID":"ALR0GqpR","properties":{"unsorted":false,"formattedCitation":"(153)","plainCitation":"(153)","noteIndex":0},"citationItems":[{"id":29033,"uris":["http://zotero.org/users/12236467/items/A3C6SXLJ"],"itemData":{"id":29033,"type":"article-journal","abstract":"Fibrosis is observed in nearly every form of myocardial disease1. Upon injury, cardiac fibroblasts in the heart begin to remodel the myocardium by depositing excess extracellular matrix, resulting in increased stiffness and reduced compliance of the tissue. Excessive cardiac fibrosis is an important factor in the progression of various forms of cardiac disease and heart failure2. However, clinical interventions and therapies that target fibrosis remain limited3. Here we demonstrate the efficacy of redirected T cell immunotherapy to specifically target pathological cardiac fibrosis in mice. We find that cardiac fibroblasts that express a xenogeneic antigen can be effectively targeted and ablated by adoptive transfer of antigen-specific CD8+ T cells. Through expression analysis of the gene signatures of cardiac fibroblasts obtained from healthy and diseased human hearts, we identify an endogenous target of cardiac fibroblasts—fibroblast activation protein. Adoptive transfer of T cells that express a chimeric antigen receptor against fibroblast activation protein results in a significant reduction in cardiac fibrosis and restoration of function after injury in mice. These results provide proof-of-principle for the development of immunotherapeutic drugs for the treatment of cardiac disease.","container-title":"Nature","DOI":"10.1038/s41586-019-1546-z","ISSN":"1476-4687","issue":"7774","language":"en","license":"2019 The Author(s), under exclusive licence to Springer Nature Limited","page":"430-433","publisher":"Nature Publishing Group","source":"www-nature-com.proxy.library.upenn.edu","title":"Targeting cardiac fibrosis with engineered T cells","URL":"https://www.nature.com/articles/s41586-019-1546-z","volume":"573","author":[{"family":"Aghajanian","given":"Haig"},{"family":"Kimura","given":"Toru"},{"family":"Rurik","given":"Joel G."},{"family":"Hancock","given":"Aidan S."},{"family":"Leibowitz","given":"Michael S."},{"family":"Li","given":"Li"},{"family":"Scholler","given":"John"},{"family":"Monslow","given":"James"},{"family":"Lo","given":"Albert"},{"family":"Han","given":"Wei"},{"family":"Wang","given":"Tao"},{"family":"Bedi","given":"Kenneth"},{"family":"Morley","given":"Michael P."},{"family":"Linares Saldana","given":"Ricardo A."},{"family":"Bolar","given":"Nikhita A."},{"family":"McDaid","given":"Kendra"},{"family":"Assenmacher","given":"Charles-Antoine"},{"family":"Smith","given":"Cheryl L."},{"family":"Wirth","given":"Dagmar"},{"family":"June","given":"Carl H."},{"family":"Margulies","given":"Kenneth B."},{"family":"Jain","given":"Rajan"},{"family":"Puré","given":"Ellen"},{"family":"Albelda","given":"Steven M."},{"family":"Epstein","given":"Jonathan A."}],"accessed":{"date-parts":[["2026",1,20]]},"issued":{"date-parts":[["2019",9]]}}}],"schema":"https://github.com/citation-style-language/schema/raw/master/csl-citation.json"} </w:instrText>
      </w:r>
      <w:r>
        <w:rPr>
          <w:rFonts w:ascii="Arial" w:hAnsi="Arial" w:cs="Arial"/>
          <w:i/>
          <w:iCs/>
          <w:sz w:val="20"/>
          <w:szCs w:val="20"/>
        </w:rPr>
        <w:fldChar w:fldCharType="separate"/>
      </w:r>
      <w:r>
        <w:rPr>
          <w:rFonts w:ascii="Arial" w:hAnsi="Arial" w:cs="Arial"/>
          <w:sz w:val="20"/>
        </w:rPr>
        <w:t>(153)</w:t>
      </w:r>
      <w:r>
        <w:rPr>
          <w:rFonts w:ascii="Arial" w:hAnsi="Arial" w:cs="Arial"/>
          <w:i/>
          <w:iCs/>
          <w:sz w:val="20"/>
          <w:szCs w:val="20"/>
        </w:rPr>
        <w:fldChar w:fldCharType="end"/>
      </w:r>
      <w:r>
        <w:rPr>
          <w:rFonts w:ascii="Arial" w:hAnsi="Arial" w:cs="Arial"/>
          <w:i/>
          <w:iCs/>
          <w:sz w:val="20"/>
          <w:szCs w:val="20"/>
        </w:rPr>
        <w:t>/TNC</w:t>
      </w:r>
      <w:r>
        <w:rPr>
          <w:rFonts w:ascii="Arial" w:hAnsi="Arial" w:cs="Arial"/>
          <w:sz w:val="20"/>
          <w:szCs w:val="20"/>
        </w:rPr>
        <w:t xml:space="preserve">); an “anti-fibrotic” cluster with expression of TGF-beta antagonists </w:t>
      </w:r>
      <w:r w:rsidRPr="001E0640">
        <w:rPr>
          <w:rFonts w:ascii="Arial" w:hAnsi="Arial" w:cs="Arial"/>
          <w:i/>
          <w:iCs/>
          <w:sz w:val="20"/>
          <w:szCs w:val="20"/>
        </w:rPr>
        <w:t>SMAD6</w:t>
      </w:r>
      <w:r>
        <w:rPr>
          <w:rFonts w:ascii="Arial" w:hAnsi="Arial" w:cs="Arial"/>
          <w:sz w:val="20"/>
          <w:szCs w:val="20"/>
        </w:rPr>
        <w:t>/</w:t>
      </w:r>
      <w:r w:rsidRPr="001E0640">
        <w:rPr>
          <w:rFonts w:ascii="Arial" w:hAnsi="Arial" w:cs="Arial"/>
          <w:i/>
          <w:iCs/>
          <w:sz w:val="20"/>
          <w:szCs w:val="20"/>
        </w:rPr>
        <w:t>SMAD7</w:t>
      </w:r>
      <w:r>
        <w:rPr>
          <w:rFonts w:ascii="Arial" w:hAnsi="Arial" w:cs="Arial"/>
          <w:i/>
          <w:iCs/>
          <w:sz w:val="20"/>
          <w:szCs w:val="20"/>
        </w:rPr>
        <w:t xml:space="preserve"> </w:t>
      </w:r>
      <w:r>
        <w:rPr>
          <w:rFonts w:ascii="Arial" w:hAnsi="Arial" w:cs="Arial"/>
          <w:sz w:val="20"/>
          <w:szCs w:val="20"/>
        </w:rPr>
        <w:t xml:space="preserve">and </w:t>
      </w:r>
      <w:r w:rsidRPr="009B4058">
        <w:rPr>
          <w:rFonts w:ascii="Arial" w:hAnsi="Arial" w:cs="Arial"/>
          <w:i/>
          <w:iCs/>
          <w:sz w:val="20"/>
          <w:szCs w:val="20"/>
        </w:rPr>
        <w:t>PRDM16</w:t>
      </w:r>
      <w:r w:rsidRPr="009B4058">
        <w:rPr>
          <w:rFonts w:ascii="Arial" w:hAnsi="Arial" w:cs="Arial"/>
          <w:i/>
          <w:iCs/>
          <w:sz w:val="20"/>
          <w:szCs w:val="20"/>
        </w:rPr>
        <w:fldChar w:fldCharType="begin"/>
      </w:r>
      <w:r>
        <w:rPr>
          <w:rFonts w:ascii="Arial" w:hAnsi="Arial" w:cs="Arial"/>
          <w:i/>
          <w:iCs/>
          <w:sz w:val="20"/>
          <w:szCs w:val="20"/>
        </w:rPr>
        <w:instrText xml:space="preserve"> ADDIN ZOTERO_ITEM CSL_CITATION {"citationID":"X8IIblsz","properties":{"unsorted":false,"formattedCitation":"(154)","plainCitation":"(154)","noteIndex":0},"citationItems":[{"id":29028,"uris":["http://zotero.org/users/12236467/items/L2DZG2RQ"],"itemData":{"id":29028,"type":"article-journal","container-title":"JCI Insight","DOI":"10.1172/jci.insight.191458","ISSN":"0021-9738","issue":"17","journalAbbreviation":"JCI Insight","language":"en","PMID":"0","publisher":"American Society for Clinical Investigation","source":"insight.jci.org","title":"PRDM16 acts as a therapeutic downstream target of TGF-&lt;b&gt;β&lt;/b&gt; signaling in chronic kidney disease","URL":"https://insight.jci.org/articles/view/191458","volume":"10","author":[{"family":"Yuan","given":"Qian"},{"family":"Tang","given":"Ben"},{"family":"Zhu","given":"Yuting"},{"family":"Wan","given":"Chao"},{"family":"Xie","given":"Yaru"},{"family":"Xie","given":"Yajuan"},{"family":"Wan","given":"Cheng"},{"family":"Su","given":"Hua"},{"family":"Liu","given":"Youhua"},{"family":"Zhang","given":"Chun"}],"accessed":{"date-parts":[["2026",1,20]]},"issued":{"date-parts":[["2025",9,9]]}}}],"schema":"https://github.com/citation-style-language/schema/raw/master/csl-citation.json"} </w:instrText>
      </w:r>
      <w:r w:rsidRPr="009B4058">
        <w:rPr>
          <w:rFonts w:ascii="Arial" w:hAnsi="Arial" w:cs="Arial"/>
          <w:i/>
          <w:iCs/>
          <w:sz w:val="20"/>
          <w:szCs w:val="20"/>
        </w:rPr>
        <w:fldChar w:fldCharType="separate"/>
      </w:r>
      <w:r>
        <w:rPr>
          <w:rFonts w:ascii="Arial" w:hAnsi="Arial" w:cs="Arial"/>
          <w:sz w:val="20"/>
        </w:rPr>
        <w:t>(154)</w:t>
      </w:r>
      <w:r w:rsidRPr="009B4058">
        <w:rPr>
          <w:rFonts w:ascii="Arial" w:hAnsi="Arial" w:cs="Arial"/>
          <w:i/>
          <w:iCs/>
          <w:sz w:val="20"/>
          <w:szCs w:val="20"/>
        </w:rPr>
        <w:fldChar w:fldCharType="end"/>
      </w:r>
      <w:r>
        <w:rPr>
          <w:rFonts w:ascii="Arial" w:hAnsi="Arial" w:cs="Arial"/>
          <w:sz w:val="20"/>
          <w:szCs w:val="20"/>
        </w:rPr>
        <w:t xml:space="preserve">; a “DCM-HCM enriched” cluster expressing pro-fibrotic markers such as </w:t>
      </w:r>
      <w:r w:rsidRPr="000A3B22">
        <w:rPr>
          <w:rFonts w:ascii="Arial" w:hAnsi="Arial" w:cs="Arial"/>
          <w:i/>
          <w:iCs/>
          <w:sz w:val="20"/>
          <w:szCs w:val="20"/>
        </w:rPr>
        <w:t>SMOC2</w:t>
      </w:r>
      <w:r>
        <w:rPr>
          <w:rFonts w:ascii="Arial" w:hAnsi="Arial" w:cs="Arial"/>
          <w:sz w:val="20"/>
          <w:szCs w:val="20"/>
        </w:rPr>
        <w:t xml:space="preserve"> and type IV collagen (</w:t>
      </w:r>
      <w:r w:rsidRPr="00456DC6">
        <w:rPr>
          <w:rFonts w:ascii="Arial" w:hAnsi="Arial" w:cs="Arial"/>
          <w:i/>
          <w:iCs/>
          <w:sz w:val="20"/>
          <w:szCs w:val="20"/>
        </w:rPr>
        <w:t>COL</w:t>
      </w:r>
      <w:r>
        <w:rPr>
          <w:rFonts w:ascii="Arial" w:hAnsi="Arial" w:cs="Arial"/>
          <w:i/>
          <w:iCs/>
          <w:sz w:val="20"/>
          <w:szCs w:val="20"/>
        </w:rPr>
        <w:t>4</w:t>
      </w:r>
      <w:r w:rsidRPr="00456DC6">
        <w:rPr>
          <w:rFonts w:ascii="Arial" w:hAnsi="Arial" w:cs="Arial"/>
          <w:i/>
          <w:iCs/>
          <w:sz w:val="20"/>
          <w:szCs w:val="20"/>
        </w:rPr>
        <w:t>A5</w:t>
      </w:r>
      <w:r>
        <w:rPr>
          <w:rFonts w:ascii="Arial" w:hAnsi="Arial" w:cs="Arial"/>
          <w:sz w:val="20"/>
          <w:szCs w:val="20"/>
        </w:rPr>
        <w:t xml:space="preserve">); a “non-disease enriched” cluster with high expression of </w:t>
      </w:r>
      <w:r w:rsidRPr="006C2343">
        <w:rPr>
          <w:rFonts w:ascii="Arial" w:hAnsi="Arial" w:cs="Arial"/>
          <w:i/>
          <w:iCs/>
          <w:sz w:val="20"/>
          <w:szCs w:val="20"/>
        </w:rPr>
        <w:t>ACE2</w:t>
      </w:r>
      <w:r>
        <w:rPr>
          <w:rFonts w:ascii="Arial" w:hAnsi="Arial" w:cs="Arial"/>
          <w:i/>
          <w:iCs/>
          <w:sz w:val="20"/>
          <w:szCs w:val="20"/>
        </w:rPr>
        <w:fldChar w:fldCharType="begin"/>
      </w:r>
      <w:r>
        <w:rPr>
          <w:rFonts w:ascii="Arial" w:hAnsi="Arial" w:cs="Arial"/>
          <w:i/>
          <w:iCs/>
          <w:sz w:val="20"/>
          <w:szCs w:val="20"/>
        </w:rPr>
        <w:instrText xml:space="preserve"> ADDIN ZOTERO_ITEM CSL_CITATION {"citationID":"yV3oia2k","properties":{"unsorted":false,"formattedCitation":"(155)","plainCitation":"(155)","noteIndex":0},"citationItems":[{"id":29031,"uris":["http://zotero.org/users/12236467/items/JSDHPMGU"],"itemData":{"id":29031,"type":"article-journal","abstract":"Heart failure (HF) remains the most common cause of death and disability, and a major economic burden, in industrialized nations. Physiological, pharmacological, and clinical studies have demonstrated that activation of the renin–angiotensin system is a key mediator of HF progression. Angiotensin-converting enzyme 2 (ACE2), a homolog of ACE, is a monocarboxypeptidase that converts angiotensin II into angiotensin 1–7 (Ang 1–7) which, by virtue of its actions on the Mas receptor, opposes the molecular and cellular effects of angiotensin II. ACE2 is widely expressed in cardiomyocytes, cardiofibroblasts, and coronary endothelial cells. Recent preclinical translational studies confirmed a critical counter-regulatory role of ACE2/Ang 1–7 axis on the activated renin–angiotensin system that results in HF with preserved ejection fraction. Although loss of ACE2 enhances susceptibility to HF, increasing ACE2 level prevents and reverses the HF phenotype. ACE2 and Ang 1–7 have emerged as a key protective pathway against HF with reduced and preserved ejection fraction. Recombinant human ACE2 has been tested in phase I and II clinical trials without adverse effects while lowering and increasing plasma angiotensin II and Ang 1–7 levels, respectively. This review discusses the transcriptional and post-transcriptional regulation of ACE2 and the role of the ACE2/Ang 1–7 axis in cardiac physiology and in the pathophysiology of HF. The pharmacological and therapeutic potential of enhancing ACE2/Ang 1–7 action as a novel therapy for HF is highlighted.","container-title":"Circulation Research","DOI":"10.1161/CIRCRESAHA.116.307708","issue":"8","page":"1313-1326","publisher":"American Heart Association","source":"www-ahajournals-org.proxy.library.upenn.edu (Atypon)","title":"Role of the ACE2/Angiotensin 1–7 Axis of the Renin–Angiotensin System in Heart Failure","URL":"https://www.ahajournals.org/doi/10.1161/circresaha.116.307708","volume":"118","author":[{"family":"Patel","given":"Vaibhav B."},{"family":"Zhong","given":"Jiu-Chang"},{"family":"Grant","given":"Maria B."},{"family":"Oudit","given":"Gavin Y."}],"accessed":{"date-parts":[["2026",1,20]]},"issued":{"date-parts":[["2016",4,15]]}}}],"schema":"https://github.com/citation-style-language/schema/raw/master/csl-citation.json"} </w:instrText>
      </w:r>
      <w:r>
        <w:rPr>
          <w:rFonts w:ascii="Arial" w:hAnsi="Arial" w:cs="Arial"/>
          <w:i/>
          <w:iCs/>
          <w:sz w:val="20"/>
          <w:szCs w:val="20"/>
        </w:rPr>
        <w:fldChar w:fldCharType="separate"/>
      </w:r>
      <w:r>
        <w:rPr>
          <w:rFonts w:ascii="Arial" w:hAnsi="Arial" w:cs="Arial"/>
          <w:sz w:val="20"/>
        </w:rPr>
        <w:t>(155)</w:t>
      </w:r>
      <w:r>
        <w:rPr>
          <w:rFonts w:ascii="Arial" w:hAnsi="Arial" w:cs="Arial"/>
          <w:i/>
          <w:iCs/>
          <w:sz w:val="20"/>
          <w:szCs w:val="20"/>
        </w:rPr>
        <w:fldChar w:fldCharType="end"/>
      </w:r>
      <w:r>
        <w:rPr>
          <w:rFonts w:ascii="Arial" w:hAnsi="Arial" w:cs="Arial"/>
          <w:sz w:val="20"/>
          <w:szCs w:val="20"/>
        </w:rPr>
        <w:t>/</w:t>
      </w:r>
      <w:r w:rsidRPr="006C2343">
        <w:rPr>
          <w:rFonts w:ascii="Arial" w:hAnsi="Arial" w:cs="Arial"/>
          <w:i/>
          <w:iCs/>
          <w:sz w:val="20"/>
          <w:szCs w:val="20"/>
        </w:rPr>
        <w:t>EDNRB</w:t>
      </w:r>
      <w:r>
        <w:rPr>
          <w:rFonts w:ascii="Arial" w:hAnsi="Arial" w:cs="Arial"/>
          <w:i/>
          <w:iCs/>
          <w:sz w:val="20"/>
          <w:szCs w:val="20"/>
        </w:rPr>
        <w:t>/ELANE;</w:t>
      </w:r>
      <w:r>
        <w:rPr>
          <w:rFonts w:ascii="Arial" w:hAnsi="Arial" w:cs="Arial"/>
          <w:sz w:val="20"/>
          <w:szCs w:val="20"/>
        </w:rPr>
        <w:t xml:space="preserve"> an “inflammatory” cluster with expression of </w:t>
      </w:r>
      <w:r w:rsidRPr="00DC0977">
        <w:rPr>
          <w:rFonts w:ascii="Arial" w:hAnsi="Arial" w:cs="Arial"/>
          <w:i/>
          <w:iCs/>
          <w:sz w:val="20"/>
          <w:szCs w:val="20"/>
        </w:rPr>
        <w:t>IL6</w:t>
      </w:r>
      <w:r>
        <w:rPr>
          <w:rFonts w:ascii="Arial" w:hAnsi="Arial" w:cs="Arial"/>
          <w:i/>
          <w:iCs/>
          <w:sz w:val="20"/>
          <w:szCs w:val="20"/>
        </w:rPr>
        <w:t xml:space="preserve">, </w:t>
      </w:r>
      <w:bookmarkStart w:id="8" w:name="_Hlk219927228"/>
      <w:r w:rsidRPr="00E14AB0">
        <w:rPr>
          <w:rFonts w:ascii="Arial" w:hAnsi="Arial" w:cs="Arial"/>
          <w:i/>
          <w:iCs/>
          <w:sz w:val="20"/>
          <w:szCs w:val="20"/>
        </w:rPr>
        <w:t>THBS1</w:t>
      </w:r>
      <w:bookmarkEnd w:id="8"/>
      <w:r>
        <w:rPr>
          <w:rFonts w:ascii="Arial" w:hAnsi="Arial" w:cs="Arial"/>
          <w:i/>
          <w:iCs/>
          <w:sz w:val="20"/>
          <w:szCs w:val="20"/>
        </w:rPr>
        <w:fldChar w:fldCharType="begin"/>
      </w:r>
      <w:r>
        <w:rPr>
          <w:rFonts w:ascii="Arial" w:hAnsi="Arial" w:cs="Arial"/>
          <w:i/>
          <w:iCs/>
          <w:sz w:val="20"/>
          <w:szCs w:val="20"/>
        </w:rPr>
        <w:instrText xml:space="preserve"> ADDIN ZOTERO_ITEM CSL_CITATION {"citationID":"WIAjN70R","properties":{"unsorted":false,"formattedCitation":"(156)","plainCitation":"(156)","noteIndex":0},"citationItems":[{"id":29037,"uris":["http://zotero.org/users/12236467/items/GLMSHCHW"],"itemData":{"id":29037,"type":"article-journal","abstract":"Thrombospondin 1(TSP1) plays major roles in both physiologic and pathologic tissue repair. TSP1 through its type 1 repeats is a known regulator of latent TGF-β activation and plays a role in wound healing and fibrosis. Binding of the TSP N-terminal domain to cell surface calreticulin in complex with LDL-receptor related protein 1 stimulates intermediate cell adhesion, cell migration, anoikis resistance and collagen expression and matrix deposition in an in vivo model of the foreign body response. There is also emerging evidence that TSP EGF-like repeats alters endothelial cell-cell interactions and stimulate epithelial migration through transactivation of EGF receptors. The mechanisms underlying these functions of TSP1 and the implications for physiologic and pathologic wound repair and fibrosis will be discussed.","container-title":"Matrix Biology","DOI":"10.1016/j.matbio.2012.01.006","ISSN":"0945-053X","issue":"3","journalAbbreviation":"Matrix Biol","page":"178-186","PMID":"22266026","PMCID":"PMC3295861","source":"PubMed Central","title":"Thrombospondin1 in tissue repair and fibrosis: TGF-β-dependent and independent mechanisms","title-short":"Thrombospondin1 in tissue repair and fibrosis","URL":"https://pmc.ncbi.nlm.nih.gov/articles/PMC3295861/","volume":"31","author":[{"family":"Sweetwyne","given":"Mariya T."},{"family":"Murphy-Ullrich","given":"Joanne E."}],"accessed":{"date-parts":[["2026",1,21]]},"issued":{"date-parts":[["2012",4]]}}}],"schema":"https://github.com/citation-style-language/schema/raw/master/csl-citation.json"} </w:instrText>
      </w:r>
      <w:r>
        <w:rPr>
          <w:rFonts w:ascii="Arial" w:hAnsi="Arial" w:cs="Arial"/>
          <w:i/>
          <w:iCs/>
          <w:sz w:val="20"/>
          <w:szCs w:val="20"/>
        </w:rPr>
        <w:fldChar w:fldCharType="separate"/>
      </w:r>
      <w:r>
        <w:rPr>
          <w:rFonts w:ascii="Arial" w:hAnsi="Arial" w:cs="Arial"/>
          <w:sz w:val="20"/>
        </w:rPr>
        <w:t>(156)</w:t>
      </w:r>
      <w:r>
        <w:rPr>
          <w:rFonts w:ascii="Arial" w:hAnsi="Arial" w:cs="Arial"/>
          <w:i/>
          <w:iCs/>
          <w:sz w:val="20"/>
          <w:szCs w:val="20"/>
        </w:rPr>
        <w:fldChar w:fldCharType="end"/>
      </w:r>
      <w:r>
        <w:rPr>
          <w:rFonts w:ascii="Arial" w:hAnsi="Arial" w:cs="Arial"/>
          <w:i/>
          <w:iCs/>
          <w:sz w:val="20"/>
          <w:szCs w:val="20"/>
        </w:rPr>
        <w:t>,</w:t>
      </w:r>
      <w:r>
        <w:rPr>
          <w:rFonts w:ascii="Arial" w:hAnsi="Arial" w:cs="Arial"/>
          <w:sz w:val="20"/>
          <w:szCs w:val="20"/>
        </w:rPr>
        <w:t xml:space="preserve"> and stress-induced TFs such as </w:t>
      </w:r>
      <w:r w:rsidRPr="009E64F6">
        <w:rPr>
          <w:rFonts w:ascii="Arial" w:hAnsi="Arial" w:cs="Arial"/>
          <w:i/>
          <w:iCs/>
          <w:sz w:val="20"/>
          <w:szCs w:val="20"/>
        </w:rPr>
        <w:t>NR4A1</w:t>
      </w:r>
      <w:r>
        <w:rPr>
          <w:rFonts w:ascii="Arial" w:hAnsi="Arial" w:cs="Arial"/>
          <w:sz w:val="20"/>
          <w:szCs w:val="20"/>
        </w:rPr>
        <w:t>; an “interstitial” cluster with high expression of ECM genes (</w:t>
      </w:r>
      <w:r w:rsidRPr="003556A9">
        <w:rPr>
          <w:rFonts w:ascii="Arial" w:hAnsi="Arial" w:cs="Arial"/>
          <w:i/>
          <w:iCs/>
          <w:sz w:val="20"/>
          <w:szCs w:val="20"/>
        </w:rPr>
        <w:t>PCOLCE2</w:t>
      </w:r>
      <w:r>
        <w:rPr>
          <w:rFonts w:ascii="Arial" w:hAnsi="Arial" w:cs="Arial"/>
          <w:i/>
          <w:iCs/>
          <w:sz w:val="20"/>
          <w:szCs w:val="20"/>
        </w:rPr>
        <w:fldChar w:fldCharType="begin"/>
      </w:r>
      <w:r>
        <w:rPr>
          <w:rFonts w:ascii="Arial" w:hAnsi="Arial" w:cs="Arial"/>
          <w:i/>
          <w:iCs/>
          <w:sz w:val="20"/>
          <w:szCs w:val="20"/>
        </w:rPr>
        <w:instrText xml:space="preserve"> ADDIN ZOTERO_ITEM CSL_CITATION {"citationID":"vcNSAJBZ","properties":{"unsorted":false,"formattedCitation":"(8)","plainCitation":"(8)","noteIndex":0},"citationItems":[{"id":7078,"uris":["http://zotero.org/users/12236467/items/886H2RAC"],"itemData":{"id":7078,"type":"article-journal","abstract":"Cardiovascular disease is the leading cause of death worldwide. Advanced insights into disease mechanisms and therapeutic strategies require a deeper understanding of the molecular processes involved in the healthy heart. Knowledge of the full repertoire of cardiac cells and their gene expression profiles is a fundamental first step in this endeavour. Here, using state-of-the-art analyses of large-scale single-cell and single-nucleus transcriptomes, we characterize six anatomical adult heart regions. Our results highlight the cellular heterogeneity of cardiomyocytes, pericytes and fibroblasts, and reveal distinct atrial and ventricular subsets of cells with diverse developmental origins and specialized properties. We define the complexity of the cardiac vasculature and its changes along the arterio-venous axis. In the immune compartment, we identify cardiac-resident macrophages with inflammatory and protective transcriptional signatures. Furthermore, analyses of cell-to-cell interactions highlight different networks of macrophages, fibroblasts and cardiomyocytes between atria and ventricles that are distinct from those of skeletal muscle. Our human cardiac cell atlas improves our understanding of the human heart and provides a valuable reference for future studies.","container-title":"Nature","DOI":"10.1038/s41586-020-2797-4","ISSN":"1476-4687","issue":"7838","language":"en","license":"2020 The Author(s)","page":"466-472","publisher":"Nature Publishing Group","source":"www-nature-com.proxy.library.upenn.edu","title":"Cells of the adult human heart","URL":"https://www.nature.com/articles/s41586-020-2797-4","volume":"588","author":[{"family":"Litviňuková","given":"Monika"},{"family":"Talavera-López","given":"Carlos"},{"family":"Maatz","given":"Henrike"},{"family":"Reichart","given":"Daniel"},{"family":"Worth","given":"Catherine L."},{"family":"Lindberg","given":"Eric L."},{"family":"Kanda","given":"Masatoshi"},{"family":"Polanski","given":"Krzysztof"},{"family":"Heinig","given":"Matthias"},{"family":"Lee","given":"Michael"},{"family":"Nadelmann","given":"Emily R."},{"family":"Roberts","given":"Kenny"},{"family":"Tuck","given":"Liz"},{"family":"Fasouli","given":"Eirini S."},{"family":"DeLaughter","given":"Daniel M."},{"family":"McDonough","given":"Barbara"},{"family":"Wakimoto","given":"Hiroko"},{"family":"Gorham","given":"Joshua M."},{"family":"Samari","given":"Sara"},{"family":"Mahbubani","given":"Krishnaa T."},{"family":"Saeb-Parsy","given":"Kourosh"},{"family":"Patone","given":"Giannino"},{"family":"Boyle","given":"Joseph J."},{"family":"Zhang","given":"Hongbo"},{"family":"Zhang","given":"Hao"},{"family":"Viveiros","given":"Anissa"},{"family":"Oudit","given":"Gavin Y."},{"family":"Bayraktar","given":"Omer Ali"},{"family":"Seidman","given":"J. G."},{"family":"Seidman","given":"Christine E."},{"family":"Noseda","given":"Michela"},{"family":"Hubner","given":"Norbert"},{"family":"Teichmann","given":"Sarah A."}],"accessed":{"date-parts":[["2024",3,11]]},"issued":{"date-parts":[["2020",12]]}}}],"schema":"https://github.com/citation-style-language/schema/raw/master/csl-citation.json"} </w:instrText>
      </w:r>
      <w:r>
        <w:rPr>
          <w:rFonts w:ascii="Arial" w:hAnsi="Arial" w:cs="Arial"/>
          <w:i/>
          <w:iCs/>
          <w:sz w:val="20"/>
          <w:szCs w:val="20"/>
        </w:rPr>
        <w:fldChar w:fldCharType="separate"/>
      </w:r>
      <w:r>
        <w:rPr>
          <w:rFonts w:ascii="Arial" w:hAnsi="Arial" w:cs="Arial"/>
          <w:sz w:val="20"/>
        </w:rPr>
        <w:t>(8)</w:t>
      </w:r>
      <w:r>
        <w:rPr>
          <w:rFonts w:ascii="Arial" w:hAnsi="Arial" w:cs="Arial"/>
          <w:i/>
          <w:iCs/>
          <w:sz w:val="20"/>
          <w:szCs w:val="20"/>
        </w:rPr>
        <w:fldChar w:fldCharType="end"/>
      </w:r>
      <w:r>
        <w:rPr>
          <w:rFonts w:ascii="Arial" w:hAnsi="Arial" w:cs="Arial"/>
          <w:i/>
          <w:iCs/>
          <w:sz w:val="20"/>
          <w:szCs w:val="20"/>
        </w:rPr>
        <w:t>/CD81</w:t>
      </w:r>
      <w:r>
        <w:rPr>
          <w:rFonts w:ascii="Arial" w:hAnsi="Arial" w:cs="Arial"/>
          <w:i/>
          <w:iCs/>
          <w:sz w:val="20"/>
          <w:szCs w:val="20"/>
        </w:rPr>
        <w:fldChar w:fldCharType="begin"/>
      </w:r>
      <w:r>
        <w:rPr>
          <w:rFonts w:ascii="Arial" w:hAnsi="Arial" w:cs="Arial"/>
          <w:i/>
          <w:iCs/>
          <w:sz w:val="20"/>
          <w:szCs w:val="20"/>
        </w:rPr>
        <w:instrText xml:space="preserve"> ADDIN ZOTERO_ITEM CSL_CITATION {"citationID":"9P995myr","properties":{"unsorted":false,"formattedCitation":"(157)","plainCitation":"(157)","noteIndex":0},"citationItems":[{"id":29035,"uris":["http://zotero.org/users/12236467/items/CK9AMMFR"],"itemData":{"id":29035,"type":"article-journal","abstract":"Chronic inflammation is often associated with the development of tissue fibrosis, but how mesenchymal cell responses dictate pathological fibrosis versus resolution and healing remains unclear. Defining stromal heterogeneity and identifying molecular circuits driving extracellular matrix deposition and remodeling stands to illuminate the relationship between inflammation, fibrosis, and healing. We performed single-cell RNA-sequencing of colon-derived stromal cells and identified distinct classes of fibroblasts with gene signatures that are differentially regulated by chronic inflammation, including IL-11–producing inflammatory fibroblasts. We further identify a transcriptional program associated with trans-differentiation of mucosa-associated fibroblasts and define a functional gene signature associated with matrix deposition and remodeling in the inflamed colon. Our analysis supports a critical role for the metalloprotease Adamdec1 at the interface between tissue remodeling and healing during colitis, demonstrating its requirement for colon epithelial integrity. These findings provide mechanistic insight into how inflammation perturbs stromal cell behaviors to drive fibroblastic responses controlling mucosal matrix remodeling and healing.","container-title":"PLOS Biology","DOI":"10.1371/journal.pbio.3001532","ISSN":"1545-7885","issue":"1","journalAbbreviation":"PLOS Biology","language":"en","page":"e3001532","publisher":"Public Library of Science","source":"PLoS Journals","title":"Colon stroma mediates an inflammation-driven fibroblastic response controlling matrix remodeling and healing","URL":"https://journals.plos.org/plosbiology/article?id=10.1371/journal.pbio.3001532","volume":"20","author":[{"family":"Jasso","given":"Guadalupe J."},{"family":"Jaiswal","given":"Alok"},{"family":"Varma","given":"Mukund"},{"family":"Laszewski","given":"Tyler"},{"family":"Grauel","given":"Angelo"},{"family":"Omar","given":"Abdifatah"},{"family":"Silva","given":"Nilsa"},{"family":"Dranoff","given":"Glenn"},{"family":"Porter","given":"Jeffrey A."},{"family":"Mansfield","given":"Keith"},{"family":"Cremasco","given":"Viviana"},{"family":"Regev","given":"Aviv"},{"family":"Xavier","given":"Ramnik J."},{"family":"Graham","given":"Daniel B."}],"accessed":{"date-parts":[["2026",1,21]]},"issued":{"date-parts":[["2022",1,27]]}}}],"schema":"https://github.com/citation-style-language/schema/raw/master/csl-citation.json"} </w:instrText>
      </w:r>
      <w:r>
        <w:rPr>
          <w:rFonts w:ascii="Arial" w:hAnsi="Arial" w:cs="Arial"/>
          <w:i/>
          <w:iCs/>
          <w:sz w:val="20"/>
          <w:szCs w:val="20"/>
        </w:rPr>
        <w:fldChar w:fldCharType="separate"/>
      </w:r>
      <w:r>
        <w:rPr>
          <w:rFonts w:ascii="Arial" w:hAnsi="Arial" w:cs="Arial"/>
          <w:sz w:val="20"/>
        </w:rPr>
        <w:t>(157)</w:t>
      </w:r>
      <w:r>
        <w:rPr>
          <w:rFonts w:ascii="Arial" w:hAnsi="Arial" w:cs="Arial"/>
          <w:i/>
          <w:iCs/>
          <w:sz w:val="20"/>
          <w:szCs w:val="20"/>
        </w:rPr>
        <w:fldChar w:fldCharType="end"/>
      </w:r>
      <w:r>
        <w:rPr>
          <w:rFonts w:ascii="Arial" w:hAnsi="Arial" w:cs="Arial"/>
          <w:i/>
          <w:iCs/>
          <w:sz w:val="20"/>
          <w:szCs w:val="20"/>
        </w:rPr>
        <w:t>/FBLN2</w:t>
      </w:r>
      <w:r>
        <w:rPr>
          <w:rFonts w:ascii="Arial" w:hAnsi="Arial" w:cs="Arial"/>
          <w:sz w:val="20"/>
          <w:szCs w:val="20"/>
        </w:rPr>
        <w:t xml:space="preserve">); and a “perivascular” cluster, with high expression of vasculature-associated markers such as </w:t>
      </w:r>
      <w:r w:rsidRPr="00651FEF">
        <w:rPr>
          <w:rFonts w:ascii="Arial" w:hAnsi="Arial" w:cs="Arial"/>
          <w:i/>
          <w:iCs/>
          <w:sz w:val="20"/>
          <w:szCs w:val="20"/>
        </w:rPr>
        <w:t>PDGFD/ANGPT1/CCBE1</w:t>
      </w:r>
      <w:r>
        <w:rPr>
          <w:rFonts w:ascii="Arial" w:hAnsi="Arial" w:cs="Arial"/>
          <w:sz w:val="20"/>
          <w:szCs w:val="20"/>
        </w:rPr>
        <w:t xml:space="preserve">. The “activated” cluster is enriched in fetal and AMI. </w:t>
      </w:r>
    </w:p>
    <w:p w14:paraId="11B210A5" w14:textId="46EF5E58" w:rsidR="00F94AAA" w:rsidRDefault="00F94AAA" w:rsidP="00F94AAA">
      <w:pPr>
        <w:rPr>
          <w:rFonts w:ascii="Arial" w:hAnsi="Arial" w:cs="Arial"/>
          <w:b/>
          <w:bCs/>
          <w:sz w:val="20"/>
          <w:szCs w:val="20"/>
        </w:rPr>
      </w:pPr>
      <w:r w:rsidRPr="00D056CE">
        <w:rPr>
          <w:rFonts w:ascii="Arial" w:hAnsi="Arial" w:cs="Arial"/>
          <w:b/>
          <w:bCs/>
          <w:sz w:val="20"/>
          <w:szCs w:val="20"/>
        </w:rPr>
        <w:t>(f)</w:t>
      </w:r>
      <w:r>
        <w:rPr>
          <w:rFonts w:ascii="Arial" w:hAnsi="Arial" w:cs="Arial"/>
          <w:sz w:val="20"/>
          <w:szCs w:val="20"/>
        </w:rPr>
        <w:t xml:space="preserve"> Four subclusters of LECs were identified. These include an “activated” cluster with high expression of stress TFs such as </w:t>
      </w:r>
      <w:r w:rsidRPr="009A7E86">
        <w:rPr>
          <w:rFonts w:ascii="Arial" w:hAnsi="Arial" w:cs="Arial"/>
          <w:i/>
          <w:iCs/>
          <w:sz w:val="20"/>
          <w:szCs w:val="20"/>
        </w:rPr>
        <w:t>FOSLB</w:t>
      </w:r>
      <w:r>
        <w:rPr>
          <w:rFonts w:ascii="Arial" w:hAnsi="Arial" w:cs="Arial"/>
          <w:sz w:val="20"/>
          <w:szCs w:val="20"/>
        </w:rPr>
        <w:t xml:space="preserve"> and </w:t>
      </w:r>
      <w:r w:rsidRPr="009A7E86">
        <w:rPr>
          <w:rFonts w:ascii="Arial" w:hAnsi="Arial" w:cs="Arial"/>
          <w:i/>
          <w:iCs/>
          <w:sz w:val="20"/>
          <w:szCs w:val="20"/>
        </w:rPr>
        <w:t>RELB</w:t>
      </w:r>
      <w:r>
        <w:rPr>
          <w:rFonts w:ascii="Arial" w:hAnsi="Arial" w:cs="Arial"/>
          <w:sz w:val="20"/>
          <w:szCs w:val="20"/>
        </w:rPr>
        <w:t xml:space="preserve">; a “capillary”/collecting lymphatic cells, with high expression of </w:t>
      </w:r>
      <w:r w:rsidRPr="0036341B">
        <w:rPr>
          <w:rFonts w:ascii="Arial" w:hAnsi="Arial" w:cs="Arial"/>
          <w:i/>
          <w:iCs/>
          <w:sz w:val="20"/>
          <w:szCs w:val="20"/>
        </w:rPr>
        <w:t>NR2F2</w:t>
      </w:r>
      <w:r>
        <w:rPr>
          <w:rFonts w:ascii="Arial" w:hAnsi="Arial" w:cs="Arial"/>
          <w:i/>
          <w:iCs/>
          <w:sz w:val="20"/>
          <w:szCs w:val="20"/>
        </w:rPr>
        <w:fldChar w:fldCharType="begin"/>
      </w:r>
      <w:r>
        <w:rPr>
          <w:rFonts w:ascii="Arial" w:hAnsi="Arial" w:cs="Arial"/>
          <w:i/>
          <w:iCs/>
          <w:sz w:val="20"/>
          <w:szCs w:val="20"/>
        </w:rPr>
        <w:instrText xml:space="preserve"> ADDIN ZOTERO_ITEM CSL_CITATION {"citationID":"MNlh0AuR","properties":{"unsorted":false,"formattedCitation":"(150)","plainCitation":"(150)","noteIndex":0},"citationItems":[{"id":27820,"uris":["http://zotero.org/users/12236467/items/3XY4QUJP"],"itemData":{"id":27820,"type":"article-journal","abstract":"Supplemental Digital Content is available in the text., Cellular diversity of the lung endothelium has not been systematically characterized in humans. We provide a reference atlas of human lung endothelial cells (ECs) to facilitate a better understanding of the phenotypic diversity and composition of cells comprising the lung endothelium.","container-title":"Circulation","DOI":"10.1161/CIRCULATIONAHA.120.052318","ISSN":"0009-7322","issue":"4","journalAbbreviation":"Circulation","page":"286-302","PMID":"34030460","PMCID":"PMC8300155","source":"PubMed Central","title":"Integrated Single-Cell Atlas of Endothelial Cells of the Human Lung","URL":"https://pmc.ncbi.nlm.nih.gov/articles/PMC8300155/","volume":"144","author":[{"family":"Schupp","given":"Jonas C."},{"family":"Adams","given":"Taylor S."},{"family":"Cosme","given":"Carlos"},{"family":"Raredon","given":"Micha Sam Brickman"},{"family":"Yuan","given":"Yifan"},{"family":"Omote","given":"Norihito"},{"family":"Poli","given":"Sergio"},{"family":"Chioccioli","given":"Maurizio"},{"family":"Rose","given":"Kadi-Ann"},{"family":"Manning","given":"Edward P."},{"family":"Sauler","given":"Maor"},{"family":"DeIuliis","given":"Giuseppe"},{"family":"Ahangari","given":"Farida"},{"family":"Neumark","given":"Nir"},{"family":"Habermann","given":"Arun C."},{"family":"Gutierrez","given":"Austin J."},{"family":"Bui","given":"Linh T."},{"family":"Lafyatis","given":"Robert"},{"family":"Pierce","given":"Richard W."},{"family":"Meyer","given":"Kerstin B."},{"family":"Nawijn","given":"Martijn C."},{"family":"Teichmann","given":"Sarah A."},{"family":"Banovich","given":"Nicholas E."},{"family":"Kropski","given":"Jonathan A."},{"family":"Niklason","given":"Laura E."},{"family":"Pe’er","given":"Dana"},{"family":"Yan","given":"Xiting"},{"family":"Homer","given":"Robert J."},{"family":"Rosas","given":"Ivan O."},{"family":"Kaminski","given":"Naftali"}],"accessed":{"date-parts":[["2025",10,6]]},"issued":{"date-parts":[["2021",7,27]]}}}],"schema":"https://github.com/citation-style-language/schema/raw/master/csl-citation.json"} </w:instrText>
      </w:r>
      <w:r>
        <w:rPr>
          <w:rFonts w:ascii="Arial" w:hAnsi="Arial" w:cs="Arial"/>
          <w:i/>
          <w:iCs/>
          <w:sz w:val="20"/>
          <w:szCs w:val="20"/>
        </w:rPr>
        <w:fldChar w:fldCharType="separate"/>
      </w:r>
      <w:r>
        <w:rPr>
          <w:rFonts w:ascii="Arial" w:hAnsi="Arial" w:cs="Arial"/>
          <w:sz w:val="20"/>
        </w:rPr>
        <w:t>(150)</w:t>
      </w:r>
      <w:r>
        <w:rPr>
          <w:rFonts w:ascii="Arial" w:hAnsi="Arial" w:cs="Arial"/>
          <w:i/>
          <w:iCs/>
          <w:sz w:val="20"/>
          <w:szCs w:val="20"/>
        </w:rPr>
        <w:fldChar w:fldCharType="end"/>
      </w:r>
      <w:r>
        <w:rPr>
          <w:rFonts w:ascii="Arial" w:hAnsi="Arial" w:cs="Arial"/>
          <w:sz w:val="20"/>
          <w:szCs w:val="20"/>
        </w:rPr>
        <w:t>; a “fetal-enriched” cluster with high expression of developmental regulators (</w:t>
      </w:r>
      <w:r w:rsidRPr="00322EF7">
        <w:rPr>
          <w:rFonts w:ascii="Arial" w:hAnsi="Arial" w:cs="Arial"/>
          <w:i/>
          <w:iCs/>
          <w:sz w:val="20"/>
          <w:szCs w:val="20"/>
        </w:rPr>
        <w:t>WNT7A</w:t>
      </w:r>
      <w:r>
        <w:rPr>
          <w:rFonts w:ascii="Arial" w:hAnsi="Arial" w:cs="Arial"/>
          <w:i/>
          <w:iCs/>
          <w:sz w:val="20"/>
          <w:szCs w:val="20"/>
        </w:rPr>
        <w:t>/WNT11/CELSR)</w:t>
      </w:r>
      <w:r>
        <w:rPr>
          <w:rFonts w:ascii="Arial" w:hAnsi="Arial" w:cs="Arial"/>
          <w:sz w:val="20"/>
          <w:szCs w:val="20"/>
        </w:rPr>
        <w:t xml:space="preserve">; and a “valvular” cluster with high expression of </w:t>
      </w:r>
      <w:r w:rsidRPr="0036341B">
        <w:rPr>
          <w:rFonts w:ascii="Arial" w:hAnsi="Arial" w:cs="Arial"/>
          <w:i/>
          <w:iCs/>
          <w:sz w:val="20"/>
          <w:szCs w:val="20"/>
        </w:rPr>
        <w:t>NRP1</w:t>
      </w:r>
      <w:r>
        <w:rPr>
          <w:rFonts w:ascii="Arial" w:hAnsi="Arial" w:cs="Arial"/>
          <w:i/>
          <w:iCs/>
          <w:sz w:val="20"/>
          <w:szCs w:val="20"/>
        </w:rPr>
        <w:fldChar w:fldCharType="begin"/>
      </w:r>
      <w:r>
        <w:rPr>
          <w:rFonts w:ascii="Arial" w:hAnsi="Arial" w:cs="Arial"/>
          <w:i/>
          <w:iCs/>
          <w:sz w:val="20"/>
          <w:szCs w:val="20"/>
        </w:rPr>
        <w:instrText xml:space="preserve"> ADDIN ZOTERO_ITEM CSL_CITATION {"citationID":"MN3toDS5","properties":{"unsorted":false,"formattedCitation":"(158)","plainCitation":"(158)","noteIndex":0},"citationItems":[{"id":27836,"uris":["http://zotero.org/users/12236467/items/4WCY4UT6"],"itemData":{"id":27836,"type":"article-journal","abstract":"Rationale\nThe lymphatic vasculature plays a major role in fluid homeostasis, absorption of dietary lipids, and immune surveillance. Fluid transport depends on the presence of intraluminal valves within lymphatic collectors. Defective formation of lymphatic valves leads to lymphedema, a progressive and debilitating condition for which curative treatments are currently unavailable. How lymphatic valve formation is regulated remains largely unknown.\n\nObjective\nWe investigated if the repulsive axon guidance molecule Semaphorin3A (Sema3A) plays a role in lymphatic valve formation.\n\nMethods and Results\nWe show that Sema3A mRNA is expressed in lymphatic vessels and that Sema3A protein binds to lymphatic valves expressing the Neuropilin-1 (Nrp1) and PlexinA1 receptors. Using mouse knockout models, we show that Sema3A is selectively required for lymphatic valve formation, via interaction with Nrp1 and PlexinA1. Sema3a−/− mice exhibit defects in lymphatic valve formation, which are not due to abnormal lymphatic patterning or sprouting, and mice carrying a mutation in the Sema3A binding site of Nrp1, or deficient for Plxna1, develop lymphatic valve defects similar to those seen in Sema3a−/− mice.\n\nConclusions\nOur data demonstrate an essential direct function of Sema3A-Nrp1-PlexinA1 signaling in lymphatic valve formation.","container-title":"Circulation research","DOI":"10.1161/CIRCRESAHA.112.269316","ISSN":"0009-7330","issue":"4","journalAbbreviation":"Circ Res","page":"10.1161/CIRCRESAHA.112.269316","PMID":"22723296","PMCID":"PMC3861899","source":"PubMed Central","title":"Semaphorin3A, Neuropilin-1, and PlexinA1 Are Required for Lymphatic Valve Formation","URL":"https://pmc.ncbi.nlm.nih.gov/articles/PMC3861899/","volume":"111","author":[{"family":"Bouvrée","given":"Karine"},{"family":"Brunet","given":"Isabelle"},{"family":"Toro","given":"Raquel","non-dropping-particle":"del"},{"family":"Gordon","given":"Emma"},{"family":"Prahst","given":"Claudia"},{"family":"Cristofaro","given":"Brunella"},{"family":"Mathivet","given":"Thomas"},{"family":"Xu","given":"Yunling"},{"family":"Soueid","given":"Jihane"},{"family":"Fortuna","given":"Vitor"},{"family":"Miura","given":"Nayoki"},{"family":"Aigrot","given":"Marie-Stéphane"},{"family":"Maden","given":"Charlotte H."},{"family":"Ruhrberg","given":"Christiana"},{"family":"Thomas","given":"Jean Léon"},{"family":"Eichmann","given":"Anne"}],"accessed":{"date-parts":[["2025",10,6]]},"issued":{"date-parts":[["2012",8,3]]}}}],"schema":"https://github.com/citation-style-language/schema/raw/master/csl-citation.json"} </w:instrText>
      </w:r>
      <w:r>
        <w:rPr>
          <w:rFonts w:ascii="Arial" w:hAnsi="Arial" w:cs="Arial"/>
          <w:i/>
          <w:iCs/>
          <w:sz w:val="20"/>
          <w:szCs w:val="20"/>
        </w:rPr>
        <w:fldChar w:fldCharType="separate"/>
      </w:r>
      <w:r>
        <w:rPr>
          <w:rFonts w:ascii="Arial" w:hAnsi="Arial" w:cs="Arial"/>
          <w:sz w:val="20"/>
        </w:rPr>
        <w:t>(158)</w:t>
      </w:r>
      <w:r>
        <w:rPr>
          <w:rFonts w:ascii="Arial" w:hAnsi="Arial" w:cs="Arial"/>
          <w:i/>
          <w:iCs/>
          <w:sz w:val="20"/>
          <w:szCs w:val="20"/>
        </w:rPr>
        <w:fldChar w:fldCharType="end"/>
      </w:r>
      <w:r>
        <w:rPr>
          <w:rFonts w:ascii="Arial" w:hAnsi="Arial" w:cs="Arial"/>
          <w:i/>
          <w:iCs/>
          <w:sz w:val="20"/>
          <w:szCs w:val="20"/>
        </w:rPr>
        <w:t>/</w:t>
      </w:r>
      <w:r w:rsidRPr="003E79B6">
        <w:rPr>
          <w:rFonts w:ascii="Arial" w:hAnsi="Arial" w:cs="Arial"/>
          <w:i/>
          <w:iCs/>
          <w:sz w:val="20"/>
          <w:szCs w:val="20"/>
        </w:rPr>
        <w:t>SLIT3</w:t>
      </w:r>
      <w:r>
        <w:rPr>
          <w:rFonts w:ascii="Arial" w:hAnsi="Arial" w:cs="Arial"/>
          <w:i/>
          <w:iCs/>
          <w:sz w:val="20"/>
          <w:szCs w:val="20"/>
        </w:rPr>
        <w:t>/SOX5.</w:t>
      </w:r>
      <w:r w:rsidR="00EE153B">
        <w:rPr>
          <w:rFonts w:ascii="Arial" w:hAnsi="Arial" w:cs="Arial"/>
          <w:b/>
          <w:bCs/>
          <w:sz w:val="20"/>
          <w:szCs w:val="20"/>
        </w:rPr>
        <w:t xml:space="preserve"> </w:t>
      </w:r>
      <w:r>
        <w:rPr>
          <w:rFonts w:ascii="Arial" w:hAnsi="Arial" w:cs="Arial"/>
          <w:sz w:val="20"/>
          <w:szCs w:val="20"/>
        </w:rPr>
        <w:t>The “activated” cluster is enriched in DCM and pediatric HF.</w:t>
      </w:r>
    </w:p>
    <w:p w14:paraId="773538C5" w14:textId="5BD83AAF" w:rsidR="00F94AAA" w:rsidRDefault="00F94AAA" w:rsidP="00F94AAA">
      <w:pPr>
        <w:rPr>
          <w:rFonts w:ascii="Arial" w:hAnsi="Arial" w:cs="Arial"/>
          <w:sz w:val="20"/>
          <w:szCs w:val="20"/>
        </w:rPr>
      </w:pPr>
      <w:r w:rsidRPr="00D056CE">
        <w:rPr>
          <w:rFonts w:ascii="Arial" w:hAnsi="Arial" w:cs="Arial"/>
          <w:b/>
          <w:bCs/>
          <w:sz w:val="20"/>
          <w:szCs w:val="20"/>
        </w:rPr>
        <w:t>(g)</w:t>
      </w:r>
      <w:r>
        <w:rPr>
          <w:rFonts w:ascii="Arial" w:hAnsi="Arial" w:cs="Arial"/>
          <w:sz w:val="20"/>
          <w:szCs w:val="20"/>
        </w:rPr>
        <w:t xml:space="preserve"> Eight lymphoid subclusters were identified. These include B cells (</w:t>
      </w:r>
      <w:r w:rsidRPr="00493E45">
        <w:rPr>
          <w:rFonts w:ascii="Arial" w:hAnsi="Arial" w:cs="Arial"/>
          <w:i/>
          <w:iCs/>
          <w:sz w:val="20"/>
          <w:szCs w:val="20"/>
        </w:rPr>
        <w:t>MS4A1/PAX5/BANK1</w:t>
      </w:r>
      <w:r>
        <w:rPr>
          <w:rFonts w:ascii="Arial" w:hAnsi="Arial" w:cs="Arial"/>
          <w:sz w:val="20"/>
          <w:szCs w:val="20"/>
        </w:rPr>
        <w:t>) and plasma B cells (</w:t>
      </w:r>
      <w:r w:rsidRPr="00B02E80">
        <w:rPr>
          <w:rFonts w:ascii="Arial" w:hAnsi="Arial" w:cs="Arial"/>
          <w:i/>
          <w:iCs/>
          <w:sz w:val="20"/>
          <w:szCs w:val="20"/>
        </w:rPr>
        <w:t>MZB1/SDC1/XBP1</w:t>
      </w:r>
      <w:r>
        <w:rPr>
          <w:rFonts w:ascii="Arial" w:hAnsi="Arial" w:cs="Arial"/>
          <w:sz w:val="20"/>
          <w:szCs w:val="20"/>
        </w:rPr>
        <w:t>); cycling cells with high expression of cell-cycle genes (</w:t>
      </w:r>
      <w:r w:rsidRPr="00800C04">
        <w:rPr>
          <w:rFonts w:ascii="Arial" w:hAnsi="Arial" w:cs="Arial"/>
          <w:i/>
          <w:iCs/>
          <w:sz w:val="20"/>
          <w:szCs w:val="20"/>
        </w:rPr>
        <w:t>EZH2/MCM2/E2F2</w:t>
      </w:r>
      <w:r>
        <w:rPr>
          <w:rFonts w:ascii="Arial" w:hAnsi="Arial" w:cs="Arial"/>
          <w:sz w:val="20"/>
          <w:szCs w:val="20"/>
        </w:rPr>
        <w:t>); plasmacytoid dendritic cells (“</w:t>
      </w:r>
      <w:proofErr w:type="spellStart"/>
      <w:r>
        <w:rPr>
          <w:rFonts w:ascii="Arial" w:hAnsi="Arial" w:cs="Arial"/>
          <w:sz w:val="20"/>
          <w:szCs w:val="20"/>
        </w:rPr>
        <w:t>pDCs</w:t>
      </w:r>
      <w:proofErr w:type="spellEnd"/>
      <w:r>
        <w:rPr>
          <w:rFonts w:ascii="Arial" w:hAnsi="Arial" w:cs="Arial"/>
          <w:sz w:val="20"/>
          <w:szCs w:val="20"/>
        </w:rPr>
        <w:t xml:space="preserve">”), with high expression of </w:t>
      </w:r>
      <w:r w:rsidRPr="001B57CC">
        <w:rPr>
          <w:rFonts w:ascii="Arial" w:hAnsi="Arial" w:cs="Arial"/>
          <w:i/>
          <w:iCs/>
          <w:sz w:val="20"/>
          <w:szCs w:val="20"/>
        </w:rPr>
        <w:t>IRF8</w:t>
      </w:r>
      <w:r>
        <w:rPr>
          <w:rFonts w:ascii="Arial" w:hAnsi="Arial" w:cs="Arial"/>
          <w:i/>
          <w:iCs/>
          <w:sz w:val="20"/>
          <w:szCs w:val="20"/>
        </w:rPr>
        <w:fldChar w:fldCharType="begin"/>
      </w:r>
      <w:r>
        <w:rPr>
          <w:rFonts w:ascii="Arial" w:hAnsi="Arial" w:cs="Arial"/>
          <w:i/>
          <w:iCs/>
          <w:sz w:val="20"/>
          <w:szCs w:val="20"/>
        </w:rPr>
        <w:instrText xml:space="preserve"> ADDIN ZOTERO_ITEM CSL_CITATION {"citationID":"UgyOAORH","properties":{"unsorted":false,"formattedCitation":"(159)","plainCitation":"(159)","noteIndex":0},"citationItems":[{"id":28932,"uris":["http://zotero.org/users/12236467/items/8C7YXDC2"],"itemData":{"id":28932,"type":"article-journal","abstract":"Interferon regulatory factor-8 (IRF8) has been proposed to be essential for development of monocytes, plasmacytoid dendritic cells (pDCs) and type 1 conventional dendritic cells (cDC1s) and remains highly expressed in differentiated DCs. Transcription factors that are required to maintain the identity of terminally differentiated cells are designated \"terminal selectors.\" Using BM chimeras, conditional Irf8(fl/fl) mice and various promotors to target Cre recombinase to different stages of monocyte and DC development, we have identified IRF8 as a terminal selector of the cDC1 lineage controlling survival. In monocytes, IRF8 was necessary during early but not late development. Complete or late deletion of IRF8 had no effect on pDC development or survival but altered their phenotype and gene-expression profile leading to increased T cell stimulatory function but decreased type 1 interferon production. Thus, IRF8 differentially controls the survival and function of terminally differentiated monocytes, cDC1s, and pDCs.","container-title":"Immunity","DOI":"10.1016/j.immuni.2016.08.013","ISSN":"1097-4180","issue":"3","journalAbbreviation":"Immunity","language":"eng","page":"626-640","PMID":"27637148","source":"PubMed","title":"IRF8 Transcription Factor Controls Survival and Function of Terminally Differentiated Conventional and Plasmacytoid Dendritic Cells, Respectively","volume":"45","author":[{"family":"Sichien","given":"Dorine"},{"family":"Scott","given":"Charlotte L."},{"family":"Martens","given":"Liesbet"},{"family":"Vanderkerken","given":"Matthias"},{"family":"Van Gassen","given":"Sofie"},{"family":"Plantinga","given":"Maud"},{"family":"Joeris","given":"Thorsten"},{"family":"De Prijck","given":"Sofie"},{"family":"Vanhoutte","given":"Leen"},{"family":"Vanheerswynghels","given":"Manon"},{"family":"Van Isterdael","given":"Gert"},{"family":"Toussaint","given":"Wendy"},{"family":"Madeira","given":"Filipe Branco"},{"family":"Vergote","given":"Karl"},{"family":"Agace","given":"William W."},{"family":"Clausen","given":"Björn E."},{"family":"Hammad","given":"Hamida"},{"family":"Dalod","given":"Marc"},{"family":"Saeys","given":"Yvan"},{"family":"Lambrecht","given":"Bart N."},{"family":"Guilliams","given":"Martin"}],"issued":{"date-parts":[["2016",9,20]]}}}],"schema":"https://github.com/citation-style-language/schema/raw/master/csl-citation.json"} </w:instrText>
      </w:r>
      <w:r>
        <w:rPr>
          <w:rFonts w:ascii="Arial" w:hAnsi="Arial" w:cs="Arial"/>
          <w:i/>
          <w:iCs/>
          <w:sz w:val="20"/>
          <w:szCs w:val="20"/>
        </w:rPr>
        <w:fldChar w:fldCharType="separate"/>
      </w:r>
      <w:r>
        <w:rPr>
          <w:rFonts w:ascii="Arial" w:hAnsi="Arial" w:cs="Arial"/>
          <w:sz w:val="20"/>
        </w:rPr>
        <w:t>(159)</w:t>
      </w:r>
      <w:r>
        <w:rPr>
          <w:rFonts w:ascii="Arial" w:hAnsi="Arial" w:cs="Arial"/>
          <w:i/>
          <w:iCs/>
          <w:sz w:val="20"/>
          <w:szCs w:val="20"/>
        </w:rPr>
        <w:fldChar w:fldCharType="end"/>
      </w:r>
      <w:r>
        <w:rPr>
          <w:rFonts w:ascii="Arial" w:hAnsi="Arial" w:cs="Arial"/>
          <w:sz w:val="20"/>
          <w:szCs w:val="20"/>
        </w:rPr>
        <w:t xml:space="preserve">; two populations of natural killer cells (“NK_1” with cytotoxic effector expression such as </w:t>
      </w:r>
      <w:r w:rsidRPr="00EE12A5">
        <w:rPr>
          <w:rFonts w:ascii="Arial" w:hAnsi="Arial" w:cs="Arial"/>
          <w:i/>
          <w:iCs/>
          <w:sz w:val="20"/>
          <w:szCs w:val="20"/>
        </w:rPr>
        <w:t>GNLY</w:t>
      </w:r>
      <w:r>
        <w:rPr>
          <w:rFonts w:ascii="Arial" w:hAnsi="Arial" w:cs="Arial"/>
          <w:sz w:val="20"/>
          <w:szCs w:val="20"/>
        </w:rPr>
        <w:t xml:space="preserve"> and </w:t>
      </w:r>
      <w:r w:rsidRPr="00EE12A5">
        <w:rPr>
          <w:rFonts w:ascii="Arial" w:hAnsi="Arial" w:cs="Arial"/>
          <w:i/>
          <w:iCs/>
          <w:sz w:val="20"/>
          <w:szCs w:val="20"/>
        </w:rPr>
        <w:t>PRF1</w:t>
      </w:r>
      <w:r>
        <w:rPr>
          <w:rFonts w:ascii="Arial" w:hAnsi="Arial" w:cs="Arial"/>
          <w:sz w:val="20"/>
          <w:szCs w:val="20"/>
        </w:rPr>
        <w:t xml:space="preserve">, and “NK_2” with inhibitory markers such as </w:t>
      </w:r>
      <w:r w:rsidRPr="00AA54BE">
        <w:rPr>
          <w:rFonts w:ascii="Arial" w:hAnsi="Arial" w:cs="Arial"/>
          <w:i/>
          <w:iCs/>
          <w:sz w:val="20"/>
          <w:szCs w:val="20"/>
        </w:rPr>
        <w:t>KLRC1/2</w:t>
      </w:r>
      <w:r>
        <w:rPr>
          <w:rFonts w:ascii="Arial" w:hAnsi="Arial" w:cs="Arial"/>
          <w:i/>
          <w:iCs/>
          <w:sz w:val="20"/>
          <w:szCs w:val="20"/>
        </w:rPr>
        <w:fldChar w:fldCharType="begin"/>
      </w:r>
      <w:r>
        <w:rPr>
          <w:rFonts w:ascii="Arial" w:hAnsi="Arial" w:cs="Arial"/>
          <w:i/>
          <w:iCs/>
          <w:sz w:val="20"/>
          <w:szCs w:val="20"/>
        </w:rPr>
        <w:instrText xml:space="preserve"> ADDIN ZOTERO_ITEM CSL_CITATION {"citationID":"KN6xrfzu","properties":{"unsorted":false,"formattedCitation":"(160)","plainCitation":"(160)","noteIndex":0},"citationItems":[{"id":28935,"uris":["http://zotero.org/users/12236467/items/5DMDJHKS"],"itemData":{"id":28935,"type":"article-journal","abstract":"Introduction\nNatural Killer (NK) cells hold the potential to shift cell therapy from a complex autologous option to a universal off-the-shelf one. Although NK cells have demonstrated efficacy and safety in the treatment of leukemia, the limited efficacy of NK cell-based immunotherapies against solid tumors still represents a major hurdle. In the immunosuppressive tumor microenvironment (TME), inhibitory interactions between cancer and immune cells impair antitumoral immunity. KLRC1 gene encodes the NK cell inhibitory receptor NKG2A, which is a potent NK cell immune checkpoint. NKG2A specifically binds HLA-E, a non-classical HLA class I molecule frequently overexpressed in tumors, leading to the transmission of inhibitory signals that strongly impair NK cell function.\n\nMethods\nTo restore NK cell cytotoxicity against HLA-E+ tumors, we have targeted the NKG2A/HLA-E immune checkpoint by using a CRISPR-mediated KLRC1 gene editing.\n\nResults\n\nKLRC1 knockout resulted in a reduction of 81% of NKG2A+ cell frequency in ex vivo expanded human NK cells post-cell sorting. In vitro, the overexpression of HLA-E by tumor cells significantly inhibited wild-type (WT) NK cell cytotoxicity with p-values ranging from 0.0071 to 0.0473 depending on tumor cell lines. In contrast, KLRC1\nKO NK cells exhibited significantly higher cytotoxicity when compared to WT NK cells against four different HLA-E+ solid tumor cell lines, with p-values ranging from&lt;0.0001 to 0.0154. Interestingly, a proportion of 43.5% to 60.2% of NKG2A− NK cells within the edited NK cell population was sufficient to reverse at its maximum the HLA-E-mediated inhibition of NK cell cytotoxicity. The expression of the activating receptor NKG2C was increased in KLRC1\nKO NK cells and contributed to the improved NK cell cytotoxicity against HLA-E+ tumors. In vivo, the adoptive transfer of human KLRC1\nKO NK cells significantly delayed tumor progression and increased survival in a xenogeneic mouse model of HLA-E+ metastatic breast cancer, as compared to WT NK cells (p = 0.0015).\n\nConclusions\nOur results demonstrate that KLRC1 knockout is an effective strategy to improve NK cell antitumor activity against HLA-E+ tumors and could be applied in the development of NK cell therapy for solid tumors.","container-title":"Frontiers in Immunology","DOI":"10.3389/fimmu.2023.1231916","ISSN":"1664-3224","journalAbbreviation":"Front Immunol","page":"1231916","PMID":"37675109","PMCID":"PMC10478211","source":"PubMed Central","title":"KLRC1 knockout overcomes HLA-E-mediated inhibition and improves NK cell antitumor activity against solid tumors","URL":"https://pmc.ncbi.nlm.nih.gov/articles/PMC10478211/","volume":"14","author":[{"family":"Mac Donald","given":"Alice"},{"family":"Guipouy","given":"Delphine"},{"family":"Lemieux","given":"William"},{"family":"Harvey","given":"Mario"},{"family":"Bordeleau","given":"Louis-Jean"},{"family":"Guay","given":"David"},{"family":"Roméro","given":"Hugo"},{"family":"Li","given":"Yuanyi"},{"family":"Dion","given":"Renaud"},{"family":"Béland","given":"Kathie"},{"family":"Haddad","given":"Elie"}],"accessed":{"date-parts":[["2026",1,20]]},"issued":{"date-parts":[["2023",8,21]]}}}],"schema":"https://github.com/citation-style-language/schema/raw/master/csl-citation.json"} </w:instrText>
      </w:r>
      <w:r>
        <w:rPr>
          <w:rFonts w:ascii="Arial" w:hAnsi="Arial" w:cs="Arial"/>
          <w:i/>
          <w:iCs/>
          <w:sz w:val="20"/>
          <w:szCs w:val="20"/>
        </w:rPr>
        <w:fldChar w:fldCharType="separate"/>
      </w:r>
      <w:r>
        <w:rPr>
          <w:rFonts w:ascii="Arial" w:hAnsi="Arial" w:cs="Arial"/>
          <w:sz w:val="20"/>
        </w:rPr>
        <w:t>(160)</w:t>
      </w:r>
      <w:r>
        <w:rPr>
          <w:rFonts w:ascii="Arial" w:hAnsi="Arial" w:cs="Arial"/>
          <w:i/>
          <w:iCs/>
          <w:sz w:val="20"/>
          <w:szCs w:val="20"/>
        </w:rPr>
        <w:fldChar w:fldCharType="end"/>
      </w:r>
      <w:r>
        <w:rPr>
          <w:rFonts w:ascii="Arial" w:hAnsi="Arial" w:cs="Arial"/>
          <w:sz w:val="20"/>
          <w:szCs w:val="20"/>
        </w:rPr>
        <w:t>; two populations of T-cells:</w:t>
      </w:r>
      <w:r w:rsidR="00EE153B">
        <w:rPr>
          <w:rFonts w:ascii="Arial" w:hAnsi="Arial" w:cs="Arial"/>
          <w:sz w:val="20"/>
          <w:szCs w:val="20"/>
        </w:rPr>
        <w:t xml:space="preserve"> </w:t>
      </w:r>
      <w:r>
        <w:rPr>
          <w:rFonts w:ascii="Arial" w:hAnsi="Arial" w:cs="Arial"/>
          <w:sz w:val="20"/>
          <w:szCs w:val="20"/>
        </w:rPr>
        <w:t xml:space="preserve">helper T-cells with high expression of co-stimulatory gene </w:t>
      </w:r>
      <w:r w:rsidRPr="00520DF9">
        <w:rPr>
          <w:rFonts w:ascii="Arial" w:hAnsi="Arial" w:cs="Arial"/>
          <w:i/>
          <w:iCs/>
          <w:sz w:val="20"/>
          <w:szCs w:val="20"/>
        </w:rPr>
        <w:t>CD28</w:t>
      </w:r>
      <w:r>
        <w:rPr>
          <w:rFonts w:ascii="Arial" w:hAnsi="Arial" w:cs="Arial"/>
          <w:sz w:val="20"/>
          <w:szCs w:val="20"/>
        </w:rPr>
        <w:t xml:space="preserve">, and cytotoxic T-cells with high expression of </w:t>
      </w:r>
      <w:r w:rsidRPr="00487E5F">
        <w:rPr>
          <w:rFonts w:ascii="Arial" w:hAnsi="Arial" w:cs="Arial"/>
          <w:i/>
          <w:iCs/>
          <w:sz w:val="20"/>
          <w:szCs w:val="20"/>
        </w:rPr>
        <w:t>CD8A/B</w:t>
      </w:r>
      <w:r>
        <w:rPr>
          <w:rFonts w:ascii="Arial" w:hAnsi="Arial" w:cs="Arial"/>
          <w:sz w:val="20"/>
          <w:szCs w:val="20"/>
        </w:rPr>
        <w:t xml:space="preserve"> and effector </w:t>
      </w:r>
      <w:r w:rsidRPr="004B1BC5">
        <w:rPr>
          <w:rFonts w:ascii="Arial" w:hAnsi="Arial" w:cs="Arial"/>
          <w:i/>
          <w:iCs/>
          <w:sz w:val="20"/>
          <w:szCs w:val="20"/>
        </w:rPr>
        <w:t>GZMK</w:t>
      </w:r>
      <w:r>
        <w:rPr>
          <w:rFonts w:ascii="Arial" w:hAnsi="Arial" w:cs="Arial"/>
          <w:sz w:val="20"/>
          <w:szCs w:val="20"/>
        </w:rPr>
        <w:t xml:space="preserve">). </w:t>
      </w:r>
    </w:p>
    <w:p w14:paraId="4FCFCB8F" w14:textId="77777777" w:rsidR="00F94AAA" w:rsidRDefault="00F94AAA" w:rsidP="00F94AAA">
      <w:pPr>
        <w:rPr>
          <w:rFonts w:ascii="Arial" w:hAnsi="Arial" w:cs="Arial"/>
          <w:sz w:val="20"/>
          <w:szCs w:val="20"/>
        </w:rPr>
      </w:pPr>
      <w:r>
        <w:rPr>
          <w:rFonts w:ascii="Arial" w:hAnsi="Arial" w:cs="Arial"/>
          <w:sz w:val="20"/>
          <w:szCs w:val="20"/>
        </w:rPr>
        <w:t xml:space="preserve">Plasma B cells were enriched in ICM “NK_1” was enriched in DCM, while helper T-cells were enriched in fetal, AMI, and ICM states. A decline of several immune cell populations, including cycling cells, was observed across aging, providing support for </w:t>
      </w:r>
      <w:proofErr w:type="spellStart"/>
      <w:r>
        <w:rPr>
          <w:rFonts w:ascii="Arial" w:hAnsi="Arial" w:cs="Arial"/>
          <w:sz w:val="20"/>
          <w:szCs w:val="20"/>
        </w:rPr>
        <w:t>immunosenescence</w:t>
      </w:r>
      <w:proofErr w:type="spellEnd"/>
      <w:r>
        <w:rPr>
          <w:rFonts w:ascii="Arial" w:hAnsi="Arial" w:cs="Arial"/>
          <w:sz w:val="20"/>
          <w:szCs w:val="20"/>
        </w:rPr>
        <w:t xml:space="preserve">. </w:t>
      </w:r>
    </w:p>
    <w:p w14:paraId="71C11FA9" w14:textId="77777777" w:rsidR="00F94AAA" w:rsidRDefault="00F94AAA" w:rsidP="00F94AAA">
      <w:pPr>
        <w:rPr>
          <w:rFonts w:ascii="Arial" w:hAnsi="Arial" w:cs="Arial"/>
          <w:sz w:val="20"/>
          <w:szCs w:val="20"/>
        </w:rPr>
      </w:pPr>
      <w:r w:rsidRPr="00D93DA9">
        <w:rPr>
          <w:rFonts w:ascii="Arial" w:hAnsi="Arial" w:cs="Arial"/>
          <w:b/>
          <w:bCs/>
          <w:sz w:val="20"/>
          <w:szCs w:val="20"/>
        </w:rPr>
        <w:t>(h)</w:t>
      </w:r>
      <w:r>
        <w:rPr>
          <w:rFonts w:ascii="Arial" w:hAnsi="Arial" w:cs="Arial"/>
          <w:sz w:val="20"/>
          <w:szCs w:val="20"/>
        </w:rPr>
        <w:t xml:space="preserve"> Six myeloid subclusters were identified. These include “anti-inflammatory” M2 macrophages with high expression of </w:t>
      </w:r>
      <w:r w:rsidRPr="000C0223">
        <w:rPr>
          <w:rFonts w:ascii="Arial" w:hAnsi="Arial" w:cs="Arial"/>
          <w:i/>
          <w:iCs/>
          <w:sz w:val="20"/>
          <w:szCs w:val="20"/>
        </w:rPr>
        <w:t>ARG1</w:t>
      </w:r>
      <w:r>
        <w:rPr>
          <w:rFonts w:ascii="Arial" w:hAnsi="Arial" w:cs="Arial"/>
          <w:sz w:val="20"/>
          <w:szCs w:val="20"/>
        </w:rPr>
        <w:fldChar w:fldCharType="begin"/>
      </w:r>
      <w:r>
        <w:rPr>
          <w:rFonts w:ascii="Arial" w:hAnsi="Arial" w:cs="Arial"/>
          <w:sz w:val="20"/>
          <w:szCs w:val="20"/>
        </w:rPr>
        <w:instrText xml:space="preserve"> ADDIN ZOTERO_ITEM CSL_CITATION {"citationID":"W5eJwUhI","properties":{"unsorted":false,"formattedCitation":"(161)","plainCitation":"(161)","noteIndex":0},"citationItems":[{"id":20338,"uris":["http://zotero.org/users/12236467/items/KT66GGT2"],"itemData":{"id":20338,"type":"article-journal","abstract":"Recent advancements in single-cell technologies have enabled expression quantitative trait locus (eQTL) analysis across many individuals at single-cell resolution. Compared with bulk RNA sequencing, which averages gene expression across cell types and cell states, single-cell assays capture the transcriptional states of individual cells, including fine-grained, transient, and difficult-to-isolate populations at unprecedented scale and resolution. Single-cell eQTL (sc-eQTL) mapping can identify context-dependent eQTLs that vary with cell states, including some that colocalize with disease variants identified in genome-wide association studies. By uncovering the precise contexts in which these eQTLs act, single-cell approaches can unveil previously hidden regulatory effects and pinpoint important cell states underlying molecular mechanisms of disease. Here, we present an overview of recently deployed experimental designs in sc-eQTL studies. In the process, we consider the influence of study design choices such as cohort, cell states, and ex vivo perturbations. We then discuss current methodologies, modeling approaches, and technical challenges as well as future opportunities and applications.","container-title":"Annual Review of Genomics and Human Genetics","DOI":"10.1146/annurev-genom-101422-100437","ISSN":"1545-293X","journalAbbreviation":"Annu Rev Genomics Hum Genet","language":"eng","page":"277-303","PMID":"37196361","PMCID":"PMC10784788","source":"PubMed","title":"Methods and Insights from Single-Cell Expression Quantitative Trait Loci","volume":"24","author":[{"family":"Kang","given":"Joyce B."},{"family":"Raveane","given":"Alessandro"},{"family":"Nathan","given":"Aparna"},{"family":"Soranzo","given":"Nicole"},{"family":"Raychaudhuri","given":"Soumya"}],"issued":{"date-parts":[["2023",8,25]]}}}],"schema":"https://github.com/citation-style-language/schema/raw/master/csl-citation.json"} </w:instrText>
      </w:r>
      <w:r>
        <w:rPr>
          <w:rFonts w:ascii="Arial" w:hAnsi="Arial" w:cs="Arial"/>
          <w:sz w:val="20"/>
          <w:szCs w:val="20"/>
        </w:rPr>
        <w:fldChar w:fldCharType="separate"/>
      </w:r>
      <w:r>
        <w:rPr>
          <w:rFonts w:ascii="Arial" w:hAnsi="Arial" w:cs="Arial"/>
          <w:sz w:val="20"/>
        </w:rPr>
        <w:t>(161)</w:t>
      </w:r>
      <w:r>
        <w:rPr>
          <w:rFonts w:ascii="Arial" w:hAnsi="Arial" w:cs="Arial"/>
          <w:sz w:val="20"/>
          <w:szCs w:val="20"/>
        </w:rPr>
        <w:fldChar w:fldCharType="end"/>
      </w:r>
      <w:r>
        <w:rPr>
          <w:rFonts w:ascii="Arial" w:hAnsi="Arial" w:cs="Arial"/>
          <w:sz w:val="20"/>
          <w:szCs w:val="20"/>
        </w:rPr>
        <w:t xml:space="preserve"> and anti-inflammatory markers (</w:t>
      </w:r>
      <w:bookmarkStart w:id="9" w:name="_Hlk219811358"/>
      <w:r w:rsidRPr="00B500CE">
        <w:rPr>
          <w:rFonts w:ascii="Arial" w:hAnsi="Arial" w:cs="Arial"/>
          <w:i/>
          <w:iCs/>
          <w:sz w:val="20"/>
          <w:szCs w:val="20"/>
        </w:rPr>
        <w:t>LILRB1</w:t>
      </w:r>
      <w:bookmarkEnd w:id="9"/>
      <w:r w:rsidRPr="00B500CE">
        <w:rPr>
          <w:rFonts w:ascii="Arial" w:hAnsi="Arial" w:cs="Arial"/>
          <w:i/>
          <w:iCs/>
          <w:sz w:val="20"/>
          <w:szCs w:val="20"/>
        </w:rPr>
        <w:t>/2</w:t>
      </w:r>
      <w:r>
        <w:rPr>
          <w:rFonts w:ascii="Arial" w:hAnsi="Arial" w:cs="Arial"/>
          <w:sz w:val="20"/>
          <w:szCs w:val="20"/>
        </w:rPr>
        <w:t>)</w:t>
      </w:r>
      <w:r>
        <w:rPr>
          <w:rFonts w:ascii="Arial" w:hAnsi="Arial" w:cs="Arial"/>
          <w:sz w:val="20"/>
          <w:szCs w:val="20"/>
        </w:rPr>
        <w:fldChar w:fldCharType="begin"/>
      </w:r>
      <w:r>
        <w:rPr>
          <w:rFonts w:ascii="Arial" w:hAnsi="Arial" w:cs="Arial"/>
          <w:sz w:val="20"/>
          <w:szCs w:val="20"/>
        </w:rPr>
        <w:instrText xml:space="preserve"> ADDIN ZOTERO_ITEM CSL_CITATION {"citationID":"9uuLakOo","properties":{"unsorted":false,"formattedCitation":"(162)","plainCitation":"(162)","noteIndex":0},"citationItems":[{"id":28993,"uris":["http://zotero.org/users/12236467/items/FUFLLZDM"],"itemData":{"id":28993,"type":"article-journal","abstract":"Exciting progress in the field of cancer immunotherapy has renewed the urgency of the need for basic studies of immunoregulation in both adaptive cell lineages and innate cell lineages. Here we found a central role for major histocompatibility complex (MHC) class I in controlling the phagocytic function of macrophages. Our results demonstrated that expression of the common MHC class I component β2-microglobulin (β2M) by cancer cells directly protected them from phagocytosis. We further showed that this protection was mediated by the inhibitory receptor LILRB1, whose expression was upregulated on the surface of macrophages, including tumor-associated macrophages. Disruption of either MHC class I or LILRB1 potentiated phagocytosis of tumor cells both in vitro and in vivo, which defines the MHC class I–LILRB1 signaling axis as an important regulator of the effector function of innate immune cells, a potential biomarker for therapeutic response to agents directed against the signal-regulatory protein CD47 and a potential target of anti-cancer immunotherapy.","container-title":"Nature Immunology","DOI":"10.1038/s41590-017-0004-z","ISSN":"1529-2916","issue":"1","journalAbbreviation":"Nat Immunol","language":"en","license":"2017 The Author(s)","page":"76-84","publisher":"Nature Publishing Group","source":"www-nature-com.proxy.library.upenn.edu","title":"Engagement of MHC class I by the inhibitory receptor LILRB1 suppresses macrophages and is a target of cancer immunotherapy","URL":"https://www.nature.com/articles/s41590-017-0004-z","volume":"19","author":[{"family":"Barkal","given":"Amira A."},{"family":"Weiskopf","given":"Kipp"},{"family":"Kao","given":"Kevin S."},{"family":"Gordon","given":"Sydney R."},{"family":"Rosental","given":"Benyamin"},{"family":"Yiu","given":"Ying Y."},{"family":"George","given":"Benson M."},{"family":"Markovic","given":"Maxim"},{"family":"Ring","given":"Nan G."},{"family":"Tsai","given":"Jonathan M."},{"family":"McKenna","given":"Kelly M."},{"family":"Ho","given":"Po Yi"},{"family":"Cheng","given":"Robin Z."},{"family":"Chen","given":"James Y."},{"family":"Barkal","given":"Layla J."},{"family":"Ring","given":"Aaron M."},{"family":"Weissman","given":"Irving L."},{"family":"Maute","given":"Roy L."}],"accessed":{"date-parts":[["2026",1,20]]},"issued":{"date-parts":[["2018",1]]}}}],"schema":"https://github.com/citation-style-language/schema/raw/master/csl-citation.json"} </w:instrText>
      </w:r>
      <w:r>
        <w:rPr>
          <w:rFonts w:ascii="Arial" w:hAnsi="Arial" w:cs="Arial"/>
          <w:sz w:val="20"/>
          <w:szCs w:val="20"/>
        </w:rPr>
        <w:fldChar w:fldCharType="separate"/>
      </w:r>
      <w:r>
        <w:rPr>
          <w:rFonts w:ascii="Arial" w:hAnsi="Arial" w:cs="Arial"/>
          <w:sz w:val="20"/>
        </w:rPr>
        <w:t>(162)</w:t>
      </w:r>
      <w:r>
        <w:rPr>
          <w:rFonts w:ascii="Arial" w:hAnsi="Arial" w:cs="Arial"/>
          <w:sz w:val="20"/>
          <w:szCs w:val="20"/>
        </w:rPr>
        <w:fldChar w:fldCharType="end"/>
      </w:r>
      <w:r>
        <w:rPr>
          <w:rFonts w:ascii="Arial" w:hAnsi="Arial" w:cs="Arial"/>
          <w:sz w:val="20"/>
          <w:szCs w:val="20"/>
        </w:rPr>
        <w:t>; “cycling cells” with expression of cell-cycle genes (</w:t>
      </w:r>
      <w:r w:rsidRPr="00635071">
        <w:rPr>
          <w:rFonts w:ascii="Arial" w:hAnsi="Arial" w:cs="Arial"/>
          <w:i/>
          <w:iCs/>
          <w:sz w:val="20"/>
          <w:szCs w:val="20"/>
        </w:rPr>
        <w:t>CDK1</w:t>
      </w:r>
      <w:r>
        <w:rPr>
          <w:rFonts w:ascii="Arial" w:hAnsi="Arial" w:cs="Arial"/>
          <w:i/>
          <w:iCs/>
          <w:sz w:val="20"/>
          <w:szCs w:val="20"/>
        </w:rPr>
        <w:t>/</w:t>
      </w:r>
      <w:r w:rsidRPr="00635071">
        <w:rPr>
          <w:rFonts w:ascii="Arial" w:hAnsi="Arial" w:cs="Arial"/>
          <w:i/>
          <w:iCs/>
          <w:sz w:val="20"/>
          <w:szCs w:val="20"/>
        </w:rPr>
        <w:t>EZH2/TOP2A</w:t>
      </w:r>
      <w:r>
        <w:rPr>
          <w:rFonts w:ascii="Arial" w:hAnsi="Arial" w:cs="Arial"/>
          <w:sz w:val="20"/>
          <w:szCs w:val="20"/>
        </w:rPr>
        <w:t xml:space="preserve">); “metabolic” macrophages with high expression of metabolic genes such as </w:t>
      </w:r>
      <w:r w:rsidRPr="00597205">
        <w:rPr>
          <w:rFonts w:ascii="Arial" w:hAnsi="Arial" w:cs="Arial"/>
          <w:i/>
          <w:iCs/>
          <w:sz w:val="20"/>
          <w:szCs w:val="20"/>
        </w:rPr>
        <w:t>HMGCL</w:t>
      </w:r>
      <w:r>
        <w:rPr>
          <w:rFonts w:ascii="Arial" w:hAnsi="Arial" w:cs="Arial"/>
          <w:sz w:val="20"/>
          <w:szCs w:val="20"/>
        </w:rPr>
        <w:t xml:space="preserve"> (ketone metabolism), </w:t>
      </w:r>
      <w:r w:rsidRPr="00C218FF">
        <w:rPr>
          <w:rFonts w:ascii="Arial" w:hAnsi="Arial" w:cs="Arial"/>
          <w:sz w:val="20"/>
          <w:szCs w:val="20"/>
        </w:rPr>
        <w:t>glycolysis</w:t>
      </w:r>
      <w:r>
        <w:rPr>
          <w:rFonts w:ascii="Arial" w:hAnsi="Arial" w:cs="Arial"/>
          <w:sz w:val="20"/>
          <w:szCs w:val="20"/>
        </w:rPr>
        <w:t xml:space="preserve"> (</w:t>
      </w:r>
      <w:r w:rsidRPr="00C218FF">
        <w:rPr>
          <w:rFonts w:ascii="Arial" w:hAnsi="Arial" w:cs="Arial"/>
          <w:i/>
          <w:iCs/>
          <w:sz w:val="20"/>
          <w:szCs w:val="20"/>
        </w:rPr>
        <w:t>PRKFB2</w:t>
      </w:r>
      <w:r>
        <w:rPr>
          <w:rFonts w:ascii="Arial" w:hAnsi="Arial" w:cs="Arial"/>
          <w:sz w:val="20"/>
          <w:szCs w:val="20"/>
        </w:rPr>
        <w:t>), and heme biosynthesis (</w:t>
      </w:r>
      <w:r w:rsidRPr="00597205">
        <w:rPr>
          <w:rFonts w:ascii="Arial" w:hAnsi="Arial" w:cs="Arial"/>
          <w:i/>
          <w:iCs/>
          <w:sz w:val="20"/>
          <w:szCs w:val="20"/>
        </w:rPr>
        <w:t>FECH</w:t>
      </w:r>
      <w:r>
        <w:rPr>
          <w:rFonts w:ascii="Arial" w:hAnsi="Arial" w:cs="Arial"/>
          <w:sz w:val="20"/>
          <w:szCs w:val="20"/>
        </w:rPr>
        <w:t xml:space="preserve">); monocyte-derived </w:t>
      </w:r>
      <w:r w:rsidRPr="00343BF6">
        <w:rPr>
          <w:rFonts w:ascii="Arial" w:hAnsi="Arial" w:cs="Arial"/>
          <w:i/>
          <w:iCs/>
          <w:sz w:val="20"/>
          <w:szCs w:val="20"/>
        </w:rPr>
        <w:t>CCR2</w:t>
      </w:r>
      <w:r>
        <w:rPr>
          <w:rFonts w:ascii="Arial" w:hAnsi="Arial" w:cs="Arial"/>
          <w:sz w:val="20"/>
          <w:szCs w:val="20"/>
        </w:rPr>
        <w:t>+ macrophages</w:t>
      </w:r>
      <w:r>
        <w:rPr>
          <w:rFonts w:ascii="Arial" w:hAnsi="Arial" w:cs="Arial"/>
          <w:sz w:val="20"/>
          <w:szCs w:val="20"/>
        </w:rPr>
        <w:fldChar w:fldCharType="begin"/>
      </w:r>
      <w:r>
        <w:rPr>
          <w:rFonts w:ascii="Arial" w:hAnsi="Arial" w:cs="Arial"/>
          <w:sz w:val="20"/>
          <w:szCs w:val="20"/>
        </w:rPr>
        <w:instrText xml:space="preserve"> ADDIN ZOTERO_ITEM CSL_CITATION {"citationID":"yhAGNdT4","properties":{"unsorted":false,"formattedCitation":"(163)","plainCitation":"(163)","noteIndex":0},"citationItems":[{"id":28998,"uris":["http://zotero.org/users/12236467/items/DJ7GPBYT"],"itemData":{"id":28998,"type":"article-journal","abstract":"Paradigm shifting studies in the mouse have identified tissue macrophage\nheterogeneity as a critical determinant of immune responses. In contrast,\nsurprisingly little is known regarding macrophage heterogeneity in humans.\nMacrophages within the mouse heart are partitioned into CCR2- and CCR2+\nsubsets with divergent origins, repopulation mechanisms, and functions. Here we\ndemonstrate that the human myocardium also contains distinct subsets of CCR2-\nand CCR2+ macrophages. Analysis of sex mismatched heart transplant\nrecipients revealed that CCR2- macrophages are a tissue-resident population\nexclusively replenished through local proliferation, whereas CCR2+\nmacrophages are maintained through monocyte recruitment and proliferation.\nMoreover, CCR2- and CCR2+ macrophages have distinct functional\nproperties, analogous to reparative CCR2- and inflammatory CCR2+\nmacrophages in the mouse heart. Clinically, CCR2+ macrophage abundance\nis associated with LV remodeling and systolic function in heart failure\npatients. Collectively, these observations provide initial evidence for the\nfunctional importance of macrophage heterogeneity in the human heart.","container-title":"Nature medicine","DOI":"10.1038/s41591-018-0059-x","ISSN":"1078-8956","issue":"8","journalAbbreviation":"Nat Med","page":"1234-1245","PMID":"29892064","PMCID":"PMC6082687","source":"PubMed Central","title":"The Human Heart Contains Distinct Macrophage Subsets with Divergent Origins and Functions","URL":"https://pmc.ncbi.nlm.nih.gov/articles/PMC6082687/","volume":"24","author":[{"family":"Bajpai","given":"Geetika"},{"family":"Schneider","given":"Caralin"},{"family":"Wong","given":"Nicole"},{"family":"Bredemeyer","given":"Andrea"},{"family":"Hulsmans","given":"Maarten"},{"family":"Nahrendorf","given":"Matthias"},{"family":"Epelman","given":"Slava"},{"family":"Kreisel","given":"Daniel"},{"family":"Liu","given":"Yongjoan"},{"family":"Itoh","given":"Akinobu"},{"family":"Shankar","given":"Thirupura S."},{"family":"Selzman","given":"Craig H."},{"family":"Drakos","given":"Stavros G."},{"family":"Lavine","given":"Kory J."}],"accessed":{"date-parts":[["2026",1,20]]},"issued":{"date-parts":[["2018",8]]}}}],"schema":"https://github.com/citation-style-language/schema/raw/master/csl-citation.json"} </w:instrText>
      </w:r>
      <w:r>
        <w:rPr>
          <w:rFonts w:ascii="Arial" w:hAnsi="Arial" w:cs="Arial"/>
          <w:sz w:val="20"/>
          <w:szCs w:val="20"/>
        </w:rPr>
        <w:fldChar w:fldCharType="separate"/>
      </w:r>
      <w:r>
        <w:rPr>
          <w:rFonts w:ascii="Arial" w:hAnsi="Arial" w:cs="Arial"/>
          <w:sz w:val="20"/>
        </w:rPr>
        <w:t>(163)</w:t>
      </w:r>
      <w:r>
        <w:rPr>
          <w:rFonts w:ascii="Arial" w:hAnsi="Arial" w:cs="Arial"/>
          <w:sz w:val="20"/>
          <w:szCs w:val="20"/>
        </w:rPr>
        <w:fldChar w:fldCharType="end"/>
      </w:r>
      <w:r>
        <w:rPr>
          <w:rFonts w:ascii="Arial" w:hAnsi="Arial" w:cs="Arial"/>
          <w:sz w:val="20"/>
          <w:szCs w:val="20"/>
        </w:rPr>
        <w:t xml:space="preserve"> (also expressing </w:t>
      </w:r>
      <w:r w:rsidRPr="0017491D">
        <w:rPr>
          <w:rFonts w:ascii="Arial" w:hAnsi="Arial" w:cs="Arial"/>
          <w:i/>
          <w:iCs/>
          <w:sz w:val="20"/>
          <w:szCs w:val="20"/>
        </w:rPr>
        <w:t>HLA</w:t>
      </w:r>
      <w:r>
        <w:rPr>
          <w:rFonts w:ascii="Arial" w:hAnsi="Arial" w:cs="Arial"/>
          <w:sz w:val="20"/>
          <w:szCs w:val="20"/>
        </w:rPr>
        <w:t>-</w:t>
      </w:r>
      <w:r w:rsidRPr="0017491D">
        <w:rPr>
          <w:rFonts w:ascii="Arial" w:hAnsi="Arial" w:cs="Arial"/>
          <w:i/>
          <w:iCs/>
          <w:sz w:val="20"/>
          <w:szCs w:val="20"/>
        </w:rPr>
        <w:t>DRA</w:t>
      </w:r>
      <w:r>
        <w:rPr>
          <w:rFonts w:ascii="Arial" w:hAnsi="Arial" w:cs="Arial"/>
          <w:sz w:val="20"/>
          <w:szCs w:val="20"/>
        </w:rPr>
        <w:t>/</w:t>
      </w:r>
      <w:r w:rsidRPr="0017491D">
        <w:rPr>
          <w:rFonts w:ascii="Arial" w:hAnsi="Arial" w:cs="Arial"/>
          <w:i/>
          <w:iCs/>
          <w:sz w:val="20"/>
          <w:szCs w:val="20"/>
        </w:rPr>
        <w:t>LYZ</w:t>
      </w:r>
      <w:r>
        <w:rPr>
          <w:rFonts w:ascii="Arial" w:hAnsi="Arial" w:cs="Arial"/>
          <w:sz w:val="20"/>
          <w:szCs w:val="20"/>
        </w:rPr>
        <w:t xml:space="preserve">); tissue-resident macrophages, which express </w:t>
      </w:r>
      <w:r w:rsidRPr="00F54324">
        <w:rPr>
          <w:rFonts w:ascii="Arial" w:hAnsi="Arial" w:cs="Arial"/>
          <w:i/>
          <w:iCs/>
          <w:sz w:val="20"/>
          <w:szCs w:val="20"/>
        </w:rPr>
        <w:t>FOL2R/TIMD4/LYVE1</w:t>
      </w:r>
      <w:r>
        <w:rPr>
          <w:rFonts w:ascii="Arial" w:hAnsi="Arial" w:cs="Arial"/>
          <w:sz w:val="20"/>
          <w:szCs w:val="20"/>
        </w:rPr>
        <w:t xml:space="preserve">; and a “scavenging” resident macrophages with high expression of genes such as </w:t>
      </w:r>
      <w:r w:rsidRPr="00414784">
        <w:rPr>
          <w:rFonts w:ascii="Arial" w:hAnsi="Arial" w:cs="Arial"/>
          <w:i/>
          <w:iCs/>
          <w:sz w:val="20"/>
          <w:szCs w:val="20"/>
        </w:rPr>
        <w:t>STAB1</w:t>
      </w:r>
      <w:r>
        <w:rPr>
          <w:rFonts w:ascii="Arial" w:hAnsi="Arial" w:cs="Arial"/>
          <w:i/>
          <w:iCs/>
          <w:sz w:val="20"/>
          <w:szCs w:val="20"/>
        </w:rPr>
        <w:fldChar w:fldCharType="begin"/>
      </w:r>
      <w:r>
        <w:rPr>
          <w:rFonts w:ascii="Arial" w:hAnsi="Arial" w:cs="Arial"/>
          <w:i/>
          <w:iCs/>
          <w:sz w:val="20"/>
          <w:szCs w:val="20"/>
        </w:rPr>
        <w:instrText xml:space="preserve"> ADDIN ZOTERO_ITEM CSL_CITATION {"citationID":"5OE3vYGX","properties":{"unsorted":false,"formattedCitation":"(164)","plainCitation":"(164)","noteIndex":0},"citationItems":[{"id":29001,"uris":["http://zotero.org/users/12236467/items/W3Z6S4Z9"],"itemData":{"id":29001,"type":"article-journal","abstract":"Organ fibrosis is a major cause of global morbidity and mortality. It is driven by chronic inflammation and associated oxidative stress with depletion of cellular antioxidant defenses. We demonstrate a pathway in which the evolutionarily conserved receptor stabilin-1 on tissue-infiltrating macrophages provides a second-line defense to prevent tissue damage from oxidative stress. Stabilin-1+ monocytes take up malondialdehyde-LDL (MDA-LDL), a major product of oxidative lipid peroxidation, to form ceroid-laden macrophages. Through the uptake of MDA-LDL, stabilin-1 suppresses production of the profibrogenic chemokine CCL3 and prevents excessive collagen deposition in experimental models of liver fibrosis. We propose that macrophage stabilin-1 is a critical defense against oxidative tissue damage and thereby maintains tissue homeostasis., Macrophages are key regulators of fibrosis development and resolution. Elucidating the mechanisms by which they mediate this process is crucial for establishing their therapeutic potential. Here, we use experimental models of liver fibrosis to show that deficiency of the scavenger receptor, stabilin-1, exacerbates fibrosis and delays resolution during the recovery phase. We detected a subset of stabilin-1+ macrophages that were induced at sites of cellular injury close to the hepatic scar in mouse models of liver fibrosis and in human liver disease. Stabilin-1 deficiency abrogated malondialdehyde-LDL (MDA-LDL) uptake by hepatic macrophages and was associated with excess collagen III deposition. Mechanistically, the lack of stabilin-1 led to elevated intrahepatic levels of the profibrogenic chemokine CCL3 and an increase in GFAP+ fibrogenic cells. Stabilin-1−/− macrophages demonstrated a proinflammatory phenotype during liver injury and the normal induction of Ly6Clo monocytes during resolution was absent in stabilin-1 knockouts leading to persistence of fibrosis. Human stabilin-1+ monocytes efficiently internalized MDA-LDL and this suppressed their ability to secrete CCL3, suggesting that loss of stabilin-1 removes a brake to CCL3 secretion. Experiments with cell-lineage–specific knockouts revealed that stabilin-1 expression in myeloid cells is required for the induction of this subset of macrophages and that increased fibrosis occurs in their absence. This study demonstrates a previously unidentified regulatory pathway in fibrogenesis in which a macrophage scavenger receptor protects against organ fibrosis by removing fibrogenic products of lipid peroxidation. Thus, stabilin-1+ macrophages shape the tissue microenvironment during liver injury and healing.","container-title":"Proceedings of the National Academy of Sciences of the United States of America","DOI":"10.1073/pnas.1604780113","ISSN":"0027-8424","issue":"33","journalAbbreviation":"Proc Natl Acad Sci U S A","page":"9298-9303","PMID":"27474165","PMCID":"PMC4995933","source":"PubMed Central","title":"Stabilin-1 expression defines a subset of macrophages that mediate tissue homeostasis and prevent fibrosis in chronic liver injury","URL":"https://pmc.ncbi.nlm.nih.gov/articles/PMC4995933/","volume":"113","author":[{"family":"Rantakari","given":"Pia"},{"family":"Patten","given":"Daniel A."},{"family":"Valtonen","given":"Joona"},{"family":"Karikoski","given":"Marika"},{"family":"Gerke","given":"Heidi"},{"family":"Dawes","given":"Harriet"},{"family":"Laurila","given":"Juha"},{"family":"Ohlmeier","given":"Steffen"},{"family":"Elima","given":"Kati"},{"family":"Hübscher","given":"Stefan G."},{"family":"Weston","given":"Chris J."},{"family":"Jalkanen","given":"Sirpa"},{"family":"Adams","given":"David H."},{"family":"Salmi","given":"Marko"},{"family":"Shetty","given":"Shishir"}],"accessed":{"date-parts":[["2026",1,20]]},"issued":{"date-parts":[["2016",8,16]]}}}],"schema":"https://github.com/citation-style-language/schema/raw/master/csl-citation.json"} </w:instrText>
      </w:r>
      <w:r>
        <w:rPr>
          <w:rFonts w:ascii="Arial" w:hAnsi="Arial" w:cs="Arial"/>
          <w:i/>
          <w:iCs/>
          <w:sz w:val="20"/>
          <w:szCs w:val="20"/>
        </w:rPr>
        <w:fldChar w:fldCharType="separate"/>
      </w:r>
      <w:r>
        <w:rPr>
          <w:rFonts w:ascii="Arial" w:hAnsi="Arial" w:cs="Arial"/>
          <w:sz w:val="20"/>
        </w:rPr>
        <w:t>(164)</w:t>
      </w:r>
      <w:r>
        <w:rPr>
          <w:rFonts w:ascii="Arial" w:hAnsi="Arial" w:cs="Arial"/>
          <w:i/>
          <w:iCs/>
          <w:sz w:val="20"/>
          <w:szCs w:val="20"/>
        </w:rPr>
        <w:fldChar w:fldCharType="end"/>
      </w:r>
      <w:r>
        <w:rPr>
          <w:rFonts w:ascii="Arial" w:hAnsi="Arial" w:cs="Arial"/>
          <w:i/>
          <w:iCs/>
          <w:sz w:val="20"/>
          <w:szCs w:val="20"/>
        </w:rPr>
        <w:t xml:space="preserve"> </w:t>
      </w:r>
      <w:r>
        <w:rPr>
          <w:rFonts w:ascii="Arial" w:hAnsi="Arial" w:cs="Arial"/>
          <w:sz w:val="20"/>
          <w:szCs w:val="20"/>
        </w:rPr>
        <w:t>and lysosomal proteases (</w:t>
      </w:r>
      <w:r w:rsidRPr="00B21F99">
        <w:rPr>
          <w:rFonts w:ascii="Arial" w:hAnsi="Arial" w:cs="Arial"/>
          <w:i/>
          <w:iCs/>
          <w:sz w:val="20"/>
          <w:szCs w:val="20"/>
        </w:rPr>
        <w:t>CTSB</w:t>
      </w:r>
      <w:r>
        <w:rPr>
          <w:rFonts w:ascii="Arial" w:hAnsi="Arial" w:cs="Arial"/>
          <w:sz w:val="20"/>
          <w:szCs w:val="20"/>
        </w:rPr>
        <w:t>/</w:t>
      </w:r>
      <w:r w:rsidRPr="00B21F99">
        <w:rPr>
          <w:rFonts w:ascii="Arial" w:hAnsi="Arial" w:cs="Arial"/>
          <w:i/>
          <w:iCs/>
          <w:sz w:val="20"/>
          <w:szCs w:val="20"/>
        </w:rPr>
        <w:t>CTSL</w:t>
      </w:r>
      <w:r>
        <w:rPr>
          <w:rFonts w:ascii="Arial" w:hAnsi="Arial" w:cs="Arial"/>
          <w:sz w:val="20"/>
          <w:szCs w:val="20"/>
        </w:rPr>
        <w:t xml:space="preserve">). </w:t>
      </w:r>
    </w:p>
    <w:p w14:paraId="18E89A1F" w14:textId="77777777" w:rsidR="00F94AAA" w:rsidRDefault="00F94AAA" w:rsidP="00F94AAA">
      <w:pPr>
        <w:rPr>
          <w:rFonts w:ascii="Arial" w:hAnsi="Arial" w:cs="Arial"/>
          <w:i/>
          <w:iCs/>
          <w:sz w:val="20"/>
          <w:szCs w:val="20"/>
        </w:rPr>
      </w:pPr>
      <w:r w:rsidRPr="004C699E">
        <w:rPr>
          <w:rFonts w:ascii="Arial" w:hAnsi="Arial" w:cs="Arial"/>
          <w:b/>
          <w:bCs/>
          <w:sz w:val="20"/>
          <w:szCs w:val="20"/>
        </w:rPr>
        <w:t>(</w:t>
      </w:r>
      <w:proofErr w:type="spellStart"/>
      <w:r w:rsidRPr="004C699E">
        <w:rPr>
          <w:rFonts w:ascii="Arial" w:hAnsi="Arial" w:cs="Arial"/>
          <w:b/>
          <w:bCs/>
          <w:sz w:val="20"/>
          <w:szCs w:val="20"/>
        </w:rPr>
        <w:t>i</w:t>
      </w:r>
      <w:proofErr w:type="spellEnd"/>
      <w:r w:rsidRPr="004C699E">
        <w:rPr>
          <w:rFonts w:ascii="Arial" w:hAnsi="Arial" w:cs="Arial"/>
          <w:b/>
          <w:bCs/>
          <w:sz w:val="20"/>
          <w:szCs w:val="20"/>
        </w:rPr>
        <w:t>)</w:t>
      </w:r>
      <w:r>
        <w:rPr>
          <w:rFonts w:ascii="Arial" w:hAnsi="Arial" w:cs="Arial"/>
          <w:sz w:val="20"/>
          <w:szCs w:val="20"/>
        </w:rPr>
        <w:t xml:space="preserve"> Four subclusters of neuronal cells were identified. These include a fetal-enriched cluster with high expression of developmental TFs such as </w:t>
      </w:r>
      <w:r w:rsidRPr="0091062C">
        <w:rPr>
          <w:rFonts w:ascii="Arial" w:hAnsi="Arial" w:cs="Arial"/>
          <w:i/>
          <w:iCs/>
          <w:sz w:val="20"/>
          <w:szCs w:val="20"/>
        </w:rPr>
        <w:t>MEF2C</w:t>
      </w:r>
      <w:r>
        <w:rPr>
          <w:rFonts w:ascii="Arial" w:hAnsi="Arial" w:cs="Arial"/>
          <w:sz w:val="20"/>
          <w:szCs w:val="20"/>
        </w:rPr>
        <w:t xml:space="preserve"> and </w:t>
      </w:r>
      <w:r w:rsidRPr="00332FF0">
        <w:rPr>
          <w:rFonts w:ascii="Arial" w:hAnsi="Arial" w:cs="Arial"/>
          <w:i/>
          <w:iCs/>
          <w:sz w:val="20"/>
          <w:szCs w:val="20"/>
        </w:rPr>
        <w:t>TFAP2B</w:t>
      </w:r>
      <w:r>
        <w:rPr>
          <w:rFonts w:ascii="Arial" w:hAnsi="Arial" w:cs="Arial"/>
          <w:i/>
          <w:iCs/>
          <w:sz w:val="20"/>
          <w:szCs w:val="20"/>
        </w:rPr>
        <w:fldChar w:fldCharType="begin"/>
      </w:r>
      <w:r>
        <w:rPr>
          <w:rFonts w:ascii="Arial" w:hAnsi="Arial" w:cs="Arial"/>
          <w:i/>
          <w:iCs/>
          <w:sz w:val="20"/>
          <w:szCs w:val="20"/>
        </w:rPr>
        <w:instrText xml:space="preserve"> ADDIN ZOTERO_ITEM CSL_CITATION {"citationID":"LtY13eDG","properties":{"unsorted":false,"formattedCitation":"(165)","plainCitation":"(165)","noteIndex":0},"citationItems":[{"id":28923,"uris":["http://zotero.org/users/12236467/items/7K43SMRS"],"itemData":{"id":28923,"type":"article-journal","abstract":"Sleep is a universal state of behavioral quiescence in both vertebrates and invertebrates that is controlled by conserved genes. We previously found that AP2 transcription factors control sleep in C. elegans, Drosophila, and mice. Heterozygous deletion of Tfap2b, one of the mammalian AP2 paralogs, reduces sleep in mice. The cell types and mechanisms through which Tfap2b controls sleep in mammals are, however, not known. In mice, Tfap2b acts during early embryonic stages. In this study, we used RNA-seq to measure the gene expression changes in brains of Tfap2b−/− embryos. Our results indicated that genes related to brain development and patterning were differentially regulated. As many sleep-promoting neurons are known to be GABAergic, we measured the expression of GAD1, GAD2 and Vgat genes in different brain areas of adult Tfap2b+/− mice using qPCR. These experiments suggested that GABAergic genes are downregulated in the cortex, brainstem and cerebellum areas, but upregulated in the striatum. To investigate whether Tfap2b controls sleep through GABAergic neurons, we specifically deleted Tfap2b in GABAergic neurons. We recorded the EEG and EMG before and after a 6-h period of sleep deprivation and extracted the time spent in NREM and in REM sleep as well as delta and theta power to assess NREM and REM sleep, respectively. During baseline conditions, Vgat-tfap2b−/− mice exhibited both shortened NREM and REM sleep time and reduced delta and theta power. Consistently, weaker delta and theta power were observed during rebound sleep in the Vgat-tfap2b−/− mice after sleep deprivation. Taken together, the results indicate that Tfap2b in GABAergic neurons is required for normal sleep.","container-title":"Scientific Reports","DOI":"10.1038/s41598-023-34772-x","ISSN":"2045-2322","issue":"1","journalAbbreviation":"Sci Rep","language":"en","license":"2023 The Author(s)","page":"8026","publisher":"Nature Publishing Group","source":"www-nature-com.proxy.library.upenn.edu","title":"Tfap2b acts in GABAergic neurons to control sleep in mice","URL":"https://www.nature.com/articles/s41598-023-34772-x","volume":"13","author":[{"family":"Hu","given":"Yang"},{"family":"Bringmann","given":"Henrik"}],"accessed":{"date-parts":[["2026",1,20]]},"issued":{"date-parts":[["2023",5,17]]}}}],"schema":"https://github.com/citation-style-language/schema/raw/master/csl-citation.json"} </w:instrText>
      </w:r>
      <w:r>
        <w:rPr>
          <w:rFonts w:ascii="Arial" w:hAnsi="Arial" w:cs="Arial"/>
          <w:i/>
          <w:iCs/>
          <w:sz w:val="20"/>
          <w:szCs w:val="20"/>
        </w:rPr>
        <w:fldChar w:fldCharType="separate"/>
      </w:r>
      <w:r>
        <w:rPr>
          <w:rFonts w:ascii="Arial" w:hAnsi="Arial" w:cs="Arial"/>
          <w:sz w:val="20"/>
        </w:rPr>
        <w:t>(165)</w:t>
      </w:r>
      <w:r>
        <w:rPr>
          <w:rFonts w:ascii="Arial" w:hAnsi="Arial" w:cs="Arial"/>
          <w:i/>
          <w:iCs/>
          <w:sz w:val="20"/>
          <w:szCs w:val="20"/>
        </w:rPr>
        <w:fldChar w:fldCharType="end"/>
      </w:r>
      <w:r>
        <w:rPr>
          <w:rFonts w:ascii="Arial" w:hAnsi="Arial" w:cs="Arial"/>
          <w:i/>
          <w:iCs/>
          <w:sz w:val="20"/>
          <w:szCs w:val="20"/>
        </w:rPr>
        <w:t xml:space="preserve"> </w:t>
      </w:r>
      <w:r>
        <w:rPr>
          <w:rFonts w:ascii="Arial" w:hAnsi="Arial" w:cs="Arial"/>
          <w:sz w:val="20"/>
          <w:szCs w:val="20"/>
        </w:rPr>
        <w:t xml:space="preserve">and RNA-binding protein </w:t>
      </w:r>
      <w:r w:rsidRPr="00ED1875">
        <w:rPr>
          <w:rFonts w:ascii="Arial" w:hAnsi="Arial" w:cs="Arial"/>
          <w:i/>
          <w:iCs/>
          <w:sz w:val="20"/>
          <w:szCs w:val="20"/>
        </w:rPr>
        <w:t>TRIM71</w:t>
      </w:r>
      <w:r>
        <w:rPr>
          <w:rFonts w:ascii="Arial" w:hAnsi="Arial" w:cs="Arial"/>
          <w:i/>
          <w:iCs/>
          <w:sz w:val="20"/>
          <w:szCs w:val="20"/>
        </w:rPr>
        <w:fldChar w:fldCharType="begin"/>
      </w:r>
      <w:r>
        <w:rPr>
          <w:rFonts w:ascii="Arial" w:hAnsi="Arial" w:cs="Arial"/>
          <w:i/>
          <w:iCs/>
          <w:sz w:val="20"/>
          <w:szCs w:val="20"/>
        </w:rPr>
        <w:instrText xml:space="preserve"> ADDIN ZOTERO_ITEM CSL_CITATION {"citationID":"5O0JJgIr","properties":{"unsorted":false,"formattedCitation":"(166)","plainCitation":"(166)","noteIndex":0},"citationItems":[{"id":28925,"uris":["http://zotero.org/users/12236467/items/596G5ZG3"],"itemData":{"id":28925,"type":"article-journal","abstract":"The RNA-binding protein TRIM71 is essential for brain development, and recent genetic studies in humans have identified TRIM71 as a risk gene for congenital hydrocephal-us (CH). Here, we show that monoallelic missense mutations in TRIM71 are associated with hearing loss (HL) and inner ear aplasia in humans. Utilizing conditional Trim71 knockout mice carrying a CH and HL-associated mutation, we demonstrate that loss of TRIM71 function during early otic development (embryonic day 9 to 10) causes severe HL. While inner ear morphogenesis occurs normally in Trim71 knockout mice, we find that early otic loss of TRIM71 function disrupts the highly stereotyped timing of cell cycle exit and differentiation within the inner ear auditory sensory organ (cochlea), resulting in the premature formation and innervation of mechanosensory hair cells. Transcriptomic profiling of Trim71-deficient cochlear progenitor cells identifies Inhba and Tgfbr2 as targets of TRIM71 repression, and our analysis of Inhba-Tgfbr1 double knockout mice indicates that TRIM71 maintains hair cell progenitors in a proliferative and undifferentiated state by restricting TGFβ-type signaling. Characterization of hair cells and their associated neurons in adult Trim71 knockout mice revealed reduced presynaptic terminals and neuronal degeneration in the outer hair cell region, providing a basis for the observed hearing deficits in Trim71 knockout mice.","container-title":"Proceedings of the National Academy of Sciences","DOI":"10.1073/pnas.2505811122","issue":"36","page":"e2505811122","publisher":"Proceedings of the National Academy of Sciences","source":"pnas.org (Atypon)","title":"The RNA-binding protein TRIM71 is essential for hearing in humans and mice and times auditory sensory organ development","URL":"https://www.pnas.org/doi/10.1073/pnas.2505811122","volume":"122","author":[{"family":"Li","given":"Xiao-Jun"},{"family":"Morgan","given":"Charles"},{"family":"Duy","given":"Phan Q."},{"family":"Evsen","given":"Lale"},{"family":"Hao","given":"Le T."},{"family":"Machavoine","given":"Roxane"},{"family":"Belhous","given":"Kahina"},{"family":"Ernest","given":"Sylvain"},{"family":"Denoyelle","given":"Françoise"},{"family":"Mignot","given":"Cyril"},{"family":"Brioude","given":"Frederic"},{"family":"Parodi","given":"Marine"},{"family":"Li","given":"Lin"},{"family":"Huang","given":"He"},{"family":"Nadar Ponniah","given":"Prathamesh T."},{"family":"Kolanus","given":"Waldemar"},{"family":"Kahle","given":"Kristopher T."},{"family":"Marlin","given":"Sandrine"},{"family":"Doetzlhofer","given":"Angelika"}],"accessed":{"date-parts":[["2026",1,20]]},"issued":{"date-parts":[["2025",9,9]]}}}],"schema":"https://github.com/citation-style-language/schema/raw/master/csl-citation.json"} </w:instrText>
      </w:r>
      <w:r>
        <w:rPr>
          <w:rFonts w:ascii="Arial" w:hAnsi="Arial" w:cs="Arial"/>
          <w:i/>
          <w:iCs/>
          <w:sz w:val="20"/>
          <w:szCs w:val="20"/>
        </w:rPr>
        <w:fldChar w:fldCharType="separate"/>
      </w:r>
      <w:r>
        <w:rPr>
          <w:rFonts w:ascii="Arial" w:hAnsi="Arial" w:cs="Arial"/>
          <w:sz w:val="20"/>
        </w:rPr>
        <w:t>(166)</w:t>
      </w:r>
      <w:r>
        <w:rPr>
          <w:rFonts w:ascii="Arial" w:hAnsi="Arial" w:cs="Arial"/>
          <w:i/>
          <w:iCs/>
          <w:sz w:val="20"/>
          <w:szCs w:val="20"/>
        </w:rPr>
        <w:fldChar w:fldCharType="end"/>
      </w:r>
      <w:r>
        <w:rPr>
          <w:rFonts w:ascii="Arial" w:hAnsi="Arial" w:cs="Arial"/>
          <w:sz w:val="20"/>
          <w:szCs w:val="20"/>
        </w:rPr>
        <w:t xml:space="preserve">; a “glial-like” cluster with high expression of glial markers such as </w:t>
      </w:r>
      <w:r w:rsidRPr="0091062C">
        <w:rPr>
          <w:rFonts w:ascii="Arial" w:hAnsi="Arial" w:cs="Arial"/>
          <w:i/>
          <w:iCs/>
          <w:sz w:val="20"/>
          <w:szCs w:val="20"/>
        </w:rPr>
        <w:t>MAL</w:t>
      </w:r>
      <w:r>
        <w:rPr>
          <w:rFonts w:ascii="Arial" w:hAnsi="Arial" w:cs="Arial"/>
          <w:sz w:val="20"/>
          <w:szCs w:val="20"/>
        </w:rPr>
        <w:t>/</w:t>
      </w:r>
      <w:r w:rsidRPr="0091062C">
        <w:rPr>
          <w:rFonts w:ascii="Arial" w:hAnsi="Arial" w:cs="Arial"/>
          <w:i/>
          <w:iCs/>
          <w:sz w:val="20"/>
          <w:szCs w:val="20"/>
        </w:rPr>
        <w:t>ALDH1A1</w:t>
      </w:r>
      <w:r>
        <w:rPr>
          <w:rFonts w:ascii="Arial" w:hAnsi="Arial" w:cs="Arial"/>
          <w:i/>
          <w:iCs/>
          <w:sz w:val="20"/>
          <w:szCs w:val="20"/>
        </w:rPr>
        <w:t>/LGI4</w:t>
      </w:r>
      <w:r>
        <w:rPr>
          <w:rFonts w:ascii="Arial" w:hAnsi="Arial" w:cs="Arial"/>
          <w:i/>
          <w:iCs/>
          <w:sz w:val="20"/>
          <w:szCs w:val="20"/>
        </w:rPr>
        <w:fldChar w:fldCharType="begin"/>
      </w:r>
      <w:r>
        <w:rPr>
          <w:rFonts w:ascii="Arial" w:hAnsi="Arial" w:cs="Arial"/>
          <w:i/>
          <w:iCs/>
          <w:sz w:val="20"/>
          <w:szCs w:val="20"/>
        </w:rPr>
        <w:instrText xml:space="preserve"> ADDIN ZOTERO_ITEM CSL_CITATION {"citationID":"B9CYDxGd","properties":{"unsorted":false,"formattedCitation":"(8)","plainCitation":"(8)","noteIndex":0},"citationItems":[{"id":7078,"uris":["http://zotero.org/users/12236467/items/886H2RAC"],"itemData":{"id":7078,"type":"article-journal","abstract":"Cardiovascular disease is the leading cause of death worldwide. Advanced insights into disease mechanisms and therapeutic strategies require a deeper understanding of the molecular processes involved in the healthy heart. Knowledge of the full repertoire of cardiac cells and their gene expression profiles is a fundamental first step in this endeavour. Here, using state-of-the-art analyses of large-scale single-cell and single-nucleus transcriptomes, we characterize six anatomical adult heart regions. Our results highlight the cellular heterogeneity of cardiomyocytes, pericytes and fibroblasts, and reveal distinct atrial and ventricular subsets of cells with diverse developmental origins and specialized properties. We define the complexity of the cardiac vasculature and its changes along the arterio-venous axis. In the immune compartment, we identify cardiac-resident macrophages with inflammatory and protective transcriptional signatures. Furthermore, analyses of cell-to-cell interactions highlight different networks of macrophages, fibroblasts and cardiomyocytes between atria and ventricles that are distinct from those of skeletal muscle. Our human cardiac cell atlas improves our understanding of the human heart and provides a valuable reference for future studies.","container-title":"Nature","DOI":"10.1038/s41586-020-2797-4","ISSN":"1476-4687","issue":"7838","language":"en","license":"2020 The Author(s)","page":"466-472","publisher":"Nature Publishing Group","source":"www-nature-com.proxy.library.upenn.edu","title":"Cells of the adult human heart","URL":"https://www.nature.com/articles/s41586-020-2797-4","volume":"588","author":[{"family":"Litviňuková","given":"Monika"},{"family":"Talavera-López","given":"Carlos"},{"family":"Maatz","given":"Henrike"},{"family":"Reichart","given":"Daniel"},{"family":"Worth","given":"Catherine L."},{"family":"Lindberg","given":"Eric L."},{"family":"Kanda","given":"Masatoshi"},{"family":"Polanski","given":"Krzysztof"},{"family":"Heinig","given":"Matthias"},{"family":"Lee","given":"Michael"},{"family":"Nadelmann","given":"Emily R."},{"family":"Roberts","given":"Kenny"},{"family":"Tuck","given":"Liz"},{"family":"Fasouli","given":"Eirini S."},{"family":"DeLaughter","given":"Daniel M."},{"family":"McDonough","given":"Barbara"},{"family":"Wakimoto","given":"Hiroko"},{"family":"Gorham","given":"Joshua M."},{"family":"Samari","given":"Sara"},{"family":"Mahbubani","given":"Krishnaa T."},{"family":"Saeb-Parsy","given":"Kourosh"},{"family":"Patone","given":"Giannino"},{"family":"Boyle","given":"Joseph J."},{"family":"Zhang","given":"Hongbo"},{"family":"Zhang","given":"Hao"},{"family":"Viveiros","given":"Anissa"},{"family":"Oudit","given":"Gavin Y."},{"family":"Bayraktar","given":"Omer Ali"},{"family":"Seidman","given":"J. G."},{"family":"Seidman","given":"Christine E."},{"family":"Noseda","given":"Michela"},{"family":"Hubner","given":"Norbert"},{"family":"Teichmann","given":"Sarah A."}],"accessed":{"date-parts":[["2024",3,11]]},"issued":{"date-parts":[["2020",12]]}}}],"schema":"https://github.com/citation-style-language/schema/raw/master/csl-citation.json"} </w:instrText>
      </w:r>
      <w:r>
        <w:rPr>
          <w:rFonts w:ascii="Arial" w:hAnsi="Arial" w:cs="Arial"/>
          <w:i/>
          <w:iCs/>
          <w:sz w:val="20"/>
          <w:szCs w:val="20"/>
        </w:rPr>
        <w:fldChar w:fldCharType="separate"/>
      </w:r>
      <w:r>
        <w:rPr>
          <w:rFonts w:ascii="Arial" w:hAnsi="Arial" w:cs="Arial"/>
          <w:sz w:val="20"/>
        </w:rPr>
        <w:t>(8)</w:t>
      </w:r>
      <w:r>
        <w:rPr>
          <w:rFonts w:ascii="Arial" w:hAnsi="Arial" w:cs="Arial"/>
          <w:i/>
          <w:iCs/>
          <w:sz w:val="20"/>
          <w:szCs w:val="20"/>
        </w:rPr>
        <w:fldChar w:fldCharType="end"/>
      </w:r>
      <w:r>
        <w:rPr>
          <w:rFonts w:ascii="Arial" w:hAnsi="Arial" w:cs="Arial"/>
          <w:sz w:val="20"/>
          <w:szCs w:val="20"/>
        </w:rPr>
        <w:t>; a neuronal cluster with high expression of parasympathetic enzymes/receptors (</w:t>
      </w:r>
      <w:r w:rsidRPr="00764593">
        <w:rPr>
          <w:rFonts w:ascii="Arial" w:hAnsi="Arial" w:cs="Arial"/>
          <w:i/>
          <w:iCs/>
          <w:sz w:val="20"/>
          <w:szCs w:val="20"/>
        </w:rPr>
        <w:t>CHAT</w:t>
      </w:r>
      <w:r>
        <w:rPr>
          <w:rFonts w:ascii="Arial" w:hAnsi="Arial" w:cs="Arial"/>
          <w:sz w:val="20"/>
          <w:szCs w:val="20"/>
        </w:rPr>
        <w:t>/</w:t>
      </w:r>
      <w:r w:rsidRPr="00764593">
        <w:rPr>
          <w:rFonts w:ascii="Arial" w:hAnsi="Arial" w:cs="Arial"/>
          <w:i/>
          <w:iCs/>
          <w:sz w:val="20"/>
          <w:szCs w:val="20"/>
        </w:rPr>
        <w:t>CHRM2</w:t>
      </w:r>
      <w:r>
        <w:rPr>
          <w:rFonts w:ascii="Arial" w:hAnsi="Arial" w:cs="Arial"/>
          <w:sz w:val="20"/>
          <w:szCs w:val="20"/>
        </w:rPr>
        <w:t xml:space="preserve">) and sympathetic markers such as </w:t>
      </w:r>
      <w:r w:rsidRPr="00AC0B7D">
        <w:rPr>
          <w:rFonts w:ascii="Arial" w:hAnsi="Arial" w:cs="Arial"/>
          <w:i/>
          <w:iCs/>
          <w:sz w:val="20"/>
          <w:szCs w:val="20"/>
        </w:rPr>
        <w:t>DBH</w:t>
      </w:r>
      <w:r>
        <w:rPr>
          <w:rFonts w:ascii="Arial" w:hAnsi="Arial" w:cs="Arial"/>
          <w:sz w:val="20"/>
          <w:szCs w:val="20"/>
        </w:rPr>
        <w:t>; and a perivascular cluster with expression of basement membrane genes (</w:t>
      </w:r>
      <w:r w:rsidRPr="0025336C">
        <w:rPr>
          <w:rFonts w:ascii="Arial" w:hAnsi="Arial" w:cs="Arial"/>
          <w:i/>
          <w:iCs/>
          <w:sz w:val="20"/>
          <w:szCs w:val="20"/>
        </w:rPr>
        <w:t>COL4A1</w:t>
      </w:r>
      <w:r>
        <w:rPr>
          <w:rFonts w:ascii="Arial" w:hAnsi="Arial" w:cs="Arial"/>
          <w:sz w:val="20"/>
          <w:szCs w:val="20"/>
        </w:rPr>
        <w:t>) and neuropeptide receptors (</w:t>
      </w:r>
      <w:r w:rsidRPr="00F73D20">
        <w:rPr>
          <w:rFonts w:ascii="Arial" w:hAnsi="Arial" w:cs="Arial"/>
          <w:i/>
          <w:iCs/>
          <w:sz w:val="20"/>
          <w:szCs w:val="20"/>
        </w:rPr>
        <w:t>CALRL/NPY1R)</w:t>
      </w:r>
      <w:r>
        <w:rPr>
          <w:rFonts w:ascii="Arial" w:hAnsi="Arial" w:cs="Arial"/>
          <w:i/>
          <w:iCs/>
          <w:sz w:val="20"/>
          <w:szCs w:val="20"/>
        </w:rPr>
        <w:t xml:space="preserve">. </w:t>
      </w:r>
    </w:p>
    <w:p w14:paraId="2E6D572D" w14:textId="77777777" w:rsidR="00F94AAA" w:rsidRPr="00C21295" w:rsidRDefault="00F94AAA" w:rsidP="00F94AAA">
      <w:pPr>
        <w:rPr>
          <w:rFonts w:ascii="Arial" w:hAnsi="Arial" w:cs="Arial"/>
          <w:color w:val="000000" w:themeColor="text1"/>
          <w:sz w:val="20"/>
          <w:szCs w:val="20"/>
        </w:rPr>
      </w:pPr>
      <w:r w:rsidRPr="006F58B8">
        <w:rPr>
          <w:rFonts w:ascii="Arial" w:hAnsi="Arial" w:cs="Arial"/>
          <w:b/>
          <w:bCs/>
          <w:color w:val="000000" w:themeColor="text1"/>
          <w:sz w:val="20"/>
          <w:szCs w:val="20"/>
        </w:rPr>
        <w:t>(j)</w:t>
      </w:r>
      <w:r w:rsidRPr="006F58B8">
        <w:rPr>
          <w:rFonts w:ascii="Arial" w:hAnsi="Arial" w:cs="Arial"/>
          <w:color w:val="000000" w:themeColor="text1"/>
          <w:sz w:val="20"/>
          <w:szCs w:val="20"/>
        </w:rPr>
        <w:t xml:space="preserve"> </w:t>
      </w:r>
      <w:r>
        <w:rPr>
          <w:rFonts w:ascii="Arial" w:hAnsi="Arial" w:cs="Arial"/>
          <w:color w:val="000000" w:themeColor="text1"/>
          <w:sz w:val="20"/>
          <w:szCs w:val="20"/>
        </w:rPr>
        <w:t>Six</w:t>
      </w:r>
      <w:r w:rsidRPr="006F58B8">
        <w:rPr>
          <w:rFonts w:ascii="Arial" w:hAnsi="Arial" w:cs="Arial"/>
          <w:color w:val="000000" w:themeColor="text1"/>
          <w:sz w:val="20"/>
          <w:szCs w:val="20"/>
        </w:rPr>
        <w:t xml:space="preserve"> subclusters of pericytes were identified.</w:t>
      </w:r>
      <w:r>
        <w:rPr>
          <w:rFonts w:ascii="Arial" w:hAnsi="Arial" w:cs="Arial"/>
          <w:color w:val="000000" w:themeColor="text1"/>
          <w:sz w:val="20"/>
          <w:szCs w:val="20"/>
        </w:rPr>
        <w:t xml:space="preserve"> These include a “contractile” cluster with high expression of smooth muscle markers (</w:t>
      </w:r>
      <w:r>
        <w:rPr>
          <w:rFonts w:ascii="Arial" w:hAnsi="Arial" w:cs="Arial"/>
          <w:i/>
          <w:iCs/>
          <w:color w:val="000000" w:themeColor="text1"/>
          <w:sz w:val="20"/>
          <w:szCs w:val="20"/>
        </w:rPr>
        <w:t>VCL</w:t>
      </w:r>
      <w:r w:rsidRPr="005821B9">
        <w:rPr>
          <w:rFonts w:ascii="Arial" w:hAnsi="Arial" w:cs="Arial"/>
          <w:i/>
          <w:iCs/>
          <w:color w:val="000000" w:themeColor="text1"/>
          <w:sz w:val="20"/>
          <w:szCs w:val="20"/>
        </w:rPr>
        <w:t>/ACTN1/PPP1R12B</w:t>
      </w:r>
      <w:r>
        <w:rPr>
          <w:rFonts w:ascii="Arial" w:hAnsi="Arial" w:cs="Arial"/>
          <w:i/>
          <w:iCs/>
          <w:color w:val="000000" w:themeColor="text1"/>
          <w:sz w:val="20"/>
          <w:szCs w:val="20"/>
        </w:rPr>
        <w:fldChar w:fldCharType="begin"/>
      </w:r>
      <w:r>
        <w:rPr>
          <w:rFonts w:ascii="Arial" w:hAnsi="Arial" w:cs="Arial"/>
          <w:i/>
          <w:iCs/>
          <w:color w:val="000000" w:themeColor="text1"/>
          <w:sz w:val="20"/>
          <w:szCs w:val="20"/>
        </w:rPr>
        <w:instrText xml:space="preserve"> ADDIN ZOTERO_ITEM CSL_CITATION {"citationID":"IQO9oktF","properties":{"unsorted":false,"formattedCitation":"(167)","plainCitation":"(167)","noteIndex":0},"citationItems":[{"id":29015,"uris":["http://zotero.org/users/12236467/items/DN5R2HCZ"],"itemData":{"id":29015,"type":"article-journal","abstract":"Characterization of cardiac MYPT2 (an isoform of the smooth muscle phosphatase [MP] target subunit, MYPT1) is described. Several features of MYPT2 and MYPT1 were similar, including: a specific interaction with the catalytic subunit of type 1 phosphatase, δ isoform (PP1cδ); interaction of MYPT2 with the small heart-specific MP subunit; interaction of the C-terminal region of MYPT2 with the active form of RhoA; phosphorylation by Rho-kinase at an inhibitory site, Thr646 and thiophosphorylation at Thr646 inhibited activity of the MYPT2–PP1cδ complex. MYPT2 activated PP1cδ activity, using light chains from smooth and cardiac muscle, by reducing Km and increasing kcat. The extent of activation (kcat) was greater than for MYPT1 and could reflect distinct N-terminal sequences in the two MYPT isoforms. Adenovirus-mediated gene transfer of MYPT2 and PP1cδ reduced the phosphorylation level of cardiac light chains following stimulation with A23187. Overexpression of MYPT2 and PP1cδ blocked the angiotensin II-induced sarcomere organization in cultured cardiomyocytes. Electron microscopy indicated locations of MYPTs, at, or close to, the Z-line, the A band and mitochondria. Similarity of the two MYPT isoforms suggests common enzymatic mechanisms and regulation. Cardiac myosin is a substrate for the MYPT2 holoenzyme, but the Z-line location raises the possibility of other substrates.","container-title":"Cellular Signalling","DOI":"10.1016/j.cellsig.2005.11.001","ISSN":"0898-6568","issue":"9","journalAbbreviation":"Cellular Signalling","page":"1408-1416","source":"ScienceDirect","title":"Characterization and function of MYPT2, a target subunit of myosin phosphatase in heart","URL":"https://www.sciencedirect.com/science/article/pii/S0898656805003050","volume":"18","author":[{"family":"Okamoto","given":"Ryuji"},{"family":"Kato","given":"Takaaki"},{"family":"Mizoguchi","given":"Akira"},{"family":"Takahashi","given":"Nobuaki"},{"family":"Nakakuki","given":"Tetsuya"},{"family":"Mizutani","given":"Hideo"},{"family":"Isaka","given":"Naoki"},{"family":"Imanaka-Yoshida","given":"Kyoko"},{"family":"Kaibuchi","given":"Kozo"},{"family":"Lu","given":"Zhaojiang"},{"family":"Mabuchi","given":"Katsuhide"},{"family":"Tao","given":"Terenc"},{"family":"Hartshorne","given":"David J."},{"family":"Nakano","given":"Takeshi"},{"family":"Ito","given":"Masaaki"}],"accessed":{"date-parts":[["2026",1,20]]},"issued":{"date-parts":[["2006",9,1]]}}}],"schema":"https://github.com/citation-style-language/schema/raw/master/csl-citation.json"} </w:instrText>
      </w:r>
      <w:r>
        <w:rPr>
          <w:rFonts w:ascii="Arial" w:hAnsi="Arial" w:cs="Arial"/>
          <w:i/>
          <w:iCs/>
          <w:color w:val="000000" w:themeColor="text1"/>
          <w:sz w:val="20"/>
          <w:szCs w:val="20"/>
        </w:rPr>
        <w:fldChar w:fldCharType="separate"/>
      </w:r>
      <w:r>
        <w:rPr>
          <w:rFonts w:ascii="Arial" w:hAnsi="Arial" w:cs="Arial"/>
          <w:color w:val="000000"/>
          <w:sz w:val="20"/>
        </w:rPr>
        <w:t>(167)</w:t>
      </w:r>
      <w:r>
        <w:rPr>
          <w:rFonts w:ascii="Arial" w:hAnsi="Arial" w:cs="Arial"/>
          <w:i/>
          <w:iCs/>
          <w:color w:val="000000" w:themeColor="text1"/>
          <w:sz w:val="20"/>
          <w:szCs w:val="20"/>
        </w:rPr>
        <w:fldChar w:fldCharType="end"/>
      </w:r>
      <w:r>
        <w:rPr>
          <w:rFonts w:ascii="Arial" w:hAnsi="Arial" w:cs="Arial"/>
          <w:color w:val="000000" w:themeColor="text1"/>
          <w:sz w:val="20"/>
          <w:szCs w:val="20"/>
        </w:rPr>
        <w:t>); a “fibroblast-like” cluster with expression of genes enriched in fibroblasts (</w:t>
      </w:r>
      <w:r w:rsidRPr="0078177E">
        <w:rPr>
          <w:rFonts w:ascii="Arial" w:hAnsi="Arial" w:cs="Arial"/>
          <w:i/>
          <w:iCs/>
          <w:color w:val="000000" w:themeColor="text1"/>
          <w:sz w:val="20"/>
          <w:szCs w:val="20"/>
        </w:rPr>
        <w:t>PRRX1</w:t>
      </w:r>
      <w:r>
        <w:rPr>
          <w:rFonts w:ascii="Arial" w:hAnsi="Arial" w:cs="Arial"/>
          <w:i/>
          <w:iCs/>
          <w:color w:val="000000" w:themeColor="text1"/>
          <w:sz w:val="20"/>
          <w:szCs w:val="20"/>
        </w:rPr>
        <w:fldChar w:fldCharType="begin"/>
      </w:r>
      <w:r>
        <w:rPr>
          <w:rFonts w:ascii="Arial" w:hAnsi="Arial" w:cs="Arial"/>
          <w:i/>
          <w:iCs/>
          <w:color w:val="000000" w:themeColor="text1"/>
          <w:sz w:val="20"/>
          <w:szCs w:val="20"/>
        </w:rPr>
        <w:instrText xml:space="preserve"> ADDIN ZOTERO_ITEM CSL_CITATION {"citationID":"16LaqOIE","properties":{"unsorted":false,"formattedCitation":"(168)","plainCitation":"(168)","noteIndex":0},"citationItems":[{"id":29004,"uris":["http://zotero.org/users/12236467/items/VQIFW749"],"itemData":{"id":29004,"type":"article-journal","abstract":"Although stromal fibroblasts play a critical role in cancer progression, their identities remain unclear as they exhibit high heterogeneity and plasticity. Here, a master transcription factor (mTF) constructing core-regulatory circuitry, PRRX1, which determines the fibroblast lineage with a myofibroblastic phenotype, is identified for the fibroblast subgroup. PRRX1 orchestrates the functional drift of fibroblasts into myofibroblastic phenotype via TGF-β signaling by remodeling a super-enhancer landscape. Such reprogrammed fibroblasts have myofibroblastic functions resulting in markedly enhanced tumorigenicity and aggressiveness of cancer. PRRX1 expression in cancer-associated fibroblast (CAF) has an unfavorable prognosis in multiple cancer types. Fibroblast-specific PRRX1 depletion induces long-term and sustained complete remission of chemotherapy-resistant cancer in genetically engineered mice models. This study reveals CAF subpopulations based on super-enhancer profiles including PRRX1. Therefore, mTFs, including PRRX1, provide another opportunity for establishing a hierarchical classification system of fibroblasts and cancer treatment by targeting fibroblasts.","container-title":"Nature Communications","DOI":"10.1038/s41467-022-30484-4","ISSN":"2041-1723","issue":"1","journalAbbreviation":"Nat Commun","language":"en","license":"2022 The Author(s)","page":"2793","publisher":"Nature Publishing Group","source":"www.nature.com","title":"PRRX1 is a master transcription factor of stromal fibroblasts for myofibroblastic lineage progression","URL":"https://www.nature.com/articles/s41467-022-30484-4","volume":"13","author":[{"family":"Lee","given":"Keun-Woo"},{"family":"Yeo","given":"So-Young"},{"family":"Gong","given":"Jeong-Ryeol"},{"family":"Koo","given":"Ok-Jae"},{"family":"Sohn","given":"Insuk"},{"family":"Lee","given":"Woo Yong"},{"family":"Kim","given":"Hee Cheol"},{"family":"Yun","given":"Seong Hyeon"},{"family":"Cho","given":"Yong Beom"},{"family":"Choi","given":"Mi-Ae"},{"family":"An","given":"Sugyun"},{"family":"Kim","given":"Juhee"},{"family":"Sung","given":"Chang Ohk"},{"family":"Cho","given":"Kwang-Hyun"},{"family":"Kim","given":"Seok-Hyung"}],"accessed":{"date-parts":[["2026",1,20]]},"issued":{"date-parts":[["2022",5,19]]}}}],"schema":"https://github.com/citation-style-language/schema/raw/master/csl-citation.json"} </w:instrText>
      </w:r>
      <w:r>
        <w:rPr>
          <w:rFonts w:ascii="Arial" w:hAnsi="Arial" w:cs="Arial"/>
          <w:i/>
          <w:iCs/>
          <w:color w:val="000000" w:themeColor="text1"/>
          <w:sz w:val="20"/>
          <w:szCs w:val="20"/>
        </w:rPr>
        <w:fldChar w:fldCharType="separate"/>
      </w:r>
      <w:r>
        <w:rPr>
          <w:rFonts w:ascii="Arial" w:hAnsi="Arial" w:cs="Arial"/>
          <w:color w:val="000000"/>
          <w:sz w:val="20"/>
        </w:rPr>
        <w:t>(168)</w:t>
      </w:r>
      <w:r>
        <w:rPr>
          <w:rFonts w:ascii="Arial" w:hAnsi="Arial" w:cs="Arial"/>
          <w:i/>
          <w:iCs/>
          <w:color w:val="000000" w:themeColor="text1"/>
          <w:sz w:val="20"/>
          <w:szCs w:val="20"/>
        </w:rPr>
        <w:fldChar w:fldCharType="end"/>
      </w:r>
      <w:r>
        <w:rPr>
          <w:rFonts w:ascii="Arial" w:hAnsi="Arial" w:cs="Arial"/>
          <w:color w:val="000000" w:themeColor="text1"/>
          <w:sz w:val="20"/>
          <w:szCs w:val="20"/>
        </w:rPr>
        <w:t>/</w:t>
      </w:r>
      <w:bookmarkStart w:id="10" w:name="_Hlk219822200"/>
      <w:r>
        <w:rPr>
          <w:rFonts w:ascii="Arial" w:hAnsi="Arial" w:cs="Arial"/>
          <w:color w:val="000000" w:themeColor="text1"/>
          <w:sz w:val="20"/>
          <w:szCs w:val="20"/>
        </w:rPr>
        <w:t>ZEB2</w:t>
      </w:r>
      <w:bookmarkEnd w:id="10"/>
      <w:r>
        <w:rPr>
          <w:rFonts w:ascii="Arial" w:hAnsi="Arial" w:cs="Arial"/>
          <w:color w:val="000000" w:themeColor="text1"/>
          <w:sz w:val="20"/>
          <w:szCs w:val="20"/>
        </w:rPr>
        <w:fldChar w:fldCharType="begin"/>
      </w:r>
      <w:r>
        <w:rPr>
          <w:rFonts w:ascii="Arial" w:hAnsi="Arial" w:cs="Arial"/>
          <w:color w:val="000000" w:themeColor="text1"/>
          <w:sz w:val="20"/>
          <w:szCs w:val="20"/>
        </w:rPr>
        <w:instrText xml:space="preserve"> ADDIN ZOTERO_ITEM CSL_CITATION {"citationID":"ZD3PWSvY","properties":{"unsorted":false,"formattedCitation":"(169)","plainCitation":"(169)","noteIndex":0},"citationItems":[{"id":29006,"uris":["http://zotero.org/users/12236467/items/NQER85N3"],"itemData":{"id":29006,"type":"article-journal","abstract":"Following cardiac injury, fibroblasts are activated and are termed as myofibroblasts, and these cells are key players in extracellular matrix (ECM) remodeling and fibrosis, itself a primary contributor to heart failure. Nutraceuticals have been shown to blunt cardiac fibrosis in both in-vitro and in-vivo studies. However, nutraceuticals have had conflicting results in clinical trials, and there are no effective therapies currently available to specifically target cardiac fibrosis. We have previously shown that expression of the zinc finger E box-binding homeobox 2 (Zeb2) transcription factor increases as fibroblasts are activated. We now show that Zeb2 plays a critical role in fibroblast activation. Zeb2 overexpression in primary rat cardiac fibroblasts is associated with significantly increased expression of embryonic smooth muscle myosin heavy chain (SMemb), ED-A fibronectin and α-smooth muscle actin (α-SMA). We found that Zeb2 was highly expressed in activated myofibroblast nuclei but not in the nuclei of inactive fibroblasts. Moreover, ectopic Zeb2 expression in myofibroblasts resulted in a significantly less migratory phenotype with elevated contractility, which are characteristics of mature myofibroblasts. Knockdown of Zeb2 with siRNA in primary myofibroblasts did not alter the expression of myofibroblast markers, which may indicate that Zeb2 is functionally redundant with other profibrotic transcription factors. These findings add to our understanding of the contribution of Zeb2 to the mechanisms controlling cardiac fibroblast activation.","container-title":"International Journal of Molecular Sciences","DOI":"10.3390/ijms19103207","ISSN":"1422-0067","issue":"10","journalAbbreviation":"Int J Mol Sci","language":"eng","page":"3207","PMID":"30336567","PMCID":"PMC6214125","source":"PubMed","title":"The Functional Role of Zinc Finger E Box-Binding Homeobox 2 (Zeb2) in Promoting Cardiac Fibroblast Activation","volume":"19","author":[{"family":"Jahan","given":"Fahmida"},{"family":"Landry","given":"Natalie M."},{"family":"Rattan","given":"Sunil G."},{"family":"Dixon","given":"Ian M. C."},{"family":"Wigle","given":"Jeffrey T."}],"issued":{"date-parts":[["2018",10,17]]}}}],"schema":"https://github.com/citation-style-language/schema/raw/master/csl-citation.json"} </w:instrText>
      </w:r>
      <w:r>
        <w:rPr>
          <w:rFonts w:ascii="Arial" w:hAnsi="Arial" w:cs="Arial"/>
          <w:color w:val="000000" w:themeColor="text1"/>
          <w:sz w:val="20"/>
          <w:szCs w:val="20"/>
        </w:rPr>
        <w:fldChar w:fldCharType="separate"/>
      </w:r>
      <w:r>
        <w:rPr>
          <w:rFonts w:ascii="Arial" w:hAnsi="Arial" w:cs="Arial"/>
          <w:color w:val="000000"/>
          <w:sz w:val="20"/>
        </w:rPr>
        <w:t>(169)</w:t>
      </w:r>
      <w:r>
        <w:rPr>
          <w:rFonts w:ascii="Arial" w:hAnsi="Arial" w:cs="Arial"/>
          <w:color w:val="000000" w:themeColor="text1"/>
          <w:sz w:val="20"/>
          <w:szCs w:val="20"/>
        </w:rPr>
        <w:fldChar w:fldCharType="end"/>
      </w:r>
      <w:r>
        <w:rPr>
          <w:rFonts w:ascii="Arial" w:hAnsi="Arial" w:cs="Arial"/>
          <w:color w:val="000000" w:themeColor="text1"/>
          <w:sz w:val="20"/>
          <w:szCs w:val="20"/>
        </w:rPr>
        <w:t>/</w:t>
      </w:r>
      <w:r>
        <w:rPr>
          <w:rFonts w:ascii="Arial" w:hAnsi="Arial" w:cs="Arial"/>
          <w:i/>
          <w:iCs/>
          <w:color w:val="000000" w:themeColor="text1"/>
          <w:sz w:val="20"/>
          <w:szCs w:val="20"/>
        </w:rPr>
        <w:t>SLIT3</w:t>
      </w:r>
      <w:r>
        <w:rPr>
          <w:rFonts w:ascii="Arial" w:hAnsi="Arial" w:cs="Arial"/>
          <w:color w:val="000000" w:themeColor="text1"/>
          <w:sz w:val="20"/>
          <w:szCs w:val="20"/>
        </w:rPr>
        <w:t>); a “fetal-enriched” cluster with high expression of ECM and basement membrane genes (</w:t>
      </w:r>
      <w:r w:rsidRPr="00F34025">
        <w:rPr>
          <w:rFonts w:ascii="Arial" w:hAnsi="Arial" w:cs="Arial"/>
          <w:i/>
          <w:iCs/>
          <w:color w:val="000000" w:themeColor="text1"/>
          <w:sz w:val="20"/>
          <w:szCs w:val="20"/>
        </w:rPr>
        <w:t>COL4A1/COL4A2/ADAMTS12</w:t>
      </w:r>
      <w:r>
        <w:rPr>
          <w:rFonts w:ascii="Arial" w:hAnsi="Arial" w:cs="Arial"/>
          <w:color w:val="000000" w:themeColor="text1"/>
          <w:sz w:val="20"/>
          <w:szCs w:val="20"/>
        </w:rPr>
        <w:t xml:space="preserve">); a “metabolic” cluster expressing metabolic genes such as </w:t>
      </w:r>
      <w:r w:rsidRPr="00E43DA2">
        <w:rPr>
          <w:rFonts w:ascii="Arial" w:hAnsi="Arial" w:cs="Arial"/>
          <w:i/>
          <w:iCs/>
          <w:color w:val="000000" w:themeColor="text1"/>
          <w:sz w:val="20"/>
          <w:szCs w:val="20"/>
        </w:rPr>
        <w:t>FABP4</w:t>
      </w:r>
      <w:r>
        <w:rPr>
          <w:rFonts w:ascii="Arial" w:hAnsi="Arial" w:cs="Arial"/>
          <w:i/>
          <w:iCs/>
          <w:color w:val="000000" w:themeColor="text1"/>
          <w:sz w:val="20"/>
          <w:szCs w:val="20"/>
        </w:rPr>
        <w:t xml:space="preserve">/SPARCL1/RSG5; </w:t>
      </w:r>
      <w:r>
        <w:rPr>
          <w:rFonts w:ascii="Arial" w:hAnsi="Arial" w:cs="Arial"/>
          <w:color w:val="000000" w:themeColor="text1"/>
          <w:sz w:val="20"/>
          <w:szCs w:val="20"/>
        </w:rPr>
        <w:t>a “regulatory” cluster expressing calcium channels important for blood pressure regulation (</w:t>
      </w:r>
      <w:r w:rsidRPr="00040990">
        <w:rPr>
          <w:rFonts w:ascii="Arial" w:hAnsi="Arial" w:cs="Arial"/>
          <w:i/>
          <w:iCs/>
          <w:color w:val="000000" w:themeColor="text1"/>
          <w:sz w:val="20"/>
          <w:szCs w:val="20"/>
        </w:rPr>
        <w:t>CANAC1C/CACNB2/ZFHX3</w:t>
      </w:r>
      <w:r w:rsidRPr="00040990">
        <w:rPr>
          <w:rFonts w:ascii="Arial" w:hAnsi="Arial" w:cs="Arial"/>
          <w:i/>
          <w:iCs/>
          <w:color w:val="000000" w:themeColor="text1"/>
          <w:sz w:val="20"/>
          <w:szCs w:val="20"/>
        </w:rPr>
        <w:fldChar w:fldCharType="begin"/>
      </w:r>
      <w:r>
        <w:rPr>
          <w:rFonts w:ascii="Arial" w:hAnsi="Arial" w:cs="Arial"/>
          <w:i/>
          <w:iCs/>
          <w:color w:val="000000" w:themeColor="text1"/>
          <w:sz w:val="20"/>
          <w:szCs w:val="20"/>
        </w:rPr>
        <w:instrText xml:space="preserve"> ADDIN ZOTERO_ITEM CSL_CITATION {"citationID":"P5TAJIKf","properties":{"unsorted":false,"formattedCitation":"(170)","plainCitation":"(170)","noteIndex":0},"citationItems":[{"id":29009,"uris":["http://zotero.org/users/12236467/items/DTKCEPV4"],"itemData":{"id":29009,"type":"article-journal","abstract":"Zinc finger homeobox 3 (ZFHX3) is a transcription factor that regulates multiple cellular processes including cell proliferation, differentiation and neoplastic development. It is also involved in the function of steroid hormones estrogen and progesterone and the peptide hormone prolactin in mammary epithelial cells. In this study, we investigated whether and how ZFHX3 regulates intracellular calcium homeostasis in mammary epithelial cells. We found that ZFHX3 affected both store operated calcium entry and store independent calcium entry (SOCE and SICE). Simultaneously, the expression of the calcium channel TRPV6 was regulated by ZFHX3, as demonstrated by expression analysis and luciferase reporter assay. In cells with knockdown of ZFHX3, calcium entry was partially rescued by the overexpression of wild type but not the pore mutants of TRPV6. In addition, overexpression of TRPV6 promoted differentiation of the MCF10A mammary epithelial cells in three-dimensional culture, which is consistent with our previous findings that ZFHX3 is essential for mammary gland differentiation. These findings suggest that ZFHX3 plays an important role in intracellular calcium homeostasis in mammary epithelial cells, at least in part, by regulating TRPV6.","container-title":"Biochemical and Biophysical Research Communications","DOI":"10.1016/j.bbrc.2019.08.148","ISSN":"0006-291X","issue":"2","journalAbbreviation":"Biochemical and Biophysical Research Communications","page":"366-371","source":"ScienceDirect","title":"Transcription factor ZFHX3 regulates calcium influx in mammary epithelial cells in part via the TRPV6 calcium channel","URL":"https://www.sciencedirect.com/science/article/pii/S0006291X19316778","volume":"519","author":[{"family":"Zhao","given":"Dan"},{"family":"Han","given":"Xueying"},{"family":"Huang","given":"Lili"},{"family":"Wang","given":"Jianpeng"},{"family":"Zhang","given":"Xi"},{"family":"Jeon","given":"Ju-Hong"},{"family":"Zhao","given":"Qiang"},{"family":"Dong","given":"Jin-Tang"}],"accessed":{"date-parts":[["2026",1,20]]},"issued":{"date-parts":[["2019",11,5]]}}}],"schema":"https://github.com/citation-style-language/schema/raw/master/csl-citation.json"} </w:instrText>
      </w:r>
      <w:r w:rsidRPr="00040990">
        <w:rPr>
          <w:rFonts w:ascii="Arial" w:hAnsi="Arial" w:cs="Arial"/>
          <w:i/>
          <w:iCs/>
          <w:color w:val="000000" w:themeColor="text1"/>
          <w:sz w:val="20"/>
          <w:szCs w:val="20"/>
        </w:rPr>
        <w:fldChar w:fldCharType="separate"/>
      </w:r>
      <w:r>
        <w:rPr>
          <w:rFonts w:ascii="Arial" w:hAnsi="Arial" w:cs="Arial"/>
          <w:color w:val="000000"/>
          <w:sz w:val="20"/>
        </w:rPr>
        <w:t>(170)</w:t>
      </w:r>
      <w:r w:rsidRPr="00040990">
        <w:rPr>
          <w:rFonts w:ascii="Arial" w:hAnsi="Arial" w:cs="Arial"/>
          <w:i/>
          <w:iCs/>
          <w:color w:val="000000" w:themeColor="text1"/>
          <w:sz w:val="20"/>
          <w:szCs w:val="20"/>
        </w:rPr>
        <w:fldChar w:fldCharType="end"/>
      </w:r>
      <w:r>
        <w:rPr>
          <w:rFonts w:ascii="Arial" w:hAnsi="Arial" w:cs="Arial"/>
          <w:color w:val="000000" w:themeColor="text1"/>
          <w:sz w:val="20"/>
          <w:szCs w:val="20"/>
        </w:rPr>
        <w:t>);</w:t>
      </w:r>
      <w:r>
        <w:rPr>
          <w:rFonts w:ascii="Arial" w:hAnsi="Arial" w:cs="Arial"/>
          <w:i/>
          <w:iCs/>
          <w:color w:val="000000" w:themeColor="text1"/>
          <w:sz w:val="20"/>
          <w:szCs w:val="20"/>
        </w:rPr>
        <w:t xml:space="preserve"> </w:t>
      </w:r>
      <w:r w:rsidRPr="009F5665">
        <w:rPr>
          <w:rFonts w:ascii="Arial" w:hAnsi="Arial" w:cs="Arial"/>
          <w:color w:val="000000" w:themeColor="text1"/>
          <w:sz w:val="20"/>
          <w:szCs w:val="20"/>
        </w:rPr>
        <w:t>and</w:t>
      </w:r>
      <w:r>
        <w:rPr>
          <w:rFonts w:ascii="Arial" w:hAnsi="Arial" w:cs="Arial"/>
          <w:i/>
          <w:iCs/>
          <w:color w:val="000000" w:themeColor="text1"/>
          <w:sz w:val="20"/>
          <w:szCs w:val="20"/>
        </w:rPr>
        <w:t xml:space="preserve"> </w:t>
      </w:r>
      <w:r>
        <w:rPr>
          <w:rFonts w:ascii="Arial" w:hAnsi="Arial" w:cs="Arial"/>
          <w:color w:val="000000" w:themeColor="text1"/>
          <w:sz w:val="20"/>
          <w:szCs w:val="20"/>
        </w:rPr>
        <w:t>a “remodeling” cluster expressing high levels of ECM-cleaving proteases (</w:t>
      </w:r>
      <w:r w:rsidRPr="00C24DEF">
        <w:rPr>
          <w:rFonts w:ascii="Arial" w:hAnsi="Arial" w:cs="Arial"/>
          <w:i/>
          <w:iCs/>
          <w:color w:val="000000" w:themeColor="text1"/>
          <w:sz w:val="20"/>
          <w:szCs w:val="20"/>
        </w:rPr>
        <w:t>ADAMTS1/ADAMTS4/ADAMTS9</w:t>
      </w:r>
      <w:r>
        <w:rPr>
          <w:rFonts w:ascii="Arial" w:hAnsi="Arial" w:cs="Arial"/>
          <w:color w:val="000000" w:themeColor="text1"/>
          <w:sz w:val="20"/>
          <w:szCs w:val="20"/>
        </w:rPr>
        <w:t>).</w:t>
      </w:r>
      <w:r w:rsidRPr="006F58B8">
        <w:rPr>
          <w:rFonts w:ascii="Arial" w:hAnsi="Arial" w:cs="Arial"/>
          <w:color w:val="000000" w:themeColor="text1"/>
          <w:sz w:val="20"/>
          <w:szCs w:val="20"/>
        </w:rPr>
        <w:t xml:space="preserve"> </w:t>
      </w:r>
    </w:p>
    <w:p w14:paraId="33B630DD" w14:textId="77777777" w:rsidR="00F94AAA" w:rsidRDefault="00F94AAA" w:rsidP="00F94AAA">
      <w:pPr>
        <w:rPr>
          <w:rFonts w:ascii="Arial" w:hAnsi="Arial" w:cs="Arial"/>
          <w:color w:val="000000" w:themeColor="text1"/>
          <w:sz w:val="20"/>
          <w:szCs w:val="20"/>
        </w:rPr>
      </w:pPr>
      <w:r w:rsidRPr="00744CD0">
        <w:rPr>
          <w:rFonts w:ascii="Arial" w:hAnsi="Arial" w:cs="Arial"/>
          <w:b/>
          <w:bCs/>
          <w:color w:val="000000" w:themeColor="text1"/>
          <w:sz w:val="20"/>
          <w:szCs w:val="20"/>
        </w:rPr>
        <w:t>(</w:t>
      </w:r>
      <w:r>
        <w:rPr>
          <w:rFonts w:ascii="Arial" w:hAnsi="Arial" w:cs="Arial"/>
          <w:b/>
          <w:bCs/>
          <w:color w:val="000000" w:themeColor="text1"/>
          <w:sz w:val="20"/>
          <w:szCs w:val="20"/>
        </w:rPr>
        <w:t>k</w:t>
      </w:r>
      <w:r w:rsidRPr="00744CD0">
        <w:rPr>
          <w:rFonts w:ascii="Arial" w:hAnsi="Arial" w:cs="Arial"/>
          <w:b/>
          <w:bCs/>
          <w:color w:val="000000" w:themeColor="text1"/>
          <w:sz w:val="20"/>
          <w:szCs w:val="20"/>
        </w:rPr>
        <w:t>)</w:t>
      </w:r>
      <w:r>
        <w:rPr>
          <w:rFonts w:ascii="Arial" w:hAnsi="Arial" w:cs="Arial"/>
          <w:color w:val="000000" w:themeColor="text1"/>
          <w:sz w:val="20"/>
          <w:szCs w:val="20"/>
        </w:rPr>
        <w:t xml:space="preserve"> Three subclusters of vascular smooth muscle cells (</w:t>
      </w:r>
      <w:proofErr w:type="spellStart"/>
      <w:r>
        <w:rPr>
          <w:rFonts w:ascii="Arial" w:hAnsi="Arial" w:cs="Arial"/>
          <w:color w:val="000000" w:themeColor="text1"/>
          <w:sz w:val="20"/>
          <w:szCs w:val="20"/>
        </w:rPr>
        <w:t>vSMCs</w:t>
      </w:r>
      <w:proofErr w:type="spellEnd"/>
      <w:r>
        <w:rPr>
          <w:rFonts w:ascii="Arial" w:hAnsi="Arial" w:cs="Arial"/>
          <w:color w:val="000000" w:themeColor="text1"/>
          <w:sz w:val="20"/>
          <w:szCs w:val="20"/>
        </w:rPr>
        <w:t xml:space="preserve">) were identified. These include a “contractile” cluster expressing contractile machinery such as </w:t>
      </w:r>
      <w:r w:rsidRPr="00495BF4">
        <w:rPr>
          <w:rFonts w:ascii="Arial" w:hAnsi="Arial" w:cs="Arial"/>
          <w:i/>
          <w:iCs/>
          <w:color w:val="000000" w:themeColor="text1"/>
          <w:sz w:val="20"/>
          <w:szCs w:val="20"/>
        </w:rPr>
        <w:t>MYH11</w:t>
      </w:r>
      <w:r>
        <w:rPr>
          <w:rFonts w:ascii="Arial" w:hAnsi="Arial" w:cs="Arial"/>
          <w:i/>
          <w:iCs/>
          <w:color w:val="000000" w:themeColor="text1"/>
          <w:sz w:val="20"/>
          <w:szCs w:val="20"/>
        </w:rPr>
        <w:t>/TAGLN/SMTN</w:t>
      </w:r>
      <w:r>
        <w:rPr>
          <w:rFonts w:ascii="Arial" w:hAnsi="Arial" w:cs="Arial"/>
          <w:color w:val="000000" w:themeColor="text1"/>
          <w:sz w:val="20"/>
          <w:szCs w:val="20"/>
        </w:rPr>
        <w:t xml:space="preserve">; a “pericyte-like” cluster expressing markers shared with pericytes such as </w:t>
      </w:r>
      <w:r w:rsidRPr="000470BB">
        <w:rPr>
          <w:rFonts w:ascii="Arial" w:hAnsi="Arial" w:cs="Arial"/>
          <w:i/>
          <w:iCs/>
          <w:color w:val="000000" w:themeColor="text1"/>
          <w:sz w:val="20"/>
          <w:szCs w:val="20"/>
        </w:rPr>
        <w:t>PDGFRB/ZEB1/DLC1</w:t>
      </w:r>
      <w:r>
        <w:rPr>
          <w:rFonts w:ascii="Arial" w:hAnsi="Arial" w:cs="Arial"/>
          <w:color w:val="000000" w:themeColor="text1"/>
          <w:sz w:val="20"/>
          <w:szCs w:val="20"/>
        </w:rPr>
        <w:t xml:space="preserve">; and a “synthetic” ECM-producing marked by non-muscle myosin </w:t>
      </w:r>
      <w:r w:rsidRPr="009B24B8">
        <w:rPr>
          <w:rFonts w:ascii="Arial" w:hAnsi="Arial" w:cs="Arial"/>
          <w:i/>
          <w:iCs/>
          <w:color w:val="000000" w:themeColor="text1"/>
          <w:sz w:val="20"/>
          <w:szCs w:val="20"/>
        </w:rPr>
        <w:t>MYH10</w:t>
      </w:r>
      <w:r>
        <w:rPr>
          <w:rFonts w:ascii="Arial" w:hAnsi="Arial" w:cs="Arial"/>
          <w:i/>
          <w:iCs/>
          <w:color w:val="000000" w:themeColor="text1"/>
          <w:sz w:val="20"/>
          <w:szCs w:val="20"/>
        </w:rPr>
        <w:fldChar w:fldCharType="begin"/>
      </w:r>
      <w:r>
        <w:rPr>
          <w:rFonts w:ascii="Arial" w:hAnsi="Arial" w:cs="Arial"/>
          <w:i/>
          <w:iCs/>
          <w:color w:val="000000" w:themeColor="text1"/>
          <w:sz w:val="20"/>
          <w:szCs w:val="20"/>
        </w:rPr>
        <w:instrText xml:space="preserve"> ADDIN ZOTERO_ITEM CSL_CITATION {"citationID":"hViGUoS9","properties":{"unsorted":false,"formattedCitation":"(171)","plainCitation":"(171)","noteIndex":0},"citationItems":[{"id":28930,"uris":["http://zotero.org/users/12236467/items/5LQQLY4M"],"itemData":{"id":28930,"type":"article-journal","abstract":"Objective: polycystin-1 (PC-1) is a protein encoded by the gene of polycystic kidney disease-1 (PKD-1). This study was designed to investigate the regulatory mechanisms of PC-1 on phenotypes of aortic vascular smooth muscle cells (VSMCs) and functions of extracellular matrix (ECM) in thoracic aortic dissection (TAD). Methods: Aortic tissues from patients with TAD and healthy controls were collected, primary aortic VSMCs were also isolated. Immunohistochemistry, immunofluorescence and immunocytochemistry was used to visualize the target proteins. Western blot and RT-qPCR were used to examine the expression of mRNA and proteins. Lentivirus infection was used to downregulate or overexpress PC-1.Results: Compared with the control group, expression of PC-1 and the contractile phenotypic markers of VSMCs were decreased in TAD group, whereas expression of the synthetic markers of VSMCs, matrix metalloproteinase (MMP)-2, collagen I and collagen III were increased. The phosphorylation of mTOR, S6K and S6 were also elevated in TAD group. PC-1 downregulation of aortic VSMCs inhibited the expression of the contractile markers, but elevated the expression of the synthetic markers, MMP-2, collagen I and collagen III compared with the control group. The phosphorylation of mTOR, S6K and S6 were also increased in PKD-1-knockdown VSMCs. PC-1 upregulation reversed all these expression characteristics in aortic VSMCs. Furthermore, rapamycin treatment to PKD-1-knockdown VSMCs inhibited the effects caused by PC-1 downregulation. Conclusions: Our study revealed PC-1 downregulation induces aortic VSMCs phenotypic alteration and ECM remodeling via activation of mTOR/S6K/S6 signaling pathway. Downregulation of PC-1 might be a potential mechanism for the development and progression of TAD. Rapamycin might be a potential inhibitor to attenuate the development and progression of TAD.","container-title":"Frontiers in Physiology","DOI":"10.3389/fphys.2020.548055","ISSN":"1664-042X","journalAbbreviation":"Front. Physiol.","language":"English","publisher":"Frontiers","source":"Frontiers","title":"Polycystin-1 Downregulation Induced Vascular Smooth Muscle Cells Phenotypic Alteration and Extracellular Matrix Remodeling in Thoracic Aortic Dissection","URL":"https://www.frontiersin.org/journals/physiology/articles/10.3389/fphys.2020.548055/full","volume":"11","author":[{"family":"Zhang","given":"Jing"},{"family":"Liu","given":"Fei"},{"family":"He","given":"Yu-bin"},{"family":"Zhang","given":"Wei"},{"family":"Ma","given":"Wen-rui"},{"family":"Xing","given":"Jie"},{"family":"Wang","given":"Li-xin"}],"accessed":{"date-parts":[["2026",1,20]]},"issued":{"date-parts":[["2020",9,24]]}}}],"schema":"https://github.com/citation-style-language/schema/raw/master/csl-citation.json"} </w:instrText>
      </w:r>
      <w:r>
        <w:rPr>
          <w:rFonts w:ascii="Arial" w:hAnsi="Arial" w:cs="Arial"/>
          <w:i/>
          <w:iCs/>
          <w:color w:val="000000" w:themeColor="text1"/>
          <w:sz w:val="20"/>
          <w:szCs w:val="20"/>
        </w:rPr>
        <w:fldChar w:fldCharType="separate"/>
      </w:r>
      <w:r>
        <w:rPr>
          <w:rFonts w:ascii="Arial" w:hAnsi="Arial" w:cs="Arial"/>
          <w:color w:val="000000"/>
          <w:sz w:val="20"/>
        </w:rPr>
        <w:t>(171)</w:t>
      </w:r>
      <w:r>
        <w:rPr>
          <w:rFonts w:ascii="Arial" w:hAnsi="Arial" w:cs="Arial"/>
          <w:i/>
          <w:iCs/>
          <w:color w:val="000000" w:themeColor="text1"/>
          <w:sz w:val="20"/>
          <w:szCs w:val="20"/>
        </w:rPr>
        <w:fldChar w:fldCharType="end"/>
      </w:r>
      <w:r>
        <w:rPr>
          <w:rFonts w:ascii="Arial" w:hAnsi="Arial" w:cs="Arial"/>
          <w:color w:val="000000" w:themeColor="text1"/>
          <w:sz w:val="20"/>
          <w:szCs w:val="20"/>
        </w:rPr>
        <w:t xml:space="preserve"> and ECM-producing genes such as </w:t>
      </w:r>
      <w:r w:rsidRPr="0020399E">
        <w:rPr>
          <w:rFonts w:ascii="Arial" w:hAnsi="Arial" w:cs="Arial"/>
          <w:i/>
          <w:iCs/>
          <w:color w:val="000000" w:themeColor="text1"/>
          <w:sz w:val="20"/>
          <w:szCs w:val="20"/>
        </w:rPr>
        <w:t>FN1</w:t>
      </w:r>
      <w:r>
        <w:rPr>
          <w:rFonts w:ascii="Arial" w:hAnsi="Arial" w:cs="Arial"/>
          <w:i/>
          <w:iCs/>
          <w:color w:val="000000" w:themeColor="text1"/>
          <w:sz w:val="20"/>
          <w:szCs w:val="20"/>
        </w:rPr>
        <w:t xml:space="preserve"> </w:t>
      </w:r>
      <w:r w:rsidRPr="0020399E">
        <w:rPr>
          <w:rFonts w:ascii="Arial" w:hAnsi="Arial" w:cs="Arial"/>
          <w:color w:val="000000" w:themeColor="text1"/>
          <w:sz w:val="20"/>
          <w:szCs w:val="20"/>
        </w:rPr>
        <w:t>and</w:t>
      </w:r>
      <w:r>
        <w:rPr>
          <w:rFonts w:ascii="Arial" w:hAnsi="Arial" w:cs="Arial"/>
          <w:i/>
          <w:iCs/>
          <w:color w:val="000000" w:themeColor="text1"/>
          <w:sz w:val="20"/>
          <w:szCs w:val="20"/>
        </w:rPr>
        <w:t xml:space="preserve"> </w:t>
      </w:r>
      <w:r w:rsidRPr="0020399E">
        <w:rPr>
          <w:rFonts w:ascii="Arial" w:hAnsi="Arial" w:cs="Arial"/>
          <w:i/>
          <w:iCs/>
          <w:color w:val="000000" w:themeColor="text1"/>
          <w:sz w:val="20"/>
          <w:szCs w:val="20"/>
        </w:rPr>
        <w:t>COL1A1</w:t>
      </w:r>
      <w:r>
        <w:rPr>
          <w:rFonts w:ascii="Arial" w:hAnsi="Arial" w:cs="Arial"/>
          <w:color w:val="000000" w:themeColor="text1"/>
          <w:sz w:val="20"/>
          <w:szCs w:val="20"/>
        </w:rPr>
        <w:t>.</w:t>
      </w:r>
    </w:p>
    <w:p w14:paraId="6F7D6E1E" w14:textId="77777777" w:rsidR="00F94AAA" w:rsidRDefault="00F94AAA" w:rsidP="00F94AAA">
      <w:pPr>
        <w:rPr>
          <w:rFonts w:ascii="Arial" w:hAnsi="Arial" w:cs="Arial"/>
          <w:color w:val="000000" w:themeColor="text1"/>
          <w:sz w:val="20"/>
          <w:szCs w:val="20"/>
        </w:rPr>
      </w:pPr>
      <w:r>
        <w:rPr>
          <w:rFonts w:ascii="Arial" w:hAnsi="Arial" w:cs="Arial"/>
          <w:color w:val="000000" w:themeColor="text1"/>
          <w:sz w:val="20"/>
          <w:szCs w:val="20"/>
        </w:rPr>
        <w:t>(</w:t>
      </w:r>
      <w:r w:rsidRPr="00CD0AAE">
        <w:rPr>
          <w:rFonts w:ascii="Arial" w:hAnsi="Arial" w:cs="Arial"/>
          <w:b/>
          <w:bCs/>
          <w:color w:val="000000" w:themeColor="text1"/>
          <w:sz w:val="20"/>
          <w:szCs w:val="20"/>
        </w:rPr>
        <w:t>l</w:t>
      </w:r>
      <w:r>
        <w:rPr>
          <w:rFonts w:ascii="Arial" w:hAnsi="Arial" w:cs="Arial"/>
          <w:color w:val="000000" w:themeColor="text1"/>
          <w:sz w:val="20"/>
          <w:szCs w:val="20"/>
        </w:rPr>
        <w:t>) Given the low number of epicardial cells, no further subclustering was performed for this cluster.</w:t>
      </w:r>
    </w:p>
    <w:p w14:paraId="39F65AF4" w14:textId="77777777" w:rsidR="00F94AAA" w:rsidRDefault="00F94AAA" w:rsidP="00F94AAA">
      <w:pPr>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b/>
          <w:bCs/>
          <w:color w:val="000000" w:themeColor="text1"/>
          <w:sz w:val="20"/>
          <w:szCs w:val="20"/>
        </w:rPr>
        <w:t>m</w:t>
      </w:r>
      <w:r>
        <w:rPr>
          <w:rFonts w:ascii="Arial" w:hAnsi="Arial" w:cs="Arial"/>
          <w:color w:val="000000" w:themeColor="text1"/>
          <w:sz w:val="20"/>
          <w:szCs w:val="20"/>
        </w:rPr>
        <w:t>) Given the low number of Mast cells, no further subclustering was performed for this cluster.</w:t>
      </w:r>
    </w:p>
    <w:p w14:paraId="3B0C0541" w14:textId="77777777" w:rsidR="00F94AAA" w:rsidRDefault="00F94AAA" w:rsidP="00F94AAA">
      <w:pPr>
        <w:rPr>
          <w:rFonts w:ascii="Arial" w:hAnsi="Arial" w:cs="Arial"/>
          <w:color w:val="000000" w:themeColor="text1"/>
          <w:sz w:val="20"/>
          <w:szCs w:val="20"/>
        </w:rPr>
      </w:pPr>
      <w:r w:rsidRPr="00207823">
        <w:rPr>
          <w:rFonts w:ascii="Arial" w:hAnsi="Arial" w:cs="Arial"/>
          <w:b/>
          <w:bCs/>
          <w:color w:val="000000" w:themeColor="text1"/>
          <w:sz w:val="20"/>
          <w:szCs w:val="20"/>
        </w:rPr>
        <w:t>(n)</w:t>
      </w:r>
      <w:r>
        <w:rPr>
          <w:rFonts w:ascii="Arial" w:hAnsi="Arial" w:cs="Arial"/>
          <w:color w:val="000000" w:themeColor="text1"/>
          <w:sz w:val="20"/>
          <w:szCs w:val="20"/>
        </w:rPr>
        <w:t xml:space="preserve"> The UMAP embedding, colored by subcluster.</w:t>
      </w:r>
      <w:r w:rsidRPr="004C65B9">
        <w:rPr>
          <w:rFonts w:ascii="Arial" w:hAnsi="Arial" w:cs="Arial"/>
          <w:color w:val="000000" w:themeColor="text1"/>
          <w:sz w:val="20"/>
          <w:szCs w:val="20"/>
        </w:rPr>
        <w:br w:type="page"/>
      </w:r>
    </w:p>
    <w:p w14:paraId="57325472" w14:textId="77777777" w:rsidR="00F94AAA" w:rsidRPr="007B4F6A" w:rsidRDefault="00F94AAA" w:rsidP="00F94AAA">
      <w:pPr>
        <w:jc w:val="center"/>
        <w:rPr>
          <w:rStyle w:val="Heading1Char"/>
          <w:rFonts w:ascii="Arial" w:eastAsiaTheme="minorEastAsia" w:hAnsi="Arial" w:cs="Arial"/>
          <w:color w:val="auto"/>
          <w:sz w:val="22"/>
          <w:szCs w:val="22"/>
        </w:rPr>
      </w:pPr>
      <w:r>
        <w:rPr>
          <w:rFonts w:ascii="Arial" w:hAnsi="Arial" w:cs="Arial"/>
          <w:noProof/>
          <w:sz w:val="22"/>
          <w:szCs w:val="22"/>
        </w:rPr>
        <w:lastRenderedPageBreak/>
        <w:drawing>
          <wp:inline distT="0" distB="0" distL="0" distR="0" wp14:anchorId="00DF1BDE" wp14:editId="724A52D6">
            <wp:extent cx="5015060" cy="7346993"/>
            <wp:effectExtent l="0" t="0" r="1905" b="0"/>
            <wp:docPr id="1925423488" name="Picture 2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23488" name="Picture 20"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37090" cy="7379267"/>
                    </a:xfrm>
                    <a:prstGeom prst="rect">
                      <a:avLst/>
                    </a:prstGeom>
                  </pic:spPr>
                </pic:pic>
              </a:graphicData>
            </a:graphic>
          </wp:inline>
        </w:drawing>
      </w:r>
    </w:p>
    <w:p w14:paraId="40DE7E58" w14:textId="77777777" w:rsidR="00F94AAA" w:rsidRPr="00237861" w:rsidRDefault="00F94AAA" w:rsidP="00F94AAA">
      <w:pPr>
        <w:rPr>
          <w:rFonts w:ascii="Arial" w:hAnsi="Arial" w:cs="Arial"/>
          <w:sz w:val="20"/>
          <w:szCs w:val="20"/>
        </w:rPr>
      </w:pPr>
      <w:bookmarkStart w:id="11" w:name="_Toc221608500"/>
      <w:r>
        <w:rPr>
          <w:rStyle w:val="Heading1Char"/>
          <w:rFonts w:ascii="Arial" w:hAnsi="Arial" w:cs="Arial"/>
          <w:b/>
          <w:bCs/>
          <w:sz w:val="20"/>
          <w:szCs w:val="20"/>
        </w:rPr>
        <w:t>Fig. S5</w:t>
      </w:r>
      <w:r w:rsidRPr="002C6AA6">
        <w:rPr>
          <w:rStyle w:val="Heading1Char"/>
          <w:rFonts w:ascii="Arial" w:hAnsi="Arial" w:cs="Arial"/>
          <w:b/>
          <w:bCs/>
          <w:sz w:val="20"/>
          <w:szCs w:val="20"/>
        </w:rPr>
        <w:t xml:space="preserve"> – Single-nucleus ATAC-seq dataset of human cardiac development and aging generated in this study</w:t>
      </w:r>
      <w:r>
        <w:rPr>
          <w:rStyle w:val="Heading1Char"/>
          <w:rFonts w:ascii="Arial" w:hAnsi="Arial" w:cs="Arial"/>
          <w:b/>
          <w:bCs/>
          <w:sz w:val="20"/>
          <w:szCs w:val="20"/>
        </w:rPr>
        <w:t xml:space="preserve"> (Penn)</w:t>
      </w:r>
      <w:bookmarkEnd w:id="11"/>
      <w:r w:rsidRPr="002C6AA6">
        <w:rPr>
          <w:rFonts w:ascii="Arial" w:hAnsi="Arial" w:cs="Arial"/>
          <w:sz w:val="20"/>
          <w:szCs w:val="20"/>
        </w:rPr>
        <w:t xml:space="preserve">: </w:t>
      </w:r>
      <w:r w:rsidRPr="002C6AA6">
        <w:rPr>
          <w:rFonts w:ascii="Arial" w:hAnsi="Arial" w:cs="Arial"/>
          <w:b/>
          <w:bCs/>
          <w:sz w:val="20"/>
          <w:szCs w:val="20"/>
        </w:rPr>
        <w:t>(a)</w:t>
      </w:r>
      <w:r w:rsidRPr="002C6AA6">
        <w:rPr>
          <w:rFonts w:ascii="Arial" w:hAnsi="Arial" w:cs="Arial"/>
          <w:sz w:val="20"/>
          <w:szCs w:val="20"/>
        </w:rPr>
        <w:t xml:space="preserve"> Summary of </w:t>
      </w:r>
      <w:r>
        <w:rPr>
          <w:rFonts w:ascii="Arial" w:hAnsi="Arial" w:cs="Arial"/>
          <w:sz w:val="20"/>
          <w:szCs w:val="20"/>
        </w:rPr>
        <w:t xml:space="preserve">newly generated </w:t>
      </w:r>
      <w:proofErr w:type="spellStart"/>
      <w:r>
        <w:rPr>
          <w:rFonts w:ascii="Arial" w:hAnsi="Arial" w:cs="Arial"/>
          <w:sz w:val="20"/>
          <w:szCs w:val="20"/>
        </w:rPr>
        <w:t>snATAC</w:t>
      </w:r>
      <w:proofErr w:type="spellEnd"/>
      <w:r>
        <w:rPr>
          <w:rFonts w:ascii="Arial" w:hAnsi="Arial" w:cs="Arial"/>
          <w:sz w:val="20"/>
          <w:szCs w:val="20"/>
        </w:rPr>
        <w:t>-seq datasets, displaying donor</w:t>
      </w:r>
      <w:r w:rsidRPr="002C6AA6">
        <w:rPr>
          <w:rFonts w:ascii="Arial" w:hAnsi="Arial" w:cs="Arial"/>
          <w:sz w:val="20"/>
          <w:szCs w:val="20"/>
        </w:rPr>
        <w:t xml:space="preserve"> sex and developmental stage.</w:t>
      </w:r>
      <w:r>
        <w:rPr>
          <w:rFonts w:ascii="Arial" w:hAnsi="Arial" w:cs="Arial"/>
          <w:sz w:val="20"/>
          <w:szCs w:val="20"/>
        </w:rPr>
        <w:t xml:space="preserve"> Raw sequencing reads were converted to fragment files using cellranger-</w:t>
      </w:r>
      <w:proofErr w:type="spellStart"/>
      <w:r>
        <w:rPr>
          <w:rFonts w:ascii="Arial" w:hAnsi="Arial" w:cs="Arial"/>
          <w:sz w:val="20"/>
          <w:szCs w:val="20"/>
        </w:rPr>
        <w:t>atac</w:t>
      </w:r>
      <w:proofErr w:type="spellEnd"/>
      <w:r>
        <w:rPr>
          <w:rFonts w:ascii="Arial" w:hAnsi="Arial" w:cs="Arial"/>
          <w:sz w:val="20"/>
          <w:szCs w:val="20"/>
        </w:rPr>
        <w:t xml:space="preserve"> v2.1.0. </w:t>
      </w:r>
      <w:r w:rsidRPr="002C6AA6">
        <w:rPr>
          <w:rFonts w:ascii="Arial" w:hAnsi="Arial" w:cs="Arial"/>
          <w:sz w:val="20"/>
          <w:szCs w:val="20"/>
        </w:rPr>
        <w:t xml:space="preserve"> </w:t>
      </w:r>
      <w:r w:rsidRPr="002C6AA6">
        <w:rPr>
          <w:rFonts w:ascii="Arial" w:hAnsi="Arial" w:cs="Arial"/>
          <w:b/>
          <w:bCs/>
          <w:sz w:val="20"/>
          <w:szCs w:val="20"/>
        </w:rPr>
        <w:t xml:space="preserve">(b) </w:t>
      </w:r>
      <w:r w:rsidRPr="002C6AA6">
        <w:rPr>
          <w:rFonts w:ascii="Arial" w:hAnsi="Arial" w:cs="Arial"/>
          <w:sz w:val="20"/>
          <w:szCs w:val="20"/>
        </w:rPr>
        <w:t>Sampled regions and number of nuclei per donor</w:t>
      </w:r>
      <w:r w:rsidRPr="002C6AA6">
        <w:rPr>
          <w:rFonts w:ascii="Arial" w:hAnsi="Arial" w:cs="Arial"/>
          <w:b/>
          <w:bCs/>
          <w:sz w:val="20"/>
          <w:szCs w:val="20"/>
        </w:rPr>
        <w:t xml:space="preserve"> (c-d)</w:t>
      </w:r>
      <w:r w:rsidRPr="002C6AA6">
        <w:rPr>
          <w:rFonts w:ascii="Arial" w:hAnsi="Arial" w:cs="Arial"/>
          <w:sz w:val="20"/>
          <w:szCs w:val="20"/>
        </w:rPr>
        <w:t xml:space="preserve"> Summary statistics of </w:t>
      </w:r>
      <w:proofErr w:type="spellStart"/>
      <w:r w:rsidRPr="002C6AA6">
        <w:rPr>
          <w:rFonts w:ascii="Arial" w:hAnsi="Arial" w:cs="Arial"/>
          <w:sz w:val="20"/>
          <w:szCs w:val="20"/>
        </w:rPr>
        <w:t>snATAC</w:t>
      </w:r>
      <w:proofErr w:type="spellEnd"/>
      <w:r w:rsidRPr="002C6AA6">
        <w:rPr>
          <w:rFonts w:ascii="Arial" w:hAnsi="Arial" w:cs="Arial"/>
          <w:sz w:val="20"/>
          <w:szCs w:val="20"/>
        </w:rPr>
        <w:t>-seq libraries, including TSS enrichment score and # of fragment</w:t>
      </w:r>
      <w:r>
        <w:rPr>
          <w:rFonts w:ascii="Arial" w:hAnsi="Arial" w:cs="Arial"/>
          <w:sz w:val="20"/>
          <w:szCs w:val="20"/>
        </w:rPr>
        <w:t>s</w:t>
      </w:r>
      <w:r w:rsidRPr="002C6AA6">
        <w:rPr>
          <w:rFonts w:ascii="Arial" w:hAnsi="Arial" w:cs="Arial"/>
          <w:sz w:val="20"/>
          <w:szCs w:val="20"/>
        </w:rPr>
        <w:t xml:space="preserve"> per nucleus, respectively. </w:t>
      </w:r>
      <w:r w:rsidRPr="009174F8">
        <w:rPr>
          <w:rFonts w:ascii="Arial" w:hAnsi="Arial" w:cs="Arial"/>
          <w:b/>
          <w:bCs/>
          <w:sz w:val="20"/>
          <w:szCs w:val="20"/>
        </w:rPr>
        <w:t>(e)</w:t>
      </w:r>
      <w:r w:rsidRPr="002C6AA6">
        <w:rPr>
          <w:rFonts w:ascii="Arial" w:hAnsi="Arial" w:cs="Arial"/>
          <w:sz w:val="20"/>
          <w:szCs w:val="20"/>
        </w:rPr>
        <w:t xml:space="preserve"> UMAP of integrated snRNA-seq (left) and </w:t>
      </w:r>
      <w:proofErr w:type="spellStart"/>
      <w:r w:rsidRPr="002C6AA6">
        <w:rPr>
          <w:rFonts w:ascii="Arial" w:hAnsi="Arial" w:cs="Arial"/>
          <w:sz w:val="20"/>
          <w:szCs w:val="20"/>
        </w:rPr>
        <w:t>snATAC</w:t>
      </w:r>
      <w:proofErr w:type="spellEnd"/>
      <w:r w:rsidRPr="002C6AA6">
        <w:rPr>
          <w:rFonts w:ascii="Arial" w:hAnsi="Arial" w:cs="Arial"/>
          <w:sz w:val="20"/>
          <w:szCs w:val="20"/>
        </w:rPr>
        <w:t>-seq (right) datasets of adult human left ventricle (LV, non-diseased) from this study. The cell</w:t>
      </w:r>
      <w:r>
        <w:rPr>
          <w:rFonts w:ascii="Arial" w:hAnsi="Arial" w:cs="Arial"/>
          <w:sz w:val="20"/>
          <w:szCs w:val="20"/>
        </w:rPr>
        <w:t xml:space="preserve"> </w:t>
      </w:r>
      <w:r w:rsidRPr="002C6AA6">
        <w:rPr>
          <w:rFonts w:ascii="Arial" w:hAnsi="Arial" w:cs="Arial"/>
          <w:sz w:val="20"/>
          <w:szCs w:val="20"/>
        </w:rPr>
        <w:t xml:space="preserve">types are annotated based on snRNA-seq. </w:t>
      </w:r>
      <w:r w:rsidRPr="002C6AA6">
        <w:rPr>
          <w:rFonts w:ascii="Arial" w:hAnsi="Arial" w:cs="Arial"/>
          <w:b/>
          <w:bCs/>
          <w:sz w:val="20"/>
          <w:szCs w:val="20"/>
        </w:rPr>
        <w:t>(</w:t>
      </w:r>
      <w:r>
        <w:rPr>
          <w:rFonts w:ascii="Arial" w:hAnsi="Arial" w:cs="Arial"/>
          <w:b/>
          <w:bCs/>
          <w:sz w:val="20"/>
          <w:szCs w:val="20"/>
        </w:rPr>
        <w:t>f</w:t>
      </w:r>
      <w:r w:rsidRPr="002C6AA6">
        <w:rPr>
          <w:rFonts w:ascii="Arial" w:hAnsi="Arial" w:cs="Arial"/>
          <w:b/>
          <w:bCs/>
          <w:sz w:val="20"/>
          <w:szCs w:val="20"/>
        </w:rPr>
        <w:t xml:space="preserve">) </w:t>
      </w:r>
      <w:r w:rsidRPr="002C6AA6">
        <w:rPr>
          <w:rFonts w:ascii="Arial" w:hAnsi="Arial" w:cs="Arial"/>
          <w:sz w:val="20"/>
          <w:szCs w:val="20"/>
        </w:rPr>
        <w:t>Genomic track views of normalized gene expression (RNA) and chromatin accessibility (ATAC) for three cell-type</w:t>
      </w:r>
      <w:r w:rsidRPr="00BA1A8B">
        <w:rPr>
          <w:rFonts w:ascii="Arial" w:hAnsi="Arial" w:cs="Arial"/>
          <w:sz w:val="22"/>
          <w:szCs w:val="22"/>
        </w:rPr>
        <w:t>–</w:t>
      </w:r>
      <w:r w:rsidRPr="002C6AA6">
        <w:rPr>
          <w:rFonts w:ascii="Arial" w:hAnsi="Arial" w:cs="Arial"/>
          <w:sz w:val="20"/>
          <w:szCs w:val="20"/>
        </w:rPr>
        <w:t>specific marker genes (</w:t>
      </w:r>
      <w:r w:rsidRPr="002C6AA6">
        <w:rPr>
          <w:rFonts w:ascii="Arial" w:hAnsi="Arial" w:cs="Arial"/>
          <w:i/>
          <w:iCs/>
          <w:sz w:val="20"/>
          <w:szCs w:val="20"/>
        </w:rPr>
        <w:t>RYR2</w:t>
      </w:r>
      <w:r w:rsidRPr="002C6AA6">
        <w:rPr>
          <w:rFonts w:ascii="Arial" w:hAnsi="Arial" w:cs="Arial"/>
          <w:sz w:val="20"/>
          <w:szCs w:val="20"/>
        </w:rPr>
        <w:t xml:space="preserve"> for cardiomyocytes, </w:t>
      </w:r>
      <w:r w:rsidRPr="002C6AA6">
        <w:rPr>
          <w:rFonts w:ascii="Arial" w:hAnsi="Arial" w:cs="Arial"/>
          <w:i/>
          <w:iCs/>
          <w:sz w:val="20"/>
          <w:szCs w:val="20"/>
        </w:rPr>
        <w:t>VWF</w:t>
      </w:r>
      <w:r w:rsidRPr="002C6AA6">
        <w:rPr>
          <w:rFonts w:ascii="Arial" w:hAnsi="Arial" w:cs="Arial"/>
          <w:sz w:val="20"/>
          <w:szCs w:val="20"/>
        </w:rPr>
        <w:t xml:space="preserve"> for endothelial cells, and </w:t>
      </w:r>
      <w:r w:rsidRPr="002C6AA6">
        <w:rPr>
          <w:rFonts w:ascii="Arial" w:hAnsi="Arial" w:cs="Arial"/>
          <w:i/>
          <w:iCs/>
          <w:sz w:val="20"/>
          <w:szCs w:val="20"/>
        </w:rPr>
        <w:t>DCN</w:t>
      </w:r>
      <w:r w:rsidRPr="002C6AA6">
        <w:rPr>
          <w:rFonts w:ascii="Arial" w:hAnsi="Arial" w:cs="Arial"/>
          <w:sz w:val="20"/>
          <w:szCs w:val="20"/>
        </w:rPr>
        <w:t xml:space="preserve"> for fibroblasts). </w:t>
      </w:r>
    </w:p>
    <w:p w14:paraId="32A1C325" w14:textId="77777777" w:rsidR="00F94AAA" w:rsidRPr="004C65B9" w:rsidRDefault="00F94AAA" w:rsidP="00F94AAA">
      <w:pPr>
        <w:rPr>
          <w:rFonts w:ascii="Arial" w:hAnsi="Arial" w:cs="Arial"/>
          <w:color w:val="000000" w:themeColor="text1"/>
          <w:sz w:val="20"/>
          <w:szCs w:val="20"/>
        </w:rPr>
      </w:pPr>
    </w:p>
    <w:p w14:paraId="02C83FBB" w14:textId="77777777" w:rsidR="00F94AAA" w:rsidRDefault="00F94AAA" w:rsidP="00F94AAA">
      <w:pPr>
        <w:jc w:val="center"/>
        <w:rPr>
          <w:rFonts w:ascii="Arial" w:hAnsi="Arial" w:cs="Arial"/>
          <w:sz w:val="22"/>
          <w:szCs w:val="22"/>
        </w:rPr>
      </w:pPr>
      <w:r>
        <w:rPr>
          <w:rFonts w:ascii="Arial" w:hAnsi="Arial" w:cs="Arial"/>
          <w:noProof/>
          <w:sz w:val="22"/>
          <w:szCs w:val="22"/>
        </w:rPr>
        <w:drawing>
          <wp:inline distT="0" distB="0" distL="0" distR="0" wp14:anchorId="591D2362" wp14:editId="1688CE67">
            <wp:extent cx="5585254" cy="7410287"/>
            <wp:effectExtent l="0" t="0" r="3175" b="0"/>
            <wp:docPr id="212016015" name="Picture 2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6015" name="Picture 23" descr="A screenshot of a computer scree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24931" cy="7462929"/>
                    </a:xfrm>
                    <a:prstGeom prst="rect">
                      <a:avLst/>
                    </a:prstGeom>
                  </pic:spPr>
                </pic:pic>
              </a:graphicData>
            </a:graphic>
          </wp:inline>
        </w:drawing>
      </w:r>
    </w:p>
    <w:p w14:paraId="5741A1E1" w14:textId="77777777" w:rsidR="00F94AAA" w:rsidRPr="00CA0EB1" w:rsidRDefault="00F94AAA" w:rsidP="00F94AAA">
      <w:pPr>
        <w:rPr>
          <w:rFonts w:ascii="Arial" w:hAnsi="Arial" w:cs="Arial"/>
          <w:sz w:val="20"/>
          <w:szCs w:val="20"/>
        </w:rPr>
      </w:pPr>
      <w:bookmarkStart w:id="12" w:name="_Toc221608501"/>
      <w:r>
        <w:rPr>
          <w:rStyle w:val="Heading1Char"/>
          <w:b/>
          <w:bCs/>
          <w:sz w:val="20"/>
          <w:szCs w:val="20"/>
        </w:rPr>
        <w:t>Fig. S6</w:t>
      </w:r>
      <w:r w:rsidRPr="00D8218C">
        <w:rPr>
          <w:rStyle w:val="Heading1Char"/>
          <w:b/>
          <w:bCs/>
          <w:sz w:val="20"/>
          <w:szCs w:val="20"/>
        </w:rPr>
        <w:t xml:space="preserve"> – Additional </w:t>
      </w:r>
      <w:proofErr w:type="spellStart"/>
      <w:r w:rsidRPr="00D8218C">
        <w:rPr>
          <w:rStyle w:val="Heading1Char"/>
          <w:b/>
          <w:bCs/>
          <w:sz w:val="20"/>
          <w:szCs w:val="20"/>
        </w:rPr>
        <w:t>snATAC</w:t>
      </w:r>
      <w:proofErr w:type="spellEnd"/>
      <w:r w:rsidRPr="00D8218C">
        <w:rPr>
          <w:rStyle w:val="Heading1Char"/>
          <w:b/>
          <w:bCs/>
          <w:sz w:val="20"/>
          <w:szCs w:val="20"/>
        </w:rPr>
        <w:t>-seq plots</w:t>
      </w:r>
      <w:bookmarkStart w:id="13" w:name="_Hlk210648654"/>
      <w:bookmarkEnd w:id="12"/>
      <w:r w:rsidRPr="00904255">
        <w:rPr>
          <w:rFonts w:ascii="Arial" w:hAnsi="Arial" w:cs="Arial"/>
          <w:sz w:val="20"/>
          <w:szCs w:val="20"/>
        </w:rPr>
        <w:t>:</w:t>
      </w:r>
      <w:r>
        <w:rPr>
          <w:rFonts w:ascii="Arial" w:hAnsi="Arial" w:cs="Arial"/>
          <w:sz w:val="20"/>
          <w:szCs w:val="20"/>
        </w:rPr>
        <w:t xml:space="preserve"> </w:t>
      </w:r>
      <w:r w:rsidRPr="002F0E69">
        <w:rPr>
          <w:rFonts w:ascii="Arial" w:hAnsi="Arial" w:cs="Arial"/>
          <w:b/>
          <w:bCs/>
          <w:sz w:val="20"/>
          <w:szCs w:val="20"/>
        </w:rPr>
        <w:t>(a)</w:t>
      </w:r>
      <w:r>
        <w:rPr>
          <w:rFonts w:ascii="Arial" w:hAnsi="Arial" w:cs="Arial"/>
          <w:sz w:val="20"/>
          <w:szCs w:val="20"/>
        </w:rPr>
        <w:t xml:space="preserve"> Integration of 5 </w:t>
      </w:r>
      <w:proofErr w:type="spellStart"/>
      <w:r>
        <w:rPr>
          <w:rFonts w:ascii="Arial" w:hAnsi="Arial" w:cs="Arial"/>
          <w:sz w:val="20"/>
          <w:szCs w:val="20"/>
        </w:rPr>
        <w:t>snATAC</w:t>
      </w:r>
      <w:proofErr w:type="spellEnd"/>
      <w:r>
        <w:rPr>
          <w:rFonts w:ascii="Arial" w:hAnsi="Arial" w:cs="Arial"/>
          <w:sz w:val="20"/>
          <w:szCs w:val="20"/>
        </w:rPr>
        <w:t xml:space="preserve">-seq datasets that had varying of fetal, non-diseased postnatal, and diseased postnatal donors </w:t>
      </w:r>
      <w:r w:rsidRPr="0065755E">
        <w:rPr>
          <w:rFonts w:ascii="Arial" w:hAnsi="Arial" w:cs="Arial"/>
          <w:b/>
          <w:bCs/>
          <w:sz w:val="20"/>
          <w:szCs w:val="20"/>
        </w:rPr>
        <w:t>(b)</w:t>
      </w:r>
      <w:r>
        <w:rPr>
          <w:rFonts w:ascii="Arial" w:hAnsi="Arial" w:cs="Arial"/>
          <w:sz w:val="20"/>
          <w:szCs w:val="20"/>
        </w:rPr>
        <w:t xml:space="preserve"> Integration steps for </w:t>
      </w:r>
      <w:proofErr w:type="spellStart"/>
      <w:r>
        <w:rPr>
          <w:rFonts w:ascii="Arial" w:hAnsi="Arial" w:cs="Arial"/>
          <w:sz w:val="20"/>
          <w:szCs w:val="20"/>
        </w:rPr>
        <w:t>snATAC</w:t>
      </w:r>
      <w:proofErr w:type="spellEnd"/>
      <w:r>
        <w:rPr>
          <w:rFonts w:ascii="Arial" w:hAnsi="Arial" w:cs="Arial"/>
          <w:sz w:val="20"/>
          <w:szCs w:val="20"/>
        </w:rPr>
        <w:t>-seq data.</w:t>
      </w:r>
      <w:r>
        <w:rPr>
          <w:rFonts w:ascii="Arial" w:hAnsi="Arial" w:cs="Arial"/>
          <w:b/>
          <w:bCs/>
          <w:sz w:val="20"/>
          <w:szCs w:val="20"/>
        </w:rPr>
        <w:t xml:space="preserve"> </w:t>
      </w:r>
      <w:r w:rsidRPr="00D8218C">
        <w:rPr>
          <w:rFonts w:ascii="Arial" w:hAnsi="Arial" w:cs="Arial"/>
          <w:b/>
          <w:bCs/>
          <w:sz w:val="20"/>
          <w:szCs w:val="20"/>
        </w:rPr>
        <w:t>(</w:t>
      </w:r>
      <w:r>
        <w:rPr>
          <w:rFonts w:ascii="Arial" w:hAnsi="Arial" w:cs="Arial"/>
          <w:b/>
          <w:bCs/>
          <w:sz w:val="20"/>
          <w:szCs w:val="20"/>
        </w:rPr>
        <w:t>c</w:t>
      </w:r>
      <w:r w:rsidRPr="00D8218C">
        <w:rPr>
          <w:rFonts w:ascii="Arial" w:hAnsi="Arial" w:cs="Arial"/>
          <w:b/>
          <w:bCs/>
          <w:sz w:val="20"/>
          <w:szCs w:val="20"/>
        </w:rPr>
        <w:t xml:space="preserve">) </w:t>
      </w:r>
      <w:r w:rsidRPr="00D8218C">
        <w:rPr>
          <w:rFonts w:ascii="Arial" w:hAnsi="Arial" w:cs="Arial"/>
          <w:sz w:val="20"/>
          <w:szCs w:val="20"/>
        </w:rPr>
        <w:t xml:space="preserve">Concordance between two approaches for annotating </w:t>
      </w:r>
      <w:proofErr w:type="spellStart"/>
      <w:r w:rsidRPr="00D8218C">
        <w:rPr>
          <w:rFonts w:ascii="Arial" w:hAnsi="Arial" w:cs="Arial"/>
          <w:sz w:val="20"/>
          <w:szCs w:val="20"/>
        </w:rPr>
        <w:t>snATAC</w:t>
      </w:r>
      <w:proofErr w:type="spellEnd"/>
      <w:r w:rsidRPr="00D8218C">
        <w:rPr>
          <w:rFonts w:ascii="Arial" w:hAnsi="Arial" w:cs="Arial"/>
          <w:sz w:val="20"/>
          <w:szCs w:val="20"/>
        </w:rPr>
        <w:t>-seq clusters: label transferring and gene imputation. For label transferring, we identified the cluster cell type as the corresponding RNA label that was most prevalent in that cluster using multiomic cells. For gene imputation, we perform MAGIC imputation on the accessibility to obtain imputed gene expression and then annotate cell types using marker genes</w:t>
      </w:r>
      <w:r w:rsidRPr="0002005A">
        <w:rPr>
          <w:rFonts w:ascii="Arial" w:hAnsi="Arial" w:cs="Arial"/>
          <w:b/>
          <w:bCs/>
          <w:sz w:val="20"/>
          <w:szCs w:val="20"/>
        </w:rPr>
        <w:t>. (</w:t>
      </w:r>
      <w:r>
        <w:rPr>
          <w:rFonts w:ascii="Arial" w:hAnsi="Arial" w:cs="Arial"/>
          <w:b/>
          <w:bCs/>
          <w:sz w:val="20"/>
          <w:szCs w:val="20"/>
        </w:rPr>
        <w:t>d</w:t>
      </w:r>
      <w:r w:rsidRPr="0002005A">
        <w:rPr>
          <w:rFonts w:ascii="Arial" w:hAnsi="Arial" w:cs="Arial"/>
          <w:b/>
          <w:bCs/>
          <w:sz w:val="20"/>
          <w:szCs w:val="20"/>
        </w:rPr>
        <w:t>)</w:t>
      </w:r>
      <w:r w:rsidRPr="00D8218C">
        <w:rPr>
          <w:rFonts w:ascii="Arial" w:hAnsi="Arial" w:cs="Arial"/>
          <w:sz w:val="20"/>
          <w:szCs w:val="20"/>
        </w:rPr>
        <w:t xml:space="preserve"> Number of nuclei per cell type in aggregated </w:t>
      </w:r>
      <w:proofErr w:type="spellStart"/>
      <w:r w:rsidRPr="00D8218C">
        <w:rPr>
          <w:rFonts w:ascii="Arial" w:hAnsi="Arial" w:cs="Arial"/>
          <w:sz w:val="20"/>
          <w:szCs w:val="20"/>
        </w:rPr>
        <w:t>snATAC</w:t>
      </w:r>
      <w:proofErr w:type="spellEnd"/>
      <w:r w:rsidRPr="00D8218C">
        <w:rPr>
          <w:rFonts w:ascii="Arial" w:hAnsi="Arial" w:cs="Arial"/>
          <w:sz w:val="20"/>
          <w:szCs w:val="20"/>
        </w:rPr>
        <w:t xml:space="preserve">-seq dataset </w:t>
      </w:r>
      <w:r w:rsidRPr="00D8218C">
        <w:rPr>
          <w:rFonts w:ascii="Arial" w:hAnsi="Arial" w:cs="Arial"/>
          <w:b/>
          <w:bCs/>
          <w:sz w:val="20"/>
          <w:szCs w:val="20"/>
        </w:rPr>
        <w:t>(</w:t>
      </w:r>
      <w:r>
        <w:rPr>
          <w:rFonts w:ascii="Arial" w:hAnsi="Arial" w:cs="Arial"/>
          <w:b/>
          <w:bCs/>
          <w:sz w:val="20"/>
          <w:szCs w:val="20"/>
        </w:rPr>
        <w:t>e</w:t>
      </w:r>
      <w:r w:rsidRPr="00D8218C">
        <w:rPr>
          <w:rFonts w:ascii="Arial" w:hAnsi="Arial" w:cs="Arial"/>
          <w:b/>
          <w:bCs/>
          <w:sz w:val="20"/>
          <w:szCs w:val="20"/>
        </w:rPr>
        <w:t>)</w:t>
      </w:r>
      <w:r w:rsidRPr="00D8218C">
        <w:rPr>
          <w:rFonts w:ascii="Arial" w:hAnsi="Arial" w:cs="Arial"/>
          <w:sz w:val="20"/>
          <w:szCs w:val="20"/>
        </w:rPr>
        <w:t xml:space="preserve"> UMAP for </w:t>
      </w:r>
      <w:proofErr w:type="spellStart"/>
      <w:r w:rsidRPr="00D8218C">
        <w:rPr>
          <w:rFonts w:ascii="Arial" w:hAnsi="Arial" w:cs="Arial"/>
          <w:sz w:val="20"/>
          <w:szCs w:val="20"/>
        </w:rPr>
        <w:t>snATAC</w:t>
      </w:r>
      <w:proofErr w:type="spellEnd"/>
      <w:r w:rsidRPr="00D8218C">
        <w:rPr>
          <w:rFonts w:ascii="Arial" w:hAnsi="Arial" w:cs="Arial"/>
          <w:sz w:val="20"/>
          <w:szCs w:val="20"/>
        </w:rPr>
        <w:t>-seq plots by study, technology, and developmental + disease status</w:t>
      </w:r>
      <w:r>
        <w:rPr>
          <w:rFonts w:ascii="Arial" w:hAnsi="Arial" w:cs="Arial"/>
          <w:sz w:val="20"/>
          <w:szCs w:val="20"/>
        </w:rPr>
        <w:t xml:space="preserve"> </w:t>
      </w:r>
      <w:bookmarkEnd w:id="13"/>
    </w:p>
    <w:p w14:paraId="0BEC1062"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235B431E" wp14:editId="7F2AA5FE">
            <wp:extent cx="6207760" cy="6398768"/>
            <wp:effectExtent l="0" t="0" r="2540" b="2540"/>
            <wp:docPr id="1341927219"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27219" name="Picture 2" descr="A screenshot of a computer scree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22363" cy="6413820"/>
                    </a:xfrm>
                    <a:prstGeom prst="rect">
                      <a:avLst/>
                    </a:prstGeom>
                  </pic:spPr>
                </pic:pic>
              </a:graphicData>
            </a:graphic>
          </wp:inline>
        </w:drawing>
      </w:r>
    </w:p>
    <w:p w14:paraId="7A3D2955" w14:textId="77777777" w:rsidR="00F94AAA" w:rsidRPr="00F07013" w:rsidRDefault="00F94AAA" w:rsidP="00F94AAA">
      <w:pPr>
        <w:rPr>
          <w:rFonts w:ascii="Arial" w:hAnsi="Arial" w:cs="Arial"/>
          <w:sz w:val="20"/>
          <w:szCs w:val="20"/>
        </w:rPr>
      </w:pPr>
      <w:bookmarkStart w:id="14" w:name="_Toc221608502"/>
      <w:r>
        <w:rPr>
          <w:rStyle w:val="Heading1Char"/>
          <w:rFonts w:ascii="Arial" w:hAnsi="Arial" w:cs="Arial"/>
          <w:b/>
          <w:bCs/>
          <w:sz w:val="20"/>
          <w:szCs w:val="20"/>
        </w:rPr>
        <w:t>Fig. S7</w:t>
      </w:r>
      <w:r w:rsidRPr="00F07013">
        <w:rPr>
          <w:rStyle w:val="Heading1Char"/>
          <w:rFonts w:ascii="Arial" w:hAnsi="Arial" w:cs="Arial"/>
          <w:b/>
          <w:bCs/>
          <w:sz w:val="20"/>
          <w:szCs w:val="20"/>
        </w:rPr>
        <w:t xml:space="preserve"> – Sex and aging pseudobulked DESeq2 analysis versus NEBULA analysis</w:t>
      </w:r>
      <w:bookmarkEnd w:id="14"/>
      <w:r w:rsidRPr="00F07013">
        <w:rPr>
          <w:rFonts w:ascii="Arial" w:hAnsi="Arial" w:cs="Arial"/>
          <w:sz w:val="20"/>
          <w:szCs w:val="20"/>
        </w:rPr>
        <w:t xml:space="preserve">: </w:t>
      </w:r>
      <w:r w:rsidRPr="00F07013">
        <w:rPr>
          <w:rFonts w:ascii="Arial" w:hAnsi="Arial" w:cs="Arial"/>
          <w:b/>
          <w:bCs/>
          <w:sz w:val="20"/>
          <w:szCs w:val="20"/>
        </w:rPr>
        <w:t xml:space="preserve">(a) </w:t>
      </w:r>
      <w:r>
        <w:rPr>
          <w:rFonts w:ascii="Arial" w:hAnsi="Arial" w:cs="Arial"/>
          <w:b/>
          <w:bCs/>
          <w:sz w:val="20"/>
          <w:szCs w:val="20"/>
        </w:rPr>
        <w:t xml:space="preserve">A </w:t>
      </w:r>
      <w:r w:rsidRPr="00F07013">
        <w:rPr>
          <w:rFonts w:ascii="Arial" w:hAnsi="Arial" w:cs="Arial"/>
          <w:sz w:val="20"/>
          <w:szCs w:val="20"/>
        </w:rPr>
        <w:t xml:space="preserve">NEBULA mixed-effect model </w:t>
      </w:r>
      <w:r>
        <w:rPr>
          <w:rFonts w:ascii="Arial" w:hAnsi="Arial" w:cs="Arial"/>
          <w:sz w:val="20"/>
          <w:szCs w:val="20"/>
        </w:rPr>
        <w:t xml:space="preserve">was </w:t>
      </w:r>
      <w:r w:rsidRPr="00F07013">
        <w:rPr>
          <w:rFonts w:ascii="Arial" w:hAnsi="Arial" w:cs="Arial"/>
          <w:sz w:val="20"/>
          <w:szCs w:val="20"/>
        </w:rPr>
        <w:t>used for differential gene expression analysis</w:t>
      </w:r>
      <w:r>
        <w:rPr>
          <w:rFonts w:ascii="Arial" w:hAnsi="Arial" w:cs="Arial"/>
          <w:sz w:val="20"/>
          <w:szCs w:val="20"/>
        </w:rPr>
        <w:t>. This model</w:t>
      </w:r>
      <w:r w:rsidRPr="00F07013">
        <w:rPr>
          <w:rFonts w:ascii="Arial" w:hAnsi="Arial" w:cs="Arial"/>
          <w:sz w:val="20"/>
          <w:szCs w:val="20"/>
        </w:rPr>
        <w:t xml:space="preserve"> uses the same covariates as Read et al. 2024</w:t>
      </w:r>
      <w:r>
        <w:rPr>
          <w:rFonts w:ascii="Arial" w:hAnsi="Arial" w:cs="Arial"/>
          <w:sz w:val="20"/>
          <w:szCs w:val="20"/>
        </w:rPr>
        <w:fldChar w:fldCharType="begin"/>
      </w:r>
      <w:r>
        <w:rPr>
          <w:rFonts w:ascii="Arial" w:hAnsi="Arial" w:cs="Arial"/>
          <w:sz w:val="20"/>
          <w:szCs w:val="20"/>
        </w:rPr>
        <w:instrText xml:space="preserve"> ADDIN ZOTERO_ITEM CSL_CITATION {"citationID":"4FYxA0Ci","properties":{"unsorted":false,"formattedCitation":"(172)","plainCitation":"(172)","noteIndex":0},"citationItems":[{"id":6789,"uris":["http://zotero.org/users/12236467/items/7RRFLVFW"],"itemData":{"id":6789,"type":"article","abstract":"Sex differences and age-related changes in the human heart at the tissue, cell, and molecular level have been well-documented and many may be relevant for cardiovascular disease. However, how molecular programs within individual cell types vary across individuals by age and sex remains poorly characterized. To better understand this variation, we performed single-nucleus combinatorial indexing (sci) ATAC- and RNA-Seq in human heart samples from nine donors. We identify hundreds of differentially expressed genes by age and sex. Sex dependent alterations include pathways such as TGFβ signaling and metabolic shifts by sex, evident in both transcriptional alterations and differing presence of transcription factor (TF) motifs in accessible chromatin. Age was associated with changes such as immune activation-related transcriptional and chromatin accessibility differences, as well as changes in the relative proportion of cardiomyocytes, neurons, and perivascular cells. In addition, we compare our adult-derived ATAC-Seq profiles to analogous fetal cell types to identify putative developmental-stage-specific regulatory factors. Finally, we train predictive models of cell-type-specific RNA expression levels utilizing ATAC-Seq profiles to link distal regulatory sequences to promoters, quantifying the predictive value of a simple TF-to-expression regulatory grammar and identifying cell-type-specific TFs.","DOI":"10.1101/2022.07.12.496461","language":"en","license":"© 2022, Posted by Cold Spring Harbor Laboratory. This pre-print is available under a Creative Commons License (Attribution-NoDerivs 4.0 International), CC BY-ND 4.0, as described at http://creativecommons.org/licenses/by-nd/4.0/","note":"page: 2022.07.12.496461\nsection: New Results","publisher":"bioRxiv","source":"bioRxiv","title":"Single-cell analysis of chromatin and expression reveals age- and sex-associated alterations in the human heart","URL":"https://www.biorxiv.org/content/10.1101/2022.07.12.496461v2","author":[{"family":"Read","given":"David F."},{"family":"Booth","given":"Gregory T."},{"family":"Daza","given":"Riza M."},{"family":"Jackson","given":"Dana L."},{"family":"Gladden","given":"Rula Green"},{"family":"Srivatsan","given":"Sanjay R."},{"family":"Ewing","given":"Brent"},{"family":"Franks","given":"Jennifer M."},{"family":"Spurrell","given":"Cailyn H."},{"family":"Gomes","given":"Anne Roshella"},{"family":"O’Day","given":"Diana"},{"family":"Gogate","given":"Aishwarya A."},{"family":"Martin","given":"Beth K."},{"family":"Starita","given":"Lea"},{"family":"Lin","given":"Yiing"},{"family":"Shendure","given":"Jay"},{"family":"Lin","given":"Shin"},{"family":"Trapnell","given":"Cole"}],"accessed":{"date-parts":[["2024",3,11]]},"issued":{"date-parts":[["2022",7,19]]}}}],"schema":"https://github.com/citation-style-language/schema/raw/master/csl-citation.json"} </w:instrText>
      </w:r>
      <w:r>
        <w:rPr>
          <w:rFonts w:ascii="Arial" w:hAnsi="Arial" w:cs="Arial"/>
          <w:sz w:val="20"/>
          <w:szCs w:val="20"/>
        </w:rPr>
        <w:fldChar w:fldCharType="separate"/>
      </w:r>
      <w:r>
        <w:rPr>
          <w:rFonts w:ascii="Arial" w:hAnsi="Arial" w:cs="Arial"/>
          <w:sz w:val="20"/>
        </w:rPr>
        <w:t>(172)</w:t>
      </w:r>
      <w:r>
        <w:rPr>
          <w:rFonts w:ascii="Arial" w:hAnsi="Arial" w:cs="Arial"/>
          <w:sz w:val="20"/>
          <w:szCs w:val="20"/>
        </w:rPr>
        <w:fldChar w:fldCharType="end"/>
      </w:r>
      <w:r w:rsidRPr="00F07013">
        <w:rPr>
          <w:rFonts w:ascii="Arial" w:hAnsi="Arial" w:cs="Arial"/>
          <w:sz w:val="20"/>
          <w:szCs w:val="20"/>
        </w:rPr>
        <w:t xml:space="preserve">. </w:t>
      </w:r>
      <w:r w:rsidRPr="00F07013">
        <w:rPr>
          <w:rFonts w:ascii="Arial" w:hAnsi="Arial" w:cs="Arial"/>
          <w:b/>
          <w:bCs/>
          <w:sz w:val="20"/>
          <w:szCs w:val="20"/>
        </w:rPr>
        <w:t>(b-c)</w:t>
      </w:r>
      <w:r w:rsidRPr="00F07013">
        <w:rPr>
          <w:rFonts w:ascii="Arial" w:hAnsi="Arial" w:cs="Arial"/>
          <w:sz w:val="20"/>
          <w:szCs w:val="20"/>
        </w:rPr>
        <w:t xml:space="preserve"> Number of differentially expressed genes (DEGs) by sex (male vs. female) and aging (</w:t>
      </w:r>
      <w:r>
        <w:rPr>
          <w:rFonts w:ascii="Arial" w:hAnsi="Arial" w:cs="Arial"/>
          <w:sz w:val="20"/>
          <w:szCs w:val="20"/>
        </w:rPr>
        <w:t>old vs. young</w:t>
      </w:r>
      <w:r w:rsidRPr="00F07013">
        <w:rPr>
          <w:rFonts w:ascii="Arial" w:hAnsi="Arial" w:cs="Arial"/>
          <w:sz w:val="20"/>
          <w:szCs w:val="20"/>
        </w:rPr>
        <w:t>) using NEBULA</w:t>
      </w:r>
      <w:r>
        <w:rPr>
          <w:rFonts w:ascii="Arial" w:hAnsi="Arial" w:cs="Arial"/>
          <w:sz w:val="20"/>
          <w:szCs w:val="20"/>
        </w:rPr>
        <w:fldChar w:fldCharType="begin"/>
      </w:r>
      <w:r>
        <w:rPr>
          <w:rFonts w:ascii="Arial" w:hAnsi="Arial" w:cs="Arial"/>
          <w:sz w:val="20"/>
          <w:szCs w:val="20"/>
        </w:rPr>
        <w:instrText xml:space="preserve"> ADDIN ZOTERO_ITEM CSL_CITATION {"citationID":"FmI5VsGq","properties":{"unsorted":false,"formattedCitation":"(39)","plainCitation":"(39)","noteIndex":0},"citationItems":[{"id":19832,"uris":["http://zotero.org/users/12236467/items/ZXXM7IQJ"],"itemData":{"id":19832,"type":"article-journal","abstract":"The increasing availability of single-cell data revolutionizes the understanding of biological mechanisms at cellular resolution. For differential expression analysis in multi-subject single-cell data, negative binomial mixed models account for both subject-level and cell-level overdispersions, but are computationally demanding. Here, we propose an efficient NEgative Binomial mixed model Using a Large-sample Approximation (NEBULA). The speed gain is achieved by analytically solving high-dimensional integrals instead of using the Laplace approximation. We demonstrate that NEBULA is orders of magnitude faster than existing tools and controls false-positive errors in marker gene identification and co-expression analysis. Using NEBULA in Alzheimer’s disease cohort data sets, we found that the cell-level expression of APOE correlated with that of other genetic risk factors (including CLU, CST3, TREM2, C1q, and ITM2B) in a cell-type-specific pattern and an isoform-dependent manner in microglia. NEBULA opens up a new avenue for the broad application of mixed models to large-scale multi-subject single-cell data.","container-title":"Communications Biology","DOI":"10.1038/s42003-021-02146-6","ISSN":"2399-3642","issue":"1","journalAbbreviation":"Commun Biol","language":"en","license":"2021 The Author(s)","page":"1-17","publisher":"Nature Publishing Group","source":"www-nature-com.proxy.library.upenn.edu","title":"NEBULA is a fast negative binomial mixed model for differential or co-expression analysis of large-scale multi-subject single-cell data","URL":"https://www.nature.com/articles/s42003-021-02146-6","volume":"4","author":[{"family":"He","given":"Liang"},{"family":"Davila-Velderrain","given":"Jose"},{"family":"Sumida","given":"Tomokazu S."},{"family":"Hafler","given":"David A."},{"family":"Kellis","given":"Manolis"},{"family":"Kulminski","given":"Alexander M."}],"accessed":{"date-parts":[["2024",10,16]]},"issued":{"date-parts":[["2021",5,26]]}}}],"schema":"https://github.com/citation-style-language/schema/raw/master/csl-citation.json"} </w:instrText>
      </w:r>
      <w:r>
        <w:rPr>
          <w:rFonts w:ascii="Arial" w:hAnsi="Arial" w:cs="Arial"/>
          <w:sz w:val="20"/>
          <w:szCs w:val="20"/>
        </w:rPr>
        <w:fldChar w:fldCharType="separate"/>
      </w:r>
      <w:r>
        <w:rPr>
          <w:rFonts w:ascii="Arial" w:hAnsi="Arial" w:cs="Arial"/>
          <w:sz w:val="20"/>
        </w:rPr>
        <w:t>(39)</w:t>
      </w:r>
      <w:r>
        <w:rPr>
          <w:rFonts w:ascii="Arial" w:hAnsi="Arial" w:cs="Arial"/>
          <w:sz w:val="20"/>
          <w:szCs w:val="20"/>
        </w:rPr>
        <w:fldChar w:fldCharType="end"/>
      </w:r>
      <w:r w:rsidRPr="00F07013">
        <w:rPr>
          <w:rFonts w:ascii="Arial" w:hAnsi="Arial" w:cs="Arial"/>
          <w:sz w:val="20"/>
          <w:szCs w:val="20"/>
        </w:rPr>
        <w:t xml:space="preserve">. </w:t>
      </w:r>
      <w:r w:rsidRPr="00F07013">
        <w:rPr>
          <w:rFonts w:ascii="Arial" w:hAnsi="Arial" w:cs="Arial"/>
          <w:b/>
          <w:bCs/>
          <w:sz w:val="20"/>
          <w:szCs w:val="20"/>
        </w:rPr>
        <w:t>(d)</w:t>
      </w:r>
      <w:r w:rsidRPr="00F07013">
        <w:rPr>
          <w:rFonts w:ascii="Arial" w:hAnsi="Arial" w:cs="Arial"/>
          <w:sz w:val="20"/>
          <w:szCs w:val="20"/>
        </w:rPr>
        <w:t xml:space="preserve"> Sex DEGs for adipocytes, which fails to detect some known sex chromosome genes that should be DEGs (false </w:t>
      </w:r>
      <w:r>
        <w:rPr>
          <w:rFonts w:ascii="Arial" w:hAnsi="Arial" w:cs="Arial"/>
          <w:sz w:val="20"/>
          <w:szCs w:val="20"/>
        </w:rPr>
        <w:t>negatives</w:t>
      </w:r>
      <w:r w:rsidRPr="00F07013">
        <w:rPr>
          <w:rFonts w:ascii="Arial" w:hAnsi="Arial" w:cs="Arial"/>
          <w:sz w:val="20"/>
          <w:szCs w:val="20"/>
        </w:rPr>
        <w:t>) and detects some genes as significant</w:t>
      </w:r>
      <w:r>
        <w:rPr>
          <w:rFonts w:ascii="Arial" w:hAnsi="Arial" w:cs="Arial"/>
          <w:sz w:val="20"/>
          <w:szCs w:val="20"/>
        </w:rPr>
        <w:t xml:space="preserve"> (</w:t>
      </w:r>
      <w:r w:rsidRPr="00D234D9">
        <w:rPr>
          <w:rFonts w:ascii="Arial" w:hAnsi="Arial" w:cs="Arial"/>
          <w:i/>
          <w:iCs/>
          <w:sz w:val="20"/>
          <w:szCs w:val="20"/>
        </w:rPr>
        <w:t>RYR2</w:t>
      </w:r>
      <w:r>
        <w:rPr>
          <w:rFonts w:ascii="Arial" w:hAnsi="Arial" w:cs="Arial"/>
          <w:sz w:val="20"/>
          <w:szCs w:val="20"/>
        </w:rPr>
        <w:t>)</w:t>
      </w:r>
      <w:r w:rsidRPr="00F07013">
        <w:rPr>
          <w:rFonts w:ascii="Arial" w:hAnsi="Arial" w:cs="Arial"/>
          <w:sz w:val="20"/>
          <w:szCs w:val="20"/>
        </w:rPr>
        <w:t xml:space="preserve"> that may be due to ambient RNA</w:t>
      </w:r>
      <w:r>
        <w:rPr>
          <w:rFonts w:ascii="Arial" w:hAnsi="Arial" w:cs="Arial"/>
          <w:sz w:val="20"/>
          <w:szCs w:val="20"/>
        </w:rPr>
        <w:t xml:space="preserve"> (false positives)</w:t>
      </w:r>
      <w:r w:rsidRPr="00F07013">
        <w:rPr>
          <w:rFonts w:ascii="Arial" w:hAnsi="Arial" w:cs="Arial"/>
          <w:sz w:val="20"/>
          <w:szCs w:val="20"/>
        </w:rPr>
        <w:t xml:space="preserve">. </w:t>
      </w:r>
      <w:r w:rsidRPr="00F07013">
        <w:rPr>
          <w:rFonts w:ascii="Arial" w:hAnsi="Arial" w:cs="Arial"/>
          <w:b/>
          <w:bCs/>
          <w:sz w:val="20"/>
          <w:szCs w:val="20"/>
        </w:rPr>
        <w:t>(e)</w:t>
      </w:r>
      <w:r w:rsidRPr="00F07013">
        <w:rPr>
          <w:rFonts w:ascii="Arial" w:hAnsi="Arial" w:cs="Arial"/>
          <w:sz w:val="20"/>
          <w:szCs w:val="20"/>
        </w:rPr>
        <w:t xml:space="preserve"> Pseudobulked DESeq2 sex DEGs, which identifies all expressed Y chromosomes as enriched in males and X-inactivation genes (</w:t>
      </w:r>
      <w:r w:rsidRPr="00F07013">
        <w:rPr>
          <w:rFonts w:ascii="Arial" w:hAnsi="Arial" w:cs="Arial"/>
          <w:i/>
          <w:iCs/>
          <w:sz w:val="20"/>
          <w:szCs w:val="20"/>
        </w:rPr>
        <w:t>XIST, TSIX</w:t>
      </w:r>
      <w:r w:rsidRPr="00F07013">
        <w:rPr>
          <w:rFonts w:ascii="Arial" w:hAnsi="Arial" w:cs="Arial"/>
          <w:sz w:val="20"/>
          <w:szCs w:val="20"/>
        </w:rPr>
        <w:t xml:space="preserve">) </w:t>
      </w:r>
      <w:r>
        <w:rPr>
          <w:rFonts w:ascii="Arial" w:hAnsi="Arial" w:cs="Arial"/>
          <w:sz w:val="20"/>
          <w:szCs w:val="20"/>
        </w:rPr>
        <w:t xml:space="preserve">as enriched </w:t>
      </w:r>
      <w:r w:rsidRPr="00F07013">
        <w:rPr>
          <w:rFonts w:ascii="Arial" w:hAnsi="Arial" w:cs="Arial"/>
          <w:sz w:val="20"/>
          <w:szCs w:val="20"/>
        </w:rPr>
        <w:t xml:space="preserve">in females. </w:t>
      </w:r>
      <w:r w:rsidRPr="00F07013">
        <w:rPr>
          <w:rFonts w:ascii="Arial" w:hAnsi="Arial" w:cs="Arial"/>
          <w:b/>
          <w:bCs/>
          <w:sz w:val="20"/>
          <w:szCs w:val="20"/>
        </w:rPr>
        <w:t>(f)</w:t>
      </w:r>
      <w:r w:rsidRPr="00F07013">
        <w:rPr>
          <w:rFonts w:ascii="Arial" w:hAnsi="Arial" w:cs="Arial"/>
          <w:sz w:val="20"/>
          <w:szCs w:val="20"/>
        </w:rPr>
        <w:t xml:space="preserve"> Comparison of sex DEGs by NEBULA vs. DESeq2. </w:t>
      </w:r>
      <w:r w:rsidRPr="00F07013">
        <w:rPr>
          <w:rFonts w:ascii="Arial" w:hAnsi="Arial" w:cs="Arial"/>
          <w:b/>
          <w:bCs/>
          <w:sz w:val="20"/>
          <w:szCs w:val="20"/>
        </w:rPr>
        <w:t>(g)</w:t>
      </w:r>
      <w:r w:rsidRPr="00F07013">
        <w:rPr>
          <w:rFonts w:ascii="Arial" w:hAnsi="Arial" w:cs="Arial"/>
          <w:sz w:val="20"/>
          <w:szCs w:val="20"/>
        </w:rPr>
        <w:t xml:space="preserve"> NEBULA aging DEGs for fibroblasts, which identifies the strongest DEG as </w:t>
      </w:r>
      <w:r w:rsidRPr="003414E8">
        <w:rPr>
          <w:rFonts w:ascii="Arial" w:hAnsi="Arial" w:cs="Arial"/>
          <w:i/>
          <w:iCs/>
          <w:sz w:val="20"/>
          <w:szCs w:val="20"/>
        </w:rPr>
        <w:t>RYR2</w:t>
      </w:r>
      <w:r w:rsidRPr="00F07013">
        <w:rPr>
          <w:rFonts w:ascii="Arial" w:hAnsi="Arial" w:cs="Arial"/>
          <w:sz w:val="20"/>
          <w:szCs w:val="20"/>
        </w:rPr>
        <w:t xml:space="preserve">, a cardiomyocyte marker, suggesting </w:t>
      </w:r>
      <w:r>
        <w:rPr>
          <w:rFonts w:ascii="Arial" w:hAnsi="Arial" w:cs="Arial"/>
          <w:sz w:val="20"/>
          <w:szCs w:val="20"/>
        </w:rPr>
        <w:t xml:space="preserve">that </w:t>
      </w:r>
      <w:r w:rsidRPr="00F07013">
        <w:rPr>
          <w:rFonts w:ascii="Arial" w:hAnsi="Arial" w:cs="Arial"/>
          <w:sz w:val="20"/>
          <w:szCs w:val="20"/>
        </w:rPr>
        <w:t xml:space="preserve">this may be a false positive. </w:t>
      </w:r>
      <w:r w:rsidRPr="007C382C">
        <w:rPr>
          <w:rFonts w:ascii="Arial" w:hAnsi="Arial" w:cs="Arial"/>
          <w:b/>
          <w:bCs/>
          <w:sz w:val="20"/>
          <w:szCs w:val="20"/>
        </w:rPr>
        <w:t>(h)</w:t>
      </w:r>
      <w:r w:rsidRPr="00F07013">
        <w:rPr>
          <w:rFonts w:ascii="Arial" w:hAnsi="Arial" w:cs="Arial"/>
          <w:sz w:val="20"/>
          <w:szCs w:val="20"/>
        </w:rPr>
        <w:t xml:space="preserve"> Pseudobulked DESeq2 aging DEGs, which identifies genes such as </w:t>
      </w:r>
      <w:r w:rsidRPr="00F07013">
        <w:rPr>
          <w:rFonts w:ascii="Arial" w:hAnsi="Arial" w:cs="Arial"/>
          <w:i/>
          <w:iCs/>
          <w:sz w:val="20"/>
          <w:szCs w:val="20"/>
        </w:rPr>
        <w:t>PTCHD4</w:t>
      </w:r>
      <w:r w:rsidRPr="00F07013">
        <w:rPr>
          <w:rFonts w:ascii="Arial" w:hAnsi="Arial" w:cs="Arial"/>
          <w:sz w:val="20"/>
          <w:szCs w:val="20"/>
        </w:rPr>
        <w:t xml:space="preserve"> that have been consistent with bulk RNA-seq cardiac aging changes in GTEx consortium. </w:t>
      </w:r>
      <w:r w:rsidRPr="00F07013">
        <w:rPr>
          <w:rFonts w:ascii="Arial" w:hAnsi="Arial" w:cs="Arial"/>
          <w:b/>
          <w:bCs/>
          <w:sz w:val="20"/>
          <w:szCs w:val="20"/>
        </w:rPr>
        <w:t>(</w:t>
      </w:r>
      <w:proofErr w:type="spellStart"/>
      <w:r w:rsidRPr="00F07013">
        <w:rPr>
          <w:rFonts w:ascii="Arial" w:hAnsi="Arial" w:cs="Arial"/>
          <w:b/>
          <w:bCs/>
          <w:sz w:val="20"/>
          <w:szCs w:val="20"/>
        </w:rPr>
        <w:t>i</w:t>
      </w:r>
      <w:proofErr w:type="spellEnd"/>
      <w:r w:rsidRPr="00F07013">
        <w:rPr>
          <w:rFonts w:ascii="Arial" w:hAnsi="Arial" w:cs="Arial"/>
          <w:b/>
          <w:bCs/>
          <w:sz w:val="20"/>
          <w:szCs w:val="20"/>
        </w:rPr>
        <w:t>)</w:t>
      </w:r>
      <w:r w:rsidRPr="00F07013">
        <w:rPr>
          <w:rFonts w:ascii="Arial" w:hAnsi="Arial" w:cs="Arial"/>
          <w:sz w:val="20"/>
          <w:szCs w:val="20"/>
        </w:rPr>
        <w:t xml:space="preserve"> Comparison of aging DEGs by NEBULA vs. DESeq2.</w:t>
      </w:r>
    </w:p>
    <w:p w14:paraId="1767A8C1" w14:textId="77777777" w:rsidR="00F94AAA" w:rsidRDefault="00F94AAA" w:rsidP="00F94AAA">
      <w:pPr>
        <w:rPr>
          <w:rFonts w:ascii="Arial" w:hAnsi="Arial" w:cs="Arial"/>
          <w:sz w:val="22"/>
          <w:szCs w:val="22"/>
        </w:rPr>
      </w:pPr>
    </w:p>
    <w:p w14:paraId="7EC1A5CA"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222F0826" wp14:editId="2858C937">
            <wp:extent cx="6858000" cy="4011295"/>
            <wp:effectExtent l="0" t="0" r="0" b="1905"/>
            <wp:docPr id="1602475397" name="Picture 8"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75397" name="Picture 8" descr="A close-up of a graph&#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58000" cy="4011295"/>
                    </a:xfrm>
                    <a:prstGeom prst="rect">
                      <a:avLst/>
                    </a:prstGeom>
                  </pic:spPr>
                </pic:pic>
              </a:graphicData>
            </a:graphic>
          </wp:inline>
        </w:drawing>
      </w:r>
    </w:p>
    <w:p w14:paraId="660220A1" w14:textId="77777777" w:rsidR="00F94AAA" w:rsidRPr="001C1F8D" w:rsidRDefault="00F94AAA" w:rsidP="00F94AAA">
      <w:pPr>
        <w:rPr>
          <w:rFonts w:ascii="Arial" w:hAnsi="Arial" w:cs="Arial"/>
          <w:sz w:val="20"/>
          <w:szCs w:val="20"/>
        </w:rPr>
      </w:pPr>
      <w:bookmarkStart w:id="15" w:name="_Toc221608503"/>
      <w:r>
        <w:rPr>
          <w:rStyle w:val="Heading1Char"/>
          <w:rFonts w:ascii="Arial" w:hAnsi="Arial" w:cs="Arial"/>
          <w:b/>
          <w:bCs/>
          <w:sz w:val="20"/>
          <w:szCs w:val="20"/>
        </w:rPr>
        <w:t>Fig.</w:t>
      </w:r>
      <w:r w:rsidRPr="00EF2DCF">
        <w:rPr>
          <w:rStyle w:val="Heading1Char"/>
          <w:rFonts w:ascii="Arial" w:hAnsi="Arial" w:cs="Arial"/>
          <w:b/>
          <w:bCs/>
          <w:sz w:val="20"/>
          <w:szCs w:val="20"/>
        </w:rPr>
        <w:t xml:space="preserve"> </w:t>
      </w:r>
      <w:r>
        <w:rPr>
          <w:rStyle w:val="Heading1Char"/>
          <w:rFonts w:ascii="Arial" w:hAnsi="Arial" w:cs="Arial"/>
          <w:b/>
          <w:bCs/>
          <w:sz w:val="20"/>
          <w:szCs w:val="20"/>
        </w:rPr>
        <w:t>S8</w:t>
      </w:r>
      <w:r w:rsidRPr="00EF2DCF">
        <w:rPr>
          <w:rStyle w:val="Heading1Char"/>
          <w:rFonts w:ascii="Arial" w:hAnsi="Arial" w:cs="Arial"/>
          <w:b/>
          <w:bCs/>
          <w:sz w:val="20"/>
          <w:szCs w:val="20"/>
        </w:rPr>
        <w:t xml:space="preserve"> – Sensitivity of pseudobulked</w:t>
      </w:r>
      <w:r>
        <w:rPr>
          <w:rStyle w:val="Heading1Char"/>
          <w:rFonts w:ascii="Arial" w:hAnsi="Arial" w:cs="Arial"/>
          <w:b/>
          <w:bCs/>
          <w:sz w:val="20"/>
          <w:szCs w:val="20"/>
        </w:rPr>
        <w:t xml:space="preserve"> RNA and ATAC</w:t>
      </w:r>
      <w:r w:rsidRPr="00EF2DCF">
        <w:rPr>
          <w:rStyle w:val="Heading1Char"/>
          <w:rFonts w:ascii="Arial" w:hAnsi="Arial" w:cs="Arial"/>
          <w:b/>
          <w:bCs/>
          <w:sz w:val="20"/>
          <w:szCs w:val="20"/>
        </w:rPr>
        <w:t xml:space="preserve"> profiles</w:t>
      </w:r>
      <w:r>
        <w:rPr>
          <w:rStyle w:val="Heading1Char"/>
          <w:rFonts w:ascii="Arial" w:hAnsi="Arial" w:cs="Arial"/>
          <w:b/>
          <w:bCs/>
          <w:sz w:val="20"/>
          <w:szCs w:val="20"/>
        </w:rPr>
        <w:t xml:space="preserve"> </w:t>
      </w:r>
      <w:r w:rsidRPr="00EF2DCF">
        <w:rPr>
          <w:rStyle w:val="Heading1Char"/>
          <w:rFonts w:ascii="Arial" w:hAnsi="Arial" w:cs="Arial"/>
          <w:b/>
          <w:bCs/>
          <w:sz w:val="20"/>
          <w:szCs w:val="20"/>
        </w:rPr>
        <w:t xml:space="preserve">to </w:t>
      </w:r>
      <w:proofErr w:type="spellStart"/>
      <w:r w:rsidRPr="00EF2DCF">
        <w:rPr>
          <w:rStyle w:val="Heading1Char"/>
          <w:rFonts w:ascii="Arial" w:hAnsi="Arial" w:cs="Arial"/>
          <w:b/>
          <w:bCs/>
          <w:sz w:val="20"/>
          <w:szCs w:val="20"/>
        </w:rPr>
        <w:t>downsampling</w:t>
      </w:r>
      <w:proofErr w:type="spellEnd"/>
      <w:r>
        <w:rPr>
          <w:rStyle w:val="Heading1Char"/>
          <w:rFonts w:ascii="Arial" w:hAnsi="Arial" w:cs="Arial"/>
          <w:b/>
          <w:bCs/>
          <w:sz w:val="20"/>
          <w:szCs w:val="20"/>
        </w:rPr>
        <w:t xml:space="preserve"> reads</w:t>
      </w:r>
      <w:bookmarkEnd w:id="15"/>
      <w:r w:rsidRPr="00EF2DCF">
        <w:rPr>
          <w:rFonts w:ascii="Arial" w:hAnsi="Arial" w:cs="Arial"/>
          <w:sz w:val="20"/>
          <w:szCs w:val="20"/>
        </w:rPr>
        <w:t xml:space="preserve">: </w:t>
      </w:r>
      <w:r w:rsidRPr="00EF2DCF">
        <w:rPr>
          <w:rFonts w:ascii="Arial" w:hAnsi="Arial" w:cs="Arial"/>
          <w:b/>
          <w:bCs/>
          <w:sz w:val="20"/>
          <w:szCs w:val="20"/>
        </w:rPr>
        <w:t xml:space="preserve">(a) </w:t>
      </w:r>
      <w:r w:rsidRPr="00EF2DCF">
        <w:rPr>
          <w:rFonts w:ascii="Arial" w:hAnsi="Arial" w:cs="Arial"/>
          <w:sz w:val="20"/>
          <w:szCs w:val="20"/>
        </w:rPr>
        <w:t xml:space="preserve">To determine how many transcripts and counts are required to produce a robust donor-level pseudobulked profile, we </w:t>
      </w:r>
      <w:proofErr w:type="spellStart"/>
      <w:r w:rsidRPr="00EF2DCF">
        <w:rPr>
          <w:rFonts w:ascii="Arial" w:hAnsi="Arial" w:cs="Arial"/>
          <w:sz w:val="20"/>
          <w:szCs w:val="20"/>
        </w:rPr>
        <w:t>downsampled</w:t>
      </w:r>
      <w:proofErr w:type="spellEnd"/>
      <w:r w:rsidRPr="00EF2DCF">
        <w:rPr>
          <w:rFonts w:ascii="Arial" w:hAnsi="Arial" w:cs="Arial"/>
          <w:sz w:val="20"/>
          <w:szCs w:val="20"/>
        </w:rPr>
        <w:t xml:space="preserve"> the total number of transcripts for the five donors per cell type that had the most total number of transcripts or fragments. A representative plot is shown for cardiomyocytes, a more common cell type, demonstrating that 50,000 transcripts (blue line) are sufficient to produce a Spearman correlation &gt;0.8 (black line) to the full pseudobulked gene expression profile. </w:t>
      </w:r>
      <w:r w:rsidRPr="00EF2DCF">
        <w:rPr>
          <w:rFonts w:ascii="Arial" w:hAnsi="Arial" w:cs="Arial"/>
          <w:b/>
          <w:bCs/>
          <w:sz w:val="20"/>
          <w:szCs w:val="20"/>
        </w:rPr>
        <w:t>(b)</w:t>
      </w:r>
      <w:r w:rsidRPr="00EF2DCF">
        <w:rPr>
          <w:rFonts w:ascii="Arial" w:hAnsi="Arial" w:cs="Arial"/>
          <w:sz w:val="20"/>
          <w:szCs w:val="20"/>
        </w:rPr>
        <w:t xml:space="preserve"> Similar analysis for adipocytes, a rarer cell type. </w:t>
      </w:r>
      <w:r w:rsidRPr="00EF2DCF">
        <w:rPr>
          <w:rFonts w:ascii="Arial" w:hAnsi="Arial" w:cs="Arial"/>
          <w:b/>
          <w:bCs/>
          <w:sz w:val="20"/>
          <w:szCs w:val="20"/>
        </w:rPr>
        <w:t>(c)</w:t>
      </w:r>
      <w:r w:rsidRPr="00EF2DCF">
        <w:rPr>
          <w:rFonts w:ascii="Arial" w:hAnsi="Arial" w:cs="Arial"/>
          <w:sz w:val="20"/>
          <w:szCs w:val="20"/>
        </w:rPr>
        <w:t xml:space="preserve"> The number of donors with at least 50,000 transcripts for each cell type. These are the donors which we used for the pseudobulked differential gene expression (DEG) analysis. </w:t>
      </w:r>
      <w:r w:rsidRPr="00EF2DCF">
        <w:rPr>
          <w:rFonts w:ascii="Arial" w:hAnsi="Arial" w:cs="Arial"/>
          <w:b/>
          <w:bCs/>
          <w:sz w:val="20"/>
          <w:szCs w:val="20"/>
        </w:rPr>
        <w:t>(d)</w:t>
      </w:r>
      <w:r w:rsidRPr="00EF2DCF">
        <w:rPr>
          <w:rFonts w:ascii="Arial" w:hAnsi="Arial" w:cs="Arial"/>
          <w:sz w:val="20"/>
          <w:szCs w:val="20"/>
        </w:rPr>
        <w:t xml:space="preserve"> A representative plot is shown for myeloid cells, a more common cell type, demonstrating that 300,000 fragments are sufficient to produce a Spearman correlation &gt;0.8 to the full pseudobulked chromatin accessibility profile. </w:t>
      </w:r>
      <w:r w:rsidRPr="00EF2DCF">
        <w:rPr>
          <w:rFonts w:ascii="Arial" w:hAnsi="Arial" w:cs="Arial"/>
          <w:b/>
          <w:bCs/>
          <w:sz w:val="20"/>
          <w:szCs w:val="20"/>
        </w:rPr>
        <w:t>(e)</w:t>
      </w:r>
      <w:r w:rsidRPr="00EF2DCF">
        <w:rPr>
          <w:rFonts w:ascii="Arial" w:hAnsi="Arial" w:cs="Arial"/>
          <w:sz w:val="20"/>
          <w:szCs w:val="20"/>
        </w:rPr>
        <w:t xml:space="preserve"> Similar analysis for </w:t>
      </w:r>
      <w:proofErr w:type="spellStart"/>
      <w:r w:rsidRPr="00EF2DCF">
        <w:rPr>
          <w:rFonts w:ascii="Arial" w:hAnsi="Arial" w:cs="Arial"/>
          <w:sz w:val="20"/>
          <w:szCs w:val="20"/>
        </w:rPr>
        <w:t>vSMCs</w:t>
      </w:r>
      <w:proofErr w:type="spellEnd"/>
      <w:r w:rsidRPr="00EF2DCF">
        <w:rPr>
          <w:rFonts w:ascii="Arial" w:hAnsi="Arial" w:cs="Arial"/>
          <w:sz w:val="20"/>
          <w:szCs w:val="20"/>
        </w:rPr>
        <w:t>, a rare</w:t>
      </w:r>
      <w:r>
        <w:rPr>
          <w:rFonts w:ascii="Arial" w:hAnsi="Arial" w:cs="Arial"/>
          <w:sz w:val="20"/>
          <w:szCs w:val="20"/>
        </w:rPr>
        <w:t>r</w:t>
      </w:r>
      <w:r w:rsidRPr="00EF2DCF">
        <w:rPr>
          <w:rFonts w:ascii="Arial" w:hAnsi="Arial" w:cs="Arial"/>
          <w:sz w:val="20"/>
          <w:szCs w:val="20"/>
        </w:rPr>
        <w:t xml:space="preserve"> cell type. </w:t>
      </w:r>
      <w:r w:rsidRPr="00EF2DCF">
        <w:rPr>
          <w:rFonts w:ascii="Arial" w:hAnsi="Arial" w:cs="Arial"/>
          <w:b/>
          <w:bCs/>
          <w:sz w:val="20"/>
          <w:szCs w:val="20"/>
        </w:rPr>
        <w:t xml:space="preserve">(f) </w:t>
      </w:r>
      <w:r w:rsidRPr="00EF2DCF">
        <w:rPr>
          <w:rFonts w:ascii="Arial" w:hAnsi="Arial" w:cs="Arial"/>
          <w:sz w:val="20"/>
          <w:szCs w:val="20"/>
        </w:rPr>
        <w:t>The number of donors with at least 300,000 fragments for each cell type</w:t>
      </w:r>
      <w:r>
        <w:rPr>
          <w:rFonts w:ascii="Arial" w:hAnsi="Arial" w:cs="Arial"/>
          <w:sz w:val="20"/>
          <w:szCs w:val="20"/>
        </w:rPr>
        <w:t xml:space="preserve">, which </w:t>
      </w:r>
      <w:r w:rsidRPr="00EF2DCF">
        <w:rPr>
          <w:rFonts w:ascii="Arial" w:hAnsi="Arial" w:cs="Arial"/>
          <w:sz w:val="20"/>
          <w:szCs w:val="20"/>
        </w:rPr>
        <w:t>are the donors which we used for the pseudobulked differential accessibility (DAR) analysis.</w:t>
      </w:r>
      <w:r>
        <w:rPr>
          <w:rFonts w:ascii="Arial" w:hAnsi="Arial" w:cs="Arial"/>
          <w:sz w:val="20"/>
          <w:szCs w:val="20"/>
        </w:rPr>
        <w:t xml:space="preserve"> We performed DAR analysis only for cell types with at least 30 donors, so we only examined Myeloid, Pericyte, Endothelial, Cardiomyocyte, and Fibroblast cell types. </w:t>
      </w:r>
    </w:p>
    <w:p w14:paraId="7AAAB00E" w14:textId="77777777" w:rsidR="00F94AAA" w:rsidRPr="000E2AB3"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335497EF" wp14:editId="2A063CA5">
            <wp:extent cx="6449438" cy="7177388"/>
            <wp:effectExtent l="0" t="0" r="2540" b="0"/>
            <wp:docPr id="116846731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67319" name="Picture 1" descr="A screenshot of a computer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49438" cy="7177388"/>
                    </a:xfrm>
                    <a:prstGeom prst="rect">
                      <a:avLst/>
                    </a:prstGeom>
                  </pic:spPr>
                </pic:pic>
              </a:graphicData>
            </a:graphic>
          </wp:inline>
        </w:drawing>
      </w:r>
    </w:p>
    <w:p w14:paraId="0130F4B0" w14:textId="77777777" w:rsidR="00F94AAA" w:rsidRDefault="00F94AAA" w:rsidP="00F94AAA">
      <w:pPr>
        <w:rPr>
          <w:rFonts w:ascii="Arial" w:hAnsi="Arial" w:cs="Arial"/>
          <w:bCs/>
          <w:sz w:val="20"/>
          <w:szCs w:val="20"/>
        </w:rPr>
      </w:pPr>
      <w:bookmarkStart w:id="16" w:name="_Toc221608504"/>
      <w:r>
        <w:rPr>
          <w:rStyle w:val="Heading1Char"/>
          <w:b/>
          <w:bCs/>
          <w:sz w:val="20"/>
          <w:szCs w:val="20"/>
        </w:rPr>
        <w:t>Fig. S9</w:t>
      </w:r>
      <w:r w:rsidRPr="00D222AC">
        <w:rPr>
          <w:rStyle w:val="Heading1Char"/>
          <w:b/>
          <w:bCs/>
          <w:sz w:val="20"/>
          <w:szCs w:val="20"/>
        </w:rPr>
        <w:t xml:space="preserve"> </w:t>
      </w:r>
      <w:r w:rsidRPr="00D222AC">
        <w:rPr>
          <w:rStyle w:val="Heading1Char"/>
          <w:rFonts w:ascii="Arial" w:hAnsi="Arial" w:cs="Arial"/>
          <w:b/>
          <w:bCs/>
          <w:sz w:val="20"/>
          <w:szCs w:val="20"/>
        </w:rPr>
        <w:t>– Comparison of pseudobulked snRNA-seq methods to bulk RNA-seq</w:t>
      </w:r>
      <w:bookmarkEnd w:id="16"/>
      <w:r w:rsidRPr="00904255">
        <w:rPr>
          <w:rFonts w:ascii="Arial" w:hAnsi="Arial" w:cs="Arial"/>
          <w:sz w:val="20"/>
          <w:szCs w:val="20"/>
        </w:rPr>
        <w:t>:</w:t>
      </w:r>
      <w:r w:rsidRPr="00D222AC">
        <w:rPr>
          <w:rStyle w:val="Heading1Char"/>
          <w:b/>
          <w:bCs/>
          <w:sz w:val="20"/>
          <w:szCs w:val="20"/>
        </w:rPr>
        <w:t xml:space="preserve"> </w:t>
      </w:r>
      <w:r w:rsidRPr="00D222AC">
        <w:rPr>
          <w:rFonts w:ascii="Arial" w:hAnsi="Arial" w:cs="Arial"/>
          <w:b/>
          <w:bCs/>
          <w:sz w:val="20"/>
          <w:szCs w:val="20"/>
        </w:rPr>
        <w:t>(a</w:t>
      </w:r>
      <w:r>
        <w:rPr>
          <w:rFonts w:ascii="Arial" w:hAnsi="Arial" w:cs="Arial"/>
          <w:b/>
          <w:bCs/>
          <w:sz w:val="20"/>
          <w:szCs w:val="20"/>
        </w:rPr>
        <w:t>)</w:t>
      </w:r>
      <w:r>
        <w:rPr>
          <w:rFonts w:ascii="Arial" w:hAnsi="Arial" w:cs="Arial"/>
          <w:sz w:val="20"/>
          <w:szCs w:val="20"/>
        </w:rPr>
        <w:t xml:space="preserve"> </w:t>
      </w:r>
      <w:r w:rsidRPr="00D222AC">
        <w:rPr>
          <w:rFonts w:ascii="Arial" w:hAnsi="Arial" w:cs="Arial"/>
          <w:sz w:val="20"/>
          <w:szCs w:val="20"/>
        </w:rPr>
        <w:t xml:space="preserve">PCA of fully pseudobulked variance stabilized counts before </w:t>
      </w:r>
      <w:r>
        <w:rPr>
          <w:rFonts w:ascii="Arial" w:hAnsi="Arial" w:cs="Arial"/>
          <w:sz w:val="20"/>
          <w:szCs w:val="20"/>
        </w:rPr>
        <w:t xml:space="preserve">batch correction. </w:t>
      </w:r>
      <w:r w:rsidRPr="00D222AC">
        <w:rPr>
          <w:rFonts w:ascii="Arial" w:hAnsi="Arial" w:cs="Arial"/>
          <w:sz w:val="20"/>
          <w:szCs w:val="20"/>
        </w:rPr>
        <w:t xml:space="preserve">Without removing </w:t>
      </w:r>
      <w:proofErr w:type="spellStart"/>
      <w:r w:rsidRPr="00D222AC">
        <w:rPr>
          <w:rFonts w:ascii="Arial" w:hAnsi="Arial" w:cs="Arial"/>
          <w:sz w:val="20"/>
          <w:szCs w:val="20"/>
        </w:rPr>
        <w:t>tech_plus_study</w:t>
      </w:r>
      <w:proofErr w:type="spellEnd"/>
      <w:r w:rsidRPr="00D222AC">
        <w:rPr>
          <w:rFonts w:ascii="Arial" w:hAnsi="Arial" w:cs="Arial"/>
          <w:sz w:val="20"/>
          <w:szCs w:val="20"/>
        </w:rPr>
        <w:t>, the samples clearly cluster by study of origin.</w:t>
      </w:r>
      <w:r>
        <w:rPr>
          <w:rFonts w:ascii="Arial" w:hAnsi="Arial" w:cs="Arial"/>
          <w:sz w:val="20"/>
          <w:szCs w:val="20"/>
        </w:rPr>
        <w:t xml:space="preserve"> </w:t>
      </w:r>
      <w:r w:rsidRPr="00A83DA9">
        <w:rPr>
          <w:rFonts w:ascii="Arial" w:hAnsi="Arial" w:cs="Arial"/>
          <w:b/>
          <w:bCs/>
          <w:sz w:val="20"/>
          <w:szCs w:val="20"/>
        </w:rPr>
        <w:t>(b)</w:t>
      </w:r>
      <w:r>
        <w:rPr>
          <w:rFonts w:ascii="Arial" w:hAnsi="Arial" w:cs="Arial"/>
          <w:sz w:val="20"/>
          <w:szCs w:val="20"/>
        </w:rPr>
        <w:t xml:space="preserve"> PCA of fully pseudobulked variance stabilized counts </w:t>
      </w:r>
      <w:r w:rsidRPr="00D222AC">
        <w:rPr>
          <w:rFonts w:ascii="Arial" w:hAnsi="Arial" w:cs="Arial"/>
          <w:sz w:val="20"/>
          <w:szCs w:val="20"/>
        </w:rPr>
        <w:t>after batch correction</w:t>
      </w:r>
      <w:r>
        <w:rPr>
          <w:rFonts w:ascii="Arial" w:hAnsi="Arial" w:cs="Arial"/>
          <w:sz w:val="20"/>
          <w:szCs w:val="20"/>
        </w:rPr>
        <w:t xml:space="preserve"> by regressing out the technology and study (“</w:t>
      </w:r>
      <w:proofErr w:type="spellStart"/>
      <w:r w:rsidRPr="00D222AC">
        <w:rPr>
          <w:rFonts w:ascii="Arial" w:hAnsi="Arial" w:cs="Arial"/>
          <w:sz w:val="20"/>
          <w:szCs w:val="20"/>
        </w:rPr>
        <w:t>tech_plus_study</w:t>
      </w:r>
      <w:proofErr w:type="spellEnd"/>
      <w:r>
        <w:rPr>
          <w:rFonts w:ascii="Arial" w:hAnsi="Arial" w:cs="Arial"/>
          <w:sz w:val="20"/>
          <w:szCs w:val="20"/>
        </w:rPr>
        <w:t>”</w:t>
      </w:r>
      <w:r w:rsidRPr="00D222AC">
        <w:rPr>
          <w:rFonts w:ascii="Arial" w:hAnsi="Arial" w:cs="Arial"/>
          <w:sz w:val="20"/>
          <w:szCs w:val="20"/>
        </w:rPr>
        <w:t>)</w:t>
      </w:r>
      <w:r>
        <w:rPr>
          <w:rFonts w:ascii="Arial" w:hAnsi="Arial" w:cs="Arial"/>
          <w:sz w:val="20"/>
          <w:szCs w:val="20"/>
        </w:rPr>
        <w:t xml:space="preserve"> effect using </w:t>
      </w:r>
      <w:proofErr w:type="spellStart"/>
      <w:r>
        <w:rPr>
          <w:rFonts w:ascii="Arial" w:hAnsi="Arial" w:cs="Arial"/>
          <w:sz w:val="20"/>
          <w:szCs w:val="20"/>
        </w:rPr>
        <w:t>limma</w:t>
      </w:r>
      <w:proofErr w:type="spellEnd"/>
      <w:r w:rsidRPr="00D222AC">
        <w:rPr>
          <w:rFonts w:ascii="Arial" w:hAnsi="Arial" w:cs="Arial"/>
          <w:sz w:val="20"/>
          <w:szCs w:val="20"/>
        </w:rPr>
        <w:t xml:space="preserve">. By regressing out the effect of </w:t>
      </w:r>
      <w:proofErr w:type="spellStart"/>
      <w:r w:rsidRPr="00D222AC">
        <w:rPr>
          <w:rFonts w:ascii="Arial" w:hAnsi="Arial" w:cs="Arial"/>
          <w:sz w:val="20"/>
          <w:szCs w:val="20"/>
        </w:rPr>
        <w:t>tech_plus_study</w:t>
      </w:r>
      <w:proofErr w:type="spellEnd"/>
      <w:r w:rsidRPr="00D222AC">
        <w:rPr>
          <w:rFonts w:ascii="Arial" w:hAnsi="Arial" w:cs="Arial"/>
          <w:sz w:val="20"/>
          <w:szCs w:val="20"/>
        </w:rPr>
        <w:t xml:space="preserve">, we observe better biological separation of samples, with PC2 separating fetal and postnatal donors. </w:t>
      </w:r>
      <w:r w:rsidRPr="00D222AC">
        <w:rPr>
          <w:rFonts w:ascii="Arial" w:hAnsi="Arial" w:cs="Arial"/>
          <w:b/>
          <w:bCs/>
          <w:sz w:val="20"/>
          <w:szCs w:val="20"/>
        </w:rPr>
        <w:t>(</w:t>
      </w:r>
      <w:r>
        <w:rPr>
          <w:rFonts w:ascii="Arial" w:hAnsi="Arial" w:cs="Arial"/>
          <w:b/>
          <w:bCs/>
          <w:sz w:val="20"/>
          <w:szCs w:val="20"/>
        </w:rPr>
        <w:t>c</w:t>
      </w:r>
      <w:r w:rsidRPr="00D222AC">
        <w:rPr>
          <w:rFonts w:ascii="Arial" w:hAnsi="Arial" w:cs="Arial"/>
          <w:b/>
          <w:bCs/>
          <w:sz w:val="20"/>
          <w:szCs w:val="20"/>
        </w:rPr>
        <w:t xml:space="preserve">) </w:t>
      </w:r>
      <w:r>
        <w:rPr>
          <w:rFonts w:ascii="Arial" w:hAnsi="Arial" w:cs="Arial"/>
          <w:sz w:val="20"/>
          <w:szCs w:val="20"/>
        </w:rPr>
        <w:t>Since the “</w:t>
      </w:r>
      <w:proofErr w:type="spellStart"/>
      <w:r>
        <w:rPr>
          <w:rFonts w:ascii="Arial" w:hAnsi="Arial" w:cs="Arial"/>
          <w:sz w:val="20"/>
          <w:szCs w:val="20"/>
        </w:rPr>
        <w:t>tech_plus_study</w:t>
      </w:r>
      <w:proofErr w:type="spellEnd"/>
      <w:r>
        <w:rPr>
          <w:rFonts w:ascii="Arial" w:hAnsi="Arial" w:cs="Arial"/>
          <w:sz w:val="20"/>
          <w:szCs w:val="20"/>
        </w:rPr>
        <w:t>” batch effect is quite strong, we tested two ways for handling this batch effect,</w:t>
      </w:r>
      <w:r w:rsidRPr="00D222AC">
        <w:rPr>
          <w:rFonts w:ascii="Arial" w:hAnsi="Arial" w:cs="Arial"/>
          <w:sz w:val="20"/>
          <w:szCs w:val="20"/>
        </w:rPr>
        <w:t xml:space="preserve"> using either </w:t>
      </w:r>
      <w:r>
        <w:rPr>
          <w:rFonts w:ascii="Arial" w:hAnsi="Arial" w:cs="Arial"/>
          <w:sz w:val="20"/>
          <w:szCs w:val="20"/>
        </w:rPr>
        <w:t>“</w:t>
      </w:r>
      <w:r w:rsidRPr="00D222AC">
        <w:rPr>
          <w:rFonts w:ascii="Arial" w:hAnsi="Arial" w:cs="Arial"/>
          <w:sz w:val="20"/>
          <w:szCs w:val="20"/>
        </w:rPr>
        <w:t>batch as covariate</w:t>
      </w:r>
      <w:r>
        <w:rPr>
          <w:rFonts w:ascii="Arial" w:hAnsi="Arial" w:cs="Arial"/>
          <w:sz w:val="20"/>
          <w:szCs w:val="20"/>
        </w:rPr>
        <w:t>” (abbreviated as “</w:t>
      </w:r>
      <w:proofErr w:type="spellStart"/>
      <w:r>
        <w:rPr>
          <w:rFonts w:ascii="Arial" w:hAnsi="Arial" w:cs="Arial"/>
          <w:sz w:val="20"/>
          <w:szCs w:val="20"/>
        </w:rPr>
        <w:t>cov</w:t>
      </w:r>
      <w:proofErr w:type="spellEnd"/>
      <w:r>
        <w:rPr>
          <w:rFonts w:ascii="Arial" w:hAnsi="Arial" w:cs="Arial"/>
          <w:sz w:val="20"/>
          <w:szCs w:val="20"/>
        </w:rPr>
        <w:t>”)</w:t>
      </w:r>
      <w:r w:rsidRPr="00D222AC">
        <w:rPr>
          <w:rFonts w:ascii="Arial" w:hAnsi="Arial" w:cs="Arial"/>
          <w:sz w:val="20"/>
          <w:szCs w:val="20"/>
        </w:rPr>
        <w:t xml:space="preserve"> or running DEG analysis for each study individually and aggregating the results using a</w:t>
      </w:r>
      <w:r>
        <w:rPr>
          <w:rFonts w:ascii="Arial" w:hAnsi="Arial" w:cs="Arial"/>
          <w:sz w:val="20"/>
          <w:szCs w:val="20"/>
        </w:rPr>
        <w:t>n</w:t>
      </w:r>
      <w:r w:rsidRPr="00D222AC">
        <w:rPr>
          <w:rFonts w:ascii="Arial" w:hAnsi="Arial" w:cs="Arial"/>
          <w:sz w:val="20"/>
          <w:szCs w:val="20"/>
        </w:rPr>
        <w:t xml:space="preserve"> inverse weighted variance meta-analysi</w:t>
      </w:r>
      <w:r>
        <w:rPr>
          <w:rFonts w:ascii="Arial" w:hAnsi="Arial" w:cs="Arial"/>
          <w:sz w:val="20"/>
          <w:szCs w:val="20"/>
        </w:rPr>
        <w:t xml:space="preserve">s (abbreviated as “meta”). To test the performance of these two approaches, </w:t>
      </w:r>
      <w:r w:rsidRPr="00D222AC">
        <w:rPr>
          <w:rFonts w:ascii="Arial" w:hAnsi="Arial" w:cs="Arial"/>
          <w:sz w:val="20"/>
          <w:szCs w:val="20"/>
        </w:rPr>
        <w:t xml:space="preserve">we compared the DEGs obtained </w:t>
      </w:r>
      <w:r>
        <w:rPr>
          <w:rFonts w:ascii="Arial" w:hAnsi="Arial" w:cs="Arial"/>
          <w:sz w:val="20"/>
          <w:szCs w:val="20"/>
        </w:rPr>
        <w:t xml:space="preserve">to </w:t>
      </w:r>
      <w:r w:rsidRPr="00D222AC">
        <w:rPr>
          <w:rFonts w:ascii="Arial" w:hAnsi="Arial" w:cs="Arial"/>
          <w:sz w:val="20"/>
          <w:szCs w:val="20"/>
        </w:rPr>
        <w:t xml:space="preserve">GTEx bulk RNA-seq treating </w:t>
      </w:r>
      <w:r>
        <w:rPr>
          <w:rFonts w:ascii="Arial" w:hAnsi="Arial" w:cs="Arial"/>
          <w:sz w:val="20"/>
          <w:szCs w:val="20"/>
        </w:rPr>
        <w:t>this as a silver standard</w:t>
      </w:r>
      <w:r w:rsidRPr="00D222AC">
        <w:rPr>
          <w:rFonts w:ascii="Arial" w:hAnsi="Arial" w:cs="Arial"/>
          <w:sz w:val="20"/>
          <w:szCs w:val="20"/>
        </w:rPr>
        <w:t>.</w:t>
      </w:r>
      <w:r>
        <w:rPr>
          <w:rFonts w:ascii="Arial" w:hAnsi="Arial" w:cs="Arial"/>
          <w:sz w:val="20"/>
          <w:szCs w:val="20"/>
        </w:rPr>
        <w:t xml:space="preserve"> For this analysis, we fully pseudobulked the </w:t>
      </w:r>
      <w:r>
        <w:rPr>
          <w:rFonts w:ascii="Arial" w:hAnsi="Arial" w:cs="Arial"/>
          <w:sz w:val="20"/>
          <w:szCs w:val="20"/>
        </w:rPr>
        <w:lastRenderedPageBreak/>
        <w:t xml:space="preserve">snRNA-seq data (rather than </w:t>
      </w:r>
      <w:proofErr w:type="spellStart"/>
      <w:r>
        <w:rPr>
          <w:rFonts w:ascii="Arial" w:hAnsi="Arial" w:cs="Arial"/>
          <w:sz w:val="20"/>
          <w:szCs w:val="20"/>
        </w:rPr>
        <w:t>pseudobulking</w:t>
      </w:r>
      <w:proofErr w:type="spellEnd"/>
      <w:r>
        <w:rPr>
          <w:rFonts w:ascii="Arial" w:hAnsi="Arial" w:cs="Arial"/>
          <w:sz w:val="20"/>
          <w:szCs w:val="20"/>
        </w:rPr>
        <w:t xml:space="preserve"> per cell type) and </w:t>
      </w:r>
      <w:proofErr w:type="spellStart"/>
      <w:r>
        <w:rPr>
          <w:rFonts w:ascii="Arial" w:hAnsi="Arial" w:cs="Arial"/>
          <w:sz w:val="20"/>
          <w:szCs w:val="20"/>
        </w:rPr>
        <w:t>downsampled</w:t>
      </w:r>
      <w:proofErr w:type="spellEnd"/>
      <w:r>
        <w:rPr>
          <w:rFonts w:ascii="Arial" w:hAnsi="Arial" w:cs="Arial"/>
          <w:sz w:val="20"/>
          <w:szCs w:val="20"/>
        </w:rPr>
        <w:t xml:space="preserve"> GTEx data to the same number of donors (n=299).</w:t>
      </w:r>
      <w:r w:rsidRPr="00D222AC">
        <w:rPr>
          <w:rFonts w:ascii="Arial" w:hAnsi="Arial" w:cs="Arial"/>
          <w:sz w:val="20"/>
          <w:szCs w:val="20"/>
        </w:rPr>
        <w:t xml:space="preserve"> </w:t>
      </w:r>
      <w:r w:rsidRPr="00D222AC">
        <w:rPr>
          <w:rFonts w:ascii="Arial" w:hAnsi="Arial" w:cs="Arial"/>
          <w:b/>
          <w:bCs/>
          <w:sz w:val="20"/>
          <w:szCs w:val="20"/>
        </w:rPr>
        <w:t>(</w:t>
      </w:r>
      <w:r>
        <w:rPr>
          <w:rFonts w:ascii="Arial" w:hAnsi="Arial" w:cs="Arial"/>
          <w:b/>
          <w:bCs/>
          <w:sz w:val="20"/>
          <w:szCs w:val="20"/>
        </w:rPr>
        <w:t>d</w:t>
      </w:r>
      <w:r w:rsidRPr="00D222AC">
        <w:rPr>
          <w:rFonts w:ascii="Arial" w:hAnsi="Arial" w:cs="Arial"/>
          <w:b/>
          <w:bCs/>
          <w:sz w:val="20"/>
          <w:szCs w:val="20"/>
        </w:rPr>
        <w:t>)</w:t>
      </w:r>
      <w:r>
        <w:rPr>
          <w:rFonts w:ascii="Arial" w:hAnsi="Arial" w:cs="Arial"/>
          <w:b/>
          <w:bCs/>
          <w:sz w:val="20"/>
          <w:szCs w:val="20"/>
        </w:rPr>
        <w:t xml:space="preserve"> </w:t>
      </w:r>
      <w:r>
        <w:rPr>
          <w:rFonts w:ascii="Arial" w:hAnsi="Arial" w:cs="Arial"/>
          <w:sz w:val="20"/>
          <w:szCs w:val="20"/>
        </w:rPr>
        <w:t>Sensitivity and specificity of “</w:t>
      </w:r>
      <w:proofErr w:type="spellStart"/>
      <w:r>
        <w:rPr>
          <w:rFonts w:ascii="Arial" w:hAnsi="Arial" w:cs="Arial"/>
          <w:sz w:val="20"/>
          <w:szCs w:val="20"/>
        </w:rPr>
        <w:t>cov</w:t>
      </w:r>
      <w:proofErr w:type="spellEnd"/>
      <w:r>
        <w:rPr>
          <w:rFonts w:ascii="Arial" w:hAnsi="Arial" w:cs="Arial"/>
          <w:sz w:val="20"/>
          <w:szCs w:val="20"/>
        </w:rPr>
        <w:t>” and “meta”, when compared to the bulk DEG results for sex analyses. (</w:t>
      </w:r>
      <w:r w:rsidRPr="00D34269">
        <w:rPr>
          <w:rFonts w:ascii="Arial" w:hAnsi="Arial" w:cs="Arial"/>
          <w:b/>
          <w:bCs/>
          <w:sz w:val="20"/>
          <w:szCs w:val="20"/>
        </w:rPr>
        <w:t>e-g</w:t>
      </w:r>
      <w:r>
        <w:rPr>
          <w:rFonts w:ascii="Arial" w:hAnsi="Arial" w:cs="Arial"/>
          <w:sz w:val="20"/>
          <w:szCs w:val="20"/>
        </w:rPr>
        <w:t>) Sex DEG contingency matrices displaying the number of genes identified as non-significant, up DEGs, and down DEGs in pairwise comparisons.</w:t>
      </w:r>
      <w:r w:rsidRPr="00D222AC">
        <w:rPr>
          <w:rFonts w:ascii="Arial" w:hAnsi="Arial" w:cs="Arial"/>
          <w:b/>
          <w:bCs/>
          <w:sz w:val="20"/>
          <w:szCs w:val="20"/>
        </w:rPr>
        <w:t xml:space="preserve"> (</w:t>
      </w:r>
      <w:r>
        <w:rPr>
          <w:rFonts w:ascii="Arial" w:hAnsi="Arial" w:cs="Arial"/>
          <w:b/>
          <w:bCs/>
          <w:sz w:val="20"/>
          <w:szCs w:val="20"/>
        </w:rPr>
        <w:t>h</w:t>
      </w:r>
      <w:r w:rsidRPr="00D222AC">
        <w:rPr>
          <w:rFonts w:ascii="Arial" w:hAnsi="Arial" w:cs="Arial"/>
          <w:b/>
          <w:bCs/>
          <w:sz w:val="20"/>
          <w:szCs w:val="20"/>
        </w:rPr>
        <w:t>)</w:t>
      </w:r>
      <w:r>
        <w:rPr>
          <w:rFonts w:ascii="Arial" w:hAnsi="Arial" w:cs="Arial"/>
          <w:b/>
          <w:bCs/>
          <w:sz w:val="20"/>
          <w:szCs w:val="20"/>
        </w:rPr>
        <w:t xml:space="preserve"> </w:t>
      </w:r>
      <w:r>
        <w:rPr>
          <w:rFonts w:ascii="Arial" w:hAnsi="Arial" w:cs="Arial"/>
          <w:sz w:val="20"/>
          <w:szCs w:val="20"/>
        </w:rPr>
        <w:t>Sensitivity and specificity of “</w:t>
      </w:r>
      <w:proofErr w:type="spellStart"/>
      <w:r>
        <w:rPr>
          <w:rFonts w:ascii="Arial" w:hAnsi="Arial" w:cs="Arial"/>
          <w:sz w:val="20"/>
          <w:szCs w:val="20"/>
        </w:rPr>
        <w:t>cov</w:t>
      </w:r>
      <w:proofErr w:type="spellEnd"/>
      <w:r>
        <w:rPr>
          <w:rFonts w:ascii="Arial" w:hAnsi="Arial" w:cs="Arial"/>
          <w:sz w:val="20"/>
          <w:szCs w:val="20"/>
        </w:rPr>
        <w:t>” and “meta”, when compared to the bulk DEG results for aging analyses. (</w:t>
      </w:r>
      <w:proofErr w:type="spellStart"/>
      <w:r>
        <w:rPr>
          <w:rFonts w:ascii="Arial" w:hAnsi="Arial" w:cs="Arial"/>
          <w:b/>
          <w:bCs/>
          <w:sz w:val="20"/>
          <w:szCs w:val="20"/>
        </w:rPr>
        <w:t>i</w:t>
      </w:r>
      <w:proofErr w:type="spellEnd"/>
      <w:r>
        <w:rPr>
          <w:rFonts w:ascii="Arial" w:hAnsi="Arial" w:cs="Arial"/>
          <w:b/>
          <w:bCs/>
          <w:sz w:val="20"/>
          <w:szCs w:val="20"/>
        </w:rPr>
        <w:t>-k</w:t>
      </w:r>
      <w:r>
        <w:rPr>
          <w:rFonts w:ascii="Arial" w:hAnsi="Arial" w:cs="Arial"/>
          <w:sz w:val="20"/>
          <w:szCs w:val="20"/>
        </w:rPr>
        <w:t>) Aging DEG contingency matrices displaying the number of genes identified as non-significant, up DEGs, and down DEGs in pairwise comparisons</w:t>
      </w:r>
      <w:r w:rsidRPr="00D222AC">
        <w:rPr>
          <w:rFonts w:ascii="Arial" w:hAnsi="Arial" w:cs="Arial"/>
          <w:bCs/>
          <w:sz w:val="20"/>
          <w:szCs w:val="20"/>
        </w:rPr>
        <w:t xml:space="preserve">. </w:t>
      </w:r>
      <w:r w:rsidRPr="00D222AC">
        <w:rPr>
          <w:rFonts w:ascii="Arial" w:hAnsi="Arial" w:cs="Arial"/>
          <w:b/>
          <w:sz w:val="20"/>
          <w:szCs w:val="20"/>
        </w:rPr>
        <w:t>(</w:t>
      </w:r>
      <w:r>
        <w:rPr>
          <w:rFonts w:ascii="Arial" w:hAnsi="Arial" w:cs="Arial"/>
          <w:b/>
          <w:sz w:val="20"/>
          <w:szCs w:val="20"/>
        </w:rPr>
        <w:t>l-m</w:t>
      </w:r>
      <w:r w:rsidRPr="00D222AC">
        <w:rPr>
          <w:rFonts w:ascii="Arial" w:hAnsi="Arial" w:cs="Arial"/>
          <w:b/>
          <w:sz w:val="20"/>
          <w:szCs w:val="20"/>
        </w:rPr>
        <w:t>)</w:t>
      </w:r>
      <w:r>
        <w:rPr>
          <w:rFonts w:ascii="Arial" w:hAnsi="Arial" w:cs="Arial"/>
          <w:b/>
          <w:sz w:val="20"/>
          <w:szCs w:val="20"/>
        </w:rPr>
        <w:t xml:space="preserve"> </w:t>
      </w:r>
      <w:r>
        <w:rPr>
          <w:rFonts w:ascii="Arial" w:hAnsi="Arial" w:cs="Arial"/>
          <w:bCs/>
          <w:sz w:val="20"/>
          <w:szCs w:val="20"/>
        </w:rPr>
        <w:t>Concordance between the “</w:t>
      </w:r>
      <w:proofErr w:type="spellStart"/>
      <w:r>
        <w:rPr>
          <w:rFonts w:ascii="Arial" w:hAnsi="Arial" w:cs="Arial"/>
          <w:bCs/>
          <w:sz w:val="20"/>
          <w:szCs w:val="20"/>
        </w:rPr>
        <w:t>cov</w:t>
      </w:r>
      <w:proofErr w:type="spellEnd"/>
      <w:r>
        <w:rPr>
          <w:rFonts w:ascii="Arial" w:hAnsi="Arial" w:cs="Arial"/>
          <w:bCs/>
          <w:sz w:val="20"/>
          <w:szCs w:val="20"/>
        </w:rPr>
        <w:t xml:space="preserve">” approach and the “meta: approach for each cell type (using cell-type donor pseudobulked counts rather than fully pseudobulked counts) for sex and aging, respectively.  </w:t>
      </w:r>
    </w:p>
    <w:p w14:paraId="4E27B11E" w14:textId="77777777" w:rsidR="00F94AAA" w:rsidRDefault="00F94AAA" w:rsidP="00F94AAA">
      <w:pPr>
        <w:rPr>
          <w:rFonts w:ascii="Arial" w:hAnsi="Arial" w:cs="Arial"/>
          <w:bCs/>
          <w:sz w:val="20"/>
          <w:szCs w:val="20"/>
        </w:rPr>
      </w:pPr>
    </w:p>
    <w:p w14:paraId="63C2BA0B" w14:textId="77777777" w:rsidR="00F94AAA" w:rsidRDefault="00F94AAA" w:rsidP="00F94AAA">
      <w:pPr>
        <w:rPr>
          <w:rFonts w:ascii="Arial" w:hAnsi="Arial" w:cs="Arial"/>
          <w:bCs/>
          <w:sz w:val="20"/>
          <w:szCs w:val="20"/>
        </w:rPr>
      </w:pPr>
    </w:p>
    <w:p w14:paraId="40681DC0" w14:textId="77777777" w:rsidR="00F94AAA" w:rsidRDefault="00F94AAA" w:rsidP="00F94AAA">
      <w:pPr>
        <w:rPr>
          <w:rFonts w:ascii="Arial" w:hAnsi="Arial" w:cs="Arial"/>
          <w:bCs/>
          <w:sz w:val="20"/>
          <w:szCs w:val="20"/>
        </w:rPr>
      </w:pPr>
    </w:p>
    <w:p w14:paraId="754A1BD9" w14:textId="77777777" w:rsidR="00F94AAA" w:rsidRDefault="00F94AAA" w:rsidP="00F94AAA">
      <w:pPr>
        <w:rPr>
          <w:rFonts w:ascii="Arial" w:hAnsi="Arial" w:cs="Arial"/>
          <w:bCs/>
          <w:sz w:val="20"/>
          <w:szCs w:val="20"/>
        </w:rPr>
      </w:pPr>
    </w:p>
    <w:p w14:paraId="371B5083" w14:textId="77777777" w:rsidR="00F94AAA" w:rsidRDefault="00F94AAA" w:rsidP="00F94AAA">
      <w:pPr>
        <w:rPr>
          <w:rFonts w:ascii="Arial" w:hAnsi="Arial" w:cs="Arial"/>
          <w:bCs/>
          <w:sz w:val="20"/>
          <w:szCs w:val="20"/>
        </w:rPr>
      </w:pPr>
    </w:p>
    <w:p w14:paraId="2DEC9505" w14:textId="77777777" w:rsidR="00F94AAA" w:rsidRPr="00362BB7" w:rsidRDefault="00F94AAA" w:rsidP="00F94AAA">
      <w:pPr>
        <w:rPr>
          <w:rFonts w:ascii="Arial" w:hAnsi="Arial" w:cs="Arial"/>
          <w:bCs/>
          <w:sz w:val="20"/>
          <w:szCs w:val="20"/>
        </w:rPr>
      </w:pPr>
    </w:p>
    <w:p w14:paraId="681DBC14" w14:textId="77777777" w:rsidR="00F94AAA" w:rsidRDefault="00F94AAA" w:rsidP="00F94AAA">
      <w:pPr>
        <w:rPr>
          <w:rFonts w:ascii="Arial" w:hAnsi="Arial" w:cs="Arial"/>
          <w:sz w:val="22"/>
          <w:szCs w:val="22"/>
        </w:rPr>
      </w:pPr>
      <w:r>
        <w:rPr>
          <w:rFonts w:ascii="Arial" w:hAnsi="Arial" w:cs="Arial"/>
          <w:sz w:val="22"/>
          <w:szCs w:val="22"/>
        </w:rPr>
        <w:br w:type="page"/>
      </w:r>
    </w:p>
    <w:p w14:paraId="57C52E3F"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1C7784A5" wp14:editId="302869CF">
            <wp:extent cx="6858000" cy="6034405"/>
            <wp:effectExtent l="0" t="0" r="0" b="0"/>
            <wp:docPr id="11084301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3017" name="Picture 1" descr="A screenshot of a computer scree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8000" cy="6034405"/>
                    </a:xfrm>
                    <a:prstGeom prst="rect">
                      <a:avLst/>
                    </a:prstGeom>
                  </pic:spPr>
                </pic:pic>
              </a:graphicData>
            </a:graphic>
          </wp:inline>
        </w:drawing>
      </w:r>
    </w:p>
    <w:p w14:paraId="428BFEB4" w14:textId="77777777" w:rsidR="00F94AAA" w:rsidRPr="00D222AC" w:rsidRDefault="00F94AAA" w:rsidP="00F94AAA">
      <w:pPr>
        <w:rPr>
          <w:rFonts w:ascii="Arial" w:hAnsi="Arial" w:cs="Arial"/>
          <w:sz w:val="20"/>
          <w:szCs w:val="20"/>
        </w:rPr>
      </w:pPr>
      <w:bookmarkStart w:id="17" w:name="_Toc221608505"/>
      <w:r>
        <w:rPr>
          <w:rStyle w:val="Heading1Char"/>
          <w:rFonts w:ascii="Arial" w:hAnsi="Arial" w:cs="Arial"/>
          <w:b/>
          <w:bCs/>
          <w:sz w:val="20"/>
          <w:szCs w:val="20"/>
        </w:rPr>
        <w:t>Fig. S</w:t>
      </w:r>
      <w:r w:rsidRPr="00D222AC">
        <w:rPr>
          <w:rStyle w:val="Heading1Char"/>
          <w:rFonts w:ascii="Arial" w:hAnsi="Arial" w:cs="Arial"/>
          <w:b/>
          <w:bCs/>
          <w:sz w:val="20"/>
          <w:szCs w:val="20"/>
        </w:rPr>
        <w:t>1</w:t>
      </w:r>
      <w:r>
        <w:rPr>
          <w:rStyle w:val="Heading1Char"/>
          <w:rFonts w:ascii="Arial" w:hAnsi="Arial" w:cs="Arial"/>
          <w:b/>
          <w:bCs/>
          <w:sz w:val="20"/>
          <w:szCs w:val="20"/>
        </w:rPr>
        <w:t>0</w:t>
      </w:r>
      <w:r w:rsidRPr="00D222AC">
        <w:rPr>
          <w:rStyle w:val="Heading1Char"/>
          <w:rFonts w:ascii="Arial" w:hAnsi="Arial" w:cs="Arial"/>
          <w:b/>
          <w:bCs/>
          <w:sz w:val="20"/>
          <w:szCs w:val="20"/>
        </w:rPr>
        <w:t xml:space="preserve"> – Comparison of our study to Read et al. 2024</w:t>
      </w:r>
      <w:bookmarkEnd w:id="17"/>
      <w:r w:rsidRPr="00D222AC">
        <w:rPr>
          <w:rFonts w:ascii="Arial" w:hAnsi="Arial" w:cs="Arial"/>
          <w:sz w:val="20"/>
          <w:szCs w:val="20"/>
        </w:rPr>
        <w:t xml:space="preserve">: </w:t>
      </w:r>
      <w:r w:rsidRPr="00D222AC">
        <w:rPr>
          <w:rFonts w:ascii="Arial" w:hAnsi="Arial" w:cs="Arial"/>
          <w:b/>
          <w:bCs/>
          <w:sz w:val="20"/>
          <w:szCs w:val="20"/>
        </w:rPr>
        <w:t xml:space="preserve">(a) </w:t>
      </w:r>
      <w:r w:rsidRPr="00D222AC">
        <w:rPr>
          <w:rFonts w:ascii="Arial" w:hAnsi="Arial" w:cs="Arial"/>
          <w:sz w:val="20"/>
          <w:szCs w:val="20"/>
        </w:rPr>
        <w:t xml:space="preserve">Number of non-diseased donors (n=154) in our study. Our study includes 5 studies not included in the Read </w:t>
      </w:r>
      <w:r>
        <w:rPr>
          <w:rFonts w:ascii="Arial" w:hAnsi="Arial" w:cs="Arial"/>
          <w:sz w:val="20"/>
          <w:szCs w:val="20"/>
        </w:rPr>
        <w:t xml:space="preserve">et al. </w:t>
      </w:r>
      <w:r w:rsidRPr="00D222AC">
        <w:rPr>
          <w:rFonts w:ascii="Arial" w:hAnsi="Arial" w:cs="Arial"/>
          <w:sz w:val="20"/>
          <w:szCs w:val="20"/>
        </w:rPr>
        <w:t>2024</w:t>
      </w:r>
      <w:r>
        <w:rPr>
          <w:rFonts w:ascii="Arial" w:hAnsi="Arial" w:cs="Arial"/>
          <w:sz w:val="20"/>
          <w:szCs w:val="20"/>
        </w:rPr>
        <w:fldChar w:fldCharType="begin"/>
      </w:r>
      <w:r>
        <w:rPr>
          <w:rFonts w:ascii="Arial" w:hAnsi="Arial" w:cs="Arial"/>
          <w:sz w:val="20"/>
          <w:szCs w:val="20"/>
        </w:rPr>
        <w:instrText xml:space="preserve"> ADDIN ZOTERO_ITEM CSL_CITATION {"citationID":"aQzZ7Sym","properties":{"unsorted":false,"formattedCitation":"(46)","plainCitation":"(46)","noteIndex":0},"citationItems":[{"id":18668,"uris":["http://zotero.org/users/12236467/items/K4QSQ27S"],"itemData":{"id":18668,"type":"article-journal","abstract":"Sex differences and age-related changes in the human heart at the tissue, cell, and molecular level have been well-documented and many may be relevant for cardiovascular disease. However, how molecular programs within individual cell types vary across individuals by age and sex remains poorly characterized. To better understand this variation, we performed single-nucleus combinatorial indexing (sci) ATAC- and RNA-Seq in human heart samples from nine donors. We identify hundreds of differentially expressed genes by age and sex and find epigenetic signatures of variation in ATAC-Seq data in this discovery cohort. We then scale up our single-cell RNA-Seq analysis by combining our data with five recently published single nucleus RNA-Seq datasets of healthy adult hearts. We find variation such as metabolic alterations by sex and immune changes by age in differential expression tests, as well as alterations in abundance of cardiomyocytes by sex and neurons with age. In addition, we compare our adult-derived ATAC-Seq profiles to analogous fetal cell types to identify putative developmental-stage-specific regulatory factors. Finally, we train predictive models of cell-type-specific RNA expression levels utilizing ATAC-Seq profiles to link distal regulatory sequences to promoters, quantifying the predictive value of a simple TF-to-expression regulatory grammar and identifying cell-type-specific TFs. Our analysis represents the largest single-cell analysis of cardiac variation by age and sex to date and provides a resource for further study of healthy cardiac variation and transcriptional regulation at single-cell resolution.","container-title":"Communications Biology","DOI":"10.1038/s42003-024-06582-y","ISSN":"2399-3642","issue":"1","journalAbbreviation":"Commun Biol","language":"en","license":"2024 The Author(s)","page":"1-14","publisher":"Nature Publishing Group","source":"www-nature-com.proxy.library.upenn.edu","title":"Single-cell analysis of chromatin and expression reveals age- and sex-associated alterations in the human heart","URL":"https://www.nature.com/articles/s42003-024-06582-y","volume":"7","author":[{"family":"Read","given":"David F."},{"family":"Booth","given":"Gregory T."},{"family":"Daza","given":"Riza M."},{"family":"Jackson","given":"Dana L."},{"family":"Gladden","given":"Rula Green"},{"family":"Srivatsan","given":"Sanjay R."},{"family":"Ewing","given":"Brent"},{"family":"Franks","given":"Jennifer M."},{"family":"Spurrell","given":"Cailyn H."},{"family":"Gomes","given":"Anne Roshella"},{"family":"O’Day","given":"Diana"},{"family":"Gogate","given":"Aishwarya A."},{"family":"Martin","given":"Beth K."},{"family":"Larson","given":"Haleigh"},{"family":"Pfleger","given":"Christian"},{"family":"Starita","given":"Lea"},{"family":"Lin","given":"Yiing"},{"family":"Shendure","given":"Jay"},{"family":"Lin","given":"Shin"},{"family":"Trapnell","given":"Cole"}],"accessed":{"date-parts":[["2024",9,23]]},"issued":{"date-parts":[["2024",8,26]]}}}],"schema":"https://github.com/citation-style-language/schema/raw/master/csl-citation.json"} </w:instrText>
      </w:r>
      <w:r>
        <w:rPr>
          <w:rFonts w:ascii="Arial" w:hAnsi="Arial" w:cs="Arial"/>
          <w:sz w:val="20"/>
          <w:szCs w:val="20"/>
        </w:rPr>
        <w:fldChar w:fldCharType="separate"/>
      </w:r>
      <w:r>
        <w:rPr>
          <w:rFonts w:ascii="Arial" w:hAnsi="Arial" w:cs="Arial"/>
          <w:sz w:val="20"/>
        </w:rPr>
        <w:t>(46)</w:t>
      </w:r>
      <w:r>
        <w:rPr>
          <w:rFonts w:ascii="Arial" w:hAnsi="Arial" w:cs="Arial"/>
          <w:sz w:val="20"/>
          <w:szCs w:val="20"/>
        </w:rPr>
        <w:fldChar w:fldCharType="end"/>
      </w:r>
      <w:r w:rsidRPr="00D222AC">
        <w:rPr>
          <w:rFonts w:ascii="Arial" w:hAnsi="Arial" w:cs="Arial"/>
          <w:sz w:val="20"/>
          <w:szCs w:val="20"/>
        </w:rPr>
        <w:t xml:space="preserve"> study. </w:t>
      </w:r>
      <w:r w:rsidRPr="00D222AC">
        <w:rPr>
          <w:rFonts w:ascii="Arial" w:hAnsi="Arial" w:cs="Arial"/>
          <w:b/>
          <w:bCs/>
          <w:sz w:val="20"/>
          <w:szCs w:val="20"/>
        </w:rPr>
        <w:t xml:space="preserve">(b) </w:t>
      </w:r>
      <w:r w:rsidRPr="00D222AC">
        <w:rPr>
          <w:rFonts w:ascii="Arial" w:hAnsi="Arial" w:cs="Arial"/>
          <w:sz w:val="20"/>
          <w:szCs w:val="20"/>
        </w:rPr>
        <w:t>Number of non-diseased donors (n=73) analyzed in Read</w:t>
      </w:r>
      <w:r>
        <w:rPr>
          <w:rFonts w:ascii="Arial" w:hAnsi="Arial" w:cs="Arial"/>
          <w:sz w:val="20"/>
          <w:szCs w:val="20"/>
        </w:rPr>
        <w:t xml:space="preserve"> et al.</w:t>
      </w:r>
      <w:r w:rsidRPr="00D222AC">
        <w:rPr>
          <w:rFonts w:ascii="Arial" w:hAnsi="Arial" w:cs="Arial"/>
          <w:sz w:val="20"/>
          <w:szCs w:val="20"/>
        </w:rPr>
        <w:t xml:space="preserve"> 2024. </w:t>
      </w:r>
      <w:r w:rsidRPr="00D222AC">
        <w:rPr>
          <w:rFonts w:ascii="Arial" w:hAnsi="Arial" w:cs="Arial"/>
          <w:b/>
          <w:bCs/>
          <w:sz w:val="20"/>
          <w:szCs w:val="20"/>
        </w:rPr>
        <w:t>(c)</w:t>
      </w:r>
      <w:r w:rsidRPr="00D222AC">
        <w:rPr>
          <w:rFonts w:ascii="Arial" w:hAnsi="Arial" w:cs="Arial"/>
          <w:sz w:val="20"/>
          <w:szCs w:val="20"/>
        </w:rPr>
        <w:t xml:space="preserve"> Comparison of sex DEGs identified in our study (using donor pseudobulked counts) versus Read </w:t>
      </w:r>
      <w:r>
        <w:rPr>
          <w:rFonts w:ascii="Arial" w:hAnsi="Arial" w:cs="Arial"/>
          <w:sz w:val="20"/>
          <w:szCs w:val="20"/>
        </w:rPr>
        <w:t xml:space="preserve">et al. </w:t>
      </w:r>
      <w:r w:rsidRPr="00D222AC">
        <w:rPr>
          <w:rFonts w:ascii="Arial" w:hAnsi="Arial" w:cs="Arial"/>
          <w:sz w:val="20"/>
          <w:szCs w:val="20"/>
        </w:rPr>
        <w:t>2024 (using NEBULA</w:t>
      </w:r>
      <w:r>
        <w:rPr>
          <w:rFonts w:ascii="Arial" w:hAnsi="Arial" w:cs="Arial"/>
          <w:sz w:val="20"/>
          <w:szCs w:val="20"/>
        </w:rPr>
        <w:fldChar w:fldCharType="begin"/>
      </w:r>
      <w:r>
        <w:rPr>
          <w:rFonts w:ascii="Arial" w:hAnsi="Arial" w:cs="Arial"/>
          <w:sz w:val="20"/>
          <w:szCs w:val="20"/>
        </w:rPr>
        <w:instrText xml:space="preserve"> ADDIN ZOTERO_ITEM CSL_CITATION {"citationID":"YGXGWUYP","properties":{"unsorted":false,"formattedCitation":"(39)","plainCitation":"(39)","noteIndex":0},"citationItems":[{"id":19832,"uris":["http://zotero.org/users/12236467/items/ZXXM7IQJ"],"itemData":{"id":19832,"type":"article-journal","abstract":"The increasing availability of single-cell data revolutionizes the understanding of biological mechanisms at cellular resolution. For differential expression analysis in multi-subject single-cell data, negative binomial mixed models account for both subject-level and cell-level overdispersions, but are computationally demanding. Here, we propose an efficient NEgative Binomial mixed model Using a Large-sample Approximation (NEBULA). The speed gain is achieved by analytically solving high-dimensional integrals instead of using the Laplace approximation. We demonstrate that NEBULA is orders of magnitude faster than existing tools and controls false-positive errors in marker gene identification and co-expression analysis. Using NEBULA in Alzheimer’s disease cohort data sets, we found that the cell-level expression of APOE correlated with that of other genetic risk factors (including CLU, CST3, TREM2, C1q, and ITM2B) in a cell-type-specific pattern and an isoform-dependent manner in microglia. NEBULA opens up a new avenue for the broad application of mixed models to large-scale multi-subject single-cell data.","container-title":"Communications Biology","DOI":"10.1038/s42003-021-02146-6","ISSN":"2399-3642","issue":"1","journalAbbreviation":"Commun Biol","language":"en","license":"2021 The Author(s)","page":"1-17","publisher":"Nature Publishing Group","source":"www-nature-com.proxy.library.upenn.edu","title":"NEBULA is a fast negative binomial mixed model for differential or co-expression analysis of large-scale multi-subject single-cell data","URL":"https://www.nature.com/articles/s42003-021-02146-6","volume":"4","author":[{"family":"He","given":"Liang"},{"family":"Davila-Velderrain","given":"Jose"},{"family":"Sumida","given":"Tomokazu S."},{"family":"Hafler","given":"David A."},{"family":"Kellis","given":"Manolis"},{"family":"Kulminski","given":"Alexander M."}],"accessed":{"date-parts":[["2024",10,16]]},"issued":{"date-parts":[["2021",5,26]]}}}],"schema":"https://github.com/citation-style-language/schema/raw/master/csl-citation.json"} </w:instrText>
      </w:r>
      <w:r>
        <w:rPr>
          <w:rFonts w:ascii="Arial" w:hAnsi="Arial" w:cs="Arial"/>
          <w:sz w:val="20"/>
          <w:szCs w:val="20"/>
        </w:rPr>
        <w:fldChar w:fldCharType="separate"/>
      </w:r>
      <w:r>
        <w:rPr>
          <w:rFonts w:ascii="Arial" w:hAnsi="Arial" w:cs="Arial"/>
          <w:sz w:val="20"/>
        </w:rPr>
        <w:t>(39)</w:t>
      </w:r>
      <w:r>
        <w:rPr>
          <w:rFonts w:ascii="Arial" w:hAnsi="Arial" w:cs="Arial"/>
          <w:sz w:val="20"/>
          <w:szCs w:val="20"/>
        </w:rPr>
        <w:fldChar w:fldCharType="end"/>
      </w:r>
      <w:r w:rsidRPr="00D222AC">
        <w:rPr>
          <w:rFonts w:ascii="Arial" w:hAnsi="Arial" w:cs="Arial"/>
          <w:sz w:val="20"/>
          <w:szCs w:val="20"/>
        </w:rPr>
        <w:t xml:space="preserve"> mixed</w:t>
      </w:r>
      <w:r>
        <w:rPr>
          <w:rFonts w:ascii="Arial" w:hAnsi="Arial" w:cs="Arial"/>
          <w:sz w:val="20"/>
          <w:szCs w:val="20"/>
        </w:rPr>
        <w:t xml:space="preserve"> </w:t>
      </w:r>
      <w:r w:rsidRPr="00D222AC">
        <w:rPr>
          <w:rFonts w:ascii="Arial" w:hAnsi="Arial" w:cs="Arial"/>
          <w:sz w:val="20"/>
          <w:szCs w:val="20"/>
        </w:rPr>
        <w:t xml:space="preserve">effect model). </w:t>
      </w:r>
      <w:r w:rsidRPr="00D222AC">
        <w:rPr>
          <w:rFonts w:ascii="Arial" w:hAnsi="Arial" w:cs="Arial"/>
          <w:b/>
          <w:bCs/>
          <w:sz w:val="20"/>
          <w:szCs w:val="20"/>
        </w:rPr>
        <w:t>(d)</w:t>
      </w:r>
      <w:r w:rsidRPr="00D222AC">
        <w:rPr>
          <w:rFonts w:ascii="Arial" w:hAnsi="Arial" w:cs="Arial"/>
          <w:sz w:val="20"/>
          <w:szCs w:val="20"/>
        </w:rPr>
        <w:t xml:space="preserve"> Comparison of aging DEGs identified in our study versus Read </w:t>
      </w:r>
      <w:r>
        <w:rPr>
          <w:rFonts w:ascii="Arial" w:hAnsi="Arial" w:cs="Arial"/>
          <w:sz w:val="20"/>
          <w:szCs w:val="20"/>
        </w:rPr>
        <w:t xml:space="preserve">et al. </w:t>
      </w:r>
      <w:r w:rsidRPr="00D222AC">
        <w:rPr>
          <w:rFonts w:ascii="Arial" w:hAnsi="Arial" w:cs="Arial"/>
          <w:sz w:val="20"/>
          <w:szCs w:val="20"/>
        </w:rPr>
        <w:t xml:space="preserve">2024.  </w:t>
      </w:r>
    </w:p>
    <w:p w14:paraId="0FB714BD" w14:textId="77777777" w:rsidR="00F94AAA" w:rsidRPr="000E2AB3"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19700910" wp14:editId="7A185CA3">
            <wp:extent cx="5808518" cy="7154159"/>
            <wp:effectExtent l="0" t="0" r="0" b="0"/>
            <wp:docPr id="11737443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44309" name="Picture 1" descr="A screenshot of a computer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36686" cy="7188852"/>
                    </a:xfrm>
                    <a:prstGeom prst="rect">
                      <a:avLst/>
                    </a:prstGeom>
                  </pic:spPr>
                </pic:pic>
              </a:graphicData>
            </a:graphic>
          </wp:inline>
        </w:drawing>
      </w:r>
    </w:p>
    <w:p w14:paraId="7DA345DD" w14:textId="77777777" w:rsidR="00F94AAA" w:rsidRPr="000B0586" w:rsidRDefault="00F94AAA" w:rsidP="00F94AAA">
      <w:pPr>
        <w:rPr>
          <w:rStyle w:val="Heading1Char"/>
          <w:rFonts w:ascii="Arial" w:eastAsiaTheme="minorEastAsia" w:hAnsi="Arial" w:cs="Arial"/>
          <w:color w:val="auto"/>
          <w:sz w:val="20"/>
          <w:szCs w:val="20"/>
        </w:rPr>
      </w:pPr>
      <w:bookmarkStart w:id="18" w:name="_Toc221608506"/>
      <w:r>
        <w:rPr>
          <w:rStyle w:val="Heading1Char"/>
          <w:b/>
          <w:bCs/>
          <w:sz w:val="20"/>
          <w:szCs w:val="20"/>
        </w:rPr>
        <w:t>Fig. S</w:t>
      </w:r>
      <w:r w:rsidRPr="00631305">
        <w:rPr>
          <w:rStyle w:val="Heading1Char"/>
          <w:b/>
          <w:bCs/>
          <w:sz w:val="20"/>
          <w:szCs w:val="20"/>
        </w:rPr>
        <w:t>1</w:t>
      </w:r>
      <w:r>
        <w:rPr>
          <w:rStyle w:val="Heading1Char"/>
          <w:b/>
          <w:bCs/>
          <w:sz w:val="20"/>
          <w:szCs w:val="20"/>
        </w:rPr>
        <w:t>1</w:t>
      </w:r>
      <w:r w:rsidRPr="00631305">
        <w:rPr>
          <w:rStyle w:val="Heading1Char"/>
          <w:b/>
          <w:bCs/>
          <w:sz w:val="20"/>
          <w:szCs w:val="20"/>
        </w:rPr>
        <w:t xml:space="preserve"> – Sex differential expression and accessibility supplemental figures</w:t>
      </w:r>
      <w:bookmarkEnd w:id="18"/>
      <w:r w:rsidRPr="00631305">
        <w:rPr>
          <w:rFonts w:ascii="Arial" w:hAnsi="Arial" w:cs="Arial"/>
          <w:sz w:val="20"/>
          <w:szCs w:val="20"/>
        </w:rPr>
        <w:t xml:space="preserve">: </w:t>
      </w:r>
      <w:r w:rsidRPr="00631305">
        <w:rPr>
          <w:rFonts w:ascii="Arial" w:hAnsi="Arial" w:cs="Arial"/>
          <w:b/>
          <w:bCs/>
          <w:sz w:val="20"/>
          <w:szCs w:val="20"/>
        </w:rPr>
        <w:t>(a)</w:t>
      </w:r>
      <w:r w:rsidRPr="00631305">
        <w:rPr>
          <w:rFonts w:ascii="Arial" w:hAnsi="Arial" w:cs="Arial"/>
          <w:sz w:val="20"/>
          <w:szCs w:val="20"/>
        </w:rPr>
        <w:t xml:space="preserve"> Number of cell types for which a gene is differentially increased in females or males. Sex chromosome genes are most</w:t>
      </w:r>
      <w:r>
        <w:rPr>
          <w:rFonts w:ascii="Arial" w:hAnsi="Arial" w:cs="Arial"/>
          <w:sz w:val="20"/>
          <w:szCs w:val="20"/>
        </w:rPr>
        <w:t>ly</w:t>
      </w:r>
      <w:r w:rsidRPr="00631305">
        <w:rPr>
          <w:rFonts w:ascii="Arial" w:hAnsi="Arial" w:cs="Arial"/>
          <w:sz w:val="20"/>
          <w:szCs w:val="20"/>
        </w:rPr>
        <w:t xml:space="preserve"> shared across cell types. </w:t>
      </w:r>
      <w:r w:rsidRPr="00631305">
        <w:rPr>
          <w:rFonts w:ascii="Arial" w:hAnsi="Arial" w:cs="Arial"/>
          <w:b/>
          <w:bCs/>
          <w:sz w:val="20"/>
          <w:szCs w:val="20"/>
        </w:rPr>
        <w:t xml:space="preserve">(b-d) </w:t>
      </w:r>
      <w:r w:rsidRPr="00631305">
        <w:rPr>
          <w:rFonts w:ascii="Arial" w:hAnsi="Arial" w:cs="Arial"/>
          <w:sz w:val="20"/>
          <w:szCs w:val="20"/>
        </w:rPr>
        <w:t>Volcano plots show differentially expressed genes (DEGs) between males and females for cardiomyocytes, fibroblasts, and myeloid cells, respectively. (</w:t>
      </w:r>
      <w:r w:rsidRPr="00631305">
        <w:rPr>
          <w:rFonts w:ascii="Arial" w:hAnsi="Arial" w:cs="Arial"/>
          <w:b/>
          <w:bCs/>
          <w:sz w:val="20"/>
          <w:szCs w:val="20"/>
        </w:rPr>
        <w:t>e-</w:t>
      </w:r>
      <w:r>
        <w:rPr>
          <w:rFonts w:ascii="Arial" w:hAnsi="Arial" w:cs="Arial"/>
          <w:b/>
          <w:bCs/>
          <w:sz w:val="20"/>
          <w:szCs w:val="20"/>
        </w:rPr>
        <w:t>g</w:t>
      </w:r>
      <w:r w:rsidRPr="00631305">
        <w:rPr>
          <w:rFonts w:ascii="Arial" w:hAnsi="Arial" w:cs="Arial"/>
          <w:sz w:val="20"/>
          <w:szCs w:val="20"/>
        </w:rPr>
        <w:t>) Volcano plots showing differentially accessible regions (DARs) between males and males for cardiomyocytes</w:t>
      </w:r>
      <w:r>
        <w:rPr>
          <w:rFonts w:ascii="Arial" w:hAnsi="Arial" w:cs="Arial"/>
          <w:sz w:val="20"/>
          <w:szCs w:val="20"/>
        </w:rPr>
        <w:t>,</w:t>
      </w:r>
      <w:r w:rsidRPr="00631305">
        <w:rPr>
          <w:rFonts w:ascii="Arial" w:hAnsi="Arial" w:cs="Arial"/>
          <w:sz w:val="20"/>
          <w:szCs w:val="20"/>
        </w:rPr>
        <w:t xml:space="preserve"> fibroblasts,</w:t>
      </w:r>
      <w:r>
        <w:rPr>
          <w:rFonts w:ascii="Arial" w:hAnsi="Arial" w:cs="Arial"/>
          <w:sz w:val="20"/>
          <w:szCs w:val="20"/>
        </w:rPr>
        <w:t xml:space="preserve"> and myeloid cells,</w:t>
      </w:r>
      <w:r w:rsidRPr="00631305">
        <w:rPr>
          <w:rFonts w:ascii="Arial" w:hAnsi="Arial" w:cs="Arial"/>
          <w:sz w:val="20"/>
          <w:szCs w:val="20"/>
        </w:rPr>
        <w:t xml:space="preserve"> respectively</w:t>
      </w:r>
      <w:r w:rsidRPr="00CF43D7">
        <w:rPr>
          <w:rFonts w:ascii="Arial" w:hAnsi="Arial" w:cs="Arial"/>
          <w:sz w:val="20"/>
          <w:szCs w:val="20"/>
        </w:rPr>
        <w:t xml:space="preserve">. </w:t>
      </w:r>
      <w:r w:rsidRPr="00D47A4A">
        <w:rPr>
          <w:rFonts w:ascii="Arial" w:hAnsi="Arial" w:cs="Arial"/>
          <w:b/>
          <w:bCs/>
          <w:sz w:val="20"/>
          <w:szCs w:val="20"/>
        </w:rPr>
        <w:t>(h)</w:t>
      </w:r>
      <w:r>
        <w:rPr>
          <w:rFonts w:ascii="Arial" w:hAnsi="Arial" w:cs="Arial"/>
          <w:sz w:val="20"/>
          <w:szCs w:val="20"/>
        </w:rPr>
        <w:t xml:space="preserve"> Upset plot showing the number of DEGs for sex (male vs. female) in cardiomyocytes when combining all datasets, either using a meta-analysis approach (“combined-meta”) or with batch as a covariate (“combined-covariate”), or within individual studies. </w:t>
      </w:r>
      <w:r w:rsidRPr="001811B9">
        <w:rPr>
          <w:rFonts w:ascii="Arial" w:hAnsi="Arial" w:cs="Arial"/>
          <w:i/>
          <w:iCs/>
          <w:sz w:val="20"/>
          <w:szCs w:val="20"/>
        </w:rPr>
        <w:t>FRDM5</w:t>
      </w:r>
      <w:r>
        <w:rPr>
          <w:rFonts w:ascii="Arial" w:hAnsi="Arial" w:cs="Arial"/>
          <w:sz w:val="20"/>
          <w:szCs w:val="20"/>
        </w:rPr>
        <w:t xml:space="preserve"> is found as significantly upregulated in males in all individual studies, and in both methods for the combined dataset. </w:t>
      </w:r>
      <w:r w:rsidRPr="00AD3D7F">
        <w:rPr>
          <w:rFonts w:ascii="Arial" w:hAnsi="Arial" w:cs="Arial"/>
          <w:b/>
          <w:bCs/>
          <w:sz w:val="20"/>
          <w:szCs w:val="20"/>
        </w:rPr>
        <w:t>(</w:t>
      </w:r>
      <w:proofErr w:type="spellStart"/>
      <w:r w:rsidRPr="00AD3D7F">
        <w:rPr>
          <w:rFonts w:ascii="Arial" w:hAnsi="Arial" w:cs="Arial"/>
          <w:b/>
          <w:bCs/>
          <w:sz w:val="20"/>
          <w:szCs w:val="20"/>
        </w:rPr>
        <w:t>i</w:t>
      </w:r>
      <w:proofErr w:type="spellEnd"/>
      <w:r w:rsidRPr="00AD3D7F">
        <w:rPr>
          <w:rFonts w:ascii="Arial" w:hAnsi="Arial" w:cs="Arial"/>
          <w:b/>
          <w:bCs/>
          <w:sz w:val="20"/>
          <w:szCs w:val="20"/>
        </w:rPr>
        <w:t>)</w:t>
      </w:r>
      <w:r>
        <w:rPr>
          <w:rFonts w:ascii="Arial" w:hAnsi="Arial" w:cs="Arial"/>
          <w:sz w:val="20"/>
          <w:szCs w:val="20"/>
        </w:rPr>
        <w:t xml:space="preserve"> Hallmark pathways that are enriched in males (positive normalized enrichment score) and females (negative normalized enrichment score).</w:t>
      </w:r>
    </w:p>
    <w:p w14:paraId="7BBC19C1" w14:textId="77777777" w:rsidR="00F94AAA" w:rsidRDefault="00F94AAA" w:rsidP="00F94AAA">
      <w:pPr>
        <w:jc w:val="center"/>
        <w:rPr>
          <w:rStyle w:val="Heading1Char"/>
          <w:b/>
          <w:bCs/>
          <w:sz w:val="22"/>
          <w:szCs w:val="22"/>
        </w:rPr>
      </w:pPr>
      <w:r>
        <w:rPr>
          <w:rFonts w:asciiTheme="majorHAnsi" w:eastAsiaTheme="majorEastAsia" w:hAnsiTheme="majorHAnsi" w:cstheme="majorBidi"/>
          <w:b/>
          <w:bCs/>
          <w:noProof/>
          <w:color w:val="0F4761" w:themeColor="accent1" w:themeShade="BF"/>
          <w:sz w:val="22"/>
          <w:szCs w:val="22"/>
        </w:rPr>
        <w:lastRenderedPageBreak/>
        <w:drawing>
          <wp:inline distT="0" distB="0" distL="0" distR="0" wp14:anchorId="13A6D167" wp14:editId="01BC1D63">
            <wp:extent cx="6858000" cy="6013450"/>
            <wp:effectExtent l="0" t="0" r="0" b="6350"/>
            <wp:docPr id="1066524926" name="Picture 1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24926" name="Picture 16" descr="A screenshot of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6013450"/>
                    </a:xfrm>
                    <a:prstGeom prst="rect">
                      <a:avLst/>
                    </a:prstGeom>
                  </pic:spPr>
                </pic:pic>
              </a:graphicData>
            </a:graphic>
          </wp:inline>
        </w:drawing>
      </w:r>
    </w:p>
    <w:p w14:paraId="7A3505A9" w14:textId="77777777" w:rsidR="00F94AAA" w:rsidRPr="0044365C" w:rsidRDefault="00F94AAA" w:rsidP="00F94AAA">
      <w:pPr>
        <w:rPr>
          <w:rFonts w:ascii="Arial" w:hAnsi="Arial" w:cs="Arial"/>
          <w:sz w:val="20"/>
          <w:szCs w:val="20"/>
        </w:rPr>
      </w:pPr>
      <w:bookmarkStart w:id="19" w:name="_Toc221608507"/>
      <w:r>
        <w:rPr>
          <w:rStyle w:val="Heading1Char"/>
          <w:b/>
          <w:bCs/>
          <w:sz w:val="20"/>
          <w:szCs w:val="20"/>
        </w:rPr>
        <w:t>Fig. S</w:t>
      </w:r>
      <w:r w:rsidRPr="00A85845">
        <w:rPr>
          <w:rStyle w:val="Heading1Char"/>
          <w:b/>
          <w:bCs/>
          <w:sz w:val="20"/>
          <w:szCs w:val="20"/>
        </w:rPr>
        <w:t>12 – Aging differential expression and accessibility supplemental figures:</w:t>
      </w:r>
      <w:bookmarkEnd w:id="19"/>
      <w:r w:rsidRPr="00A85845">
        <w:rPr>
          <w:rStyle w:val="Heading1Char"/>
          <w:b/>
          <w:bCs/>
          <w:sz w:val="20"/>
          <w:szCs w:val="20"/>
        </w:rPr>
        <w:t xml:space="preserve"> </w:t>
      </w:r>
      <w:r w:rsidRPr="00A85845">
        <w:rPr>
          <w:rFonts w:ascii="Arial" w:hAnsi="Arial" w:cs="Arial"/>
          <w:sz w:val="20"/>
          <w:szCs w:val="20"/>
        </w:rPr>
        <w:t>(</w:t>
      </w:r>
      <w:r w:rsidRPr="00A85845">
        <w:rPr>
          <w:rFonts w:ascii="Arial" w:hAnsi="Arial" w:cs="Arial"/>
          <w:b/>
          <w:bCs/>
          <w:sz w:val="20"/>
          <w:szCs w:val="20"/>
        </w:rPr>
        <w:t>a</w:t>
      </w:r>
      <w:r w:rsidRPr="00A85845">
        <w:rPr>
          <w:rFonts w:ascii="Arial" w:hAnsi="Arial" w:cs="Arial"/>
          <w:sz w:val="20"/>
          <w:szCs w:val="20"/>
        </w:rPr>
        <w:t xml:space="preserve">) We investigated how the number of DEGs changed as a function of the number of </w:t>
      </w:r>
      <w:r w:rsidRPr="00154647">
        <w:rPr>
          <w:rFonts w:ascii="Arial" w:hAnsi="Arial" w:cs="Arial"/>
          <w:sz w:val="20"/>
          <w:szCs w:val="20"/>
        </w:rPr>
        <w:t>donors</w:t>
      </w:r>
      <w:r w:rsidRPr="00A85845">
        <w:rPr>
          <w:rFonts w:ascii="Arial" w:hAnsi="Arial" w:cs="Arial"/>
          <w:sz w:val="20"/>
          <w:szCs w:val="20"/>
        </w:rPr>
        <w:t>. We performed five random subsampl</w:t>
      </w:r>
      <w:r>
        <w:rPr>
          <w:rFonts w:ascii="Arial" w:hAnsi="Arial" w:cs="Arial"/>
          <w:sz w:val="20"/>
          <w:szCs w:val="20"/>
        </w:rPr>
        <w:t>es</w:t>
      </w:r>
      <w:r w:rsidRPr="00A85845">
        <w:rPr>
          <w:rFonts w:ascii="Arial" w:hAnsi="Arial" w:cs="Arial"/>
          <w:sz w:val="20"/>
          <w:szCs w:val="20"/>
        </w:rPr>
        <w:t xml:space="preserve"> of number of donors ranging from 50-299 and observed the number of DEGs identified for the sex and aging contrasts.</w:t>
      </w:r>
      <w:r w:rsidRPr="00A85845">
        <w:rPr>
          <w:rStyle w:val="Heading1Char"/>
          <w:b/>
          <w:bCs/>
          <w:sz w:val="20"/>
          <w:szCs w:val="20"/>
        </w:rPr>
        <w:t xml:space="preserve"> </w:t>
      </w:r>
      <w:r w:rsidRPr="00A85845">
        <w:rPr>
          <w:rFonts w:ascii="Arial" w:hAnsi="Arial" w:cs="Arial"/>
          <w:b/>
          <w:bCs/>
          <w:sz w:val="20"/>
          <w:szCs w:val="20"/>
        </w:rPr>
        <w:t>(b)</w:t>
      </w:r>
      <w:r w:rsidRPr="00A85845">
        <w:rPr>
          <w:rFonts w:ascii="Arial" w:hAnsi="Arial" w:cs="Arial"/>
          <w:sz w:val="20"/>
          <w:szCs w:val="20"/>
        </w:rPr>
        <w:t xml:space="preserve"> Number of cell types for which a gene is differentially increased across aging. Most genes are differential in only one cell type, but some genes such as </w:t>
      </w:r>
      <w:r w:rsidRPr="00A85845">
        <w:rPr>
          <w:rFonts w:ascii="Arial" w:hAnsi="Arial" w:cs="Arial"/>
          <w:i/>
          <w:iCs/>
          <w:sz w:val="20"/>
          <w:szCs w:val="20"/>
        </w:rPr>
        <w:t>PTCHD4</w:t>
      </w:r>
      <w:r w:rsidRPr="00A85845">
        <w:rPr>
          <w:rFonts w:ascii="Arial" w:hAnsi="Arial" w:cs="Arial"/>
          <w:sz w:val="20"/>
          <w:szCs w:val="20"/>
        </w:rPr>
        <w:t xml:space="preserve"> are increased in multiple cell types. Collagen isoforms are decreased with age in several cell types. </w:t>
      </w:r>
      <w:r w:rsidRPr="00A85845">
        <w:rPr>
          <w:rFonts w:ascii="Arial" w:hAnsi="Arial" w:cs="Arial"/>
          <w:b/>
          <w:bCs/>
          <w:sz w:val="20"/>
          <w:szCs w:val="20"/>
        </w:rPr>
        <w:t>(c)</w:t>
      </w:r>
      <w:r w:rsidRPr="00A85845">
        <w:rPr>
          <w:rFonts w:ascii="Arial" w:hAnsi="Arial" w:cs="Arial"/>
          <w:i/>
          <w:iCs/>
          <w:sz w:val="20"/>
          <w:szCs w:val="20"/>
        </w:rPr>
        <w:t xml:space="preserve"> </w:t>
      </w:r>
      <w:r w:rsidRPr="00A85845">
        <w:rPr>
          <w:rFonts w:ascii="Arial" w:hAnsi="Arial" w:cs="Arial"/>
          <w:sz w:val="20"/>
          <w:szCs w:val="20"/>
        </w:rPr>
        <w:t>Volcano plot show</w:t>
      </w:r>
      <w:r>
        <w:rPr>
          <w:rFonts w:ascii="Arial" w:hAnsi="Arial" w:cs="Arial"/>
          <w:sz w:val="20"/>
          <w:szCs w:val="20"/>
        </w:rPr>
        <w:t xml:space="preserve">ing cardiomyocyte </w:t>
      </w:r>
      <w:r w:rsidRPr="00A85845">
        <w:rPr>
          <w:rFonts w:ascii="Arial" w:hAnsi="Arial" w:cs="Arial"/>
          <w:sz w:val="20"/>
          <w:szCs w:val="20"/>
        </w:rPr>
        <w:t>differentially expressed genes (DEGs) between old and young</w:t>
      </w:r>
      <w:r>
        <w:rPr>
          <w:rFonts w:ascii="Arial" w:hAnsi="Arial" w:cs="Arial"/>
          <w:sz w:val="20"/>
          <w:szCs w:val="20"/>
        </w:rPr>
        <w:t xml:space="preserve"> donors, which include </w:t>
      </w:r>
      <w:r w:rsidRPr="00ED6684">
        <w:rPr>
          <w:rFonts w:ascii="Arial" w:hAnsi="Arial" w:cs="Arial"/>
          <w:i/>
          <w:iCs/>
          <w:sz w:val="20"/>
          <w:szCs w:val="20"/>
        </w:rPr>
        <w:t>SREBF1</w:t>
      </w:r>
      <w:r>
        <w:rPr>
          <w:rFonts w:ascii="Arial" w:hAnsi="Arial" w:cs="Arial"/>
          <w:sz w:val="20"/>
          <w:szCs w:val="20"/>
        </w:rPr>
        <w:t xml:space="preserve"> and </w:t>
      </w:r>
      <w:r w:rsidRPr="00ED6684">
        <w:rPr>
          <w:rFonts w:ascii="Arial" w:hAnsi="Arial" w:cs="Arial"/>
          <w:i/>
          <w:iCs/>
          <w:sz w:val="20"/>
          <w:szCs w:val="20"/>
        </w:rPr>
        <w:t>LDLR</w:t>
      </w:r>
      <w:r>
        <w:rPr>
          <w:rFonts w:ascii="Arial" w:hAnsi="Arial" w:cs="Arial"/>
          <w:sz w:val="20"/>
          <w:szCs w:val="20"/>
        </w:rPr>
        <w:t xml:space="preserve"> as decreasing with age and </w:t>
      </w:r>
      <w:r w:rsidRPr="003A1D2B">
        <w:rPr>
          <w:rFonts w:ascii="Arial" w:hAnsi="Arial" w:cs="Arial"/>
          <w:i/>
          <w:iCs/>
          <w:sz w:val="20"/>
          <w:szCs w:val="20"/>
        </w:rPr>
        <w:t>PTCHD4</w:t>
      </w:r>
      <w:r>
        <w:rPr>
          <w:rFonts w:ascii="Arial" w:hAnsi="Arial" w:cs="Arial"/>
          <w:sz w:val="20"/>
          <w:szCs w:val="20"/>
        </w:rPr>
        <w:t xml:space="preserve"> increasing with age. (</w:t>
      </w:r>
      <w:r w:rsidRPr="00C021A5">
        <w:rPr>
          <w:rFonts w:ascii="Arial" w:hAnsi="Arial" w:cs="Arial"/>
          <w:b/>
          <w:bCs/>
          <w:sz w:val="20"/>
          <w:szCs w:val="20"/>
        </w:rPr>
        <w:t>d</w:t>
      </w:r>
      <w:r>
        <w:rPr>
          <w:rFonts w:ascii="Arial" w:hAnsi="Arial" w:cs="Arial"/>
          <w:sz w:val="20"/>
          <w:szCs w:val="20"/>
        </w:rPr>
        <w:t xml:space="preserve">) Fold changes of target genes of SREBF1 across aging, using a list of downstream genes based on </w:t>
      </w:r>
      <w:proofErr w:type="spellStart"/>
      <w:r>
        <w:rPr>
          <w:rFonts w:ascii="Arial" w:hAnsi="Arial" w:cs="Arial"/>
          <w:sz w:val="20"/>
          <w:szCs w:val="20"/>
        </w:rPr>
        <w:t>ChIP</w:t>
      </w:r>
      <w:proofErr w:type="spellEnd"/>
      <w:r>
        <w:rPr>
          <w:rFonts w:ascii="Arial" w:hAnsi="Arial" w:cs="Arial"/>
          <w:sz w:val="20"/>
          <w:szCs w:val="20"/>
        </w:rPr>
        <w:t xml:space="preserve">-seq experiments. The p-value is determined based on empirical null distribution, which corresponds to the mean fold changes determined through 1000 random samplings of a gene set that is the same size as that of the </w:t>
      </w:r>
      <w:r w:rsidRPr="001E6F73">
        <w:rPr>
          <w:rFonts w:ascii="Arial" w:hAnsi="Arial" w:cs="Arial"/>
          <w:i/>
          <w:iCs/>
          <w:sz w:val="20"/>
          <w:szCs w:val="20"/>
        </w:rPr>
        <w:t>SREBF1</w:t>
      </w:r>
      <w:r>
        <w:rPr>
          <w:rFonts w:ascii="Arial" w:hAnsi="Arial" w:cs="Arial"/>
          <w:sz w:val="20"/>
          <w:szCs w:val="20"/>
        </w:rPr>
        <w:t xml:space="preserve"> targets.</w:t>
      </w:r>
      <w:r w:rsidRPr="00A85845">
        <w:rPr>
          <w:rFonts w:ascii="Arial" w:hAnsi="Arial" w:cs="Arial"/>
          <w:sz w:val="20"/>
          <w:szCs w:val="20"/>
        </w:rPr>
        <w:t xml:space="preserve"> </w:t>
      </w:r>
      <w:r w:rsidRPr="004F3CF3">
        <w:rPr>
          <w:rFonts w:ascii="Arial" w:hAnsi="Arial" w:cs="Arial"/>
          <w:b/>
          <w:bCs/>
          <w:sz w:val="20"/>
          <w:szCs w:val="20"/>
        </w:rPr>
        <w:t>(</w:t>
      </w:r>
      <w:r>
        <w:rPr>
          <w:rFonts w:ascii="Arial" w:hAnsi="Arial" w:cs="Arial"/>
          <w:b/>
          <w:bCs/>
          <w:sz w:val="20"/>
          <w:szCs w:val="20"/>
        </w:rPr>
        <w:t>e</w:t>
      </w:r>
      <w:r w:rsidRPr="004F3CF3">
        <w:rPr>
          <w:rFonts w:ascii="Arial" w:hAnsi="Arial" w:cs="Arial"/>
          <w:b/>
          <w:bCs/>
          <w:sz w:val="20"/>
          <w:szCs w:val="20"/>
        </w:rPr>
        <w:t>)</w:t>
      </w:r>
      <w:r>
        <w:rPr>
          <w:rFonts w:ascii="Arial" w:hAnsi="Arial" w:cs="Arial"/>
          <w:sz w:val="20"/>
          <w:szCs w:val="20"/>
        </w:rPr>
        <w:t xml:space="preserve"> </w:t>
      </w:r>
      <w:r w:rsidRPr="00A85845">
        <w:rPr>
          <w:rFonts w:ascii="Arial" w:hAnsi="Arial" w:cs="Arial"/>
          <w:sz w:val="20"/>
          <w:szCs w:val="20"/>
        </w:rPr>
        <w:t>Volcano plot show</w:t>
      </w:r>
      <w:r>
        <w:rPr>
          <w:rFonts w:ascii="Arial" w:hAnsi="Arial" w:cs="Arial"/>
          <w:sz w:val="20"/>
          <w:szCs w:val="20"/>
        </w:rPr>
        <w:t xml:space="preserve">ing fibroblast DEGs </w:t>
      </w:r>
      <w:r w:rsidRPr="00A85845">
        <w:rPr>
          <w:rFonts w:ascii="Arial" w:hAnsi="Arial" w:cs="Arial"/>
          <w:sz w:val="20"/>
          <w:szCs w:val="20"/>
        </w:rPr>
        <w:t>between old and young</w:t>
      </w:r>
      <w:r>
        <w:rPr>
          <w:rFonts w:ascii="Arial" w:hAnsi="Arial" w:cs="Arial"/>
          <w:sz w:val="20"/>
          <w:szCs w:val="20"/>
        </w:rPr>
        <w:t xml:space="preserve"> donors, which include </w:t>
      </w:r>
      <w:r w:rsidRPr="00625986">
        <w:rPr>
          <w:rFonts w:ascii="Arial" w:hAnsi="Arial" w:cs="Arial"/>
          <w:i/>
          <w:iCs/>
          <w:sz w:val="20"/>
          <w:szCs w:val="20"/>
        </w:rPr>
        <w:t>PTCHD4</w:t>
      </w:r>
      <w:r>
        <w:rPr>
          <w:rFonts w:ascii="Arial" w:hAnsi="Arial" w:cs="Arial"/>
          <w:sz w:val="20"/>
          <w:szCs w:val="20"/>
        </w:rPr>
        <w:t xml:space="preserve"> increasing with age. </w:t>
      </w:r>
      <w:r w:rsidRPr="00AB13DF">
        <w:rPr>
          <w:rFonts w:ascii="Arial" w:hAnsi="Arial" w:cs="Arial"/>
          <w:b/>
          <w:bCs/>
          <w:sz w:val="20"/>
          <w:szCs w:val="20"/>
        </w:rPr>
        <w:t>(</w:t>
      </w:r>
      <w:r>
        <w:rPr>
          <w:rFonts w:ascii="Arial" w:hAnsi="Arial" w:cs="Arial"/>
          <w:b/>
          <w:bCs/>
          <w:sz w:val="20"/>
          <w:szCs w:val="20"/>
        </w:rPr>
        <w:t>f</w:t>
      </w:r>
      <w:r w:rsidRPr="00AB13DF">
        <w:rPr>
          <w:rFonts w:ascii="Arial" w:hAnsi="Arial" w:cs="Arial"/>
          <w:b/>
          <w:bCs/>
          <w:sz w:val="20"/>
          <w:szCs w:val="20"/>
        </w:rPr>
        <w:t>)</w:t>
      </w:r>
      <w:r>
        <w:rPr>
          <w:rFonts w:ascii="Arial" w:hAnsi="Arial" w:cs="Arial"/>
          <w:sz w:val="20"/>
          <w:szCs w:val="20"/>
        </w:rPr>
        <w:t xml:space="preserve"> Using a DESeq2 model that includes an interaction term (expression ~ sex + age + sex * age + </w:t>
      </w:r>
      <w:proofErr w:type="spellStart"/>
      <w:r>
        <w:rPr>
          <w:rFonts w:ascii="Arial" w:hAnsi="Arial" w:cs="Arial"/>
          <w:sz w:val="20"/>
          <w:szCs w:val="20"/>
        </w:rPr>
        <w:t>tech_plus_study</w:t>
      </w:r>
      <w:proofErr w:type="spellEnd"/>
      <w:r>
        <w:rPr>
          <w:rFonts w:ascii="Arial" w:hAnsi="Arial" w:cs="Arial"/>
          <w:sz w:val="20"/>
          <w:szCs w:val="20"/>
        </w:rPr>
        <w:t xml:space="preserve">), few DEGs were identified. </w:t>
      </w:r>
      <w:r w:rsidRPr="00AB13DF">
        <w:rPr>
          <w:rFonts w:ascii="Arial" w:hAnsi="Arial" w:cs="Arial"/>
          <w:b/>
          <w:bCs/>
          <w:sz w:val="20"/>
          <w:szCs w:val="20"/>
        </w:rPr>
        <w:t>(</w:t>
      </w:r>
      <w:r>
        <w:rPr>
          <w:rFonts w:ascii="Arial" w:hAnsi="Arial" w:cs="Arial"/>
          <w:b/>
          <w:bCs/>
          <w:sz w:val="20"/>
          <w:szCs w:val="20"/>
        </w:rPr>
        <w:t>g</w:t>
      </w:r>
      <w:r w:rsidRPr="00AB13DF">
        <w:rPr>
          <w:rFonts w:ascii="Arial" w:hAnsi="Arial" w:cs="Arial"/>
          <w:b/>
          <w:bCs/>
          <w:sz w:val="20"/>
          <w:szCs w:val="20"/>
        </w:rPr>
        <w:t>)</w:t>
      </w:r>
      <w:r>
        <w:rPr>
          <w:rFonts w:ascii="Arial" w:hAnsi="Arial" w:cs="Arial"/>
          <w:sz w:val="20"/>
          <w:szCs w:val="20"/>
        </w:rPr>
        <w:t xml:space="preserve"> One of the few positive sex-aging DEGs is </w:t>
      </w:r>
      <w:bookmarkStart w:id="20" w:name="_Hlk220922295"/>
      <w:r w:rsidRPr="00AB13DF">
        <w:rPr>
          <w:rFonts w:ascii="Arial" w:hAnsi="Arial" w:cs="Arial"/>
          <w:i/>
          <w:iCs/>
          <w:sz w:val="20"/>
          <w:szCs w:val="20"/>
        </w:rPr>
        <w:t>CSMD1</w:t>
      </w:r>
      <w:bookmarkEnd w:id="20"/>
      <w:r>
        <w:rPr>
          <w:rFonts w:ascii="Arial" w:hAnsi="Arial" w:cs="Arial"/>
          <w:sz w:val="20"/>
          <w:szCs w:val="20"/>
        </w:rPr>
        <w:t>, which increases slightly in males with age while decreasing in females. This gene has been associated with heart failure in a recent GWAS in the Japanese population</w:t>
      </w:r>
      <w:r>
        <w:rPr>
          <w:rFonts w:ascii="Arial" w:hAnsi="Arial" w:cs="Arial"/>
          <w:sz w:val="20"/>
          <w:szCs w:val="20"/>
        </w:rPr>
        <w:fldChar w:fldCharType="begin"/>
      </w:r>
      <w:r>
        <w:rPr>
          <w:rFonts w:ascii="Arial" w:hAnsi="Arial" w:cs="Arial"/>
          <w:sz w:val="20"/>
          <w:szCs w:val="20"/>
        </w:rPr>
        <w:instrText xml:space="preserve"> ADDIN ZOTERO_ITEM CSL_CITATION {"citationID":"dSuVxY7h","properties":{"unsorted":false,"formattedCitation":"(50)","plainCitation":"(50)","noteIndex":0},"citationItems":[{"id":28806,"uris":["http://zotero.org/users/12236467/items/S79NK4MR"],"itemData":{"id":28806,"type":"article-journal","abstract":"To understand the genetic basis of heart failure (HF) in the Japanese population, we performed genome-wide association studies (GWASs) comprising 16,251 all-cause HF cases, 4254 HF with reduced ejection fraction (HFrEF) cases, 7154 HF with preserved ejection fraction cases, and 11,122 non-ischemic HF cases among 213,828 individuals and identified five novel loci. A subsequent cross-ancestry meta-analysis and multi-trait analysis of the GWAS data identified 19 novel loci in total, with 31 out of the 76 genome-wide significant loci associated with HFrEF despite its smaller sample size. Among these susceptibility loci, a common non-coding variant in TTN (rs1484116) was associated with reduced cardiac function and worse long-term mortality. We leveraged the HF meta-GWASs along with cardiac function-related GWASs to develop a polygenic risk score (PRS) for HF. The PRS successfully identified early-onset HF and those with an increased risk of long-term HF mortality. Our results shed light on the shared and distinct genetic basis of HF between Japanese and European populations and improve the clinical value of HF genetics.","container-title":"Nature Communications","DOI":"10.1038/s41467-025-64659-6","ISSN":"2041-1723","issue":"1","journalAbbreviation":"Nat Commun","language":"en","license":"2025 The Author(s)","page":"9680","publisher":"Nature Publishing Group","source":"www-nature-com.proxy.library.upenn.edu","title":"Genome-wide analysis of heart failure yields insights into disease heterogeneity and enables prognostic prediction in the Japanese population","URL":"https://www.nature.com/articles/s41467-025-64659-6","volume":"16","author":[{"family":"Enzan","given":"Nobuyuki"},{"family":"Miyazawa","given":"Kazuo"},{"family":"Koyama","given":"Satoshi"},{"family":"Kurosawa","given":"Ryo"},{"family":"Ieki","given":"Hirotaka"},{"family":"Yoshida","given":"Hiroki"},{"family":"Takechi","given":"Fumie"},{"family":"Fukuyama","given":"Masashi"},{"family":"Osako","given":"Ryosuke"},{"family":"Tomizuka","given":"Kohei"},{"family":"Liu","given":"Xiaoxi"},{"family":"Ozaki","given":"Kouichi"},{"family":"Onouchi","given":"Yoshihiro"},{"family":"Matsuda","given":"Koichi"},{"family":"Momozawa","given":"Yukihide"},{"family":"Aburatani","given":"Hiroyuki"},{"family":"Kamatani","given":"Yoichiro"},{"family":"Yamaguchi","given":"Takanori"},{"family":"Akazawa","given":"Hiroshi"},{"family":"Node","given":"Koichi"},{"family":"Ellinor","given":"Patrick T."},{"family":"Levin","given":"Michael G."},{"family":"Damrauer","given":"Scott M."},{"family":"Voight","given":"Benjamin F."},{"family":"Joseph","given":"Jacob"},{"family":"Sun","given":"Yan V."},{"family":"Terao","given":"Chikashi"},{"family":"Ninomiya","given":"Toshiharu"},{"family":"Komuro","given":"Issei"},{"family":"Ito","given":"Kaoru"}],"accessed":{"date-parts":[["2025",12,22]]},"issued":{"date-parts":[["2025",11,3]]}}}],"schema":"https://github.com/citation-style-language/schema/raw/master/csl-citation.json"} </w:instrText>
      </w:r>
      <w:r>
        <w:rPr>
          <w:rFonts w:ascii="Arial" w:hAnsi="Arial" w:cs="Arial"/>
          <w:sz w:val="20"/>
          <w:szCs w:val="20"/>
        </w:rPr>
        <w:fldChar w:fldCharType="separate"/>
      </w:r>
      <w:r>
        <w:rPr>
          <w:rFonts w:ascii="Arial" w:hAnsi="Arial" w:cs="Arial"/>
          <w:sz w:val="20"/>
        </w:rPr>
        <w:t>(50)</w:t>
      </w:r>
      <w:r>
        <w:rPr>
          <w:rFonts w:ascii="Arial" w:hAnsi="Arial" w:cs="Arial"/>
          <w:sz w:val="20"/>
          <w:szCs w:val="20"/>
        </w:rPr>
        <w:fldChar w:fldCharType="end"/>
      </w:r>
      <w:r>
        <w:rPr>
          <w:rFonts w:ascii="Arial" w:hAnsi="Arial" w:cs="Arial"/>
          <w:sz w:val="20"/>
          <w:szCs w:val="20"/>
        </w:rPr>
        <w:t xml:space="preserve">. </w:t>
      </w:r>
    </w:p>
    <w:p w14:paraId="5F270AAC" w14:textId="77777777" w:rsidR="00F94AAA" w:rsidRDefault="00F94AAA" w:rsidP="00F94AAA">
      <w:pPr>
        <w:jc w:val="center"/>
        <w:rPr>
          <w:rStyle w:val="Heading1Char"/>
          <w:b/>
          <w:bCs/>
          <w:sz w:val="22"/>
          <w:szCs w:val="22"/>
        </w:rPr>
      </w:pPr>
      <w:r>
        <w:rPr>
          <w:rFonts w:asciiTheme="majorHAnsi" w:eastAsiaTheme="majorEastAsia" w:hAnsiTheme="majorHAnsi" w:cstheme="majorBidi"/>
          <w:b/>
          <w:bCs/>
          <w:noProof/>
          <w:color w:val="0F4761" w:themeColor="accent1" w:themeShade="BF"/>
          <w:sz w:val="22"/>
          <w:szCs w:val="22"/>
        </w:rPr>
        <w:lastRenderedPageBreak/>
        <w:drawing>
          <wp:inline distT="0" distB="0" distL="0" distR="0" wp14:anchorId="28BFFE96" wp14:editId="68968CFF">
            <wp:extent cx="4229100" cy="6122968"/>
            <wp:effectExtent l="0" t="0" r="0" b="0"/>
            <wp:docPr id="1698751794"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51794" name="Picture 2" descr="A screenshot of a graph&#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1188" cy="6154948"/>
                    </a:xfrm>
                    <a:prstGeom prst="rect">
                      <a:avLst/>
                    </a:prstGeom>
                  </pic:spPr>
                </pic:pic>
              </a:graphicData>
            </a:graphic>
          </wp:inline>
        </w:drawing>
      </w:r>
    </w:p>
    <w:p w14:paraId="77D14013" w14:textId="77777777" w:rsidR="00F94AAA" w:rsidRDefault="00F94AAA" w:rsidP="00F94AAA">
      <w:pPr>
        <w:rPr>
          <w:rFonts w:ascii="Arial" w:hAnsi="Arial" w:cs="Arial"/>
          <w:sz w:val="20"/>
          <w:szCs w:val="20"/>
        </w:rPr>
      </w:pPr>
      <w:bookmarkStart w:id="21" w:name="_Toc221608508"/>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3</w:t>
      </w:r>
      <w:r w:rsidRPr="000C35F2">
        <w:rPr>
          <w:rStyle w:val="Heading1Char"/>
          <w:b/>
          <w:bCs/>
          <w:sz w:val="20"/>
          <w:szCs w:val="20"/>
        </w:rPr>
        <w:t xml:space="preserve"> – </w:t>
      </w:r>
      <w:r>
        <w:rPr>
          <w:rStyle w:val="Heading1Char"/>
          <w:b/>
          <w:bCs/>
          <w:sz w:val="20"/>
          <w:szCs w:val="20"/>
        </w:rPr>
        <w:t>Other aging analyses</w:t>
      </w:r>
      <w:bookmarkEnd w:id="21"/>
      <w:r w:rsidRPr="000C35F2">
        <w:rPr>
          <w:rFonts w:ascii="Arial" w:hAnsi="Arial" w:cs="Arial"/>
          <w:sz w:val="20"/>
          <w:szCs w:val="20"/>
        </w:rPr>
        <w:t xml:space="preserve">: </w:t>
      </w:r>
      <w:r w:rsidRPr="000C35F2">
        <w:rPr>
          <w:rFonts w:ascii="Arial" w:hAnsi="Arial" w:cs="Arial"/>
          <w:b/>
          <w:bCs/>
          <w:sz w:val="20"/>
          <w:szCs w:val="20"/>
        </w:rPr>
        <w:t>(a)</w:t>
      </w:r>
      <w:r w:rsidRPr="000C35F2">
        <w:rPr>
          <w:rFonts w:ascii="Arial" w:hAnsi="Arial" w:cs="Arial"/>
          <w:sz w:val="20"/>
          <w:szCs w:val="20"/>
        </w:rPr>
        <w:t xml:space="preserve"> Using the </w:t>
      </w:r>
      <w:proofErr w:type="spellStart"/>
      <w:r w:rsidRPr="000C35F2">
        <w:rPr>
          <w:rFonts w:ascii="Arial" w:hAnsi="Arial" w:cs="Arial"/>
          <w:sz w:val="20"/>
          <w:szCs w:val="20"/>
        </w:rPr>
        <w:t>scanpy</w:t>
      </w:r>
      <w:proofErr w:type="spellEnd"/>
      <w:r w:rsidRPr="000C35F2">
        <w:rPr>
          <w:rFonts w:ascii="Arial" w:hAnsi="Arial" w:cs="Arial"/>
          <w:sz w:val="20"/>
          <w:szCs w:val="20"/>
        </w:rPr>
        <w:t xml:space="preserve"> </w:t>
      </w:r>
      <w:proofErr w:type="spellStart"/>
      <w:r w:rsidRPr="000C35F2">
        <w:rPr>
          <w:rFonts w:ascii="Arial" w:hAnsi="Arial" w:cs="Arial"/>
          <w:sz w:val="20"/>
          <w:szCs w:val="20"/>
        </w:rPr>
        <w:t>score_</w:t>
      </w:r>
      <w:proofErr w:type="gramStart"/>
      <w:r w:rsidRPr="000C35F2">
        <w:rPr>
          <w:rFonts w:ascii="Arial" w:hAnsi="Arial" w:cs="Arial"/>
          <w:sz w:val="20"/>
          <w:szCs w:val="20"/>
        </w:rPr>
        <w:t>genes</w:t>
      </w:r>
      <w:proofErr w:type="spellEnd"/>
      <w:r w:rsidRPr="000C35F2">
        <w:rPr>
          <w:rFonts w:ascii="Arial" w:hAnsi="Arial" w:cs="Arial"/>
          <w:sz w:val="20"/>
          <w:szCs w:val="20"/>
        </w:rPr>
        <w:t>(</w:t>
      </w:r>
      <w:proofErr w:type="gramEnd"/>
      <w:r w:rsidRPr="000C35F2">
        <w:rPr>
          <w:rFonts w:ascii="Arial" w:hAnsi="Arial" w:cs="Arial"/>
          <w:sz w:val="20"/>
          <w:szCs w:val="20"/>
        </w:rPr>
        <w:t>) function, we computed the per-nucleus activity score using three different gene sets for senescence. The “p16/p21 score” involves only</w:t>
      </w:r>
      <w:r>
        <w:rPr>
          <w:rFonts w:ascii="Arial" w:hAnsi="Arial" w:cs="Arial"/>
          <w:sz w:val="20"/>
          <w:szCs w:val="20"/>
        </w:rPr>
        <w:t xml:space="preserve"> </w:t>
      </w:r>
      <w:r w:rsidRPr="000C35F2">
        <w:rPr>
          <w:rFonts w:ascii="Arial" w:hAnsi="Arial" w:cs="Arial"/>
          <w:sz w:val="20"/>
          <w:szCs w:val="20"/>
        </w:rPr>
        <w:t>two genes classically associated with senescence, p16 (</w:t>
      </w:r>
      <w:r w:rsidRPr="000C35F2">
        <w:rPr>
          <w:rFonts w:ascii="Arial" w:hAnsi="Arial" w:cs="Arial"/>
          <w:i/>
          <w:iCs/>
          <w:sz w:val="20"/>
          <w:szCs w:val="20"/>
        </w:rPr>
        <w:t>CDKN1A</w:t>
      </w:r>
      <w:r w:rsidRPr="000C35F2">
        <w:rPr>
          <w:rFonts w:ascii="Arial" w:hAnsi="Arial" w:cs="Arial"/>
          <w:sz w:val="20"/>
          <w:szCs w:val="20"/>
        </w:rPr>
        <w:t>) and p21 (</w:t>
      </w:r>
      <w:r w:rsidRPr="000C35F2">
        <w:rPr>
          <w:rFonts w:ascii="Arial" w:hAnsi="Arial" w:cs="Arial"/>
          <w:i/>
          <w:iCs/>
          <w:sz w:val="20"/>
          <w:szCs w:val="20"/>
        </w:rPr>
        <w:t>CDKN2A</w:t>
      </w:r>
      <w:r w:rsidRPr="000C35F2">
        <w:rPr>
          <w:rFonts w:ascii="Arial" w:hAnsi="Arial" w:cs="Arial"/>
          <w:sz w:val="20"/>
          <w:szCs w:val="20"/>
        </w:rPr>
        <w:t>). The “</w:t>
      </w:r>
      <w:proofErr w:type="spellStart"/>
      <w:r w:rsidRPr="000C35F2">
        <w:rPr>
          <w:rFonts w:ascii="Arial" w:hAnsi="Arial" w:cs="Arial"/>
          <w:sz w:val="20"/>
          <w:szCs w:val="20"/>
        </w:rPr>
        <w:t>reactome</w:t>
      </w:r>
      <w:proofErr w:type="spellEnd"/>
      <w:r w:rsidRPr="000C35F2">
        <w:rPr>
          <w:rFonts w:ascii="Arial" w:hAnsi="Arial" w:cs="Arial"/>
          <w:sz w:val="20"/>
          <w:szCs w:val="20"/>
        </w:rPr>
        <w:t xml:space="preserve"> score” includes the genes in </w:t>
      </w:r>
      <w:bookmarkStart w:id="22" w:name="_Hlk209610418"/>
      <w:r w:rsidRPr="000C35F2">
        <w:rPr>
          <w:rFonts w:ascii="Arial" w:hAnsi="Arial" w:cs="Arial"/>
          <w:sz w:val="20"/>
          <w:szCs w:val="20"/>
        </w:rPr>
        <w:t>R-HSA-2559583</w:t>
      </w:r>
      <w:bookmarkEnd w:id="22"/>
      <w:r w:rsidRPr="000C35F2">
        <w:rPr>
          <w:rFonts w:ascii="Arial" w:hAnsi="Arial" w:cs="Arial"/>
          <w:sz w:val="20"/>
          <w:szCs w:val="20"/>
        </w:rPr>
        <w:t xml:space="preserve">. The </w:t>
      </w:r>
      <w:proofErr w:type="spellStart"/>
      <w:r w:rsidRPr="000C35F2">
        <w:rPr>
          <w:rFonts w:ascii="Arial" w:hAnsi="Arial" w:cs="Arial"/>
          <w:sz w:val="20"/>
          <w:szCs w:val="20"/>
        </w:rPr>
        <w:t>SenMayo</w:t>
      </w:r>
      <w:proofErr w:type="spellEnd"/>
      <w:r w:rsidRPr="000C35F2">
        <w:rPr>
          <w:rFonts w:ascii="Arial" w:hAnsi="Arial" w:cs="Arial"/>
          <w:sz w:val="20"/>
          <w:szCs w:val="20"/>
        </w:rPr>
        <w:t xml:space="preserve"> score includes the genes in the </w:t>
      </w:r>
      <w:proofErr w:type="spellStart"/>
      <w:r w:rsidRPr="000C35F2">
        <w:rPr>
          <w:rFonts w:ascii="Arial" w:hAnsi="Arial" w:cs="Arial"/>
          <w:sz w:val="20"/>
          <w:szCs w:val="20"/>
        </w:rPr>
        <w:t>SenMayo</w:t>
      </w:r>
      <w:proofErr w:type="spellEnd"/>
      <w:r w:rsidRPr="000C35F2">
        <w:rPr>
          <w:rFonts w:ascii="Arial" w:hAnsi="Arial" w:cs="Arial"/>
          <w:sz w:val="20"/>
          <w:szCs w:val="20"/>
        </w:rPr>
        <w:t xml:space="preserve"> gene set. The mean senescence score per donor was computed. For each senescence score, the value was modeled using a fixed effect model: </w:t>
      </w:r>
      <w:proofErr w:type="spellStart"/>
      <w:r>
        <w:rPr>
          <w:rFonts w:ascii="Arial" w:hAnsi="Arial" w:cs="Arial"/>
          <w:sz w:val="20"/>
          <w:szCs w:val="20"/>
        </w:rPr>
        <w:t>senescence_</w:t>
      </w:r>
      <w:r w:rsidRPr="000C35F2">
        <w:rPr>
          <w:rFonts w:ascii="Arial" w:hAnsi="Arial" w:cs="Arial"/>
          <w:sz w:val="20"/>
          <w:szCs w:val="20"/>
        </w:rPr>
        <w:t>score</w:t>
      </w:r>
      <w:proofErr w:type="spellEnd"/>
      <w:r w:rsidRPr="000C35F2">
        <w:rPr>
          <w:rFonts w:ascii="Arial" w:hAnsi="Arial" w:cs="Arial"/>
          <w:sz w:val="20"/>
          <w:szCs w:val="20"/>
        </w:rPr>
        <w:t xml:space="preserve"> ~ sex + </w:t>
      </w:r>
      <w:proofErr w:type="spellStart"/>
      <w:r w:rsidRPr="000C35F2">
        <w:rPr>
          <w:rFonts w:ascii="Arial" w:hAnsi="Arial" w:cs="Arial"/>
          <w:sz w:val="20"/>
          <w:szCs w:val="20"/>
        </w:rPr>
        <w:t>age_group</w:t>
      </w:r>
      <w:proofErr w:type="spellEnd"/>
      <w:r w:rsidRPr="000C35F2">
        <w:rPr>
          <w:rFonts w:ascii="Arial" w:hAnsi="Arial" w:cs="Arial"/>
          <w:sz w:val="20"/>
          <w:szCs w:val="20"/>
        </w:rPr>
        <w:t xml:space="preserve"> + </w:t>
      </w:r>
      <w:proofErr w:type="spellStart"/>
      <w:r w:rsidRPr="000C35F2">
        <w:rPr>
          <w:rFonts w:ascii="Arial" w:hAnsi="Arial" w:cs="Arial"/>
          <w:sz w:val="20"/>
          <w:szCs w:val="20"/>
        </w:rPr>
        <w:t>tech_plus_study</w:t>
      </w:r>
      <w:proofErr w:type="spellEnd"/>
      <w:r w:rsidRPr="000C35F2">
        <w:rPr>
          <w:rFonts w:ascii="Arial" w:hAnsi="Arial" w:cs="Arial"/>
          <w:sz w:val="20"/>
          <w:szCs w:val="20"/>
        </w:rPr>
        <w:t xml:space="preserve"> to obtain a coefficient and p-value. A positive coefficient corresponds to an increase in senescence with </w:t>
      </w:r>
      <w:r>
        <w:rPr>
          <w:rFonts w:ascii="Arial" w:hAnsi="Arial" w:cs="Arial"/>
          <w:sz w:val="20"/>
          <w:szCs w:val="20"/>
        </w:rPr>
        <w:t>age</w:t>
      </w:r>
      <w:r w:rsidRPr="000C35F2">
        <w:rPr>
          <w:rFonts w:ascii="Arial" w:hAnsi="Arial" w:cs="Arial"/>
          <w:sz w:val="20"/>
          <w:szCs w:val="20"/>
        </w:rPr>
        <w:t xml:space="preserve">, while a negative coefficient corresponds to a decrease in senescence. </w:t>
      </w:r>
      <w:r>
        <w:rPr>
          <w:rFonts w:ascii="Arial" w:hAnsi="Arial" w:cs="Arial"/>
          <w:sz w:val="20"/>
          <w:szCs w:val="20"/>
        </w:rPr>
        <w:t>No cell types had statistically significant coefficients (</w:t>
      </w:r>
      <w:r w:rsidRPr="000C35F2">
        <w:rPr>
          <w:rFonts w:ascii="Arial" w:hAnsi="Arial" w:cs="Arial"/>
          <w:sz w:val="20"/>
          <w:szCs w:val="20"/>
        </w:rPr>
        <w:t xml:space="preserve">Benjamini-Hochberg adjusted p-value &lt; 0.05). </w:t>
      </w:r>
      <w:r w:rsidRPr="000C35F2">
        <w:rPr>
          <w:rFonts w:ascii="Arial" w:hAnsi="Arial" w:cs="Arial"/>
          <w:b/>
          <w:bCs/>
          <w:sz w:val="20"/>
          <w:szCs w:val="20"/>
        </w:rPr>
        <w:t xml:space="preserve">(b) </w:t>
      </w:r>
      <w:r w:rsidRPr="000C35F2">
        <w:rPr>
          <w:rFonts w:ascii="Arial" w:hAnsi="Arial" w:cs="Arial"/>
          <w:sz w:val="20"/>
          <w:szCs w:val="20"/>
        </w:rPr>
        <w:t>Transcriptional noise analysis using scallop</w:t>
      </w:r>
      <w:r>
        <w:rPr>
          <w:rFonts w:ascii="Arial" w:hAnsi="Arial" w:cs="Arial"/>
          <w:sz w:val="20"/>
          <w:szCs w:val="20"/>
        </w:rPr>
        <w:fldChar w:fldCharType="begin"/>
      </w:r>
      <w:r>
        <w:rPr>
          <w:rFonts w:ascii="Arial" w:hAnsi="Arial" w:cs="Arial"/>
          <w:sz w:val="20"/>
          <w:szCs w:val="20"/>
        </w:rPr>
        <w:instrText xml:space="preserve"> ADDIN ZOTERO_ITEM CSL_CITATION {"citationID":"vh834Bqf","properties":{"unsorted":false,"formattedCitation":"(55)","plainCitation":"(55)","noteIndex":0},"citationItems":[{"id":9797,"uris":["http://zotero.org/users/12236467/items/7GQIP2YI"],"itemData":{"id":9797,"type":"article-journal","abstract":"Aging is often associated with a loss of cell type identity that results in an increase in transcriptional noise in aged tissues. If this phenomenon reflects a fundamental property of aging remains an open question. Transcriptional changes at the cellular level are best detected by single-cell RNA sequencing (scRNAseq). However, the diverse computational methods used for the quantification of age-related loss of cellular identity have prevented reaching meaningful conclusions by direct comparison of existing scRNAseq datasets. To address these issues we created Decibel, a Python toolkit that implements side-to-side four commonly used methods for the quantification of age-related transcriptional noise in scRNAseq data. Additionally, we developed Scallop, a novel computational method for the quantification of membership of single cells to their assigned cell type cluster. Cells with a greater Scallop membership score are transcriptionally more stable. Application of these computational tools to seven aging datasets showed large variability between tissues and datasets, suggesting that increased transcriptional noise is not a universal hallmark of aging. To understand the source of apparent loss of cell type identity associated with aging, we analyzed cell type-specific changes in transcriptional noise and the changes in cell type composition of the mammalian lung. No robust pattern of cell type-specific transcriptional noise alteration was found across aging lung datasets. In contrast, age-associated changes in cell type composition of the lung were consistently found, particularly of immune cells. These results suggest that claims of increased transcriptional noise of aged tissues should be reformulated.","container-title":"eLife","DOI":"10.7554/eLife.80380","ISSN":"2050-084X","page":"e80380","publisher":"eLife Sciences Publications, Ltd","source":"eLife","title":"Lack of evidence for increased transcriptional noise in aged tissues","URL":"https://doi.org/10.7554/eLife.80380","volume":"11","author":[{"family":"Ibañez-Solé","given":"Olga"},{"family":"Ascensión","given":"Alex M"},{"family":"Araúzo-Bravo","given":"Marcos J"},{"family":"Izeta","given":"Ander"}],"editor":[{"family":"Seldin","given":"Marcus M"},{"family":"James","given":"David E"}],"accessed":{"date-parts":[["2024",4,26]]},"issued":{"date-parts":[["2022",12,28]]}}}],"schema":"https://github.com/citation-style-language/schema/raw/master/csl-citation.json"} </w:instrText>
      </w:r>
      <w:r>
        <w:rPr>
          <w:rFonts w:ascii="Arial" w:hAnsi="Arial" w:cs="Arial"/>
          <w:sz w:val="20"/>
          <w:szCs w:val="20"/>
        </w:rPr>
        <w:fldChar w:fldCharType="separate"/>
      </w:r>
      <w:r>
        <w:rPr>
          <w:rFonts w:ascii="Arial" w:hAnsi="Arial" w:cs="Arial"/>
          <w:sz w:val="20"/>
        </w:rPr>
        <w:t>(55)</w:t>
      </w:r>
      <w:r>
        <w:rPr>
          <w:rFonts w:ascii="Arial" w:hAnsi="Arial" w:cs="Arial"/>
          <w:sz w:val="20"/>
          <w:szCs w:val="20"/>
        </w:rPr>
        <w:fldChar w:fldCharType="end"/>
      </w:r>
      <w:r w:rsidRPr="000C35F2">
        <w:rPr>
          <w:rFonts w:ascii="Arial" w:hAnsi="Arial" w:cs="Arial"/>
          <w:sz w:val="20"/>
          <w:szCs w:val="20"/>
        </w:rPr>
        <w:t>. Three noise metrics (Euclidean distance, correlation distance, and scallop noise) were calculated for each cell type. The fold change of the mean between</w:t>
      </w:r>
      <w:r>
        <w:rPr>
          <w:rFonts w:ascii="Arial" w:hAnsi="Arial" w:cs="Arial"/>
          <w:sz w:val="20"/>
          <w:szCs w:val="20"/>
        </w:rPr>
        <w:t xml:space="preserve"> old vs. young </w:t>
      </w:r>
      <w:r w:rsidRPr="000C35F2">
        <w:rPr>
          <w:rFonts w:ascii="Arial" w:hAnsi="Arial" w:cs="Arial"/>
          <w:sz w:val="20"/>
          <w:szCs w:val="20"/>
        </w:rPr>
        <w:t>w</w:t>
      </w:r>
      <w:r>
        <w:rPr>
          <w:rFonts w:ascii="Arial" w:hAnsi="Arial" w:cs="Arial"/>
          <w:sz w:val="20"/>
          <w:szCs w:val="20"/>
        </w:rPr>
        <w:t>as</w:t>
      </w:r>
      <w:r w:rsidRPr="000C35F2">
        <w:rPr>
          <w:rFonts w:ascii="Arial" w:hAnsi="Arial" w:cs="Arial"/>
          <w:sz w:val="20"/>
          <w:szCs w:val="20"/>
        </w:rPr>
        <w:t xml:space="preserve"> calculated, with statistical significance determined using the Wilcoxon ranked sum test. </w:t>
      </w:r>
      <w:r>
        <w:rPr>
          <w:rFonts w:ascii="Arial" w:hAnsi="Arial" w:cs="Arial"/>
          <w:sz w:val="20"/>
          <w:szCs w:val="20"/>
        </w:rPr>
        <w:t xml:space="preserve">Aging was not associated with consistent increase in transcriptional noise across cell types and results varied based on the metric used. </w:t>
      </w:r>
      <w:r w:rsidRPr="00C57179">
        <w:rPr>
          <w:rFonts w:ascii="Arial" w:hAnsi="Arial" w:cs="Arial"/>
          <w:b/>
          <w:bCs/>
          <w:sz w:val="20"/>
          <w:szCs w:val="20"/>
        </w:rPr>
        <w:t>(c)</w:t>
      </w:r>
      <w:r>
        <w:rPr>
          <w:rFonts w:ascii="Arial" w:hAnsi="Arial" w:cs="Arial"/>
          <w:sz w:val="20"/>
          <w:szCs w:val="20"/>
        </w:rPr>
        <w:t xml:space="preserve"> Using an established method for computing percentage of loss of Y (LOY) in ATAC and RNA data</w:t>
      </w:r>
      <w:r>
        <w:rPr>
          <w:rFonts w:ascii="Arial" w:hAnsi="Arial" w:cs="Arial"/>
          <w:sz w:val="20"/>
          <w:szCs w:val="20"/>
        </w:rPr>
        <w:fldChar w:fldCharType="begin"/>
      </w:r>
      <w:r>
        <w:rPr>
          <w:rFonts w:ascii="Arial" w:hAnsi="Arial" w:cs="Arial"/>
          <w:sz w:val="20"/>
          <w:szCs w:val="20"/>
        </w:rPr>
        <w:instrText xml:space="preserve"> ADDIN ZOTERO_ITEM CSL_CITATION {"citationID":"w4yt15rO","properties":{"unsorted":false,"formattedCitation":"(54)","plainCitation":"(54)","noteIndex":0},"citationItems":[{"id":27750,"uris":["http://zotero.org/users/12236467/items/EEKCD9AC"],"itemData":{"id":27750,"type":"article-journal","abstract":"Mosaic loss of Chromosome Y (LOY) is a common acquired structural mutation in the leukocytes of aging men that is correlated with several age-related diseases, including Alzheimer's disease (AD). The molecular basis of LOY in brain cells has not been systematically investigated. Here, we present a large-scale analysis of single-cell and single-nuclei RNA brain data sets, yielding 851,674 cells, to investigate the cell type–specific burden of LOY. LOY frequencies differed widely between donors and CNS cell types. Among five well-represented neural cell types, LOY was enriched in microglia and rare in neurons, astrocytes, and oligodendrocytes. In microglia, LOY was significantly enriched in AD subjects. Differential gene expression (DE) analysis in microglia found 172 autosomal genes, three X-linked genes, and 10 pseudoautosomal genes associated with LOY. To our knowledge, we provide the first evidence of LOY in the microglia and highlight its potential roles in aging and the pathogenesis of neurodegenerative disorders such as AD.","container-title":"Genome Research","DOI":"10.1101/gr.276409.121","ISSN":"1088-9051","issue":"10","journalAbbreviation":"Genome Res","page":"1795-1807","PMID":"36041859","PMCID":"PMC9712627","source":"PubMed Central","title":"Mosaic loss of Chromosome Y in aged human microglia","URL":"https://pmc.ncbi.nlm.nih.gov/articles/PMC9712627/","volume":"32","author":[{"family":"Vermeulen","given":"Michael C."},{"family":"Pearse","given":"Richard"},{"family":"Young-Pearse","given":"Tracy"},{"family":"Mostafavi","given":"Sara"}],"accessed":{"date-parts":[["2025",9,24]]},"issued":{"date-parts":[["2022",10]]}}}],"schema":"https://github.com/citation-style-language/schema/raw/master/csl-citation.json"} </w:instrText>
      </w:r>
      <w:r>
        <w:rPr>
          <w:rFonts w:ascii="Arial" w:hAnsi="Arial" w:cs="Arial"/>
          <w:sz w:val="20"/>
          <w:szCs w:val="20"/>
        </w:rPr>
        <w:fldChar w:fldCharType="separate"/>
      </w:r>
      <w:r>
        <w:rPr>
          <w:rFonts w:ascii="Arial" w:hAnsi="Arial" w:cs="Arial"/>
          <w:sz w:val="20"/>
        </w:rPr>
        <w:t>(54)</w:t>
      </w:r>
      <w:r>
        <w:rPr>
          <w:rFonts w:ascii="Arial" w:hAnsi="Arial" w:cs="Arial"/>
          <w:sz w:val="20"/>
          <w:szCs w:val="20"/>
        </w:rPr>
        <w:fldChar w:fldCharType="end"/>
      </w:r>
      <w:r>
        <w:rPr>
          <w:rFonts w:ascii="Arial" w:hAnsi="Arial" w:cs="Arial"/>
          <w:sz w:val="20"/>
          <w:szCs w:val="20"/>
        </w:rPr>
        <w:t xml:space="preserve">, we measured the percentage of Y chromosome loss per donor. While aging tends to increase LOY across many cell types, no comparison was significant after Benjamini-Hochberg correction. </w:t>
      </w:r>
      <w:r w:rsidRPr="00596C5C">
        <w:rPr>
          <w:rFonts w:ascii="Arial" w:hAnsi="Arial" w:cs="Arial"/>
          <w:b/>
          <w:bCs/>
          <w:sz w:val="20"/>
          <w:szCs w:val="20"/>
        </w:rPr>
        <w:t>(d)</w:t>
      </w:r>
      <w:r>
        <w:rPr>
          <w:rFonts w:ascii="Arial" w:hAnsi="Arial" w:cs="Arial"/>
          <w:sz w:val="20"/>
          <w:szCs w:val="20"/>
        </w:rPr>
        <w:t xml:space="preserve"> Gene set enrichment analysis results for aging contrast (positive normalized enrichment score = increased with age; negative normalized enrichment score = decreased with age).</w:t>
      </w:r>
    </w:p>
    <w:p w14:paraId="3193FFB5" w14:textId="77777777" w:rsidR="00F94AAA" w:rsidRDefault="00F94AAA" w:rsidP="00F94AAA">
      <w:pPr>
        <w:rPr>
          <w:rFonts w:ascii="Arial" w:hAnsi="Arial" w:cs="Arial"/>
          <w:sz w:val="20"/>
          <w:szCs w:val="20"/>
        </w:rPr>
      </w:pPr>
      <w:r>
        <w:rPr>
          <w:rFonts w:ascii="Arial" w:hAnsi="Arial" w:cs="Arial"/>
          <w:noProof/>
          <w:sz w:val="20"/>
          <w:szCs w:val="20"/>
        </w:rPr>
        <w:lastRenderedPageBreak/>
        <w:drawing>
          <wp:inline distT="0" distB="0" distL="0" distR="0" wp14:anchorId="72ABEE92" wp14:editId="48EC525F">
            <wp:extent cx="6858000" cy="5982970"/>
            <wp:effectExtent l="0" t="0" r="0" b="0"/>
            <wp:docPr id="114266914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69141" name="Picture 1" descr="A screenshot of a graph&#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58000" cy="5982970"/>
                    </a:xfrm>
                    <a:prstGeom prst="rect">
                      <a:avLst/>
                    </a:prstGeom>
                  </pic:spPr>
                </pic:pic>
              </a:graphicData>
            </a:graphic>
          </wp:inline>
        </w:drawing>
      </w:r>
    </w:p>
    <w:p w14:paraId="15C57E53" w14:textId="77777777" w:rsidR="00F94AAA" w:rsidRPr="002B2CDD" w:rsidRDefault="00F94AAA" w:rsidP="00F94AAA">
      <w:pPr>
        <w:rPr>
          <w:rFonts w:ascii="Arial" w:hAnsi="Arial" w:cs="Arial"/>
          <w:sz w:val="20"/>
          <w:szCs w:val="20"/>
        </w:rPr>
      </w:pPr>
      <w:bookmarkStart w:id="23" w:name="_Toc221608509"/>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 xml:space="preserve">4 </w:t>
      </w:r>
      <w:r w:rsidRPr="000C35F2">
        <w:rPr>
          <w:rStyle w:val="Heading1Char"/>
          <w:b/>
          <w:bCs/>
          <w:sz w:val="20"/>
          <w:szCs w:val="20"/>
        </w:rPr>
        <w:t xml:space="preserve">– </w:t>
      </w:r>
      <w:r>
        <w:rPr>
          <w:rStyle w:val="Heading1Char"/>
          <w:b/>
          <w:bCs/>
          <w:sz w:val="20"/>
          <w:szCs w:val="20"/>
        </w:rPr>
        <w:t>Additional development DEG analyses</w:t>
      </w:r>
      <w:bookmarkEnd w:id="23"/>
      <w:r w:rsidRPr="000C35F2">
        <w:rPr>
          <w:rFonts w:ascii="Arial" w:hAnsi="Arial" w:cs="Arial"/>
          <w:sz w:val="20"/>
          <w:szCs w:val="20"/>
        </w:rPr>
        <w:t>:</w:t>
      </w:r>
      <w:r w:rsidRPr="009C7086">
        <w:rPr>
          <w:rFonts w:ascii="Arial" w:hAnsi="Arial" w:cs="Arial"/>
          <w:sz w:val="20"/>
          <w:szCs w:val="20"/>
        </w:rPr>
        <w:t xml:space="preserve"> </w:t>
      </w:r>
      <w:r w:rsidRPr="002C753A">
        <w:rPr>
          <w:rFonts w:ascii="Arial" w:hAnsi="Arial" w:cs="Arial"/>
          <w:b/>
          <w:bCs/>
          <w:sz w:val="20"/>
          <w:szCs w:val="20"/>
        </w:rPr>
        <w:t>(a)</w:t>
      </w:r>
      <w:r>
        <w:rPr>
          <w:rFonts w:ascii="Arial" w:hAnsi="Arial" w:cs="Arial"/>
          <w:sz w:val="20"/>
          <w:szCs w:val="20"/>
        </w:rPr>
        <w:t xml:space="preserve"> Number of cell types for which a gene is differentially increased across development. The mean number of DEGs shared across cell types (up: 2.52, down: 2.31) is higher than for sex (excluding sex chromosome genes) and aging.</w:t>
      </w:r>
      <w:r w:rsidRPr="002C753A">
        <w:rPr>
          <w:rFonts w:ascii="Arial" w:hAnsi="Arial" w:cs="Arial"/>
          <w:b/>
          <w:bCs/>
          <w:sz w:val="20"/>
          <w:szCs w:val="20"/>
        </w:rPr>
        <w:t xml:space="preserve"> (</w:t>
      </w:r>
      <w:r>
        <w:rPr>
          <w:rFonts w:ascii="Arial" w:hAnsi="Arial" w:cs="Arial"/>
          <w:b/>
          <w:bCs/>
          <w:sz w:val="20"/>
          <w:szCs w:val="20"/>
        </w:rPr>
        <w:t>b-d</w:t>
      </w:r>
      <w:r w:rsidRPr="002C753A">
        <w:rPr>
          <w:rFonts w:ascii="Arial" w:hAnsi="Arial" w:cs="Arial"/>
          <w:b/>
          <w:bCs/>
          <w:sz w:val="20"/>
          <w:szCs w:val="20"/>
        </w:rPr>
        <w:t>)</w:t>
      </w:r>
      <w:r>
        <w:rPr>
          <w:rFonts w:ascii="Arial" w:hAnsi="Arial" w:cs="Arial"/>
          <w:b/>
          <w:bCs/>
          <w:sz w:val="20"/>
          <w:szCs w:val="20"/>
        </w:rPr>
        <w:t xml:space="preserve"> </w:t>
      </w:r>
      <w:r>
        <w:rPr>
          <w:rFonts w:ascii="Arial" w:hAnsi="Arial" w:cs="Arial"/>
          <w:sz w:val="20"/>
          <w:szCs w:val="20"/>
        </w:rPr>
        <w:t xml:space="preserve">Volcano plots showing significant genes across development for cardiomyocytes, fibroblasts, and myeloid cells, respectively. </w:t>
      </w:r>
      <w:r w:rsidRPr="00AA3E6D">
        <w:rPr>
          <w:rFonts w:ascii="Arial" w:hAnsi="Arial" w:cs="Arial"/>
          <w:b/>
          <w:bCs/>
          <w:sz w:val="20"/>
          <w:szCs w:val="20"/>
        </w:rPr>
        <w:t>(e)</w:t>
      </w:r>
      <w:r>
        <w:rPr>
          <w:rFonts w:ascii="Arial" w:hAnsi="Arial" w:cs="Arial"/>
          <w:sz w:val="20"/>
          <w:szCs w:val="20"/>
        </w:rPr>
        <w:t xml:space="preserve"> Gene set enrichment analysis for genes ranked by decreasing fold change across development, showing positive normalized enrichment scores (up in fetal) for growth processes and negative enrichment scores (up in postnatal) for immune signaling in the fetal versus postnatal state. </w:t>
      </w:r>
    </w:p>
    <w:p w14:paraId="548BF923" w14:textId="77777777" w:rsidR="00F94AAA" w:rsidRDefault="00F94AAA" w:rsidP="00F94AAA">
      <w:pPr>
        <w:rPr>
          <w:rFonts w:ascii="Arial" w:hAnsi="Arial" w:cs="Arial"/>
          <w:sz w:val="20"/>
          <w:szCs w:val="20"/>
        </w:rPr>
      </w:pPr>
      <w:r>
        <w:rPr>
          <w:rFonts w:ascii="Arial" w:hAnsi="Arial" w:cs="Arial"/>
          <w:sz w:val="20"/>
          <w:szCs w:val="20"/>
        </w:rPr>
        <w:br w:type="page"/>
      </w:r>
    </w:p>
    <w:p w14:paraId="18E19C64" w14:textId="77777777" w:rsidR="00F94AAA" w:rsidRDefault="00F94AAA" w:rsidP="00F94AAA">
      <w:pPr>
        <w:jc w:val="cente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2D20DF9A" wp14:editId="612EEFA9">
            <wp:extent cx="5915025" cy="7930760"/>
            <wp:effectExtent l="0" t="0" r="3175" b="0"/>
            <wp:docPr id="189041139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11390" name="Picture 1" descr="A screenshot of a computer scre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23840" cy="7942578"/>
                    </a:xfrm>
                    <a:prstGeom prst="rect">
                      <a:avLst/>
                    </a:prstGeom>
                  </pic:spPr>
                </pic:pic>
              </a:graphicData>
            </a:graphic>
          </wp:inline>
        </w:drawing>
      </w:r>
    </w:p>
    <w:p w14:paraId="223978A7" w14:textId="77777777" w:rsidR="00F94AAA" w:rsidRDefault="00F94AAA" w:rsidP="00F94AAA">
      <w:pPr>
        <w:rPr>
          <w:rFonts w:ascii="Arial" w:hAnsi="Arial" w:cs="Arial"/>
          <w:sz w:val="20"/>
          <w:szCs w:val="20"/>
        </w:rPr>
      </w:pPr>
      <w:bookmarkStart w:id="24" w:name="_Toc221608510"/>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 xml:space="preserve">5 </w:t>
      </w:r>
      <w:r w:rsidRPr="000C35F2">
        <w:rPr>
          <w:rStyle w:val="Heading1Char"/>
          <w:b/>
          <w:bCs/>
          <w:sz w:val="20"/>
          <w:szCs w:val="20"/>
        </w:rPr>
        <w:t xml:space="preserve">– </w:t>
      </w:r>
      <w:r>
        <w:rPr>
          <w:rStyle w:val="Heading1Char"/>
          <w:b/>
          <w:bCs/>
          <w:sz w:val="20"/>
          <w:szCs w:val="20"/>
        </w:rPr>
        <w:t>Development trajectory analyses</w:t>
      </w:r>
      <w:bookmarkEnd w:id="24"/>
      <w:r>
        <w:rPr>
          <w:rFonts w:ascii="Arial" w:hAnsi="Arial" w:cs="Arial"/>
          <w:sz w:val="20"/>
          <w:szCs w:val="20"/>
        </w:rPr>
        <w:t xml:space="preserve"> </w:t>
      </w:r>
      <w:r w:rsidRPr="002C753A">
        <w:rPr>
          <w:rFonts w:ascii="Arial" w:hAnsi="Arial" w:cs="Arial"/>
          <w:b/>
          <w:bCs/>
          <w:sz w:val="20"/>
          <w:szCs w:val="20"/>
        </w:rPr>
        <w:t>(a)</w:t>
      </w:r>
      <w:r>
        <w:rPr>
          <w:rFonts w:ascii="Arial" w:hAnsi="Arial" w:cs="Arial"/>
          <w:sz w:val="20"/>
          <w:szCs w:val="20"/>
        </w:rPr>
        <w:t xml:space="preserve"> Trajectories from fetal to non-diseased, calculated by aggregating gene expression along the density of fetal cells and non-diseased in the embedding space for cardiomyocytes, endothelial cells, fibroblasts, and myeloid. Genes were hierarchically clustered based on expression dynamics. </w:t>
      </w:r>
      <w:r w:rsidRPr="00A84797">
        <w:rPr>
          <w:rFonts w:ascii="Arial" w:hAnsi="Arial" w:cs="Arial"/>
          <w:b/>
          <w:bCs/>
          <w:sz w:val="20"/>
          <w:szCs w:val="20"/>
        </w:rPr>
        <w:t>(b)</w:t>
      </w:r>
      <w:r>
        <w:rPr>
          <w:rFonts w:ascii="Arial" w:hAnsi="Arial" w:cs="Arial"/>
          <w:sz w:val="20"/>
          <w:szCs w:val="20"/>
        </w:rPr>
        <w:t xml:space="preserve"> Cardiomyocyte trajectories for several genes belonging to different hierarchical clusters based on expression dynamics. </w:t>
      </w:r>
      <w:r w:rsidRPr="00F007AA">
        <w:rPr>
          <w:rFonts w:ascii="Arial" w:hAnsi="Arial" w:cs="Arial"/>
          <w:b/>
          <w:bCs/>
          <w:sz w:val="20"/>
          <w:szCs w:val="20"/>
        </w:rPr>
        <w:t>(c)</w:t>
      </w:r>
      <w:r>
        <w:rPr>
          <w:rFonts w:ascii="Arial" w:hAnsi="Arial" w:cs="Arial"/>
          <w:sz w:val="20"/>
          <w:szCs w:val="20"/>
        </w:rPr>
        <w:t xml:space="preserve"> Gene set enrichment analysis for fetal-to-disease trajectory clusters.   </w:t>
      </w:r>
      <w:r>
        <w:rPr>
          <w:rFonts w:ascii="Arial" w:hAnsi="Arial" w:cs="Arial"/>
          <w:sz w:val="20"/>
          <w:szCs w:val="20"/>
        </w:rPr>
        <w:br w:type="page"/>
      </w:r>
    </w:p>
    <w:p w14:paraId="11D66DB8" w14:textId="77777777" w:rsidR="00F94AAA" w:rsidRDefault="00F94AAA" w:rsidP="00F94AAA">
      <w:pPr>
        <w:adjustRightInd w:val="0"/>
        <w:spacing w:after="100" w:line="276" w:lineRule="auto"/>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60AD02A1" wp14:editId="684ACB54">
            <wp:extent cx="6858000" cy="5293360"/>
            <wp:effectExtent l="0" t="0" r="0" b="2540"/>
            <wp:docPr id="451021271" name="Picture 1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21271" name="Picture 15" descr="A screenshot of a graph&#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58000" cy="5293360"/>
                    </a:xfrm>
                    <a:prstGeom prst="rect">
                      <a:avLst/>
                    </a:prstGeom>
                  </pic:spPr>
                </pic:pic>
              </a:graphicData>
            </a:graphic>
          </wp:inline>
        </w:drawing>
      </w:r>
    </w:p>
    <w:p w14:paraId="6A3BF785" w14:textId="77777777" w:rsidR="00F94AAA" w:rsidRPr="005A384B" w:rsidRDefault="00F94AAA" w:rsidP="00F94AAA">
      <w:pPr>
        <w:adjustRightInd w:val="0"/>
        <w:spacing w:after="100" w:line="276" w:lineRule="auto"/>
        <w:rPr>
          <w:rFonts w:ascii="Arial" w:hAnsi="Arial" w:cs="Arial"/>
          <w:sz w:val="20"/>
          <w:szCs w:val="20"/>
        </w:rPr>
      </w:pPr>
      <w:bookmarkStart w:id="25" w:name="_Toc221608511"/>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 xml:space="preserve">6 </w:t>
      </w:r>
      <w:r w:rsidRPr="000C35F2">
        <w:rPr>
          <w:rStyle w:val="Heading1Char"/>
          <w:b/>
          <w:bCs/>
          <w:sz w:val="20"/>
          <w:szCs w:val="20"/>
        </w:rPr>
        <w:t xml:space="preserve">– </w:t>
      </w:r>
      <w:r>
        <w:rPr>
          <w:rStyle w:val="Heading1Char"/>
          <w:b/>
          <w:bCs/>
          <w:sz w:val="20"/>
          <w:szCs w:val="20"/>
        </w:rPr>
        <w:t>Disease differential expression analysis</w:t>
      </w:r>
      <w:bookmarkEnd w:id="25"/>
      <w:r>
        <w:rPr>
          <w:rFonts w:ascii="Arial" w:hAnsi="Arial" w:cs="Arial"/>
          <w:sz w:val="20"/>
          <w:szCs w:val="20"/>
        </w:rPr>
        <w:t xml:space="preserve"> </w:t>
      </w:r>
      <w:r w:rsidRPr="002C753A">
        <w:rPr>
          <w:rFonts w:ascii="Arial" w:hAnsi="Arial" w:cs="Arial"/>
          <w:b/>
          <w:bCs/>
          <w:sz w:val="20"/>
          <w:szCs w:val="20"/>
        </w:rPr>
        <w:t>(a</w:t>
      </w:r>
      <w:r>
        <w:rPr>
          <w:rFonts w:ascii="Arial" w:hAnsi="Arial" w:cs="Arial"/>
          <w:b/>
          <w:bCs/>
          <w:sz w:val="20"/>
          <w:szCs w:val="20"/>
        </w:rPr>
        <w:t>-c</w:t>
      </w:r>
      <w:r w:rsidRPr="002C753A">
        <w:rPr>
          <w:rFonts w:ascii="Arial" w:hAnsi="Arial" w:cs="Arial"/>
          <w:b/>
          <w:bCs/>
          <w:sz w:val="20"/>
          <w:szCs w:val="20"/>
        </w:rPr>
        <w:t>)</w:t>
      </w:r>
      <w:r>
        <w:rPr>
          <w:rFonts w:ascii="Arial" w:hAnsi="Arial" w:cs="Arial"/>
          <w:b/>
          <w:bCs/>
          <w:sz w:val="20"/>
          <w:szCs w:val="20"/>
        </w:rPr>
        <w:t xml:space="preserve"> </w:t>
      </w:r>
      <w:r>
        <w:rPr>
          <w:rFonts w:ascii="Arial" w:hAnsi="Arial" w:cs="Arial"/>
          <w:sz w:val="20"/>
          <w:szCs w:val="20"/>
        </w:rPr>
        <w:t xml:space="preserve">Volcano plots showing significant genes across disease (binarized to compare diseased vs. non-diseased) for cardiomyocytes, fibroblasts, and myeloid cells, respectively. </w:t>
      </w:r>
      <w:r w:rsidRPr="00AA3E6D">
        <w:rPr>
          <w:rFonts w:ascii="Arial" w:hAnsi="Arial" w:cs="Arial"/>
          <w:b/>
          <w:bCs/>
          <w:sz w:val="20"/>
          <w:szCs w:val="20"/>
        </w:rPr>
        <w:t>(</w:t>
      </w:r>
      <w:r>
        <w:rPr>
          <w:rFonts w:ascii="Arial" w:hAnsi="Arial" w:cs="Arial"/>
          <w:b/>
          <w:bCs/>
          <w:sz w:val="20"/>
          <w:szCs w:val="20"/>
        </w:rPr>
        <w:t>d</w:t>
      </w:r>
      <w:r w:rsidRPr="00AA3E6D">
        <w:rPr>
          <w:rFonts w:ascii="Arial" w:hAnsi="Arial" w:cs="Arial"/>
          <w:b/>
          <w:bCs/>
          <w:sz w:val="20"/>
          <w:szCs w:val="20"/>
        </w:rPr>
        <w:t>)</w:t>
      </w:r>
      <w:r>
        <w:rPr>
          <w:rFonts w:ascii="Arial" w:hAnsi="Arial" w:cs="Arial"/>
          <w:b/>
          <w:bCs/>
          <w:sz w:val="20"/>
          <w:szCs w:val="20"/>
        </w:rPr>
        <w:t xml:space="preserve"> </w:t>
      </w:r>
      <w:r>
        <w:rPr>
          <w:rFonts w:ascii="Arial" w:hAnsi="Arial" w:cs="Arial"/>
          <w:sz w:val="20"/>
          <w:szCs w:val="20"/>
        </w:rPr>
        <w:t xml:space="preserve">Comparison of DEGs for DCM, HCM, and ICM (non-binarized) vs. non-diseased, showing the degree of shared DEGs and different DEGs. </w:t>
      </w:r>
      <w:r w:rsidRPr="00C37ECB">
        <w:rPr>
          <w:rFonts w:ascii="Arial" w:hAnsi="Arial" w:cs="Arial"/>
          <w:b/>
          <w:bCs/>
          <w:sz w:val="20"/>
          <w:szCs w:val="20"/>
        </w:rPr>
        <w:t>(e)</w:t>
      </w:r>
      <w:r>
        <w:rPr>
          <w:rFonts w:ascii="Arial" w:hAnsi="Arial" w:cs="Arial"/>
          <w:sz w:val="20"/>
          <w:szCs w:val="20"/>
        </w:rPr>
        <w:t xml:space="preserve"> Jaccard similarity between up and down DEG sets between the three heart failure subtypes. </w:t>
      </w:r>
    </w:p>
    <w:p w14:paraId="199394B1" w14:textId="77777777" w:rsidR="00F94AAA" w:rsidRDefault="00F94AAA" w:rsidP="00F94AAA">
      <w:pPr>
        <w:rPr>
          <w:rFonts w:ascii="Arial" w:hAnsi="Arial" w:cs="Arial"/>
          <w:sz w:val="20"/>
          <w:szCs w:val="20"/>
        </w:rPr>
      </w:pPr>
    </w:p>
    <w:p w14:paraId="4DBC08F1" w14:textId="77777777" w:rsidR="00F94AAA" w:rsidRDefault="00F94AAA" w:rsidP="00F94AAA">
      <w:pPr>
        <w:jc w:val="center"/>
        <w:rPr>
          <w:rStyle w:val="Heading1Char"/>
          <w:b/>
          <w:bCs/>
          <w:sz w:val="20"/>
          <w:szCs w:val="20"/>
        </w:rPr>
      </w:pPr>
      <w:r>
        <w:rPr>
          <w:rStyle w:val="Heading1Char"/>
          <w:b/>
          <w:bCs/>
          <w:sz w:val="20"/>
          <w:szCs w:val="20"/>
        </w:rPr>
        <w:br/>
      </w:r>
    </w:p>
    <w:p w14:paraId="41AFD9B2" w14:textId="77777777" w:rsidR="00F94AAA" w:rsidRDefault="00F94AAA" w:rsidP="00F94AAA">
      <w:pPr>
        <w:rPr>
          <w:rStyle w:val="Heading1Char"/>
          <w:b/>
          <w:bCs/>
          <w:sz w:val="20"/>
          <w:szCs w:val="20"/>
        </w:rPr>
      </w:pPr>
      <w:r>
        <w:rPr>
          <w:rStyle w:val="Heading1Char"/>
          <w:b/>
          <w:bCs/>
          <w:sz w:val="20"/>
          <w:szCs w:val="20"/>
        </w:rPr>
        <w:br w:type="page"/>
      </w:r>
    </w:p>
    <w:p w14:paraId="123F5AD5" w14:textId="77777777" w:rsidR="00F94AAA" w:rsidRDefault="00F94AAA" w:rsidP="00F94AAA">
      <w:pP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1867447D" wp14:editId="4CBB2343">
            <wp:extent cx="6858000" cy="6682105"/>
            <wp:effectExtent l="0" t="0" r="0" b="0"/>
            <wp:docPr id="1683764688"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64688" name="Picture 3" descr="A screenshot of a computer screen&#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858000" cy="6682105"/>
                    </a:xfrm>
                    <a:prstGeom prst="rect">
                      <a:avLst/>
                    </a:prstGeom>
                  </pic:spPr>
                </pic:pic>
              </a:graphicData>
            </a:graphic>
          </wp:inline>
        </w:drawing>
      </w:r>
    </w:p>
    <w:p w14:paraId="238C56B3" w14:textId="77777777" w:rsidR="00F94AAA" w:rsidRDefault="00F94AAA" w:rsidP="00F94AAA">
      <w:pP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42448F7E" wp14:editId="5B41998E">
            <wp:extent cx="6762115" cy="9144000"/>
            <wp:effectExtent l="0" t="0" r="0" b="0"/>
            <wp:docPr id="1882703695" name="Picture 1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03695" name="Picture 11" descr="A screenshot of a computer screen&#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762115" cy="9144000"/>
                    </a:xfrm>
                    <a:prstGeom prst="rect">
                      <a:avLst/>
                    </a:prstGeom>
                  </pic:spPr>
                </pic:pic>
              </a:graphicData>
            </a:graphic>
          </wp:inline>
        </w:drawing>
      </w:r>
    </w:p>
    <w:p w14:paraId="59E6E924" w14:textId="77777777" w:rsidR="00F94AAA" w:rsidRDefault="00F94AAA" w:rsidP="00F94AAA">
      <w:pP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7EACD30B" wp14:editId="472953DE">
            <wp:extent cx="6858000" cy="4587875"/>
            <wp:effectExtent l="0" t="0" r="0" b="0"/>
            <wp:docPr id="1503319226" name="Picture 1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19226" name="Picture 12" descr="A screenshot of a graph&#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858000" cy="4587875"/>
                    </a:xfrm>
                    <a:prstGeom prst="rect">
                      <a:avLst/>
                    </a:prstGeom>
                  </pic:spPr>
                </pic:pic>
              </a:graphicData>
            </a:graphic>
          </wp:inline>
        </w:drawing>
      </w:r>
    </w:p>
    <w:p w14:paraId="0A8AFB4C" w14:textId="77777777" w:rsidR="00F94AAA" w:rsidRDefault="00F94AAA" w:rsidP="00F94AAA">
      <w:pPr>
        <w:adjustRightInd w:val="0"/>
        <w:spacing w:after="100" w:line="276" w:lineRule="auto"/>
        <w:rPr>
          <w:rFonts w:ascii="Arial" w:hAnsi="Arial" w:cs="Arial"/>
          <w:b/>
          <w:bCs/>
          <w:sz w:val="20"/>
          <w:szCs w:val="20"/>
        </w:rPr>
      </w:pPr>
      <w:bookmarkStart w:id="26" w:name="_Toc221608512"/>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 xml:space="preserve">7 </w:t>
      </w:r>
      <w:r w:rsidRPr="000C35F2">
        <w:rPr>
          <w:rStyle w:val="Heading1Char"/>
          <w:b/>
          <w:bCs/>
          <w:sz w:val="20"/>
          <w:szCs w:val="20"/>
        </w:rPr>
        <w:t xml:space="preserve">– </w:t>
      </w:r>
      <w:r>
        <w:rPr>
          <w:rStyle w:val="Heading1Char"/>
          <w:b/>
          <w:bCs/>
          <w:sz w:val="20"/>
          <w:szCs w:val="20"/>
        </w:rPr>
        <w:t>Disease trajectory analyses</w:t>
      </w:r>
      <w:bookmarkEnd w:id="26"/>
      <w:r w:rsidRPr="00904255">
        <w:rPr>
          <w:rFonts w:ascii="Arial" w:hAnsi="Arial" w:cs="Arial"/>
          <w:sz w:val="20"/>
          <w:szCs w:val="20"/>
        </w:rPr>
        <w:t>:</w:t>
      </w:r>
      <w:r>
        <w:rPr>
          <w:rFonts w:ascii="Arial" w:hAnsi="Arial" w:cs="Arial"/>
          <w:sz w:val="20"/>
          <w:szCs w:val="20"/>
        </w:rPr>
        <w:t xml:space="preserve"> </w:t>
      </w:r>
      <w:r w:rsidRPr="004C3621">
        <w:rPr>
          <w:rFonts w:ascii="Arial" w:hAnsi="Arial" w:cs="Arial"/>
          <w:b/>
          <w:bCs/>
          <w:sz w:val="20"/>
          <w:szCs w:val="20"/>
        </w:rPr>
        <w:t>(a)</w:t>
      </w:r>
      <w:r>
        <w:rPr>
          <w:rFonts w:ascii="Arial" w:hAnsi="Arial" w:cs="Arial"/>
          <w:sz w:val="20"/>
          <w:szCs w:val="20"/>
        </w:rPr>
        <w:t xml:space="preserve"> Trajectories from non-diseased to DCM, HCM, and ICM, calculated by aggregating gene expression along the density of fetal cells and non-diseased in the low-dimensional embedding. Genes were hierarchically clustered based on expression dynamics (top). Cardiomyocyte trajectories for several genes belonging to different hierarchical clusters based on expression dynamics (middle).  </w:t>
      </w:r>
      <w:r w:rsidRPr="00A84797">
        <w:rPr>
          <w:rFonts w:ascii="Arial" w:hAnsi="Arial" w:cs="Arial"/>
          <w:b/>
          <w:bCs/>
          <w:sz w:val="20"/>
          <w:szCs w:val="20"/>
        </w:rPr>
        <w:t>(b)</w:t>
      </w:r>
      <w:r>
        <w:rPr>
          <w:rFonts w:ascii="Arial" w:hAnsi="Arial" w:cs="Arial"/>
          <w:sz w:val="20"/>
          <w:szCs w:val="20"/>
        </w:rPr>
        <w:t xml:space="preserve"> Non-diseased to disease subtype trajectory analysis for endothelial cells. </w:t>
      </w:r>
      <w:r w:rsidRPr="00F007AA">
        <w:rPr>
          <w:rFonts w:ascii="Arial" w:hAnsi="Arial" w:cs="Arial"/>
          <w:b/>
          <w:bCs/>
          <w:sz w:val="20"/>
          <w:szCs w:val="20"/>
        </w:rPr>
        <w:t>(c)</w:t>
      </w:r>
      <w:r>
        <w:rPr>
          <w:rFonts w:ascii="Arial" w:hAnsi="Arial" w:cs="Arial"/>
          <w:sz w:val="20"/>
          <w:szCs w:val="20"/>
        </w:rPr>
        <w:t xml:space="preserve"> Non-diseased to disease subtype trajectory analysis for fibroblasts. </w:t>
      </w:r>
      <w:r w:rsidRPr="005A724B">
        <w:rPr>
          <w:rFonts w:ascii="Arial" w:hAnsi="Arial" w:cs="Arial"/>
          <w:b/>
          <w:bCs/>
          <w:sz w:val="20"/>
          <w:szCs w:val="20"/>
        </w:rPr>
        <w:t>(d)</w:t>
      </w:r>
      <w:r>
        <w:rPr>
          <w:rFonts w:ascii="Arial" w:hAnsi="Arial" w:cs="Arial"/>
          <w:sz w:val="20"/>
          <w:szCs w:val="20"/>
        </w:rPr>
        <w:t xml:space="preserve"> Non-diseased to disease subtype trajectory analysis for myeloid cells.</w:t>
      </w:r>
    </w:p>
    <w:p w14:paraId="10D757B2" w14:textId="77777777" w:rsidR="00F94AAA" w:rsidRDefault="00F94AAA" w:rsidP="00F94AAA">
      <w:pPr>
        <w:rPr>
          <w:rFonts w:ascii="Arial" w:hAnsi="Arial" w:cs="Arial"/>
          <w:b/>
          <w:bCs/>
          <w:sz w:val="20"/>
          <w:szCs w:val="20"/>
        </w:rPr>
      </w:pPr>
      <w:r>
        <w:rPr>
          <w:rFonts w:ascii="Arial" w:hAnsi="Arial" w:cs="Arial"/>
          <w:b/>
          <w:bCs/>
          <w:sz w:val="20"/>
          <w:szCs w:val="20"/>
        </w:rPr>
        <w:br w:type="page"/>
      </w:r>
    </w:p>
    <w:p w14:paraId="304C0D46" w14:textId="77777777" w:rsidR="00F94AAA" w:rsidRDefault="00F94AAA" w:rsidP="00F94AAA">
      <w:pPr>
        <w:adjustRightInd w:val="0"/>
        <w:spacing w:after="100" w:line="276" w:lineRule="auto"/>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178343B1" wp14:editId="21C8A130">
            <wp:extent cx="6858000" cy="4195445"/>
            <wp:effectExtent l="0" t="0" r="0" b="0"/>
            <wp:docPr id="862862152" name="Picture 14" descr="A close-up of several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62152" name="Picture 14" descr="A close-up of several graph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858000" cy="4195445"/>
                    </a:xfrm>
                    <a:prstGeom prst="rect">
                      <a:avLst/>
                    </a:prstGeom>
                  </pic:spPr>
                </pic:pic>
              </a:graphicData>
            </a:graphic>
          </wp:inline>
        </w:drawing>
      </w:r>
    </w:p>
    <w:p w14:paraId="70A60673" w14:textId="77777777" w:rsidR="00F94AAA" w:rsidRPr="002E4A64" w:rsidRDefault="00F94AAA" w:rsidP="00F94AAA">
      <w:pPr>
        <w:adjustRightInd w:val="0"/>
        <w:spacing w:after="100" w:line="276" w:lineRule="auto"/>
        <w:rPr>
          <w:rFonts w:ascii="Arial" w:hAnsi="Arial" w:cs="Arial"/>
          <w:b/>
          <w:bCs/>
          <w:sz w:val="20"/>
          <w:szCs w:val="20"/>
        </w:rPr>
      </w:pPr>
      <w:bookmarkStart w:id="27" w:name="_Toc221608513"/>
      <w:r>
        <w:rPr>
          <w:rStyle w:val="Heading1Char"/>
          <w:b/>
          <w:bCs/>
          <w:sz w:val="20"/>
          <w:szCs w:val="20"/>
        </w:rPr>
        <w:t>Fig.</w:t>
      </w:r>
      <w:r w:rsidRPr="000C35F2">
        <w:rPr>
          <w:rStyle w:val="Heading1Char"/>
          <w:b/>
          <w:bCs/>
          <w:sz w:val="20"/>
          <w:szCs w:val="20"/>
        </w:rPr>
        <w:t xml:space="preserve"> </w:t>
      </w:r>
      <w:r>
        <w:rPr>
          <w:rStyle w:val="Heading1Char"/>
          <w:b/>
          <w:bCs/>
          <w:sz w:val="20"/>
          <w:szCs w:val="20"/>
        </w:rPr>
        <w:t>S</w:t>
      </w:r>
      <w:r w:rsidRPr="000C35F2">
        <w:rPr>
          <w:rStyle w:val="Heading1Char"/>
          <w:b/>
          <w:bCs/>
          <w:sz w:val="20"/>
          <w:szCs w:val="20"/>
        </w:rPr>
        <w:t>1</w:t>
      </w:r>
      <w:r>
        <w:rPr>
          <w:rStyle w:val="Heading1Char"/>
          <w:b/>
          <w:bCs/>
          <w:sz w:val="20"/>
          <w:szCs w:val="20"/>
        </w:rPr>
        <w:t xml:space="preserve">8 </w:t>
      </w:r>
      <w:r w:rsidRPr="000C35F2">
        <w:rPr>
          <w:rStyle w:val="Heading1Char"/>
          <w:b/>
          <w:bCs/>
          <w:sz w:val="20"/>
          <w:szCs w:val="20"/>
        </w:rPr>
        <w:t xml:space="preserve">– </w:t>
      </w:r>
      <w:r>
        <w:rPr>
          <w:rStyle w:val="Heading1Char"/>
          <w:b/>
          <w:bCs/>
          <w:sz w:val="20"/>
          <w:szCs w:val="20"/>
        </w:rPr>
        <w:t>Disease and fetal overlap</w:t>
      </w:r>
      <w:bookmarkEnd w:id="27"/>
      <w:r w:rsidRPr="00CF36FA">
        <w:rPr>
          <w:rFonts w:ascii="Arial" w:hAnsi="Arial" w:cs="Arial"/>
          <w:b/>
          <w:bCs/>
          <w:sz w:val="20"/>
          <w:szCs w:val="20"/>
        </w:rPr>
        <w:t xml:space="preserve"> (</w:t>
      </w:r>
      <w:r>
        <w:rPr>
          <w:rFonts w:ascii="Arial" w:hAnsi="Arial" w:cs="Arial"/>
          <w:b/>
          <w:bCs/>
          <w:sz w:val="20"/>
          <w:szCs w:val="20"/>
        </w:rPr>
        <w:t>a</w:t>
      </w:r>
      <w:r w:rsidRPr="00CF36FA">
        <w:rPr>
          <w:rFonts w:ascii="Arial" w:hAnsi="Arial" w:cs="Arial"/>
          <w:b/>
          <w:bCs/>
          <w:sz w:val="20"/>
          <w:szCs w:val="20"/>
        </w:rPr>
        <w:t>)</w:t>
      </w:r>
      <w:r>
        <w:rPr>
          <w:rFonts w:ascii="Arial" w:hAnsi="Arial" w:cs="Arial"/>
          <w:sz w:val="20"/>
          <w:szCs w:val="20"/>
        </w:rPr>
        <w:t xml:space="preserve"> Toy example of intersection analysis, showing the number of DEGs that are up and down in disease and up and down in fetal hearts. The intersecting DEGs are designated as “a”, “b”, “c”, and “d”. The degree of concordant DEG overlap is (a + d) / (a + b + c + d) </w:t>
      </w:r>
      <w:r w:rsidRPr="00553DF4">
        <w:rPr>
          <w:rFonts w:ascii="Arial" w:hAnsi="Arial" w:cs="Arial"/>
          <w:b/>
          <w:bCs/>
          <w:sz w:val="20"/>
          <w:szCs w:val="20"/>
        </w:rPr>
        <w:t>(</w:t>
      </w:r>
      <w:r>
        <w:rPr>
          <w:rFonts w:ascii="Arial" w:hAnsi="Arial" w:cs="Arial"/>
          <w:b/>
          <w:bCs/>
          <w:sz w:val="20"/>
          <w:szCs w:val="20"/>
        </w:rPr>
        <w:t>b</w:t>
      </w:r>
      <w:r w:rsidRPr="00553DF4">
        <w:rPr>
          <w:rFonts w:ascii="Arial" w:hAnsi="Arial" w:cs="Arial"/>
          <w:b/>
          <w:bCs/>
          <w:sz w:val="20"/>
          <w:szCs w:val="20"/>
        </w:rPr>
        <w:t>)</w:t>
      </w:r>
      <w:r>
        <w:rPr>
          <w:rFonts w:ascii="Arial" w:hAnsi="Arial" w:cs="Arial"/>
          <w:sz w:val="20"/>
          <w:szCs w:val="20"/>
        </w:rPr>
        <w:t xml:space="preserve"> Example of the sets used to simulate a null distribution for degree of expected overlap. Information about how these sets </w:t>
      </w:r>
      <w:proofErr w:type="gramStart"/>
      <w:r>
        <w:rPr>
          <w:rFonts w:ascii="Arial" w:hAnsi="Arial" w:cs="Arial"/>
          <w:sz w:val="20"/>
          <w:szCs w:val="20"/>
        </w:rPr>
        <w:t>are</w:t>
      </w:r>
      <w:proofErr w:type="gramEnd"/>
      <w:r>
        <w:rPr>
          <w:rFonts w:ascii="Arial" w:hAnsi="Arial" w:cs="Arial"/>
          <w:sz w:val="20"/>
          <w:szCs w:val="20"/>
        </w:rPr>
        <w:t xml:space="preserve"> used to compute the null distribution is described in the Methods section (“</w:t>
      </w:r>
      <w:r w:rsidRPr="002E4A64">
        <w:rPr>
          <w:rFonts w:ascii="Arial" w:hAnsi="Arial" w:cs="Arial"/>
          <w:sz w:val="20"/>
          <w:szCs w:val="20"/>
        </w:rPr>
        <w:t>DEG / DAR concordant overlap significance across contrasts</w:t>
      </w:r>
      <w:r>
        <w:rPr>
          <w:rFonts w:ascii="Arial" w:hAnsi="Arial" w:cs="Arial"/>
          <w:sz w:val="20"/>
          <w:szCs w:val="20"/>
        </w:rPr>
        <w:t>”)</w:t>
      </w:r>
      <w:r w:rsidRPr="000E1179">
        <w:rPr>
          <w:rFonts w:ascii="Arial" w:hAnsi="Arial" w:cs="Arial"/>
          <w:b/>
          <w:bCs/>
          <w:sz w:val="20"/>
          <w:szCs w:val="20"/>
        </w:rPr>
        <w:t xml:space="preserve"> (</w:t>
      </w:r>
      <w:r>
        <w:rPr>
          <w:rFonts w:ascii="Arial" w:hAnsi="Arial" w:cs="Arial"/>
          <w:b/>
          <w:bCs/>
          <w:sz w:val="20"/>
          <w:szCs w:val="20"/>
        </w:rPr>
        <w:t>c</w:t>
      </w:r>
      <w:r w:rsidRPr="000E1179">
        <w:rPr>
          <w:rFonts w:ascii="Arial" w:hAnsi="Arial" w:cs="Arial"/>
          <w:b/>
          <w:bCs/>
          <w:sz w:val="20"/>
          <w:szCs w:val="20"/>
        </w:rPr>
        <w:t xml:space="preserve">) </w:t>
      </w:r>
      <w:r>
        <w:rPr>
          <w:rFonts w:ascii="Arial" w:hAnsi="Arial" w:cs="Arial"/>
          <w:sz w:val="20"/>
          <w:szCs w:val="20"/>
        </w:rPr>
        <w:t>Intersection between disease subtype DEGs with fetal DEGs, showing a z-score for fetal reactivation (intersection between DEG sets) of each heart failure subtype. Statistical significance is considered a z-score &gt;3</w:t>
      </w:r>
      <w:r w:rsidRPr="00954DDB">
        <w:rPr>
          <w:rFonts w:ascii="Arial" w:hAnsi="Arial" w:cs="Arial"/>
          <w:sz w:val="20"/>
          <w:szCs w:val="20"/>
        </w:rPr>
        <w:t xml:space="preserve">. </w:t>
      </w:r>
      <w:r w:rsidRPr="00954DDB">
        <w:rPr>
          <w:rFonts w:ascii="Arial" w:hAnsi="Arial" w:cs="Arial"/>
          <w:b/>
          <w:bCs/>
          <w:sz w:val="20"/>
          <w:szCs w:val="20"/>
        </w:rPr>
        <w:t>(</w:t>
      </w:r>
      <w:r>
        <w:rPr>
          <w:rFonts w:ascii="Arial" w:hAnsi="Arial" w:cs="Arial"/>
          <w:b/>
          <w:bCs/>
          <w:sz w:val="20"/>
          <w:szCs w:val="20"/>
        </w:rPr>
        <w:t>d</w:t>
      </w:r>
      <w:r w:rsidRPr="00954DDB">
        <w:rPr>
          <w:rFonts w:ascii="Arial" w:hAnsi="Arial" w:cs="Arial"/>
          <w:b/>
          <w:bCs/>
          <w:sz w:val="20"/>
          <w:szCs w:val="20"/>
        </w:rPr>
        <w:t>)</w:t>
      </w:r>
      <w:r>
        <w:rPr>
          <w:rFonts w:ascii="Arial" w:hAnsi="Arial" w:cs="Arial"/>
          <w:sz w:val="20"/>
          <w:szCs w:val="20"/>
        </w:rPr>
        <w:t xml:space="preserve"> Proportion of up and down DEGs per disease subtype that show the same direction for the fetal vs. young contrast. This represents that proportion of disease DEGs that are “fetal reactivation” DEGs.</w:t>
      </w:r>
    </w:p>
    <w:p w14:paraId="2C5269AE" w14:textId="77777777" w:rsidR="00F94AAA"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28DC77A5" wp14:editId="2CE6BA2D">
            <wp:extent cx="5556738" cy="7972470"/>
            <wp:effectExtent l="0" t="0" r="0" b="0"/>
            <wp:docPr id="2534481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4816" name="Picture 25344816"/>
                    <pic:cNvPicPr/>
                  </pic:nvPicPr>
                  <pic:blipFill>
                    <a:blip r:embed="rId31"/>
                    <a:stretch>
                      <a:fillRect/>
                    </a:stretch>
                  </pic:blipFill>
                  <pic:spPr>
                    <a:xfrm>
                      <a:off x="0" y="0"/>
                      <a:ext cx="5583519" cy="8010894"/>
                    </a:xfrm>
                    <a:prstGeom prst="rect">
                      <a:avLst/>
                    </a:prstGeom>
                  </pic:spPr>
                </pic:pic>
              </a:graphicData>
            </a:graphic>
          </wp:inline>
        </w:drawing>
      </w:r>
    </w:p>
    <w:p w14:paraId="70AD1472" w14:textId="77777777" w:rsidR="00F94AAA" w:rsidRPr="0079673E" w:rsidRDefault="00F94AAA" w:rsidP="00F94AAA">
      <w:pPr>
        <w:rPr>
          <w:rFonts w:ascii="Arial" w:hAnsi="Arial" w:cs="Arial"/>
          <w:sz w:val="20"/>
          <w:szCs w:val="20"/>
        </w:rPr>
      </w:pPr>
      <w:bookmarkStart w:id="28" w:name="_Toc221608514"/>
      <w:r>
        <w:rPr>
          <w:rStyle w:val="Heading1Char"/>
          <w:b/>
          <w:bCs/>
          <w:sz w:val="20"/>
          <w:szCs w:val="20"/>
        </w:rPr>
        <w:t>Fig.</w:t>
      </w:r>
      <w:r w:rsidRPr="0079673E">
        <w:rPr>
          <w:rStyle w:val="Heading1Char"/>
          <w:b/>
          <w:bCs/>
          <w:sz w:val="20"/>
          <w:szCs w:val="20"/>
        </w:rPr>
        <w:t xml:space="preserve"> </w:t>
      </w:r>
      <w:r>
        <w:rPr>
          <w:rStyle w:val="Heading1Char"/>
          <w:b/>
          <w:bCs/>
          <w:sz w:val="20"/>
          <w:szCs w:val="20"/>
        </w:rPr>
        <w:t>S</w:t>
      </w:r>
      <w:r w:rsidRPr="0079673E">
        <w:rPr>
          <w:rStyle w:val="Heading1Char"/>
          <w:b/>
          <w:bCs/>
          <w:sz w:val="20"/>
          <w:szCs w:val="20"/>
        </w:rPr>
        <w:t>1</w:t>
      </w:r>
      <w:r>
        <w:rPr>
          <w:rStyle w:val="Heading1Char"/>
          <w:b/>
          <w:bCs/>
          <w:sz w:val="20"/>
          <w:szCs w:val="20"/>
        </w:rPr>
        <w:t>9</w:t>
      </w:r>
      <w:r w:rsidRPr="0079673E">
        <w:rPr>
          <w:rStyle w:val="Heading1Char"/>
          <w:b/>
          <w:bCs/>
          <w:sz w:val="20"/>
          <w:szCs w:val="20"/>
        </w:rPr>
        <w:t xml:space="preserve"> – Additional cell-cell communication analyses with liana x tensorcell2cell</w:t>
      </w:r>
      <w:bookmarkEnd w:id="28"/>
      <w:r w:rsidRPr="0079673E">
        <w:rPr>
          <w:rFonts w:ascii="Arial" w:hAnsi="Arial" w:cs="Arial"/>
          <w:sz w:val="20"/>
          <w:szCs w:val="20"/>
        </w:rPr>
        <w:t xml:space="preserve">: </w:t>
      </w:r>
      <w:r w:rsidRPr="0079673E">
        <w:rPr>
          <w:rFonts w:ascii="Arial" w:hAnsi="Arial" w:cs="Arial"/>
          <w:b/>
          <w:bCs/>
          <w:sz w:val="20"/>
          <w:szCs w:val="20"/>
        </w:rPr>
        <w:t>(a)</w:t>
      </w:r>
      <w:r w:rsidRPr="0079673E">
        <w:rPr>
          <w:rFonts w:ascii="Arial" w:hAnsi="Arial" w:cs="Arial"/>
          <w:sz w:val="20"/>
          <w:szCs w:val="20"/>
        </w:rPr>
        <w:t xml:space="preserve"> Significant ligand-receptor interactions per cell-cell communication program </w:t>
      </w:r>
      <w:r w:rsidRPr="0079673E">
        <w:rPr>
          <w:rFonts w:ascii="Arial" w:hAnsi="Arial" w:cs="Arial"/>
          <w:b/>
          <w:bCs/>
          <w:sz w:val="20"/>
          <w:szCs w:val="20"/>
        </w:rPr>
        <w:t>(b)</w:t>
      </w:r>
      <w:r w:rsidRPr="0079673E">
        <w:rPr>
          <w:rFonts w:ascii="Arial" w:hAnsi="Arial" w:cs="Arial"/>
          <w:sz w:val="20"/>
          <w:szCs w:val="20"/>
        </w:rPr>
        <w:t xml:space="preserve"> Contribution of receptor-expressing receiver cell types in each program </w:t>
      </w:r>
      <w:r w:rsidRPr="0079673E">
        <w:rPr>
          <w:rFonts w:ascii="Arial" w:hAnsi="Arial" w:cs="Arial"/>
          <w:b/>
          <w:bCs/>
          <w:sz w:val="20"/>
          <w:szCs w:val="20"/>
        </w:rPr>
        <w:t xml:space="preserve">(c) </w:t>
      </w:r>
      <w:r w:rsidRPr="0079673E">
        <w:rPr>
          <w:rFonts w:ascii="Arial" w:hAnsi="Arial" w:cs="Arial"/>
          <w:sz w:val="20"/>
          <w:szCs w:val="20"/>
        </w:rPr>
        <w:t xml:space="preserve">Contribution of </w:t>
      </w:r>
      <w:r>
        <w:rPr>
          <w:rFonts w:ascii="Arial" w:hAnsi="Arial" w:cs="Arial"/>
          <w:sz w:val="20"/>
          <w:szCs w:val="20"/>
        </w:rPr>
        <w:t>ligand</w:t>
      </w:r>
      <w:r w:rsidRPr="0079673E">
        <w:rPr>
          <w:rFonts w:ascii="Arial" w:hAnsi="Arial" w:cs="Arial"/>
          <w:sz w:val="20"/>
          <w:szCs w:val="20"/>
        </w:rPr>
        <w:t>-expressi</w:t>
      </w:r>
      <w:r>
        <w:rPr>
          <w:rFonts w:ascii="Arial" w:hAnsi="Arial" w:cs="Arial"/>
          <w:sz w:val="20"/>
          <w:szCs w:val="20"/>
        </w:rPr>
        <w:t>ng sender</w:t>
      </w:r>
      <w:r w:rsidRPr="0079673E">
        <w:rPr>
          <w:rFonts w:ascii="Arial" w:hAnsi="Arial" w:cs="Arial"/>
          <w:sz w:val="20"/>
          <w:szCs w:val="20"/>
        </w:rPr>
        <w:t xml:space="preserve"> cell types in each program </w:t>
      </w:r>
      <w:r w:rsidRPr="0079673E">
        <w:rPr>
          <w:rFonts w:ascii="Arial" w:hAnsi="Arial" w:cs="Arial"/>
          <w:b/>
          <w:bCs/>
          <w:sz w:val="20"/>
          <w:szCs w:val="20"/>
        </w:rPr>
        <w:t>(d)</w:t>
      </w:r>
      <w:r w:rsidRPr="0079673E">
        <w:rPr>
          <w:rFonts w:ascii="Arial" w:hAnsi="Arial" w:cs="Arial"/>
          <w:sz w:val="20"/>
          <w:szCs w:val="20"/>
        </w:rPr>
        <w:t xml:space="preserve"> G</w:t>
      </w:r>
      <w:r>
        <w:rPr>
          <w:rFonts w:ascii="Arial" w:hAnsi="Arial" w:cs="Arial"/>
          <w:sz w:val="20"/>
          <w:szCs w:val="20"/>
        </w:rPr>
        <w:t>ene set enrichment analysis</w:t>
      </w:r>
      <w:r w:rsidRPr="0079673E">
        <w:rPr>
          <w:rFonts w:ascii="Arial" w:hAnsi="Arial" w:cs="Arial"/>
          <w:sz w:val="20"/>
          <w:szCs w:val="20"/>
        </w:rPr>
        <w:t xml:space="preserve"> for ligand-receptor interactions in each program. </w:t>
      </w:r>
    </w:p>
    <w:p w14:paraId="3AF64A42" w14:textId="77777777" w:rsidR="00F94AAA"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2A8123E5" wp14:editId="374ACFF9">
            <wp:extent cx="6858000" cy="6926580"/>
            <wp:effectExtent l="0" t="0" r="0" b="0"/>
            <wp:docPr id="3594676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67652" name="Picture 359467652"/>
                    <pic:cNvPicPr/>
                  </pic:nvPicPr>
                  <pic:blipFill>
                    <a:blip r:embed="rId32"/>
                    <a:stretch>
                      <a:fillRect/>
                    </a:stretch>
                  </pic:blipFill>
                  <pic:spPr>
                    <a:xfrm>
                      <a:off x="0" y="0"/>
                      <a:ext cx="6858000" cy="6926580"/>
                    </a:xfrm>
                    <a:prstGeom prst="rect">
                      <a:avLst/>
                    </a:prstGeom>
                  </pic:spPr>
                </pic:pic>
              </a:graphicData>
            </a:graphic>
          </wp:inline>
        </w:drawing>
      </w:r>
    </w:p>
    <w:p w14:paraId="158B8E96" w14:textId="77777777" w:rsidR="00F94AAA" w:rsidRPr="00DE4590" w:rsidRDefault="00F94AAA" w:rsidP="00F94AAA">
      <w:pPr>
        <w:rPr>
          <w:rFonts w:ascii="Arial" w:hAnsi="Arial" w:cs="Arial"/>
          <w:sz w:val="20"/>
          <w:szCs w:val="20"/>
        </w:rPr>
      </w:pPr>
      <w:bookmarkStart w:id="29" w:name="_Toc221608515"/>
      <w:r>
        <w:rPr>
          <w:rStyle w:val="Heading1Char"/>
          <w:b/>
          <w:bCs/>
          <w:sz w:val="20"/>
          <w:szCs w:val="20"/>
        </w:rPr>
        <w:t>Fig.</w:t>
      </w:r>
      <w:r w:rsidRPr="00DE4590">
        <w:rPr>
          <w:rStyle w:val="Heading1Char"/>
          <w:b/>
          <w:bCs/>
          <w:sz w:val="20"/>
          <w:szCs w:val="20"/>
        </w:rPr>
        <w:t xml:space="preserve"> </w:t>
      </w:r>
      <w:r>
        <w:rPr>
          <w:rStyle w:val="Heading1Char"/>
          <w:b/>
          <w:bCs/>
          <w:sz w:val="20"/>
          <w:szCs w:val="20"/>
        </w:rPr>
        <w:t>S20</w:t>
      </w:r>
      <w:r w:rsidRPr="00DE4590">
        <w:rPr>
          <w:rStyle w:val="Heading1Char"/>
          <w:b/>
          <w:bCs/>
          <w:sz w:val="20"/>
          <w:szCs w:val="20"/>
        </w:rPr>
        <w:t xml:space="preserve"> – Kanemaru 2023 spatial non-diseased fetal reactivation</w:t>
      </w:r>
      <w:bookmarkEnd w:id="29"/>
      <w:r w:rsidRPr="00DE4590">
        <w:rPr>
          <w:rFonts w:ascii="Arial" w:hAnsi="Arial" w:cs="Arial"/>
          <w:sz w:val="20"/>
          <w:szCs w:val="20"/>
        </w:rPr>
        <w:t xml:space="preserve">: Gene activity scores were calculated using </w:t>
      </w:r>
      <w:proofErr w:type="spellStart"/>
      <w:r w:rsidRPr="00DE4590">
        <w:rPr>
          <w:rFonts w:ascii="Arial" w:hAnsi="Arial" w:cs="Arial"/>
          <w:sz w:val="20"/>
          <w:szCs w:val="20"/>
        </w:rPr>
        <w:t>scanpy’s</w:t>
      </w:r>
      <w:proofErr w:type="spellEnd"/>
      <w:r w:rsidRPr="00DE4590">
        <w:rPr>
          <w:rFonts w:ascii="Arial" w:hAnsi="Arial" w:cs="Arial"/>
          <w:sz w:val="20"/>
          <w:szCs w:val="20"/>
        </w:rPr>
        <w:t xml:space="preserve"> </w:t>
      </w:r>
      <w:proofErr w:type="spellStart"/>
      <w:r w:rsidRPr="00DE4590">
        <w:rPr>
          <w:rFonts w:ascii="Arial" w:hAnsi="Arial" w:cs="Arial"/>
          <w:sz w:val="20"/>
          <w:szCs w:val="20"/>
        </w:rPr>
        <w:t>score_genes</w:t>
      </w:r>
      <w:proofErr w:type="spellEnd"/>
      <w:r w:rsidRPr="00DE4590">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All Kanemaru donors did not have</w:t>
      </w:r>
      <w:r>
        <w:rPr>
          <w:rFonts w:ascii="Arial" w:hAnsi="Arial" w:cs="Arial"/>
          <w:sz w:val="20"/>
          <w:szCs w:val="20"/>
        </w:rPr>
        <w:t xml:space="preserve"> any</w:t>
      </w:r>
      <w:r w:rsidRPr="00DE4590">
        <w:rPr>
          <w:rFonts w:ascii="Arial" w:hAnsi="Arial" w:cs="Arial"/>
          <w:sz w:val="20"/>
          <w:szCs w:val="20"/>
        </w:rPr>
        <w:t xml:space="preserve"> diagnosed disease. </w:t>
      </w:r>
      <w:r w:rsidRPr="00DE4590">
        <w:rPr>
          <w:rFonts w:ascii="Arial" w:hAnsi="Arial" w:cs="Arial"/>
          <w:b/>
          <w:bCs/>
          <w:sz w:val="20"/>
          <w:szCs w:val="20"/>
        </w:rPr>
        <w:t>(a)</w:t>
      </w:r>
      <w:r w:rsidRPr="00DE4590">
        <w:rPr>
          <w:rFonts w:ascii="Arial" w:hAnsi="Arial" w:cs="Arial"/>
          <w:sz w:val="20"/>
          <w:szCs w:val="20"/>
        </w:rPr>
        <w:t xml:space="preserve"> HCAHeartST8795933 </w:t>
      </w:r>
      <w:r w:rsidRPr="00DE4590">
        <w:rPr>
          <w:rFonts w:ascii="Arial" w:hAnsi="Arial" w:cs="Arial"/>
          <w:b/>
          <w:bCs/>
          <w:sz w:val="20"/>
          <w:szCs w:val="20"/>
        </w:rPr>
        <w:t>(b)</w:t>
      </w:r>
      <w:r w:rsidRPr="00DE4590">
        <w:rPr>
          <w:rFonts w:ascii="Arial" w:hAnsi="Arial" w:cs="Arial"/>
          <w:sz w:val="20"/>
          <w:szCs w:val="20"/>
        </w:rPr>
        <w:t xml:space="preserve"> HCAHeartST9383352 </w:t>
      </w:r>
      <w:r w:rsidRPr="00DE4590">
        <w:rPr>
          <w:rFonts w:ascii="Arial" w:hAnsi="Arial" w:cs="Arial"/>
          <w:b/>
          <w:bCs/>
          <w:sz w:val="20"/>
          <w:szCs w:val="20"/>
        </w:rPr>
        <w:t>(c)</w:t>
      </w:r>
      <w:r w:rsidRPr="00DE4590">
        <w:rPr>
          <w:rFonts w:ascii="Arial" w:hAnsi="Arial" w:cs="Arial"/>
          <w:sz w:val="20"/>
          <w:szCs w:val="20"/>
        </w:rPr>
        <w:t xml:space="preserve"> HCAHeartST9383354</w:t>
      </w:r>
      <w:r w:rsidRPr="00DE4590">
        <w:rPr>
          <w:rFonts w:ascii="Arial" w:hAnsi="Arial" w:cs="Arial"/>
          <w:b/>
          <w:bCs/>
          <w:sz w:val="20"/>
          <w:szCs w:val="20"/>
        </w:rPr>
        <w:t xml:space="preserve"> (d)</w:t>
      </w:r>
      <w:r w:rsidRPr="00DE4590">
        <w:rPr>
          <w:rFonts w:ascii="Arial" w:hAnsi="Arial" w:cs="Arial"/>
          <w:sz w:val="20"/>
          <w:szCs w:val="20"/>
        </w:rPr>
        <w:t xml:space="preserve"> HCAHeartST9383356 </w:t>
      </w:r>
      <w:r w:rsidRPr="00DE4590">
        <w:rPr>
          <w:rFonts w:ascii="Arial" w:hAnsi="Arial" w:cs="Arial"/>
          <w:b/>
          <w:bCs/>
          <w:sz w:val="20"/>
          <w:szCs w:val="20"/>
        </w:rPr>
        <w:t>(e)</w:t>
      </w:r>
      <w:r w:rsidRPr="00DE4590">
        <w:rPr>
          <w:rFonts w:ascii="Arial" w:hAnsi="Arial" w:cs="Arial"/>
          <w:sz w:val="20"/>
          <w:szCs w:val="20"/>
        </w:rPr>
        <w:t xml:space="preserve"> HCAHeartST9383358. </w:t>
      </w:r>
    </w:p>
    <w:p w14:paraId="25E9C458" w14:textId="77777777" w:rsidR="00F94AAA"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4C195DBF" wp14:editId="042E3D82">
            <wp:extent cx="6858000" cy="6706235"/>
            <wp:effectExtent l="0" t="0" r="0" b="0"/>
            <wp:docPr id="1552454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54739" name="Picture 1552454739"/>
                    <pic:cNvPicPr/>
                  </pic:nvPicPr>
                  <pic:blipFill>
                    <a:blip r:embed="rId33"/>
                    <a:stretch>
                      <a:fillRect/>
                    </a:stretch>
                  </pic:blipFill>
                  <pic:spPr>
                    <a:xfrm>
                      <a:off x="0" y="0"/>
                      <a:ext cx="6858000" cy="6706235"/>
                    </a:xfrm>
                    <a:prstGeom prst="rect">
                      <a:avLst/>
                    </a:prstGeom>
                  </pic:spPr>
                </pic:pic>
              </a:graphicData>
            </a:graphic>
          </wp:inline>
        </w:drawing>
      </w:r>
    </w:p>
    <w:p w14:paraId="141E321F" w14:textId="77777777" w:rsidR="00F94AAA" w:rsidRPr="00832D9B" w:rsidRDefault="00F94AAA" w:rsidP="00F94AAA">
      <w:pPr>
        <w:rPr>
          <w:rFonts w:ascii="Arial" w:hAnsi="Arial" w:cs="Arial"/>
          <w:sz w:val="20"/>
          <w:szCs w:val="20"/>
        </w:rPr>
      </w:pPr>
      <w:bookmarkStart w:id="30" w:name="_Toc221608516"/>
      <w:r>
        <w:rPr>
          <w:rStyle w:val="Heading1Char"/>
          <w:b/>
          <w:bCs/>
          <w:sz w:val="20"/>
          <w:szCs w:val="20"/>
        </w:rPr>
        <w:t>Fig.</w:t>
      </w:r>
      <w:r w:rsidRPr="00832D9B">
        <w:rPr>
          <w:rStyle w:val="Heading1Char"/>
          <w:b/>
          <w:bCs/>
          <w:sz w:val="20"/>
          <w:szCs w:val="20"/>
        </w:rPr>
        <w:t xml:space="preserve"> </w:t>
      </w:r>
      <w:r>
        <w:rPr>
          <w:rStyle w:val="Heading1Char"/>
          <w:b/>
          <w:bCs/>
          <w:sz w:val="20"/>
          <w:szCs w:val="20"/>
        </w:rPr>
        <w:t>S21</w:t>
      </w:r>
      <w:r w:rsidRPr="00832D9B">
        <w:rPr>
          <w:rStyle w:val="Heading1Char"/>
          <w:b/>
          <w:bCs/>
          <w:sz w:val="20"/>
          <w:szCs w:val="20"/>
        </w:rPr>
        <w:t xml:space="preserve"> – Kuppe 2022 spatial non-diseased fetal reactivation</w:t>
      </w:r>
      <w:bookmarkEnd w:id="30"/>
      <w:r w:rsidRPr="00832D9B">
        <w:rPr>
          <w:rFonts w:ascii="Arial" w:hAnsi="Arial" w:cs="Arial"/>
          <w:sz w:val="20"/>
          <w:szCs w:val="20"/>
        </w:rPr>
        <w:t xml:space="preserve">: Gene activity scores were calculated using </w:t>
      </w:r>
      <w:proofErr w:type="spellStart"/>
      <w:r w:rsidRPr="00832D9B">
        <w:rPr>
          <w:rFonts w:ascii="Arial" w:hAnsi="Arial" w:cs="Arial"/>
          <w:sz w:val="20"/>
          <w:szCs w:val="20"/>
        </w:rPr>
        <w:t>scanpy’s</w:t>
      </w:r>
      <w:proofErr w:type="spellEnd"/>
      <w:r w:rsidRPr="00832D9B">
        <w:rPr>
          <w:rFonts w:ascii="Arial" w:hAnsi="Arial" w:cs="Arial"/>
          <w:sz w:val="20"/>
          <w:szCs w:val="20"/>
        </w:rPr>
        <w:t xml:space="preserve"> </w:t>
      </w:r>
      <w:proofErr w:type="spellStart"/>
      <w:r w:rsidRPr="00832D9B">
        <w:rPr>
          <w:rFonts w:ascii="Arial" w:hAnsi="Arial" w:cs="Arial"/>
          <w:sz w:val="20"/>
          <w:szCs w:val="20"/>
        </w:rPr>
        <w:t>score_genes</w:t>
      </w:r>
      <w:proofErr w:type="spellEnd"/>
      <w:r w:rsidRPr="00832D9B">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non-diseased donors </w:t>
      </w:r>
      <w:r w:rsidRPr="00832D9B">
        <w:rPr>
          <w:rFonts w:ascii="Arial" w:hAnsi="Arial" w:cs="Arial"/>
          <w:b/>
          <w:bCs/>
          <w:sz w:val="20"/>
          <w:szCs w:val="20"/>
        </w:rPr>
        <w:t>(a)</w:t>
      </w:r>
      <w:r w:rsidRPr="00832D9B">
        <w:rPr>
          <w:rFonts w:ascii="Arial" w:hAnsi="Arial" w:cs="Arial"/>
          <w:sz w:val="20"/>
          <w:szCs w:val="20"/>
        </w:rPr>
        <w:t xml:space="preserve"> P1 </w:t>
      </w:r>
      <w:r w:rsidRPr="00832D9B">
        <w:rPr>
          <w:rFonts w:ascii="Arial" w:hAnsi="Arial" w:cs="Arial"/>
          <w:b/>
          <w:bCs/>
          <w:sz w:val="20"/>
          <w:szCs w:val="20"/>
        </w:rPr>
        <w:t>(b)</w:t>
      </w:r>
      <w:r w:rsidRPr="00832D9B">
        <w:rPr>
          <w:rFonts w:ascii="Arial" w:hAnsi="Arial" w:cs="Arial"/>
          <w:sz w:val="20"/>
          <w:szCs w:val="20"/>
        </w:rPr>
        <w:t xml:space="preserve"> P7 </w:t>
      </w:r>
      <w:r w:rsidRPr="00832D9B">
        <w:rPr>
          <w:rFonts w:ascii="Arial" w:hAnsi="Arial" w:cs="Arial"/>
          <w:b/>
          <w:bCs/>
          <w:sz w:val="20"/>
          <w:szCs w:val="20"/>
        </w:rPr>
        <w:t>(c)</w:t>
      </w:r>
      <w:r w:rsidRPr="00832D9B">
        <w:rPr>
          <w:rFonts w:ascii="Arial" w:hAnsi="Arial" w:cs="Arial"/>
          <w:sz w:val="20"/>
          <w:szCs w:val="20"/>
        </w:rPr>
        <w:t xml:space="preserve"> P8</w:t>
      </w:r>
      <w:r w:rsidRPr="00832D9B">
        <w:rPr>
          <w:rFonts w:ascii="Arial" w:hAnsi="Arial" w:cs="Arial"/>
          <w:b/>
          <w:bCs/>
          <w:sz w:val="20"/>
          <w:szCs w:val="20"/>
        </w:rPr>
        <w:t xml:space="preserve"> (d)</w:t>
      </w:r>
      <w:r w:rsidRPr="00832D9B">
        <w:rPr>
          <w:rFonts w:ascii="Arial" w:hAnsi="Arial" w:cs="Arial"/>
          <w:sz w:val="20"/>
          <w:szCs w:val="20"/>
        </w:rPr>
        <w:t xml:space="preserve"> P17.</w:t>
      </w:r>
    </w:p>
    <w:p w14:paraId="6575940B"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7CFA64E3" wp14:editId="2CFD4F4D">
            <wp:extent cx="6858000" cy="5186680"/>
            <wp:effectExtent l="0" t="0" r="0" b="0"/>
            <wp:docPr id="617236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3604" name="Picture 61723604"/>
                    <pic:cNvPicPr/>
                  </pic:nvPicPr>
                  <pic:blipFill>
                    <a:blip r:embed="rId34"/>
                    <a:stretch>
                      <a:fillRect/>
                    </a:stretch>
                  </pic:blipFill>
                  <pic:spPr>
                    <a:xfrm>
                      <a:off x="0" y="0"/>
                      <a:ext cx="6858000" cy="5186680"/>
                    </a:xfrm>
                    <a:prstGeom prst="rect">
                      <a:avLst/>
                    </a:prstGeom>
                  </pic:spPr>
                </pic:pic>
              </a:graphicData>
            </a:graphic>
          </wp:inline>
        </w:drawing>
      </w:r>
    </w:p>
    <w:p w14:paraId="6ABD6075" w14:textId="77777777" w:rsidR="00F94AAA" w:rsidRPr="008669D5" w:rsidRDefault="00F94AAA" w:rsidP="00F94AAA">
      <w:pPr>
        <w:rPr>
          <w:rFonts w:ascii="Arial" w:hAnsi="Arial" w:cs="Arial"/>
          <w:b/>
          <w:bCs/>
          <w:sz w:val="20"/>
          <w:szCs w:val="20"/>
        </w:rPr>
      </w:pPr>
      <w:bookmarkStart w:id="31" w:name="_Toc221608517"/>
      <w:r>
        <w:rPr>
          <w:rStyle w:val="Heading1Char"/>
          <w:b/>
          <w:bCs/>
          <w:sz w:val="20"/>
          <w:szCs w:val="20"/>
        </w:rPr>
        <w:t>Fig. S22</w:t>
      </w:r>
      <w:r w:rsidRPr="008669D5">
        <w:rPr>
          <w:rStyle w:val="Heading1Char"/>
          <w:b/>
          <w:bCs/>
          <w:sz w:val="20"/>
          <w:szCs w:val="20"/>
        </w:rPr>
        <w:t xml:space="preserve"> – Kuppe 2022 spatial fibrotic zone fetal reactivation</w:t>
      </w:r>
      <w:bookmarkEnd w:id="31"/>
      <w:r w:rsidRPr="008669D5">
        <w:rPr>
          <w:rFonts w:ascii="Arial" w:hAnsi="Arial" w:cs="Arial"/>
          <w:sz w:val="20"/>
          <w:szCs w:val="20"/>
        </w:rPr>
        <w:t xml:space="preserve">: Gene activity scores were calculated using </w:t>
      </w:r>
      <w:proofErr w:type="spellStart"/>
      <w:r w:rsidRPr="008669D5">
        <w:rPr>
          <w:rFonts w:ascii="Arial" w:hAnsi="Arial" w:cs="Arial"/>
          <w:sz w:val="20"/>
          <w:szCs w:val="20"/>
        </w:rPr>
        <w:t>scanpy’s</w:t>
      </w:r>
      <w:proofErr w:type="spellEnd"/>
      <w:r w:rsidRPr="008669D5">
        <w:rPr>
          <w:rFonts w:ascii="Arial" w:hAnsi="Arial" w:cs="Arial"/>
          <w:sz w:val="20"/>
          <w:szCs w:val="20"/>
        </w:rPr>
        <w:t xml:space="preserve"> </w:t>
      </w:r>
      <w:proofErr w:type="spellStart"/>
      <w:r w:rsidRPr="008669D5">
        <w:rPr>
          <w:rFonts w:ascii="Arial" w:hAnsi="Arial" w:cs="Arial"/>
          <w:sz w:val="20"/>
          <w:szCs w:val="20"/>
        </w:rPr>
        <w:t>score_genes</w:t>
      </w:r>
      <w:proofErr w:type="spellEnd"/>
      <w:r w:rsidRPr="008669D5">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the fibrotic zones of these donors </w:t>
      </w:r>
      <w:r w:rsidRPr="008669D5">
        <w:rPr>
          <w:rFonts w:ascii="Arial" w:hAnsi="Arial" w:cs="Arial"/>
          <w:b/>
          <w:bCs/>
          <w:sz w:val="20"/>
          <w:szCs w:val="20"/>
        </w:rPr>
        <w:t>(a)</w:t>
      </w:r>
      <w:r w:rsidRPr="008669D5">
        <w:rPr>
          <w:rFonts w:ascii="Arial" w:hAnsi="Arial" w:cs="Arial"/>
          <w:sz w:val="20"/>
          <w:szCs w:val="20"/>
        </w:rPr>
        <w:t xml:space="preserve"> P14 </w:t>
      </w:r>
      <w:r w:rsidRPr="008669D5">
        <w:rPr>
          <w:rFonts w:ascii="Arial" w:hAnsi="Arial" w:cs="Arial"/>
          <w:b/>
          <w:bCs/>
          <w:sz w:val="20"/>
          <w:szCs w:val="20"/>
        </w:rPr>
        <w:t>(b)</w:t>
      </w:r>
      <w:r w:rsidRPr="008669D5">
        <w:rPr>
          <w:rFonts w:ascii="Arial" w:hAnsi="Arial" w:cs="Arial"/>
          <w:sz w:val="20"/>
          <w:szCs w:val="20"/>
        </w:rPr>
        <w:t xml:space="preserve"> P18 </w:t>
      </w:r>
      <w:r w:rsidRPr="008669D5">
        <w:rPr>
          <w:rFonts w:ascii="Arial" w:hAnsi="Arial" w:cs="Arial"/>
          <w:b/>
          <w:bCs/>
          <w:sz w:val="20"/>
          <w:szCs w:val="20"/>
        </w:rPr>
        <w:t>(c)</w:t>
      </w:r>
      <w:r w:rsidRPr="008669D5">
        <w:rPr>
          <w:rFonts w:ascii="Arial" w:hAnsi="Arial" w:cs="Arial"/>
          <w:sz w:val="20"/>
          <w:szCs w:val="20"/>
        </w:rPr>
        <w:t xml:space="preserve"> P20</w:t>
      </w:r>
      <w:r w:rsidRPr="008669D5">
        <w:rPr>
          <w:rFonts w:ascii="Arial" w:hAnsi="Arial" w:cs="Arial"/>
          <w:b/>
          <w:bCs/>
          <w:sz w:val="20"/>
          <w:szCs w:val="20"/>
        </w:rPr>
        <w:t>.</w:t>
      </w:r>
    </w:p>
    <w:p w14:paraId="7E2A4902" w14:textId="77777777" w:rsidR="00F94AAA" w:rsidRDefault="00F94AAA" w:rsidP="00F94AAA">
      <w:pPr>
        <w:rPr>
          <w:rFonts w:ascii="Arial" w:hAnsi="Arial" w:cs="Arial"/>
          <w:b/>
          <w:bCs/>
          <w:sz w:val="22"/>
          <w:szCs w:val="22"/>
        </w:rPr>
      </w:pPr>
      <w:r>
        <w:rPr>
          <w:rFonts w:ascii="Arial" w:hAnsi="Arial" w:cs="Arial"/>
          <w:b/>
          <w:bCs/>
          <w:sz w:val="22"/>
          <w:szCs w:val="22"/>
        </w:rPr>
        <w:br w:type="page"/>
      </w:r>
    </w:p>
    <w:p w14:paraId="373FD022"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0CD819F6" wp14:editId="5968B5CD">
            <wp:extent cx="6858000" cy="3187065"/>
            <wp:effectExtent l="0" t="0" r="0" b="0"/>
            <wp:docPr id="6846743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74338" name="Picture 684674338"/>
                    <pic:cNvPicPr/>
                  </pic:nvPicPr>
                  <pic:blipFill>
                    <a:blip r:embed="rId35"/>
                    <a:stretch>
                      <a:fillRect/>
                    </a:stretch>
                  </pic:blipFill>
                  <pic:spPr>
                    <a:xfrm>
                      <a:off x="0" y="0"/>
                      <a:ext cx="6858000" cy="3187065"/>
                    </a:xfrm>
                    <a:prstGeom prst="rect">
                      <a:avLst/>
                    </a:prstGeom>
                  </pic:spPr>
                </pic:pic>
              </a:graphicData>
            </a:graphic>
          </wp:inline>
        </w:drawing>
      </w:r>
    </w:p>
    <w:p w14:paraId="26206C50" w14:textId="77777777" w:rsidR="00F94AAA" w:rsidRPr="00C25CCC" w:rsidRDefault="00F94AAA" w:rsidP="00F94AAA">
      <w:pPr>
        <w:rPr>
          <w:rFonts w:ascii="Arial" w:hAnsi="Arial" w:cs="Arial"/>
          <w:sz w:val="20"/>
          <w:szCs w:val="20"/>
        </w:rPr>
      </w:pPr>
      <w:bookmarkStart w:id="32" w:name="_Toc221608518"/>
      <w:r>
        <w:rPr>
          <w:rStyle w:val="Heading1Char"/>
          <w:b/>
          <w:bCs/>
          <w:sz w:val="20"/>
          <w:szCs w:val="20"/>
        </w:rPr>
        <w:t>Fig.</w:t>
      </w:r>
      <w:r w:rsidRPr="00C25CCC">
        <w:rPr>
          <w:rStyle w:val="Heading1Char"/>
          <w:b/>
          <w:bCs/>
          <w:sz w:val="20"/>
          <w:szCs w:val="20"/>
        </w:rPr>
        <w:t xml:space="preserve"> </w:t>
      </w:r>
      <w:r>
        <w:rPr>
          <w:rStyle w:val="Heading1Char"/>
          <w:b/>
          <w:bCs/>
          <w:sz w:val="20"/>
          <w:szCs w:val="20"/>
        </w:rPr>
        <w:t>S23</w:t>
      </w:r>
      <w:r w:rsidRPr="00C25CCC">
        <w:rPr>
          <w:rStyle w:val="Heading1Char"/>
          <w:b/>
          <w:bCs/>
          <w:sz w:val="20"/>
          <w:szCs w:val="20"/>
        </w:rPr>
        <w:t xml:space="preserve"> – Kuppe 2022 spatial fibrotic zone + granulation tissue fetal reactivation</w:t>
      </w:r>
      <w:bookmarkEnd w:id="32"/>
      <w:r w:rsidRPr="00C25CCC">
        <w:rPr>
          <w:rFonts w:ascii="Arial" w:hAnsi="Arial" w:cs="Arial"/>
          <w:sz w:val="20"/>
          <w:szCs w:val="20"/>
        </w:rPr>
        <w:t xml:space="preserve">: Gene activity scores were calculated using </w:t>
      </w:r>
      <w:proofErr w:type="spellStart"/>
      <w:r w:rsidRPr="00C25CCC">
        <w:rPr>
          <w:rFonts w:ascii="Arial" w:hAnsi="Arial" w:cs="Arial"/>
          <w:sz w:val="20"/>
          <w:szCs w:val="20"/>
        </w:rPr>
        <w:t>scanpy’s</w:t>
      </w:r>
      <w:proofErr w:type="spellEnd"/>
      <w:r w:rsidRPr="00C25CCC">
        <w:rPr>
          <w:rFonts w:ascii="Arial" w:hAnsi="Arial" w:cs="Arial"/>
          <w:sz w:val="20"/>
          <w:szCs w:val="20"/>
        </w:rPr>
        <w:t xml:space="preserve"> </w:t>
      </w:r>
      <w:proofErr w:type="spellStart"/>
      <w:r w:rsidRPr="00C25CCC">
        <w:rPr>
          <w:rFonts w:ascii="Arial" w:hAnsi="Arial" w:cs="Arial"/>
          <w:sz w:val="20"/>
          <w:szCs w:val="20"/>
        </w:rPr>
        <w:t>score_genes</w:t>
      </w:r>
      <w:proofErr w:type="spellEnd"/>
      <w:r w:rsidRPr="00C25CCC">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the fibrotic zone and granulation tissue of these donors </w:t>
      </w:r>
      <w:r w:rsidRPr="00C25CCC">
        <w:rPr>
          <w:rFonts w:ascii="Arial" w:hAnsi="Arial" w:cs="Arial"/>
          <w:b/>
          <w:bCs/>
          <w:sz w:val="20"/>
          <w:szCs w:val="20"/>
        </w:rPr>
        <w:t>(a)</w:t>
      </w:r>
      <w:r w:rsidRPr="00C25CCC">
        <w:rPr>
          <w:rFonts w:ascii="Arial" w:hAnsi="Arial" w:cs="Arial"/>
          <w:sz w:val="20"/>
          <w:szCs w:val="20"/>
        </w:rPr>
        <w:t xml:space="preserve"> P4 </w:t>
      </w:r>
      <w:r w:rsidRPr="00C25CCC">
        <w:rPr>
          <w:rFonts w:ascii="Arial" w:hAnsi="Arial" w:cs="Arial"/>
          <w:b/>
          <w:bCs/>
          <w:sz w:val="20"/>
          <w:szCs w:val="20"/>
        </w:rPr>
        <w:t>(b)</w:t>
      </w:r>
      <w:r w:rsidRPr="00C25CCC">
        <w:rPr>
          <w:rFonts w:ascii="Arial" w:hAnsi="Arial" w:cs="Arial"/>
          <w:sz w:val="20"/>
          <w:szCs w:val="20"/>
        </w:rPr>
        <w:t xml:space="preserve"> P19.</w:t>
      </w:r>
    </w:p>
    <w:p w14:paraId="44E8093C" w14:textId="77777777" w:rsidR="00F94AAA" w:rsidRDefault="00F94AAA" w:rsidP="00F94AAA">
      <w:pPr>
        <w:rPr>
          <w:rFonts w:ascii="Arial" w:hAnsi="Arial" w:cs="Arial"/>
          <w:sz w:val="22"/>
          <w:szCs w:val="22"/>
        </w:rPr>
      </w:pPr>
      <w:r>
        <w:rPr>
          <w:rFonts w:ascii="Arial" w:hAnsi="Arial" w:cs="Arial"/>
          <w:sz w:val="22"/>
          <w:szCs w:val="22"/>
        </w:rPr>
        <w:br w:type="page"/>
      </w:r>
    </w:p>
    <w:p w14:paraId="14B72A47" w14:textId="77777777" w:rsidR="00F94AAA"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21136599" wp14:editId="002D562F">
            <wp:extent cx="6858000" cy="6793865"/>
            <wp:effectExtent l="0" t="0" r="0" b="0"/>
            <wp:docPr id="19783513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51386" name="Picture 1978351386"/>
                    <pic:cNvPicPr/>
                  </pic:nvPicPr>
                  <pic:blipFill>
                    <a:blip r:embed="rId36"/>
                    <a:stretch>
                      <a:fillRect/>
                    </a:stretch>
                  </pic:blipFill>
                  <pic:spPr>
                    <a:xfrm>
                      <a:off x="0" y="0"/>
                      <a:ext cx="6858000" cy="6793865"/>
                    </a:xfrm>
                    <a:prstGeom prst="rect">
                      <a:avLst/>
                    </a:prstGeom>
                  </pic:spPr>
                </pic:pic>
              </a:graphicData>
            </a:graphic>
          </wp:inline>
        </w:drawing>
      </w:r>
    </w:p>
    <w:p w14:paraId="51DD9359" w14:textId="77777777" w:rsidR="00F94AAA" w:rsidRPr="00E430CF" w:rsidRDefault="00F94AAA" w:rsidP="00F94AAA">
      <w:pPr>
        <w:rPr>
          <w:rFonts w:ascii="Arial" w:hAnsi="Arial" w:cs="Arial"/>
          <w:sz w:val="20"/>
          <w:szCs w:val="20"/>
        </w:rPr>
      </w:pPr>
      <w:bookmarkStart w:id="33" w:name="_Toc221608519"/>
      <w:r>
        <w:rPr>
          <w:rStyle w:val="Heading1Char"/>
          <w:b/>
          <w:bCs/>
          <w:sz w:val="20"/>
          <w:szCs w:val="20"/>
        </w:rPr>
        <w:t>Fig.</w:t>
      </w:r>
      <w:r w:rsidRPr="00E430CF">
        <w:rPr>
          <w:rStyle w:val="Heading1Char"/>
          <w:b/>
          <w:bCs/>
          <w:sz w:val="20"/>
          <w:szCs w:val="20"/>
        </w:rPr>
        <w:t xml:space="preserve"> </w:t>
      </w:r>
      <w:r>
        <w:rPr>
          <w:rStyle w:val="Heading1Char"/>
          <w:b/>
          <w:bCs/>
          <w:sz w:val="20"/>
          <w:szCs w:val="20"/>
        </w:rPr>
        <w:t>S</w:t>
      </w:r>
      <w:r w:rsidRPr="00E430CF">
        <w:rPr>
          <w:rStyle w:val="Heading1Char"/>
          <w:b/>
          <w:bCs/>
          <w:sz w:val="20"/>
          <w:szCs w:val="20"/>
        </w:rPr>
        <w:t>2</w:t>
      </w:r>
      <w:r>
        <w:rPr>
          <w:rStyle w:val="Heading1Char"/>
          <w:b/>
          <w:bCs/>
          <w:sz w:val="20"/>
          <w:szCs w:val="20"/>
        </w:rPr>
        <w:t>4</w:t>
      </w:r>
      <w:r w:rsidRPr="00E430CF">
        <w:rPr>
          <w:rStyle w:val="Heading1Char"/>
          <w:b/>
          <w:bCs/>
          <w:sz w:val="20"/>
          <w:szCs w:val="20"/>
        </w:rPr>
        <w:t xml:space="preserve"> – Kuppe 2022 spatial ischemic zone fetal reactivation</w:t>
      </w:r>
      <w:bookmarkEnd w:id="33"/>
      <w:r w:rsidRPr="00E430CF">
        <w:rPr>
          <w:rFonts w:ascii="Arial" w:hAnsi="Arial" w:cs="Arial"/>
          <w:sz w:val="20"/>
          <w:szCs w:val="20"/>
        </w:rPr>
        <w:t xml:space="preserve">: Gene activity scores were calculated using </w:t>
      </w:r>
      <w:proofErr w:type="spellStart"/>
      <w:r w:rsidRPr="00E430CF">
        <w:rPr>
          <w:rFonts w:ascii="Arial" w:hAnsi="Arial" w:cs="Arial"/>
          <w:sz w:val="20"/>
          <w:szCs w:val="20"/>
        </w:rPr>
        <w:t>scanpy’s</w:t>
      </w:r>
      <w:proofErr w:type="spellEnd"/>
      <w:r w:rsidRPr="00E430CF">
        <w:rPr>
          <w:rFonts w:ascii="Arial" w:hAnsi="Arial" w:cs="Arial"/>
          <w:sz w:val="20"/>
          <w:szCs w:val="20"/>
        </w:rPr>
        <w:t xml:space="preserve"> </w:t>
      </w:r>
      <w:proofErr w:type="spellStart"/>
      <w:r w:rsidRPr="00E430CF">
        <w:rPr>
          <w:rFonts w:ascii="Arial" w:hAnsi="Arial" w:cs="Arial"/>
          <w:sz w:val="20"/>
          <w:szCs w:val="20"/>
        </w:rPr>
        <w:t>score_genes</w:t>
      </w:r>
      <w:proofErr w:type="spellEnd"/>
      <w:r w:rsidRPr="00E430CF">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the ischemic zone and granulation tissue of these donors </w:t>
      </w:r>
      <w:r w:rsidRPr="00E430CF">
        <w:rPr>
          <w:rFonts w:ascii="Arial" w:hAnsi="Arial" w:cs="Arial"/>
          <w:b/>
          <w:bCs/>
          <w:sz w:val="20"/>
          <w:szCs w:val="20"/>
        </w:rPr>
        <w:t>(a)</w:t>
      </w:r>
      <w:r w:rsidRPr="00E430CF">
        <w:rPr>
          <w:rFonts w:ascii="Arial" w:hAnsi="Arial" w:cs="Arial"/>
          <w:sz w:val="20"/>
          <w:szCs w:val="20"/>
        </w:rPr>
        <w:t xml:space="preserve"> P3 </w:t>
      </w:r>
      <w:r w:rsidRPr="00E430CF">
        <w:rPr>
          <w:rFonts w:ascii="Arial" w:hAnsi="Arial" w:cs="Arial"/>
          <w:b/>
          <w:bCs/>
          <w:sz w:val="20"/>
          <w:szCs w:val="20"/>
        </w:rPr>
        <w:t>(b)</w:t>
      </w:r>
      <w:r w:rsidRPr="00E430CF">
        <w:rPr>
          <w:rFonts w:ascii="Arial" w:hAnsi="Arial" w:cs="Arial"/>
          <w:sz w:val="20"/>
          <w:szCs w:val="20"/>
        </w:rPr>
        <w:t xml:space="preserve"> P10 </w:t>
      </w:r>
      <w:r w:rsidRPr="00E430CF">
        <w:rPr>
          <w:rFonts w:ascii="Arial" w:hAnsi="Arial" w:cs="Arial"/>
          <w:b/>
          <w:bCs/>
          <w:sz w:val="20"/>
          <w:szCs w:val="20"/>
        </w:rPr>
        <w:t>(c)</w:t>
      </w:r>
      <w:r w:rsidRPr="00E430CF">
        <w:rPr>
          <w:rFonts w:ascii="Arial" w:hAnsi="Arial" w:cs="Arial"/>
          <w:sz w:val="20"/>
          <w:szCs w:val="20"/>
        </w:rPr>
        <w:t xml:space="preserve"> P15 </w:t>
      </w:r>
      <w:r w:rsidRPr="00E430CF">
        <w:rPr>
          <w:rFonts w:ascii="Arial" w:hAnsi="Arial" w:cs="Arial"/>
          <w:b/>
          <w:bCs/>
          <w:sz w:val="20"/>
          <w:szCs w:val="20"/>
        </w:rPr>
        <w:t>(d)</w:t>
      </w:r>
      <w:r w:rsidRPr="00E430CF">
        <w:rPr>
          <w:rFonts w:ascii="Arial" w:hAnsi="Arial" w:cs="Arial"/>
          <w:sz w:val="20"/>
          <w:szCs w:val="20"/>
        </w:rPr>
        <w:t xml:space="preserve"> P16.</w:t>
      </w:r>
    </w:p>
    <w:p w14:paraId="3C6AA7F5"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664FF402" wp14:editId="2450CDA4">
            <wp:extent cx="6858000" cy="6704330"/>
            <wp:effectExtent l="0" t="0" r="0" b="0"/>
            <wp:docPr id="10348070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807022" name="Picture 1034807022"/>
                    <pic:cNvPicPr/>
                  </pic:nvPicPr>
                  <pic:blipFill>
                    <a:blip r:embed="rId37"/>
                    <a:stretch>
                      <a:fillRect/>
                    </a:stretch>
                  </pic:blipFill>
                  <pic:spPr>
                    <a:xfrm>
                      <a:off x="0" y="0"/>
                      <a:ext cx="6858000" cy="6704330"/>
                    </a:xfrm>
                    <a:prstGeom prst="rect">
                      <a:avLst/>
                    </a:prstGeom>
                  </pic:spPr>
                </pic:pic>
              </a:graphicData>
            </a:graphic>
          </wp:inline>
        </w:drawing>
      </w:r>
    </w:p>
    <w:p w14:paraId="62BA27AF" w14:textId="77777777" w:rsidR="00F94AAA" w:rsidRPr="00E430CF" w:rsidRDefault="00F94AAA" w:rsidP="00F94AAA">
      <w:pPr>
        <w:rPr>
          <w:rFonts w:ascii="Arial" w:hAnsi="Arial" w:cs="Arial"/>
          <w:sz w:val="20"/>
          <w:szCs w:val="20"/>
        </w:rPr>
      </w:pPr>
      <w:bookmarkStart w:id="34" w:name="_Toc221608520"/>
      <w:r>
        <w:rPr>
          <w:rStyle w:val="Heading1Char"/>
          <w:b/>
          <w:bCs/>
          <w:sz w:val="20"/>
          <w:szCs w:val="20"/>
        </w:rPr>
        <w:t>Fig.</w:t>
      </w:r>
      <w:r w:rsidRPr="00E430CF">
        <w:rPr>
          <w:rStyle w:val="Heading1Char"/>
          <w:b/>
          <w:bCs/>
          <w:sz w:val="20"/>
          <w:szCs w:val="20"/>
        </w:rPr>
        <w:t xml:space="preserve"> </w:t>
      </w:r>
      <w:r>
        <w:rPr>
          <w:rStyle w:val="Heading1Char"/>
          <w:b/>
          <w:bCs/>
          <w:sz w:val="20"/>
          <w:szCs w:val="20"/>
        </w:rPr>
        <w:t>S25</w:t>
      </w:r>
      <w:r w:rsidRPr="00E430CF">
        <w:rPr>
          <w:rStyle w:val="Heading1Char"/>
          <w:b/>
          <w:bCs/>
          <w:sz w:val="20"/>
          <w:szCs w:val="20"/>
        </w:rPr>
        <w:t xml:space="preserve"> – Kuppe 2022 spatial ischemic zone and granulation tissue fetal reactivation</w:t>
      </w:r>
      <w:bookmarkEnd w:id="34"/>
      <w:r w:rsidRPr="00E430CF">
        <w:rPr>
          <w:rFonts w:ascii="Arial" w:hAnsi="Arial" w:cs="Arial"/>
          <w:sz w:val="20"/>
          <w:szCs w:val="20"/>
        </w:rPr>
        <w:t xml:space="preserve">: Gene activity scores were calculated using </w:t>
      </w:r>
      <w:proofErr w:type="spellStart"/>
      <w:r w:rsidRPr="00E430CF">
        <w:rPr>
          <w:rFonts w:ascii="Arial" w:hAnsi="Arial" w:cs="Arial"/>
          <w:sz w:val="20"/>
          <w:szCs w:val="20"/>
        </w:rPr>
        <w:t>scanpy’s</w:t>
      </w:r>
      <w:proofErr w:type="spellEnd"/>
      <w:r w:rsidRPr="00E430CF">
        <w:rPr>
          <w:rFonts w:ascii="Arial" w:hAnsi="Arial" w:cs="Arial"/>
          <w:sz w:val="20"/>
          <w:szCs w:val="20"/>
        </w:rPr>
        <w:t xml:space="preserve"> </w:t>
      </w:r>
      <w:proofErr w:type="spellStart"/>
      <w:r w:rsidRPr="00E430CF">
        <w:rPr>
          <w:rFonts w:ascii="Arial" w:hAnsi="Arial" w:cs="Arial"/>
          <w:sz w:val="20"/>
          <w:szCs w:val="20"/>
        </w:rPr>
        <w:t>score_genes</w:t>
      </w:r>
      <w:proofErr w:type="spellEnd"/>
      <w:r w:rsidRPr="00E430CF">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Cell type proportions for the 5 most common cell types from snRNA-seq are shown on right.</w:t>
      </w:r>
      <w:r>
        <w:rPr>
          <w:rFonts w:ascii="Arial" w:hAnsi="Arial" w:cs="Arial"/>
          <w:sz w:val="20"/>
          <w:szCs w:val="20"/>
        </w:rPr>
        <w:t xml:space="preserve"> </w:t>
      </w:r>
      <w:r w:rsidRPr="00E430CF">
        <w:rPr>
          <w:rFonts w:ascii="Arial" w:hAnsi="Arial" w:cs="Arial"/>
          <w:sz w:val="20"/>
          <w:szCs w:val="20"/>
        </w:rPr>
        <w:t xml:space="preserve">Scores are weighted by the cell type proportions from cell2location. This figure includes spatial scores for the ischemic zone and granulation tissue of these donors </w:t>
      </w:r>
      <w:r w:rsidRPr="00E430CF">
        <w:rPr>
          <w:rFonts w:ascii="Arial" w:hAnsi="Arial" w:cs="Arial"/>
          <w:b/>
          <w:bCs/>
          <w:sz w:val="20"/>
          <w:szCs w:val="20"/>
        </w:rPr>
        <w:t>(a)</w:t>
      </w:r>
      <w:r w:rsidRPr="00E430CF">
        <w:rPr>
          <w:rFonts w:ascii="Arial" w:hAnsi="Arial" w:cs="Arial"/>
          <w:sz w:val="20"/>
          <w:szCs w:val="20"/>
        </w:rPr>
        <w:t xml:space="preserve"> P9 </w:t>
      </w:r>
      <w:r w:rsidRPr="00E430CF">
        <w:rPr>
          <w:rFonts w:ascii="Arial" w:hAnsi="Arial" w:cs="Arial"/>
          <w:b/>
          <w:bCs/>
          <w:sz w:val="20"/>
          <w:szCs w:val="20"/>
        </w:rPr>
        <w:t>(b)</w:t>
      </w:r>
      <w:r w:rsidRPr="00E430CF">
        <w:rPr>
          <w:rFonts w:ascii="Arial" w:hAnsi="Arial" w:cs="Arial"/>
          <w:sz w:val="20"/>
          <w:szCs w:val="20"/>
        </w:rPr>
        <w:t xml:space="preserve"> P9, second replicate </w:t>
      </w:r>
      <w:r w:rsidRPr="00E430CF">
        <w:rPr>
          <w:rFonts w:ascii="Arial" w:hAnsi="Arial" w:cs="Arial"/>
          <w:b/>
          <w:bCs/>
          <w:sz w:val="20"/>
          <w:szCs w:val="20"/>
        </w:rPr>
        <w:t>(c)</w:t>
      </w:r>
      <w:r w:rsidRPr="00E430CF">
        <w:rPr>
          <w:rFonts w:ascii="Arial" w:hAnsi="Arial" w:cs="Arial"/>
          <w:sz w:val="20"/>
          <w:szCs w:val="20"/>
        </w:rPr>
        <w:t xml:space="preserve"> P13 </w:t>
      </w:r>
      <w:r w:rsidRPr="00E430CF">
        <w:rPr>
          <w:rFonts w:ascii="Arial" w:hAnsi="Arial" w:cs="Arial"/>
          <w:b/>
          <w:bCs/>
          <w:sz w:val="20"/>
          <w:szCs w:val="20"/>
        </w:rPr>
        <w:t>(d)</w:t>
      </w:r>
      <w:r w:rsidRPr="00E430CF">
        <w:rPr>
          <w:rFonts w:ascii="Arial" w:hAnsi="Arial" w:cs="Arial"/>
          <w:sz w:val="20"/>
          <w:szCs w:val="20"/>
        </w:rPr>
        <w:t xml:space="preserve"> P15.</w:t>
      </w:r>
    </w:p>
    <w:p w14:paraId="1A9161EF" w14:textId="77777777" w:rsidR="00F94AAA" w:rsidRDefault="00F94AAA" w:rsidP="00F94AAA">
      <w:pPr>
        <w:rPr>
          <w:rStyle w:val="Heading1Char"/>
          <w:b/>
          <w:bCs/>
          <w:sz w:val="22"/>
          <w:szCs w:val="22"/>
        </w:rPr>
      </w:pPr>
      <w:r>
        <w:rPr>
          <w:rFonts w:asciiTheme="majorHAnsi" w:eastAsiaTheme="majorEastAsia" w:hAnsiTheme="majorHAnsi" w:cstheme="majorBidi"/>
          <w:b/>
          <w:bCs/>
          <w:noProof/>
          <w:color w:val="0F4761" w:themeColor="accent1" w:themeShade="BF"/>
          <w:sz w:val="22"/>
          <w:szCs w:val="22"/>
        </w:rPr>
        <w:lastRenderedPageBreak/>
        <w:drawing>
          <wp:inline distT="0" distB="0" distL="0" distR="0" wp14:anchorId="4AEDD76E" wp14:editId="216E8269">
            <wp:extent cx="6858000" cy="4958080"/>
            <wp:effectExtent l="0" t="0" r="0" b="0"/>
            <wp:docPr id="821496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96029" name="Picture 821496029"/>
                    <pic:cNvPicPr/>
                  </pic:nvPicPr>
                  <pic:blipFill>
                    <a:blip r:embed="rId38"/>
                    <a:stretch>
                      <a:fillRect/>
                    </a:stretch>
                  </pic:blipFill>
                  <pic:spPr>
                    <a:xfrm>
                      <a:off x="0" y="0"/>
                      <a:ext cx="6858000" cy="4958080"/>
                    </a:xfrm>
                    <a:prstGeom prst="rect">
                      <a:avLst/>
                    </a:prstGeom>
                  </pic:spPr>
                </pic:pic>
              </a:graphicData>
            </a:graphic>
          </wp:inline>
        </w:drawing>
      </w:r>
    </w:p>
    <w:p w14:paraId="5666BCE1" w14:textId="77777777" w:rsidR="00F94AAA" w:rsidRPr="00DD0072" w:rsidRDefault="00F94AAA" w:rsidP="00F94AAA">
      <w:pPr>
        <w:rPr>
          <w:rFonts w:ascii="Arial" w:hAnsi="Arial" w:cs="Arial"/>
          <w:sz w:val="20"/>
          <w:szCs w:val="20"/>
        </w:rPr>
      </w:pPr>
      <w:bookmarkStart w:id="35" w:name="_Toc221608521"/>
      <w:r>
        <w:rPr>
          <w:rStyle w:val="Heading1Char"/>
          <w:b/>
          <w:bCs/>
          <w:sz w:val="20"/>
          <w:szCs w:val="20"/>
        </w:rPr>
        <w:t>Fig.</w:t>
      </w:r>
      <w:r w:rsidRPr="00DD0072">
        <w:rPr>
          <w:rStyle w:val="Heading1Char"/>
          <w:b/>
          <w:bCs/>
          <w:sz w:val="20"/>
          <w:szCs w:val="20"/>
        </w:rPr>
        <w:t xml:space="preserve"> </w:t>
      </w:r>
      <w:r>
        <w:rPr>
          <w:rStyle w:val="Heading1Char"/>
          <w:b/>
          <w:bCs/>
          <w:sz w:val="20"/>
          <w:szCs w:val="20"/>
        </w:rPr>
        <w:t>S</w:t>
      </w:r>
      <w:r w:rsidRPr="00DD0072">
        <w:rPr>
          <w:rStyle w:val="Heading1Char"/>
          <w:b/>
          <w:bCs/>
          <w:sz w:val="20"/>
          <w:szCs w:val="20"/>
        </w:rPr>
        <w:t>2</w:t>
      </w:r>
      <w:r>
        <w:rPr>
          <w:rStyle w:val="Heading1Char"/>
          <w:b/>
          <w:bCs/>
          <w:sz w:val="20"/>
          <w:szCs w:val="20"/>
        </w:rPr>
        <w:t>6</w:t>
      </w:r>
      <w:r w:rsidRPr="00DD0072">
        <w:rPr>
          <w:rStyle w:val="Heading1Char"/>
          <w:b/>
          <w:bCs/>
          <w:sz w:val="20"/>
          <w:szCs w:val="20"/>
        </w:rPr>
        <w:t xml:space="preserve"> – Kuppe 2022 spatial remote zone and border zone fetal reactivation</w:t>
      </w:r>
      <w:bookmarkEnd w:id="35"/>
      <w:r w:rsidRPr="00DD0072">
        <w:rPr>
          <w:rFonts w:ascii="Arial" w:hAnsi="Arial" w:cs="Arial"/>
          <w:sz w:val="20"/>
          <w:szCs w:val="20"/>
        </w:rPr>
        <w:t xml:space="preserve">: Gene activity scores were calculated using </w:t>
      </w:r>
      <w:proofErr w:type="spellStart"/>
      <w:r w:rsidRPr="00DD0072">
        <w:rPr>
          <w:rFonts w:ascii="Arial" w:hAnsi="Arial" w:cs="Arial"/>
          <w:sz w:val="20"/>
          <w:szCs w:val="20"/>
        </w:rPr>
        <w:t>scanpy’s</w:t>
      </w:r>
      <w:proofErr w:type="spellEnd"/>
      <w:r w:rsidRPr="00DD0072">
        <w:rPr>
          <w:rFonts w:ascii="Arial" w:hAnsi="Arial" w:cs="Arial"/>
          <w:sz w:val="20"/>
          <w:szCs w:val="20"/>
        </w:rPr>
        <w:t xml:space="preserve"> </w:t>
      </w:r>
      <w:proofErr w:type="spellStart"/>
      <w:r w:rsidRPr="00DD0072">
        <w:rPr>
          <w:rFonts w:ascii="Arial" w:hAnsi="Arial" w:cs="Arial"/>
          <w:sz w:val="20"/>
          <w:szCs w:val="20"/>
        </w:rPr>
        <w:t>score_genes</w:t>
      </w:r>
      <w:proofErr w:type="spellEnd"/>
      <w:r w:rsidRPr="00DD0072">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the remote zone and border zone of these donors </w:t>
      </w:r>
      <w:r w:rsidRPr="00DD0072">
        <w:rPr>
          <w:rFonts w:ascii="Arial" w:hAnsi="Arial" w:cs="Arial"/>
          <w:b/>
          <w:bCs/>
          <w:sz w:val="20"/>
          <w:szCs w:val="20"/>
        </w:rPr>
        <w:t>(a)</w:t>
      </w:r>
      <w:r w:rsidRPr="00DD0072">
        <w:rPr>
          <w:rFonts w:ascii="Arial" w:hAnsi="Arial" w:cs="Arial"/>
          <w:sz w:val="20"/>
          <w:szCs w:val="20"/>
        </w:rPr>
        <w:t xml:space="preserve"> P2 </w:t>
      </w:r>
      <w:r w:rsidRPr="00DD0072">
        <w:rPr>
          <w:rFonts w:ascii="Arial" w:hAnsi="Arial" w:cs="Arial"/>
          <w:b/>
          <w:bCs/>
          <w:sz w:val="20"/>
          <w:szCs w:val="20"/>
        </w:rPr>
        <w:t>(b)</w:t>
      </w:r>
      <w:r w:rsidRPr="00DD0072">
        <w:rPr>
          <w:rFonts w:ascii="Arial" w:hAnsi="Arial" w:cs="Arial"/>
          <w:sz w:val="20"/>
          <w:szCs w:val="20"/>
        </w:rPr>
        <w:t xml:space="preserve"> P3 </w:t>
      </w:r>
      <w:r w:rsidRPr="00DD0072">
        <w:rPr>
          <w:rFonts w:ascii="Arial" w:hAnsi="Arial" w:cs="Arial"/>
          <w:b/>
          <w:bCs/>
          <w:sz w:val="20"/>
          <w:szCs w:val="20"/>
        </w:rPr>
        <w:t>(c)</w:t>
      </w:r>
      <w:r w:rsidRPr="00DD0072">
        <w:rPr>
          <w:rFonts w:ascii="Arial" w:hAnsi="Arial" w:cs="Arial"/>
          <w:sz w:val="20"/>
          <w:szCs w:val="20"/>
        </w:rPr>
        <w:t xml:space="preserve"> P12.</w:t>
      </w:r>
    </w:p>
    <w:p w14:paraId="3E68E046" w14:textId="77777777" w:rsidR="00F94AAA" w:rsidRDefault="00F94AAA" w:rsidP="00F94AAA">
      <w:pPr>
        <w:rPr>
          <w:rFonts w:ascii="Arial" w:hAnsi="Arial" w:cs="Arial"/>
          <w:sz w:val="22"/>
          <w:szCs w:val="22"/>
        </w:rPr>
      </w:pPr>
    </w:p>
    <w:p w14:paraId="5870C3C8" w14:textId="77777777" w:rsidR="00F94AAA" w:rsidRDefault="00F94AAA" w:rsidP="00F94AAA">
      <w:pPr>
        <w:rPr>
          <w:rFonts w:ascii="Arial" w:hAnsi="Arial" w:cs="Arial"/>
          <w:sz w:val="22"/>
          <w:szCs w:val="22"/>
        </w:rPr>
      </w:pPr>
    </w:p>
    <w:p w14:paraId="7913AE23" w14:textId="77777777" w:rsidR="00F94AAA" w:rsidRDefault="00F94AAA" w:rsidP="00F94AAA">
      <w:pPr>
        <w:rPr>
          <w:rFonts w:ascii="Arial" w:hAnsi="Arial" w:cs="Arial"/>
          <w:sz w:val="22"/>
          <w:szCs w:val="22"/>
        </w:rPr>
      </w:pPr>
    </w:p>
    <w:p w14:paraId="030C76CB" w14:textId="77777777" w:rsidR="00F94AAA" w:rsidRDefault="00F94AAA" w:rsidP="00F94AAA">
      <w:pPr>
        <w:jc w:val="center"/>
        <w:rPr>
          <w:rFonts w:ascii="Arial" w:hAnsi="Arial" w:cs="Arial"/>
          <w:sz w:val="22"/>
          <w:szCs w:val="22"/>
        </w:rPr>
      </w:pPr>
      <w:r>
        <w:rPr>
          <w:rFonts w:ascii="Arial" w:hAnsi="Arial" w:cs="Arial"/>
          <w:noProof/>
          <w:sz w:val="22"/>
          <w:szCs w:val="22"/>
        </w:rPr>
        <w:lastRenderedPageBreak/>
        <w:drawing>
          <wp:inline distT="0" distB="0" distL="0" distR="0" wp14:anchorId="278DBBC1" wp14:editId="0368AB24">
            <wp:extent cx="6858000" cy="6849110"/>
            <wp:effectExtent l="0" t="0" r="0" b="0"/>
            <wp:docPr id="13442099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209915" name="Picture 1344209915"/>
                    <pic:cNvPicPr/>
                  </pic:nvPicPr>
                  <pic:blipFill>
                    <a:blip r:embed="rId39"/>
                    <a:stretch>
                      <a:fillRect/>
                    </a:stretch>
                  </pic:blipFill>
                  <pic:spPr>
                    <a:xfrm>
                      <a:off x="0" y="0"/>
                      <a:ext cx="6858000" cy="6849110"/>
                    </a:xfrm>
                    <a:prstGeom prst="rect">
                      <a:avLst/>
                    </a:prstGeom>
                  </pic:spPr>
                </pic:pic>
              </a:graphicData>
            </a:graphic>
          </wp:inline>
        </w:drawing>
      </w:r>
    </w:p>
    <w:p w14:paraId="103609D0" w14:textId="77777777" w:rsidR="00F94AAA" w:rsidRPr="00D9550A" w:rsidRDefault="00F94AAA" w:rsidP="00F94AAA">
      <w:pPr>
        <w:rPr>
          <w:rFonts w:ascii="Arial" w:hAnsi="Arial" w:cs="Arial"/>
          <w:sz w:val="20"/>
          <w:szCs w:val="20"/>
        </w:rPr>
      </w:pPr>
      <w:bookmarkStart w:id="36" w:name="_Toc221608522"/>
      <w:r>
        <w:rPr>
          <w:rStyle w:val="Heading1Char"/>
          <w:b/>
          <w:bCs/>
          <w:sz w:val="20"/>
          <w:szCs w:val="20"/>
        </w:rPr>
        <w:t>Fig.</w:t>
      </w:r>
      <w:r w:rsidRPr="00D9550A">
        <w:rPr>
          <w:rStyle w:val="Heading1Char"/>
          <w:b/>
          <w:bCs/>
          <w:sz w:val="20"/>
          <w:szCs w:val="20"/>
        </w:rPr>
        <w:t xml:space="preserve"> </w:t>
      </w:r>
      <w:r>
        <w:rPr>
          <w:rStyle w:val="Heading1Char"/>
          <w:b/>
          <w:bCs/>
          <w:sz w:val="20"/>
          <w:szCs w:val="20"/>
        </w:rPr>
        <w:t>S</w:t>
      </w:r>
      <w:r w:rsidRPr="00D9550A">
        <w:rPr>
          <w:rStyle w:val="Heading1Char"/>
          <w:b/>
          <w:bCs/>
          <w:sz w:val="20"/>
          <w:szCs w:val="20"/>
        </w:rPr>
        <w:t>2</w:t>
      </w:r>
      <w:r>
        <w:rPr>
          <w:rStyle w:val="Heading1Char"/>
          <w:b/>
          <w:bCs/>
          <w:sz w:val="20"/>
          <w:szCs w:val="20"/>
        </w:rPr>
        <w:t>7</w:t>
      </w:r>
      <w:r w:rsidRPr="00D9550A">
        <w:rPr>
          <w:rStyle w:val="Heading1Char"/>
          <w:b/>
          <w:bCs/>
          <w:sz w:val="20"/>
          <w:szCs w:val="20"/>
        </w:rPr>
        <w:t xml:space="preserve"> – Kuppe 2022 spatial remote zone fetal reactivation</w:t>
      </w:r>
      <w:bookmarkEnd w:id="36"/>
      <w:r w:rsidRPr="00D9550A">
        <w:rPr>
          <w:rFonts w:ascii="Arial" w:hAnsi="Arial" w:cs="Arial"/>
          <w:sz w:val="20"/>
          <w:szCs w:val="20"/>
        </w:rPr>
        <w:t xml:space="preserve">: Gene activity scores were calculated using </w:t>
      </w:r>
      <w:proofErr w:type="spellStart"/>
      <w:r w:rsidRPr="00D9550A">
        <w:rPr>
          <w:rFonts w:ascii="Arial" w:hAnsi="Arial" w:cs="Arial"/>
          <w:sz w:val="20"/>
          <w:szCs w:val="20"/>
        </w:rPr>
        <w:t>scanpy’s</w:t>
      </w:r>
      <w:proofErr w:type="spellEnd"/>
      <w:r w:rsidRPr="00D9550A">
        <w:rPr>
          <w:rFonts w:ascii="Arial" w:hAnsi="Arial" w:cs="Arial"/>
          <w:sz w:val="20"/>
          <w:szCs w:val="20"/>
        </w:rPr>
        <w:t xml:space="preserve"> </w:t>
      </w:r>
      <w:proofErr w:type="spellStart"/>
      <w:r w:rsidRPr="00D9550A">
        <w:rPr>
          <w:rFonts w:ascii="Arial" w:hAnsi="Arial" w:cs="Arial"/>
          <w:sz w:val="20"/>
          <w:szCs w:val="20"/>
        </w:rPr>
        <w:t>score_genes</w:t>
      </w:r>
      <w:proofErr w:type="spellEnd"/>
      <w:r w:rsidRPr="00D9550A">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This figure includes spatial scores for the remote zone of these donors </w:t>
      </w:r>
      <w:r w:rsidRPr="00D9550A">
        <w:rPr>
          <w:rFonts w:ascii="Arial" w:hAnsi="Arial" w:cs="Arial"/>
          <w:b/>
          <w:bCs/>
          <w:sz w:val="20"/>
          <w:szCs w:val="20"/>
        </w:rPr>
        <w:t>(a)</w:t>
      </w:r>
      <w:r w:rsidRPr="00D9550A">
        <w:rPr>
          <w:rFonts w:ascii="Arial" w:hAnsi="Arial" w:cs="Arial"/>
          <w:sz w:val="20"/>
          <w:szCs w:val="20"/>
        </w:rPr>
        <w:t xml:space="preserve"> P3 </w:t>
      </w:r>
      <w:r w:rsidRPr="00D9550A">
        <w:rPr>
          <w:rFonts w:ascii="Arial" w:hAnsi="Arial" w:cs="Arial"/>
          <w:b/>
          <w:bCs/>
          <w:sz w:val="20"/>
          <w:szCs w:val="20"/>
        </w:rPr>
        <w:t>(b)</w:t>
      </w:r>
      <w:r w:rsidRPr="00D9550A">
        <w:rPr>
          <w:rFonts w:ascii="Arial" w:hAnsi="Arial" w:cs="Arial"/>
          <w:sz w:val="20"/>
          <w:szCs w:val="20"/>
        </w:rPr>
        <w:t xml:space="preserve"> P6 </w:t>
      </w:r>
      <w:r w:rsidRPr="00D9550A">
        <w:rPr>
          <w:rFonts w:ascii="Arial" w:hAnsi="Arial" w:cs="Arial"/>
          <w:b/>
          <w:bCs/>
          <w:sz w:val="20"/>
          <w:szCs w:val="20"/>
        </w:rPr>
        <w:t>(c)</w:t>
      </w:r>
      <w:r w:rsidRPr="00D9550A">
        <w:rPr>
          <w:rFonts w:ascii="Arial" w:hAnsi="Arial" w:cs="Arial"/>
          <w:sz w:val="20"/>
          <w:szCs w:val="20"/>
        </w:rPr>
        <w:t xml:space="preserve"> P19 </w:t>
      </w:r>
      <w:r w:rsidRPr="00D9550A">
        <w:rPr>
          <w:rFonts w:ascii="Arial" w:hAnsi="Arial" w:cs="Arial"/>
          <w:b/>
          <w:bCs/>
          <w:sz w:val="20"/>
          <w:szCs w:val="20"/>
        </w:rPr>
        <w:t>(d)</w:t>
      </w:r>
      <w:r w:rsidRPr="00D9550A">
        <w:rPr>
          <w:rFonts w:ascii="Arial" w:hAnsi="Arial" w:cs="Arial"/>
          <w:sz w:val="20"/>
          <w:szCs w:val="20"/>
        </w:rPr>
        <w:t xml:space="preserve"> P11.</w:t>
      </w:r>
    </w:p>
    <w:p w14:paraId="04232FA9" w14:textId="77777777" w:rsidR="00F94AAA" w:rsidRDefault="00F94AAA" w:rsidP="00F94AAA">
      <w:pPr>
        <w:rPr>
          <w:rFonts w:ascii="Arial" w:hAnsi="Arial" w:cs="Arial"/>
          <w:sz w:val="22"/>
          <w:szCs w:val="22"/>
        </w:rPr>
      </w:pPr>
      <w:r>
        <w:rPr>
          <w:rFonts w:ascii="Arial" w:hAnsi="Arial" w:cs="Arial"/>
          <w:sz w:val="22"/>
          <w:szCs w:val="22"/>
        </w:rPr>
        <w:br w:type="page"/>
      </w:r>
    </w:p>
    <w:p w14:paraId="54E80843" w14:textId="77777777" w:rsidR="00F94AAA" w:rsidRDefault="00F94AAA" w:rsidP="00F94AAA">
      <w:pPr>
        <w:rPr>
          <w:rFonts w:ascii="Arial" w:hAnsi="Arial" w:cs="Arial"/>
          <w:sz w:val="22"/>
          <w:szCs w:val="22"/>
        </w:rPr>
      </w:pPr>
      <w:r>
        <w:rPr>
          <w:rFonts w:ascii="Arial" w:hAnsi="Arial" w:cs="Arial"/>
          <w:noProof/>
          <w:sz w:val="22"/>
          <w:szCs w:val="22"/>
        </w:rPr>
        <w:lastRenderedPageBreak/>
        <w:drawing>
          <wp:inline distT="0" distB="0" distL="0" distR="0" wp14:anchorId="617A3741" wp14:editId="28A694C7">
            <wp:extent cx="6858000" cy="4485005"/>
            <wp:effectExtent l="0" t="0" r="0" b="0"/>
            <wp:docPr id="10823751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75130" name="Picture 1082375130"/>
                    <pic:cNvPicPr/>
                  </pic:nvPicPr>
                  <pic:blipFill>
                    <a:blip r:embed="rId40"/>
                    <a:stretch>
                      <a:fillRect/>
                    </a:stretch>
                  </pic:blipFill>
                  <pic:spPr>
                    <a:xfrm>
                      <a:off x="0" y="0"/>
                      <a:ext cx="6858000" cy="4485005"/>
                    </a:xfrm>
                    <a:prstGeom prst="rect">
                      <a:avLst/>
                    </a:prstGeom>
                  </pic:spPr>
                </pic:pic>
              </a:graphicData>
            </a:graphic>
          </wp:inline>
        </w:drawing>
      </w:r>
    </w:p>
    <w:p w14:paraId="6491D013" w14:textId="77777777" w:rsidR="00F94AAA" w:rsidRPr="00924425" w:rsidRDefault="00F94AAA" w:rsidP="00F94AAA">
      <w:pPr>
        <w:rPr>
          <w:rFonts w:ascii="Arial" w:hAnsi="Arial" w:cs="Arial"/>
          <w:sz w:val="20"/>
          <w:szCs w:val="20"/>
        </w:rPr>
      </w:pPr>
      <w:bookmarkStart w:id="37" w:name="_Toc221608523"/>
      <w:r>
        <w:rPr>
          <w:rStyle w:val="Heading1Char"/>
          <w:b/>
          <w:bCs/>
          <w:sz w:val="20"/>
          <w:szCs w:val="20"/>
        </w:rPr>
        <w:t>Fig.</w:t>
      </w:r>
      <w:r w:rsidRPr="00924425">
        <w:rPr>
          <w:rStyle w:val="Heading1Char"/>
          <w:b/>
          <w:bCs/>
          <w:sz w:val="20"/>
          <w:szCs w:val="20"/>
        </w:rPr>
        <w:t xml:space="preserve"> </w:t>
      </w:r>
      <w:r>
        <w:rPr>
          <w:rStyle w:val="Heading1Char"/>
          <w:b/>
          <w:bCs/>
          <w:sz w:val="20"/>
          <w:szCs w:val="20"/>
        </w:rPr>
        <w:t>S</w:t>
      </w:r>
      <w:r w:rsidRPr="00924425">
        <w:rPr>
          <w:rStyle w:val="Heading1Char"/>
          <w:b/>
          <w:bCs/>
          <w:sz w:val="20"/>
          <w:szCs w:val="20"/>
        </w:rPr>
        <w:t>2</w:t>
      </w:r>
      <w:r>
        <w:rPr>
          <w:rStyle w:val="Heading1Char"/>
          <w:b/>
          <w:bCs/>
          <w:sz w:val="20"/>
          <w:szCs w:val="20"/>
        </w:rPr>
        <w:t xml:space="preserve">8 </w:t>
      </w:r>
      <w:r w:rsidRPr="00924425">
        <w:rPr>
          <w:rStyle w:val="Heading1Char"/>
          <w:b/>
          <w:bCs/>
          <w:sz w:val="20"/>
          <w:szCs w:val="20"/>
        </w:rPr>
        <w:t>– Kuppe 2022 spatial remote zone and fibrotic zone fetal reactivation</w:t>
      </w:r>
      <w:bookmarkEnd w:id="37"/>
      <w:r w:rsidRPr="00924425">
        <w:rPr>
          <w:rFonts w:ascii="Arial" w:hAnsi="Arial" w:cs="Arial"/>
          <w:sz w:val="20"/>
          <w:szCs w:val="20"/>
        </w:rPr>
        <w:t xml:space="preserve">: Gene activity scores were calculated using </w:t>
      </w:r>
      <w:proofErr w:type="spellStart"/>
      <w:r w:rsidRPr="00924425">
        <w:rPr>
          <w:rFonts w:ascii="Arial" w:hAnsi="Arial" w:cs="Arial"/>
          <w:sz w:val="20"/>
          <w:szCs w:val="20"/>
        </w:rPr>
        <w:t>scanpy’s</w:t>
      </w:r>
      <w:proofErr w:type="spellEnd"/>
      <w:r w:rsidRPr="00924425">
        <w:rPr>
          <w:rFonts w:ascii="Arial" w:hAnsi="Arial" w:cs="Arial"/>
          <w:sz w:val="20"/>
          <w:szCs w:val="20"/>
        </w:rPr>
        <w:t xml:space="preserve"> </w:t>
      </w:r>
      <w:proofErr w:type="spellStart"/>
      <w:r w:rsidRPr="00924425">
        <w:rPr>
          <w:rFonts w:ascii="Arial" w:hAnsi="Arial" w:cs="Arial"/>
          <w:sz w:val="20"/>
          <w:szCs w:val="20"/>
        </w:rPr>
        <w:t>score_genes</w:t>
      </w:r>
      <w:proofErr w:type="spellEnd"/>
      <w:r w:rsidRPr="00924425">
        <w:rPr>
          <w:rFonts w:ascii="Arial" w:hAnsi="Arial" w:cs="Arial"/>
          <w:sz w:val="20"/>
          <w:szCs w:val="20"/>
        </w:rPr>
        <w:t xml:space="preserve"> function. The gene scores for fetal reactivation genes (upregulated DEGs in both disease and fetal states), disease up DEGs, and a random set of genes of same size of fetal reactivation genes are shown for each donor. Scores are weighted by the cell type proportions from cell2location. Cell type proportions for the 5 most common cell types from snRNA-seq are shown on right. </w:t>
      </w:r>
      <w:r w:rsidRPr="00924425">
        <w:rPr>
          <w:rFonts w:ascii="Arial" w:hAnsi="Arial" w:cs="Arial"/>
          <w:b/>
          <w:bCs/>
          <w:sz w:val="20"/>
          <w:szCs w:val="20"/>
        </w:rPr>
        <w:t>(a)</w:t>
      </w:r>
      <w:r w:rsidRPr="00924425">
        <w:rPr>
          <w:rFonts w:ascii="Arial" w:hAnsi="Arial" w:cs="Arial"/>
          <w:sz w:val="20"/>
          <w:szCs w:val="20"/>
        </w:rPr>
        <w:t xml:space="preserve"> Figure includes spatial scores for the remote zone and fibrotic zone of these donors P5 (remote zone and fibrotic zone). </w:t>
      </w:r>
      <w:r w:rsidRPr="00924425">
        <w:rPr>
          <w:rFonts w:ascii="Arial" w:hAnsi="Arial" w:cs="Arial"/>
          <w:b/>
          <w:bCs/>
          <w:sz w:val="20"/>
          <w:szCs w:val="20"/>
        </w:rPr>
        <w:t>(b)</w:t>
      </w:r>
      <w:r w:rsidRPr="00924425">
        <w:rPr>
          <w:rFonts w:ascii="Arial" w:hAnsi="Arial" w:cs="Arial"/>
          <w:sz w:val="20"/>
          <w:szCs w:val="20"/>
        </w:rPr>
        <w:t xml:space="preserve"> Figure includes spatial scores for the remote zone and granulation tissue of these donors P2.</w:t>
      </w:r>
    </w:p>
    <w:p w14:paraId="48E84BA8" w14:textId="77777777" w:rsidR="00F94AAA" w:rsidRDefault="00F94AAA" w:rsidP="00F94AAA">
      <w:pPr>
        <w:rPr>
          <w:rFonts w:ascii="Arial" w:hAnsi="Arial" w:cs="Arial"/>
          <w:sz w:val="22"/>
          <w:szCs w:val="22"/>
        </w:rPr>
      </w:pPr>
      <w:r>
        <w:rPr>
          <w:rFonts w:ascii="Arial" w:hAnsi="Arial" w:cs="Arial"/>
          <w:sz w:val="22"/>
          <w:szCs w:val="22"/>
        </w:rPr>
        <w:br w:type="page"/>
      </w:r>
    </w:p>
    <w:p w14:paraId="12AB554F" w14:textId="77777777" w:rsidR="00F94AAA" w:rsidRDefault="00F94AAA" w:rsidP="00F94AAA">
      <w:pPr>
        <w:jc w:val="cente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19A659CE" wp14:editId="1DD00091">
            <wp:extent cx="6858000" cy="8933815"/>
            <wp:effectExtent l="0" t="0" r="0" b="0"/>
            <wp:docPr id="1003399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99039" name="Picture 1003399039"/>
                    <pic:cNvPicPr/>
                  </pic:nvPicPr>
                  <pic:blipFill>
                    <a:blip r:embed="rId41"/>
                    <a:stretch>
                      <a:fillRect/>
                    </a:stretch>
                  </pic:blipFill>
                  <pic:spPr>
                    <a:xfrm>
                      <a:off x="0" y="0"/>
                      <a:ext cx="6858000" cy="8933815"/>
                    </a:xfrm>
                    <a:prstGeom prst="rect">
                      <a:avLst/>
                    </a:prstGeom>
                  </pic:spPr>
                </pic:pic>
              </a:graphicData>
            </a:graphic>
          </wp:inline>
        </w:drawing>
      </w:r>
    </w:p>
    <w:p w14:paraId="51F4730B" w14:textId="77777777" w:rsidR="00F94AAA" w:rsidRDefault="00F94AAA" w:rsidP="00F94AAA">
      <w:pPr>
        <w:jc w:val="cente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4FB26E27" wp14:editId="0B389FD8">
            <wp:extent cx="6858000" cy="8670925"/>
            <wp:effectExtent l="0" t="0" r="0" b="0"/>
            <wp:docPr id="1493807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07419" name="Picture 1493807419"/>
                    <pic:cNvPicPr/>
                  </pic:nvPicPr>
                  <pic:blipFill>
                    <a:blip r:embed="rId42"/>
                    <a:stretch>
                      <a:fillRect/>
                    </a:stretch>
                  </pic:blipFill>
                  <pic:spPr>
                    <a:xfrm>
                      <a:off x="0" y="0"/>
                      <a:ext cx="6858000" cy="8670925"/>
                    </a:xfrm>
                    <a:prstGeom prst="rect">
                      <a:avLst/>
                    </a:prstGeom>
                  </pic:spPr>
                </pic:pic>
              </a:graphicData>
            </a:graphic>
          </wp:inline>
        </w:drawing>
      </w:r>
    </w:p>
    <w:p w14:paraId="29EE4171" w14:textId="77777777" w:rsidR="00F94AAA" w:rsidRDefault="00F94AAA" w:rsidP="00F94AAA">
      <w:pPr>
        <w:jc w:val="center"/>
        <w:rPr>
          <w:rStyle w:val="Heading1Char"/>
          <w:b/>
          <w:bCs/>
          <w:sz w:val="20"/>
          <w:szCs w:val="20"/>
        </w:rPr>
      </w:pPr>
    </w:p>
    <w:p w14:paraId="34515ABA" w14:textId="77777777" w:rsidR="00F94AAA" w:rsidRDefault="00F94AAA" w:rsidP="00F94AAA">
      <w:pPr>
        <w:jc w:val="cente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1658D47F" wp14:editId="68DCDA5C">
            <wp:extent cx="6003290" cy="9144000"/>
            <wp:effectExtent l="0" t="0" r="3810" b="0"/>
            <wp:docPr id="6056837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83756" name="Picture 605683756"/>
                    <pic:cNvPicPr/>
                  </pic:nvPicPr>
                  <pic:blipFill>
                    <a:blip r:embed="rId43"/>
                    <a:stretch>
                      <a:fillRect/>
                    </a:stretch>
                  </pic:blipFill>
                  <pic:spPr>
                    <a:xfrm>
                      <a:off x="0" y="0"/>
                      <a:ext cx="6003290" cy="9144000"/>
                    </a:xfrm>
                    <a:prstGeom prst="rect">
                      <a:avLst/>
                    </a:prstGeom>
                  </pic:spPr>
                </pic:pic>
              </a:graphicData>
            </a:graphic>
          </wp:inline>
        </w:drawing>
      </w:r>
    </w:p>
    <w:p w14:paraId="301260C5" w14:textId="77777777" w:rsidR="00F94AAA" w:rsidRDefault="00F94AAA" w:rsidP="00F94AAA">
      <w:pPr>
        <w:rPr>
          <w:rFonts w:ascii="Arial" w:hAnsi="Arial" w:cs="Arial"/>
          <w:sz w:val="20"/>
          <w:szCs w:val="20"/>
        </w:rPr>
      </w:pPr>
      <w:bookmarkStart w:id="38" w:name="_Toc221608524"/>
      <w:r>
        <w:rPr>
          <w:rStyle w:val="Heading1Char"/>
          <w:b/>
          <w:bCs/>
          <w:sz w:val="20"/>
          <w:szCs w:val="20"/>
        </w:rPr>
        <w:lastRenderedPageBreak/>
        <w:t>Fig.</w:t>
      </w:r>
      <w:r w:rsidRPr="00D8218C">
        <w:rPr>
          <w:rStyle w:val="Heading1Char"/>
          <w:b/>
          <w:bCs/>
          <w:sz w:val="20"/>
          <w:szCs w:val="20"/>
        </w:rPr>
        <w:t xml:space="preserve"> </w:t>
      </w:r>
      <w:r>
        <w:rPr>
          <w:rStyle w:val="Heading1Char"/>
          <w:b/>
          <w:bCs/>
          <w:sz w:val="20"/>
          <w:szCs w:val="20"/>
        </w:rPr>
        <w:t>S29</w:t>
      </w:r>
      <w:r w:rsidRPr="00D8218C">
        <w:rPr>
          <w:rStyle w:val="Heading1Char"/>
          <w:b/>
          <w:bCs/>
          <w:sz w:val="20"/>
          <w:szCs w:val="20"/>
        </w:rPr>
        <w:t xml:space="preserve"> – </w:t>
      </w:r>
      <w:r>
        <w:rPr>
          <w:rStyle w:val="Heading1Char"/>
          <w:b/>
          <w:bCs/>
          <w:sz w:val="20"/>
          <w:szCs w:val="20"/>
        </w:rPr>
        <w:t>DCM GWAS localization</w:t>
      </w:r>
      <w:bookmarkEnd w:id="38"/>
      <w:r w:rsidRPr="00904255">
        <w:rPr>
          <w:rFonts w:ascii="Arial" w:hAnsi="Arial" w:cs="Arial"/>
          <w:sz w:val="20"/>
          <w:szCs w:val="20"/>
        </w:rPr>
        <w:t>:</w:t>
      </w:r>
      <w:r w:rsidRPr="00D8218C">
        <w:rPr>
          <w:rFonts w:ascii="Arial" w:hAnsi="Arial" w:cs="Arial"/>
          <w:b/>
          <w:bCs/>
          <w:sz w:val="20"/>
          <w:szCs w:val="20"/>
        </w:rPr>
        <w:t xml:space="preserve"> </w:t>
      </w:r>
      <w:r>
        <w:rPr>
          <w:rFonts w:ascii="Arial" w:hAnsi="Arial" w:cs="Arial"/>
          <w:sz w:val="20"/>
          <w:szCs w:val="20"/>
        </w:rPr>
        <w:t>Each box in the plot above is a lead SNP from either Zheng et al. 2024</w:t>
      </w:r>
      <w:r>
        <w:rPr>
          <w:rFonts w:ascii="Arial" w:hAnsi="Arial" w:cs="Arial"/>
          <w:sz w:val="20"/>
          <w:szCs w:val="20"/>
        </w:rPr>
        <w:fldChar w:fldCharType="begin"/>
      </w:r>
      <w:r>
        <w:rPr>
          <w:rFonts w:ascii="Arial" w:hAnsi="Arial" w:cs="Arial"/>
          <w:sz w:val="20"/>
          <w:szCs w:val="20"/>
        </w:rPr>
        <w:instrText xml:space="preserve"> ADDIN ZOTERO_ITEM CSL_CITATION {"citationID":"IqapyBtP","properties":{"unsorted":false,"formattedCitation":"(173)","plainCitation":"(173)","noteIndex":0},"citationItems":[{"id":21599,"uris":["http://zotero.org/users/12236467/items/76F434TM"],"itemData":{"id":21599,"type":"article-journal","abstract":"Dilated cardiomyopathy (DCM) is a leading cause of heart failure and cardiac transplantation. We report a genome-wide association study and multi-trait analysis of DCM (14,256 cases) and three left ventricular traits (36,203 UK Biobank participants). We identified 80 genomic risk loci and prioritized 62 putative effector genes, including several with rare variant DCM associations (MAP3K7, NEDD4L and SSPN). Using single-nucleus transcriptomics, we identify cellular states, biological pathways, and intracellular communications that drive pathogenesis. We demonstrate that polygenic scores predict DCM in the general population and modify penetrance in carriers of rare DCM variants. Our findings may inform the design of genetic testing strategies that incorporate polygenic background. They also provide insights into the molecular etiology of DCM that may facilitate the development of targeted therapeutics.","container-title":"Nature Genetics","DOI":"10.1038/s41588-024-01952-y","ISSN":"1546-1718","journalAbbreviation":"Nat Genet","language":"en","license":"2024 The Author(s)","page":"1-13","publisher":"Nature Publishing Group","source":"www-nature-com.proxy.library.upenn.edu","title":"Genome-wide association analysis provides insights into the molecular etiology of dilated cardiomyopathy","URL":"https://www.nature.com/articles/s41588-024-01952-y","author":[{"family":"Zheng","given":"Sean L."},{"family":"Henry","given":"Albert"},{"family":"Cannie","given":"Douglas"},{"family":"Lee","given":"Michael"},{"family":"Miller","given":"David"},{"family":"McGurk","given":"Kathryn A."},{"family":"Bond","given":"Isabelle"},{"family":"Xu","given":"Xiao"},{"family":"Issa","given":"Hanane"},{"family":"Francis","given":"Catherine"},{"family":"De Marvao","given":"Antonio"},{"family":"Theotokis","given":"Pantazis I."},{"family":"Buchan","given":"Rachel J."},{"family":"Speed","given":"Doug"},{"family":"Abner","given":"Erik"},{"family":"Adams","given":"Lance"},{"family":"Aragam","given":"Krishna G."},{"family":"Ärnlöv","given":"Johan"},{"family":"Raja","given":"Anna Axelsson"},{"family":"Backman","given":"Joshua D."},{"family":"Baksi","given":"John"},{"family":"Barton","given":"Paul J. R."},{"family":"Biddinger","given":"Kiran J."},{"family":"Boersma","given":"Eric"},{"family":"Brandimarto","given":"Jeffrey"},{"family":"Brunak","given":"Søren"},{"family":"Bundgaard","given":"Henning"},{"family":"Carey","given":"David J."},{"family":"Charron","given":"Philippe"},{"family":"Cook","given":"James P."},{"family":"Cook","given":"Stuart A."},{"family":"Denaxas","given":"Spiros"},{"family":"Deleuze","given":"Jean-François"},{"family":"Doney","given":"Alexander S."},{"family":"Elliott","given":"Perry"},{"family":"Erikstrup","given":"Christian"},{"family":"Esko","given":"Tõnu"},{"family":"Farber-Eger","given":"Eric H."},{"family":"Finan","given":"Chris"},{"family":"Garnier","given":"Sophie"},{"family":"Ghouse","given":"Jonas"},{"family":"Giedraitis","given":"Vilmantas"},{"family":"Guðbjartsson","given":"Daniel F."},{"family":"Haggerty","given":"Christopher M."},{"family":"Halliday","given":"Brian P."},{"family":"Helgadottir","given":"Anna"},{"family":"Hemingway","given":"Harry"},{"family":"Hillege","given":"Hans L."},{"family":"Kardys","given":"Isabella"},{"family":"Lind","given":"Lars"},{"family":"Lindgren","given":"Cecilia M."},{"family":"Lowery","given":"Brandon D."},{"family":"Manisty","given":"Charlotte"},{"family":"Margulies","given":"Kenneth B."},{"family":"Moon","given":"James C."},{"family":"Mordi","given":"Ify R."},{"family":"Morley","given":"Michael P."},{"family":"Morris","given":"Andrew D."},{"family":"Morris","given":"Andrew P."},{"family":"Morton","given":"Lori"},{"family":"Noursadeghi","given":"Mahdad"},{"family":"Ostrowski","given":"Sisse R."},{"family":"Owens","given":"Anjali T."},{"family":"Palmer","given":"Colin N. A."},{"family":"Pantazis","given":"Antonis"},{"family":"Pedersen","given":"Ole B. V."},{"family":"Prasad","given":"Sanjay K."},{"family":"Shekhar","given":"Akshay"},{"family":"Smelser","given":"Diane T."},{"family":"Srinivasan","given":"Sundararajan"},{"family":"Stefansson","given":"Kari"},{"family":"Sveinbjörnsson","given":"Garðar"},{"family":"Syrris","given":"Petros"},{"family":"Tammesoo","given":"Mari-Liis"},{"family":"Tayal","given":"Upasana"},{"family":"Teder-Laving","given":"Maris"},{"family":"Thorgeirsson","given":"Guðmundur"},{"family":"Thorsteinsdottir","given":"Unnur"},{"family":"Tragante","given":"Vinicius"},{"family":"Trégouët","given":"David-Alexandre"},{"family":"Treibel","given":"Thomas A."},{"family":"Ullum","given":"Henrik"},{"family":"Valdes","given":"Ana M."},{"family":"Setten","given":"Jessica","non-dropping-particle":"van"},{"family":"Vugt","given":"Marion","non-dropping-particle":"van"},{"family":"Veluchamy","given":"Abirami"},{"family":"Verschuren","given":"W. M. Monique"},{"family":"Villard","given":"Eric"},{"family":"Yang","given":"Yifan"},{"family":"Asselbergs","given":"Folkert W."},{"family":"Cappola","given":"Thomas P."},{"family":"Dube","given":"Marie-Pierre"},{"family":"Dunn","given":"Michael E."},{"family":"Ellinor","given":"Patrick T."},{"family":"Hingorani","given":"Aroon D."},{"family":"Lang","given":"Chim C."},{"family":"Samani","given":"Nilesh J."},{"family":"Shah","given":"Svati H."},{"family":"Smith","given":"J. Gustav"},{"family":"Vasan","given":"Ramachandran S."},{"family":"O’Regan","given":"Declan P."},{"family":"Holm","given":"Hilma"},{"family":"Noseda","given":"Michela"},{"family":"Wells","given":"Quinn"},{"family":"Ware","given":"James S."},{"family":"Lumbers","given":"R. Thomas"}],"accessed":{"date-parts":[["2024",11,21]]},"issued":{"date-parts":[["2024",11,21]]}}}],"schema":"https://github.com/citation-style-language/schema/raw/master/csl-citation.json"} </w:instrText>
      </w:r>
      <w:r>
        <w:rPr>
          <w:rFonts w:ascii="Arial" w:hAnsi="Arial" w:cs="Arial"/>
          <w:sz w:val="20"/>
          <w:szCs w:val="20"/>
        </w:rPr>
        <w:fldChar w:fldCharType="separate"/>
      </w:r>
      <w:r>
        <w:rPr>
          <w:rFonts w:ascii="Arial" w:hAnsi="Arial" w:cs="Arial"/>
          <w:sz w:val="20"/>
        </w:rPr>
        <w:t>(173)</w:t>
      </w:r>
      <w:r>
        <w:rPr>
          <w:rFonts w:ascii="Arial" w:hAnsi="Arial" w:cs="Arial"/>
          <w:sz w:val="20"/>
          <w:szCs w:val="20"/>
        </w:rPr>
        <w:fldChar w:fldCharType="end"/>
      </w:r>
      <w:r>
        <w:rPr>
          <w:rFonts w:ascii="Arial" w:hAnsi="Arial" w:cs="Arial"/>
          <w:sz w:val="20"/>
          <w:szCs w:val="20"/>
        </w:rPr>
        <w:t xml:space="preserve"> and Jurgens et al. 2024</w:t>
      </w:r>
      <w:r>
        <w:rPr>
          <w:rFonts w:ascii="Arial" w:hAnsi="Arial" w:cs="Arial"/>
          <w:sz w:val="20"/>
          <w:szCs w:val="20"/>
        </w:rPr>
        <w:fldChar w:fldCharType="begin"/>
      </w:r>
      <w:r>
        <w:rPr>
          <w:rFonts w:ascii="Arial" w:hAnsi="Arial" w:cs="Arial"/>
          <w:sz w:val="20"/>
          <w:szCs w:val="20"/>
        </w:rPr>
        <w:instrText xml:space="preserve"> ADDIN ZOTERO_ITEM CSL_CITATION {"citationID":"x3pZTgHE","properties":{"unsorted":false,"formattedCitation":"(88)","plainCitation":"(88)","noteIndex":0},"citationItems":[{"id":21601,"uris":["http://zotero.org/users/12236467/items/5HEQAHER"],"itemData":{"id":21601,"type":"article-journal","abstract":"Dilated cardiomyopathy (DCM) is a heart muscle disease that represents an important cause of morbidity and mortality, yet causal mechanisms remain largely elusive. Here, we perform a large-scale genome-wide association study and multitrait analysis for DCM using 9,365 cases and 946,368 controls. We identify 70 genome-wide significant loci, which show broad replication in independent samples and map to 63 prioritized genes. Tissue, cell type and pathway enrichment analyses highlight the central role of the cardiomyocyte and contractile apparatus in DCM pathogenesis. Polygenic risk scores constructed from our genome-wide association study predict DCM across different ancestry groups, show differing contributions to DCM depending on rare pathogenic variant status and associate with systolic heart failure across various clinical settings. Mendelian randomization analyses reveal actionable potential causes of DCM, including higher bodyweight and higher systolic blood pressure. Our findings provide insights into the genetic architecture and mechanisms underlying DCM and myocardial function more broadly.","container-title":"Nature Genetics","DOI":"10.1038/s41588-024-01975-5","ISSN":"1546-1718","journalAbbreviation":"Nat Genet","language":"en","license":"2024 The Author(s)","page":"1-10","publisher":"Nature Publishing Group","source":"www-nature-com.proxy.library.upenn.edu","title":"Genome-wide association study reveals mechanisms underlying dilated cardiomyopathy and myocardial resilience","URL":"https://www.nature.com/articles/s41588-024-01975-5","author":[{"family":"Jurgens","given":"Sean J."},{"family":"Rämö","given":"Joel T."},{"family":"Kramarenko","given":"Daria R."},{"family":"Wijdeveld","given":"Leonoor F. J. M."},{"family":"Haas","given":"Jan"},{"family":"Chaffin","given":"Mark D."},{"family":"Garnier","given":"Sophie"},{"family":"Gaziano","given":"Liam"},{"family":"Weng","given":"Lu-Chen"},{"family":"Lipov","given":"Alex"},{"family":"Zheng","given":"Sean L."},{"family":"Henry","given":"Albert"},{"family":"Huffman","given":"Jennifer E."},{"family":"Challa","given":"Saketh"},{"family":"Rühle","given":"Frank"},{"family":"Verdugo","given":"Carmen Diaz"},{"family":"Krijger Juárez","given":"Christian"},{"family":"Kany","given":"Shinwan"},{"family":"Orsouw","given":"Constance A.","non-dropping-particle":"van"},{"family":"Biddinger","given":"Kiran"},{"family":"Poel","given":"Edwin"},{"family":"Elliott","given":"Amanda L."},{"family":"Wang","given":"Xin"},{"family":"Francis","given":"Catherine"},{"family":"Ruan","given":"Richard"},{"family":"Koyama","given":"Satoshi"},{"family":"Beekman","given":"Leander"},{"family":"Zimmerman","given":"Dominic S."},{"family":"Deleuze","given":"Jean-François"},{"family":"Villard","given":"Eric"},{"family":"Trégouët","given":"David-Alexandre"},{"family":"Isnard","given":"Richard"},{"family":"Boomsma","given":"Dorret I."},{"family":"Geus","given":"Eco J. C.","non-dropping-particle":"de"},{"family":"Tadros","given":"Rafik"},{"family":"Pinto","given":"Yigal M."},{"family":"Wilde","given":"Arthur A. M."},{"family":"Hottenga","given":"Jouke-Jan"},{"family":"Sinisalo","given":"Juha"},{"family":"Niiranen","given":"Teemu"},{"family":"Walsh","given":"Roddy"},{"family":"Schmidt","given":"Amand F."},{"family":"Choi","given":"Seung Hoan"},{"family":"Chang","given":"Kyong-Mi"},{"family":"Tsao","given":"Philip S."},{"family":"Matthews","given":"Paul M."},{"family":"Ware","given":"James S."},{"family":"Lumbers","given":"R. Thomas"},{"family":"Crabben","given":"Saskia","non-dropping-particle":"van der"},{"family":"Laukkanen","given":"Jari"},{"family":"Palotie","given":"Aarno"},{"family":"Amin","given":"Ahmad S."},{"family":"Charron","given":"Philippe"},{"family":"Meder","given":"Benjamin"},{"family":"Ellinor","given":"Patrick T."},{"family":"Daly","given":"Mark"},{"family":"Aragam","given":"Krishna G."},{"family":"Bezzina","given":"Connie R."}],"accessed":{"date-parts":[["2024",11,21]]},"issued":{"date-parts":[["2024",11,21]]}}}],"schema":"https://github.com/citation-style-language/schema/raw/master/csl-citation.json"} </w:instrText>
      </w:r>
      <w:r>
        <w:rPr>
          <w:rFonts w:ascii="Arial" w:hAnsi="Arial" w:cs="Arial"/>
          <w:sz w:val="20"/>
          <w:szCs w:val="20"/>
        </w:rPr>
        <w:fldChar w:fldCharType="separate"/>
      </w:r>
      <w:r>
        <w:rPr>
          <w:rFonts w:ascii="Arial" w:hAnsi="Arial" w:cs="Arial"/>
          <w:sz w:val="20"/>
        </w:rPr>
        <w:t>(88)</w:t>
      </w:r>
      <w:r>
        <w:rPr>
          <w:rFonts w:ascii="Arial" w:hAnsi="Arial" w:cs="Arial"/>
          <w:sz w:val="20"/>
          <w:szCs w:val="20"/>
        </w:rPr>
        <w:fldChar w:fldCharType="end"/>
      </w:r>
      <w:r>
        <w:rPr>
          <w:rFonts w:ascii="Arial" w:hAnsi="Arial" w:cs="Arial"/>
          <w:sz w:val="20"/>
          <w:szCs w:val="20"/>
        </w:rPr>
        <w:t>, which were merged together into loci corresponding to the same 50 kb region with the same prioritized genes. For each lead SNP, we identified whether it intersected any cell-type specific peak-to-gene linkages. The plot shows the intersections that were identified and their linkage “strength” as computed by the scE2G score, ranging from 0 to 1. The top two different genes based on scE2G score were considered the epigenomic-prioritized genes (colored in blue), while the genes prioritized by the original study are in purple and indicated in the top left or right corner. Concordance was evaluated by comparing the target gene prioritized using our criteria versus the prioritized gene from Zheng et al. 2024</w:t>
      </w:r>
      <w:r>
        <w:rPr>
          <w:rFonts w:ascii="Arial" w:hAnsi="Arial" w:cs="Arial"/>
          <w:sz w:val="20"/>
          <w:szCs w:val="20"/>
        </w:rPr>
        <w:fldChar w:fldCharType="begin"/>
      </w:r>
      <w:r>
        <w:rPr>
          <w:rFonts w:ascii="Arial" w:hAnsi="Arial" w:cs="Arial"/>
          <w:sz w:val="20"/>
          <w:szCs w:val="20"/>
        </w:rPr>
        <w:instrText xml:space="preserve"> ADDIN ZOTERO_ITEM CSL_CITATION {"citationID":"s1RUn9wt","properties":{"unsorted":false,"formattedCitation":"(173)","plainCitation":"(173)","noteIndex":0},"citationItems":[{"id":21599,"uris":["http://zotero.org/users/12236467/items/76F434TM"],"itemData":{"id":21599,"type":"article-journal","abstract":"Dilated cardiomyopathy (DCM) is a leading cause of heart failure and cardiac transplantation. We report a genome-wide association study and multi-trait analysis of DCM (14,256 cases) and three left ventricular traits (36,203 UK Biobank participants). We identified 80 genomic risk loci and prioritized 62 putative effector genes, including several with rare variant DCM associations (MAP3K7, NEDD4L and SSPN). Using single-nucleus transcriptomics, we identify cellular states, biological pathways, and intracellular communications that drive pathogenesis. We demonstrate that polygenic scores predict DCM in the general population and modify penetrance in carriers of rare DCM variants. Our findings may inform the design of genetic testing strategies that incorporate polygenic background. They also provide insights into the molecular etiology of DCM that may facilitate the development of targeted therapeutics.","container-title":"Nature Genetics","DOI":"10.1038/s41588-024-01952-y","ISSN":"1546-1718","journalAbbreviation":"Nat Genet","language":"en","license":"2024 The Author(s)","page":"1-13","publisher":"Nature Publishing Group","source":"www-nature-com.proxy.library.upenn.edu","title":"Genome-wide association analysis provides insights into the molecular etiology of dilated cardiomyopathy","URL":"https://www.nature.com/articles/s41588-024-01952-y","author":[{"family":"Zheng","given":"Sean L."},{"family":"Henry","given":"Albert"},{"family":"Cannie","given":"Douglas"},{"family":"Lee","given":"Michael"},{"family":"Miller","given":"David"},{"family":"McGurk","given":"Kathryn A."},{"family":"Bond","given":"Isabelle"},{"family":"Xu","given":"Xiao"},{"family":"Issa","given":"Hanane"},{"family":"Francis","given":"Catherine"},{"family":"De Marvao","given":"Antonio"},{"family":"Theotokis","given":"Pantazis I."},{"family":"Buchan","given":"Rachel J."},{"family":"Speed","given":"Doug"},{"family":"Abner","given":"Erik"},{"family":"Adams","given":"Lance"},{"family":"Aragam","given":"Krishna G."},{"family":"Ärnlöv","given":"Johan"},{"family":"Raja","given":"Anna Axelsson"},{"family":"Backman","given":"Joshua D."},{"family":"Baksi","given":"John"},{"family":"Barton","given":"Paul J. R."},{"family":"Biddinger","given":"Kiran J."},{"family":"Boersma","given":"Eric"},{"family":"Brandimarto","given":"Jeffrey"},{"family":"Brunak","given":"Søren"},{"family":"Bundgaard","given":"Henning"},{"family":"Carey","given":"David J."},{"family":"Charron","given":"Philippe"},{"family":"Cook","given":"James P."},{"family":"Cook","given":"Stuart A."},{"family":"Denaxas","given":"Spiros"},{"family":"Deleuze","given":"Jean-François"},{"family":"Doney","given":"Alexander S."},{"family":"Elliott","given":"Perry"},{"family":"Erikstrup","given":"Christian"},{"family":"Esko","given":"Tõnu"},{"family":"Farber-Eger","given":"Eric H."},{"family":"Finan","given":"Chris"},{"family":"Garnier","given":"Sophie"},{"family":"Ghouse","given":"Jonas"},{"family":"Giedraitis","given":"Vilmantas"},{"family":"Guðbjartsson","given":"Daniel F."},{"family":"Haggerty","given":"Christopher M."},{"family":"Halliday","given":"Brian P."},{"family":"Helgadottir","given":"Anna"},{"family":"Hemingway","given":"Harry"},{"family":"Hillege","given":"Hans L."},{"family":"Kardys","given":"Isabella"},{"family":"Lind","given":"Lars"},{"family":"Lindgren","given":"Cecilia M."},{"family":"Lowery","given":"Brandon D."},{"family":"Manisty","given":"Charlotte"},{"family":"Margulies","given":"Kenneth B."},{"family":"Moon","given":"James C."},{"family":"Mordi","given":"Ify R."},{"family":"Morley","given":"Michael P."},{"family":"Morris","given":"Andrew D."},{"family":"Morris","given":"Andrew P."},{"family":"Morton","given":"Lori"},{"family":"Noursadeghi","given":"Mahdad"},{"family":"Ostrowski","given":"Sisse R."},{"family":"Owens","given":"Anjali T."},{"family":"Palmer","given":"Colin N. A."},{"family":"Pantazis","given":"Antonis"},{"family":"Pedersen","given":"Ole B. V."},{"family":"Prasad","given":"Sanjay K."},{"family":"Shekhar","given":"Akshay"},{"family":"Smelser","given":"Diane T."},{"family":"Srinivasan","given":"Sundararajan"},{"family":"Stefansson","given":"Kari"},{"family":"Sveinbjörnsson","given":"Garðar"},{"family":"Syrris","given":"Petros"},{"family":"Tammesoo","given":"Mari-Liis"},{"family":"Tayal","given":"Upasana"},{"family":"Teder-Laving","given":"Maris"},{"family":"Thorgeirsson","given":"Guðmundur"},{"family":"Thorsteinsdottir","given":"Unnur"},{"family":"Tragante","given":"Vinicius"},{"family":"Trégouët","given":"David-Alexandre"},{"family":"Treibel","given":"Thomas A."},{"family":"Ullum","given":"Henrik"},{"family":"Valdes","given":"Ana M."},{"family":"Setten","given":"Jessica","non-dropping-particle":"van"},{"family":"Vugt","given":"Marion","non-dropping-particle":"van"},{"family":"Veluchamy","given":"Abirami"},{"family":"Verschuren","given":"W. M. Monique"},{"family":"Villard","given":"Eric"},{"family":"Yang","given":"Yifan"},{"family":"Asselbergs","given":"Folkert W."},{"family":"Cappola","given":"Thomas P."},{"family":"Dube","given":"Marie-Pierre"},{"family":"Dunn","given":"Michael E."},{"family":"Ellinor","given":"Patrick T."},{"family":"Hingorani","given":"Aroon D."},{"family":"Lang","given":"Chim C."},{"family":"Samani","given":"Nilesh J."},{"family":"Shah","given":"Svati H."},{"family":"Smith","given":"J. Gustav"},{"family":"Vasan","given":"Ramachandran S."},{"family":"O’Regan","given":"Declan P."},{"family":"Holm","given":"Hilma"},{"family":"Noseda","given":"Michela"},{"family":"Wells","given":"Quinn"},{"family":"Ware","given":"James S."},{"family":"Lumbers","given":"R. Thomas"}],"accessed":{"date-parts":[["2024",11,21]]},"issued":{"date-parts":[["2024",11,21]]}}}],"schema":"https://github.com/citation-style-language/schema/raw/master/csl-citation.json"} </w:instrText>
      </w:r>
      <w:r>
        <w:rPr>
          <w:rFonts w:ascii="Arial" w:hAnsi="Arial" w:cs="Arial"/>
          <w:sz w:val="20"/>
          <w:szCs w:val="20"/>
        </w:rPr>
        <w:fldChar w:fldCharType="separate"/>
      </w:r>
      <w:r>
        <w:rPr>
          <w:rFonts w:ascii="Arial" w:hAnsi="Arial" w:cs="Arial"/>
          <w:sz w:val="20"/>
        </w:rPr>
        <w:t>(173)</w:t>
      </w:r>
      <w:r>
        <w:rPr>
          <w:rFonts w:ascii="Arial" w:hAnsi="Arial" w:cs="Arial"/>
          <w:sz w:val="20"/>
          <w:szCs w:val="20"/>
        </w:rPr>
        <w:fldChar w:fldCharType="end"/>
      </w:r>
      <w:r>
        <w:rPr>
          <w:rFonts w:ascii="Arial" w:hAnsi="Arial" w:cs="Arial"/>
          <w:sz w:val="20"/>
          <w:szCs w:val="20"/>
        </w:rPr>
        <w:t xml:space="preserve"> and Jurgens et al. 2024</w:t>
      </w:r>
      <w:bookmarkStart w:id="39" w:name="_Hlk209617612"/>
      <w:r>
        <w:rPr>
          <w:rFonts w:ascii="Arial" w:hAnsi="Arial" w:cs="Arial"/>
          <w:sz w:val="20"/>
          <w:szCs w:val="20"/>
        </w:rPr>
        <w:fldChar w:fldCharType="begin"/>
      </w:r>
      <w:r>
        <w:rPr>
          <w:rFonts w:ascii="Arial" w:hAnsi="Arial" w:cs="Arial"/>
          <w:sz w:val="20"/>
          <w:szCs w:val="20"/>
        </w:rPr>
        <w:instrText xml:space="preserve"> ADDIN ZOTERO_ITEM CSL_CITATION {"citationID":"4fztmca5","properties":{"unsorted":false,"formattedCitation":"(88)","plainCitation":"(88)","noteIndex":0},"citationItems":[{"id":21601,"uris":["http://zotero.org/users/12236467/items/5HEQAHER"],"itemData":{"id":21601,"type":"article-journal","abstract":"Dilated cardiomyopathy (DCM) is a heart muscle disease that represents an important cause of morbidity and mortality, yet causal mechanisms remain largely elusive. Here, we perform a large-scale genome-wide association study and multitrait analysis for DCM using 9,365 cases and 946,368 controls. We identify 70 genome-wide significant loci, which show broad replication in independent samples and map to 63 prioritized genes. Tissue, cell type and pathway enrichment analyses highlight the central role of the cardiomyocyte and contractile apparatus in DCM pathogenesis. Polygenic risk scores constructed from our genome-wide association study predict DCM across different ancestry groups, show differing contributions to DCM depending on rare pathogenic variant status and associate with systolic heart failure across various clinical settings. Mendelian randomization analyses reveal actionable potential causes of DCM, including higher bodyweight and higher systolic blood pressure. Our findings provide insights into the genetic architecture and mechanisms underlying DCM and myocardial function more broadly.","container-title":"Nature Genetics","DOI":"10.1038/s41588-024-01975-5","ISSN":"1546-1718","journalAbbreviation":"Nat Genet","language":"en","license":"2024 The Author(s)","page":"1-10","publisher":"Nature Publishing Group","source":"www-nature-com.proxy.library.upenn.edu","title":"Genome-wide association study reveals mechanisms underlying dilated cardiomyopathy and myocardial resilience","URL":"https://www.nature.com/articles/s41588-024-01975-5","author":[{"family":"Jurgens","given":"Sean J."},{"family":"Rämö","given":"Joel T."},{"family":"Kramarenko","given":"Daria R."},{"family":"Wijdeveld","given":"Leonoor F. J. M."},{"family":"Haas","given":"Jan"},{"family":"Chaffin","given":"Mark D."},{"family":"Garnier","given":"Sophie"},{"family":"Gaziano","given":"Liam"},{"family":"Weng","given":"Lu-Chen"},{"family":"Lipov","given":"Alex"},{"family":"Zheng","given":"Sean L."},{"family":"Henry","given":"Albert"},{"family":"Huffman","given":"Jennifer E."},{"family":"Challa","given":"Saketh"},{"family":"Rühle","given":"Frank"},{"family":"Verdugo","given":"Carmen Diaz"},{"family":"Krijger Juárez","given":"Christian"},{"family":"Kany","given":"Shinwan"},{"family":"Orsouw","given":"Constance A.","non-dropping-particle":"van"},{"family":"Biddinger","given":"Kiran"},{"family":"Poel","given":"Edwin"},{"family":"Elliott","given":"Amanda L."},{"family":"Wang","given":"Xin"},{"family":"Francis","given":"Catherine"},{"family":"Ruan","given":"Richard"},{"family":"Koyama","given":"Satoshi"},{"family":"Beekman","given":"Leander"},{"family":"Zimmerman","given":"Dominic S."},{"family":"Deleuze","given":"Jean-François"},{"family":"Villard","given":"Eric"},{"family":"Trégouët","given":"David-Alexandre"},{"family":"Isnard","given":"Richard"},{"family":"Boomsma","given":"Dorret I."},{"family":"Geus","given":"Eco J. C.","non-dropping-particle":"de"},{"family":"Tadros","given":"Rafik"},{"family":"Pinto","given":"Yigal M."},{"family":"Wilde","given":"Arthur A. M."},{"family":"Hottenga","given":"Jouke-Jan"},{"family":"Sinisalo","given":"Juha"},{"family":"Niiranen","given":"Teemu"},{"family":"Walsh","given":"Roddy"},{"family":"Schmidt","given":"Amand F."},{"family":"Choi","given":"Seung Hoan"},{"family":"Chang","given":"Kyong-Mi"},{"family":"Tsao","given":"Philip S."},{"family":"Matthews","given":"Paul M."},{"family":"Ware","given":"James S."},{"family":"Lumbers","given":"R. Thomas"},{"family":"Crabben","given":"Saskia","non-dropping-particle":"van der"},{"family":"Laukkanen","given":"Jari"},{"family":"Palotie","given":"Aarno"},{"family":"Amin","given":"Ahmad S."},{"family":"Charron","given":"Philippe"},{"family":"Meder","given":"Benjamin"},{"family":"Ellinor","given":"Patrick T."},{"family":"Daly","given":"Mark"},{"family":"Aragam","given":"Krishna G."},{"family":"Bezzina","given":"Connie R."}],"accessed":{"date-parts":[["2024",11,21]]},"issued":{"date-parts":[["2024",11,21]]}}}],"schema":"https://github.com/citation-style-language/schema/raw/master/csl-citation.json"} </w:instrText>
      </w:r>
      <w:r>
        <w:rPr>
          <w:rFonts w:ascii="Arial" w:hAnsi="Arial" w:cs="Arial"/>
          <w:sz w:val="20"/>
          <w:szCs w:val="20"/>
        </w:rPr>
        <w:fldChar w:fldCharType="separate"/>
      </w:r>
      <w:r>
        <w:rPr>
          <w:rFonts w:ascii="Arial" w:hAnsi="Arial" w:cs="Arial"/>
          <w:sz w:val="20"/>
        </w:rPr>
        <w:t>(88)</w:t>
      </w:r>
      <w:r>
        <w:rPr>
          <w:rFonts w:ascii="Arial" w:hAnsi="Arial" w:cs="Arial"/>
          <w:sz w:val="20"/>
          <w:szCs w:val="20"/>
        </w:rPr>
        <w:fldChar w:fldCharType="end"/>
      </w:r>
      <w:bookmarkEnd w:id="39"/>
      <w:r>
        <w:rPr>
          <w:rFonts w:ascii="Arial" w:hAnsi="Arial" w:cs="Arial"/>
          <w:sz w:val="20"/>
          <w:szCs w:val="20"/>
        </w:rPr>
        <w:t xml:space="preserve">. If at least all gene(s) were shared between our prioritized gene list (blue) and the original study prioritized gene list, then we considered the two sets to be “fully concordant” (colored in green). If at least one between the two sets was concordant, then we considered the two sets to be “partially concordant” (colored in cyan). If no genes were shared between the two sets, then we considered the two sets to be “discordant”. </w:t>
      </w:r>
    </w:p>
    <w:p w14:paraId="4C173F2E" w14:textId="77777777" w:rsidR="00F94AAA" w:rsidRDefault="00F94AAA" w:rsidP="00F94AAA">
      <w:pP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7BB1ED89" wp14:editId="73F2931B">
            <wp:extent cx="6653530" cy="9144000"/>
            <wp:effectExtent l="0" t="0" r="0" b="0"/>
            <wp:docPr id="783827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27105" name="Picture 783827105"/>
                    <pic:cNvPicPr/>
                  </pic:nvPicPr>
                  <pic:blipFill>
                    <a:blip r:embed="rId44"/>
                    <a:stretch>
                      <a:fillRect/>
                    </a:stretch>
                  </pic:blipFill>
                  <pic:spPr>
                    <a:xfrm>
                      <a:off x="0" y="0"/>
                      <a:ext cx="6653530" cy="9144000"/>
                    </a:xfrm>
                    <a:prstGeom prst="rect">
                      <a:avLst/>
                    </a:prstGeom>
                  </pic:spPr>
                </pic:pic>
              </a:graphicData>
            </a:graphic>
          </wp:inline>
        </w:drawing>
      </w:r>
    </w:p>
    <w:p w14:paraId="32DFAAD8" w14:textId="77777777" w:rsidR="00F94AAA" w:rsidRDefault="00F94AAA" w:rsidP="00F94AAA">
      <w:pPr>
        <w:jc w:val="cente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3C027A0E" wp14:editId="46113FAE">
            <wp:extent cx="6858000" cy="9008745"/>
            <wp:effectExtent l="0" t="0" r="0" b="0"/>
            <wp:docPr id="5178105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10516" name="Picture 517810516"/>
                    <pic:cNvPicPr/>
                  </pic:nvPicPr>
                  <pic:blipFill>
                    <a:blip r:embed="rId45"/>
                    <a:stretch>
                      <a:fillRect/>
                    </a:stretch>
                  </pic:blipFill>
                  <pic:spPr>
                    <a:xfrm>
                      <a:off x="0" y="0"/>
                      <a:ext cx="6858000" cy="9008745"/>
                    </a:xfrm>
                    <a:prstGeom prst="rect">
                      <a:avLst/>
                    </a:prstGeom>
                  </pic:spPr>
                </pic:pic>
              </a:graphicData>
            </a:graphic>
          </wp:inline>
        </w:drawing>
      </w:r>
    </w:p>
    <w:p w14:paraId="49A9DFDC" w14:textId="77777777" w:rsidR="00F94AAA" w:rsidRDefault="00F94AAA" w:rsidP="00F94AAA">
      <w:pPr>
        <w:rPr>
          <w:rFonts w:ascii="Arial" w:hAnsi="Arial" w:cs="Arial"/>
          <w:sz w:val="20"/>
          <w:szCs w:val="20"/>
        </w:rPr>
      </w:pPr>
      <w:bookmarkStart w:id="40" w:name="_Toc221608525"/>
      <w:r>
        <w:rPr>
          <w:rStyle w:val="Heading1Char"/>
          <w:b/>
          <w:bCs/>
          <w:sz w:val="20"/>
          <w:szCs w:val="20"/>
        </w:rPr>
        <w:lastRenderedPageBreak/>
        <w:t>Fig.</w:t>
      </w:r>
      <w:r w:rsidRPr="00D8218C">
        <w:rPr>
          <w:rStyle w:val="Heading1Char"/>
          <w:b/>
          <w:bCs/>
          <w:sz w:val="20"/>
          <w:szCs w:val="20"/>
        </w:rPr>
        <w:t xml:space="preserve"> </w:t>
      </w:r>
      <w:r>
        <w:rPr>
          <w:rStyle w:val="Heading1Char"/>
          <w:b/>
          <w:bCs/>
          <w:sz w:val="20"/>
          <w:szCs w:val="20"/>
        </w:rPr>
        <w:t>S30</w:t>
      </w:r>
      <w:r w:rsidRPr="00D8218C">
        <w:rPr>
          <w:rStyle w:val="Heading1Char"/>
          <w:b/>
          <w:bCs/>
          <w:sz w:val="20"/>
          <w:szCs w:val="20"/>
        </w:rPr>
        <w:t xml:space="preserve"> – </w:t>
      </w:r>
      <w:r>
        <w:rPr>
          <w:rStyle w:val="Heading1Char"/>
          <w:b/>
          <w:bCs/>
          <w:sz w:val="20"/>
          <w:szCs w:val="20"/>
        </w:rPr>
        <w:t>HCM GWAS intersection with peak-to-gene linkages</w:t>
      </w:r>
      <w:bookmarkEnd w:id="40"/>
      <w:r w:rsidRPr="00904255">
        <w:rPr>
          <w:rFonts w:ascii="Arial" w:hAnsi="Arial" w:cs="Arial"/>
          <w:sz w:val="20"/>
          <w:szCs w:val="20"/>
        </w:rPr>
        <w:t>:</w:t>
      </w:r>
      <w:r>
        <w:rPr>
          <w:rFonts w:ascii="Arial" w:hAnsi="Arial" w:cs="Arial"/>
          <w:sz w:val="20"/>
          <w:szCs w:val="20"/>
        </w:rPr>
        <w:t xml:space="preserve"> Each box in the plot above is a lead SNP from Tadros et al. 2025</w:t>
      </w:r>
      <w:r>
        <w:rPr>
          <w:rFonts w:ascii="Arial" w:hAnsi="Arial" w:cs="Arial"/>
          <w:sz w:val="20"/>
          <w:szCs w:val="20"/>
        </w:rPr>
        <w:fldChar w:fldCharType="begin"/>
      </w:r>
      <w:r>
        <w:rPr>
          <w:rFonts w:ascii="Arial" w:hAnsi="Arial" w:cs="Arial"/>
          <w:sz w:val="20"/>
          <w:szCs w:val="20"/>
        </w:rPr>
        <w:instrText xml:space="preserve"> ADDIN ZOTERO_ITEM CSL_CITATION {"citationID":"KpUxLZcp","properties":{"unsorted":false,"formattedCitation":"(90)","plainCitation":"(90)","noteIndex":0},"citationItems":[{"id":23680,"uris":["http://zotero.org/users/12236467/items/VMX2PSKJ"],"itemData":{"id":23680,"type":"article-journal","abstract":"Hypertrophic cardiomyopathy (HCM) is an important cause of morbidity and mortality with both monogenic and polygenic components. Here, we report results from a large genome-wide association study and multitrait analysis including 5,900 HCM cases, 68,359 controls and 36,083 UK Biobank participants with cardiac magnetic resonance imaging. We identified 70 loci (50 novel) associated with HCM and 62 loci (20 novel) associated with relevant left ventricular traits. Among the prioritized genes in the HCM loci, we identify a novel HCM disease gene, SVIL, which encodes the actin-binding protein supervillin, showing that rare truncating SVIL variants confer a roughly tenfold increased risk of HCM. Mendelian randomization analyses support a causal role of increased left ventricular contractility in both obstructive and nonobstructive forms of HCM, suggesting common disease mechanisms and anticipating shared response to therapy. Taken together, these findings increase our understanding of the genetic basis of HCM, with potential implications for disease management.","container-title":"Nature Genetics","DOI":"10.1038/s41588-025-02087-4","ISSN":"1546-1718","journalAbbreviation":"Nat Genet","language":"en","license":"2025 The Author(s)","page":"1-9","publisher":"Nature Publishing Group","source":"www-nature-com.proxy.library.upenn.edu","title":"Large-scale genome-wide association analyses identify novel genetic loci and mechanisms in hypertrophic cardiomyopathy","URL":"https://www.nature.com/articles/s41588-025-02087-4","author":[{"family":"Tadros","given":"Rafik"},{"family":"Zheng","given":"Sean L."},{"family":"Grace","given":"Christopher"},{"family":"Jordà","given":"Paloma"},{"family":"Francis","given":"Catherine"},{"family":"West","given":"Dominique M."},{"family":"Jurgens","given":"Sean J."},{"family":"Thomson","given":"Kate L."},{"family":"Harper","given":"Andrew R."},{"family":"Ormondroyd","given":"Elizabeth"},{"family":"Xu","given":"Xiao"},{"family":"Theotokis","given":"Pantazis I."},{"family":"Buchan","given":"Rachel J."},{"family":"McGurk","given":"Kathryn A."},{"family":"Mazzarotto","given":"Francesco"},{"family":"Boschi","given":"Beatrice"},{"family":"Pelo","given":"Elisabetta"},{"family":"Lee","given":"Michael"},{"family":"Noseda","given":"Michela"},{"family":"Varnava","given":"Amanda"},{"family":"Vermeer","given":"Alexa M. C."},{"family":"Walsh","given":"Roddy"},{"family":"Amin","given":"Ahmad S."},{"family":"Slegtenhorst","given":"Marjon A.","non-dropping-particle":"van"},{"family":"Roslin","given":"Nicole M."},{"family":"Strug","given":"Lisa J."},{"family":"Salvi","given":"Erika"},{"family":"Lanzani","given":"Chiara"},{"family":"Marvao","given":"Antonio","non-dropping-particle":"de"},{"family":"Roberts","given":"Jason D."},{"family":"Tremblay-Gravel","given":"Maxime"},{"family":"Giraldeau","given":"Genevieve"},{"family":"Cadrin-Tourigny","given":"Julia"},{"family":"L’Allier","given":"Philippe L."},{"family":"Garceau","given":"Patrick"},{"family":"Talajic","given":"Mario"},{"family":"Gagliano Taliun","given":"Sarah A."},{"family":"Pinto","given":"Yigal M."},{"family":"Rakowski","given":"Harry"},{"family":"Pantazis","given":"Antonis"},{"family":"Bai","given":"Wenjia"},{"family":"Baksi","given":"John"},{"family":"Halliday","given":"Brian P."},{"family":"Prasad","given":"Sanjay K."},{"family":"Barton","given":"Paul J. R."},{"family":"O’Regan","given":"Declan P."},{"family":"Cook","given":"Stuart A."},{"family":"Boer","given":"Rudolf A.","non-dropping-particle":"de"},{"family":"Christiaans","given":"Imke"},{"family":"Michels","given":"Michelle"},{"family":"Kramer","given":"Christopher M."},{"family":"Ho","given":"Carolyn Y."},{"family":"Neubauer","given":"Stefan"},{"family":"Matthews","given":"Paul M."},{"family":"Wilde","given":"Arthur A. M."},{"family":"Tardif","given":"Jean-Claude"},{"family":"Olivotto","given":"Iacopo"},{"family":"Adler","given":"Arnon"},{"family":"Goel","given":"Anuj"},{"family":"Ware","given":"James S."},{"family":"Bezzina","given":"Connie R."},{"family":"Watkins","given":"Hugh"}],"accessed":{"date-parts":[["2025",2,18]]},"issued":{"date-parts":[["2025",2,18]]}}}],"schema":"https://github.com/citation-style-language/schema/raw/master/csl-citation.json"} </w:instrText>
      </w:r>
      <w:r>
        <w:rPr>
          <w:rFonts w:ascii="Arial" w:hAnsi="Arial" w:cs="Arial"/>
          <w:sz w:val="20"/>
          <w:szCs w:val="20"/>
        </w:rPr>
        <w:fldChar w:fldCharType="separate"/>
      </w:r>
      <w:r>
        <w:rPr>
          <w:rFonts w:ascii="Arial" w:hAnsi="Arial" w:cs="Arial"/>
          <w:sz w:val="20"/>
        </w:rPr>
        <w:t>(90)</w:t>
      </w:r>
      <w:r>
        <w:rPr>
          <w:rFonts w:ascii="Arial" w:hAnsi="Arial" w:cs="Arial"/>
          <w:sz w:val="20"/>
          <w:szCs w:val="20"/>
        </w:rPr>
        <w:fldChar w:fldCharType="end"/>
      </w:r>
      <w:r>
        <w:rPr>
          <w:rFonts w:ascii="Arial" w:hAnsi="Arial" w:cs="Arial"/>
          <w:sz w:val="20"/>
          <w:szCs w:val="20"/>
        </w:rPr>
        <w:t>. For each lead SNP, we identified whether it intersected any cell-type specific peak-to-gene linkages. The plot shows the intersections that were identified and their linkage “strength” as computed by the scE2G score, ranging from 0 to 1. The top two different genes based on scE2G score were considered the epigenomic-prioritized genes (colored in blue), while the genes prioritized by the original study are in purple and indicated in the top left or right corner. Concordance was evaluated by comparing the target gene prioritized using our criteria versus the prioritized gene from Tadros et al. 2025</w:t>
      </w:r>
      <w:r>
        <w:rPr>
          <w:rFonts w:ascii="Arial" w:hAnsi="Arial" w:cs="Arial"/>
          <w:sz w:val="20"/>
          <w:szCs w:val="20"/>
        </w:rPr>
        <w:fldChar w:fldCharType="begin"/>
      </w:r>
      <w:r>
        <w:rPr>
          <w:rFonts w:ascii="Arial" w:hAnsi="Arial" w:cs="Arial"/>
          <w:sz w:val="20"/>
          <w:szCs w:val="20"/>
        </w:rPr>
        <w:instrText xml:space="preserve"> ADDIN ZOTERO_ITEM CSL_CITATION {"citationID":"D87sGXR4","properties":{"unsorted":false,"formattedCitation":"(90)","plainCitation":"(90)","noteIndex":0},"citationItems":[{"id":23680,"uris":["http://zotero.org/users/12236467/items/VMX2PSKJ"],"itemData":{"id":23680,"type":"article-journal","abstract":"Hypertrophic cardiomyopathy (HCM) is an important cause of morbidity and mortality with both monogenic and polygenic components. Here, we report results from a large genome-wide association study and multitrait analysis including 5,900 HCM cases, 68,359 controls and 36,083 UK Biobank participants with cardiac magnetic resonance imaging. We identified 70 loci (50 novel) associated with HCM and 62 loci (20 novel) associated with relevant left ventricular traits. Among the prioritized genes in the HCM loci, we identify a novel HCM disease gene, SVIL, which encodes the actin-binding protein supervillin, showing that rare truncating SVIL variants confer a roughly tenfold increased risk of HCM. Mendelian randomization analyses support a causal role of increased left ventricular contractility in both obstructive and nonobstructive forms of HCM, suggesting common disease mechanisms and anticipating shared response to therapy. Taken together, these findings increase our understanding of the genetic basis of HCM, with potential implications for disease management.","container-title":"Nature Genetics","DOI":"10.1038/s41588-025-02087-4","ISSN":"1546-1718","journalAbbreviation":"Nat Genet","language":"en","license":"2025 The Author(s)","page":"1-9","publisher":"Nature Publishing Group","source":"www-nature-com.proxy.library.upenn.edu","title":"Large-scale genome-wide association analyses identify novel genetic loci and mechanisms in hypertrophic cardiomyopathy","URL":"https://www.nature.com/articles/s41588-025-02087-4","author":[{"family":"Tadros","given":"Rafik"},{"family":"Zheng","given":"Sean L."},{"family":"Grace","given":"Christopher"},{"family":"Jordà","given":"Paloma"},{"family":"Francis","given":"Catherine"},{"family":"West","given":"Dominique M."},{"family":"Jurgens","given":"Sean J."},{"family":"Thomson","given":"Kate L."},{"family":"Harper","given":"Andrew R."},{"family":"Ormondroyd","given":"Elizabeth"},{"family":"Xu","given":"Xiao"},{"family":"Theotokis","given":"Pantazis I."},{"family":"Buchan","given":"Rachel J."},{"family":"McGurk","given":"Kathryn A."},{"family":"Mazzarotto","given":"Francesco"},{"family":"Boschi","given":"Beatrice"},{"family":"Pelo","given":"Elisabetta"},{"family":"Lee","given":"Michael"},{"family":"Noseda","given":"Michela"},{"family":"Varnava","given":"Amanda"},{"family":"Vermeer","given":"Alexa M. C."},{"family":"Walsh","given":"Roddy"},{"family":"Amin","given":"Ahmad S."},{"family":"Slegtenhorst","given":"Marjon A.","non-dropping-particle":"van"},{"family":"Roslin","given":"Nicole M."},{"family":"Strug","given":"Lisa J."},{"family":"Salvi","given":"Erika"},{"family":"Lanzani","given":"Chiara"},{"family":"Marvao","given":"Antonio","non-dropping-particle":"de"},{"family":"Roberts","given":"Jason D."},{"family":"Tremblay-Gravel","given":"Maxime"},{"family":"Giraldeau","given":"Genevieve"},{"family":"Cadrin-Tourigny","given":"Julia"},{"family":"L’Allier","given":"Philippe L."},{"family":"Garceau","given":"Patrick"},{"family":"Talajic","given":"Mario"},{"family":"Gagliano Taliun","given":"Sarah A."},{"family":"Pinto","given":"Yigal M."},{"family":"Rakowski","given":"Harry"},{"family":"Pantazis","given":"Antonis"},{"family":"Bai","given":"Wenjia"},{"family":"Baksi","given":"John"},{"family":"Halliday","given":"Brian P."},{"family":"Prasad","given":"Sanjay K."},{"family":"Barton","given":"Paul J. R."},{"family":"O’Regan","given":"Declan P."},{"family":"Cook","given":"Stuart A."},{"family":"Boer","given":"Rudolf A.","non-dropping-particle":"de"},{"family":"Christiaans","given":"Imke"},{"family":"Michels","given":"Michelle"},{"family":"Kramer","given":"Christopher M."},{"family":"Ho","given":"Carolyn Y."},{"family":"Neubauer","given":"Stefan"},{"family":"Matthews","given":"Paul M."},{"family":"Wilde","given":"Arthur A. M."},{"family":"Tardif","given":"Jean-Claude"},{"family":"Olivotto","given":"Iacopo"},{"family":"Adler","given":"Arnon"},{"family":"Goel","given":"Anuj"},{"family":"Ware","given":"James S."},{"family":"Bezzina","given":"Connie R."},{"family":"Watkins","given":"Hugh"}],"accessed":{"date-parts":[["2025",2,18]]},"issued":{"date-parts":[["2025",2,18]]}}}],"schema":"https://github.com/citation-style-language/schema/raw/master/csl-citation.json"} </w:instrText>
      </w:r>
      <w:r>
        <w:rPr>
          <w:rFonts w:ascii="Arial" w:hAnsi="Arial" w:cs="Arial"/>
          <w:sz w:val="20"/>
          <w:szCs w:val="20"/>
        </w:rPr>
        <w:fldChar w:fldCharType="separate"/>
      </w:r>
      <w:r>
        <w:rPr>
          <w:rFonts w:ascii="Arial" w:hAnsi="Arial" w:cs="Arial"/>
          <w:sz w:val="20"/>
        </w:rPr>
        <w:t>(90)</w:t>
      </w:r>
      <w:r>
        <w:rPr>
          <w:rFonts w:ascii="Arial" w:hAnsi="Arial" w:cs="Arial"/>
          <w:sz w:val="20"/>
          <w:szCs w:val="20"/>
        </w:rPr>
        <w:fldChar w:fldCharType="end"/>
      </w:r>
      <w:r>
        <w:rPr>
          <w:rFonts w:ascii="Arial" w:hAnsi="Arial" w:cs="Arial"/>
          <w:sz w:val="20"/>
          <w:szCs w:val="20"/>
        </w:rPr>
        <w:t xml:space="preserve">. If at least all gene(s) were shared between our prioritized gene list (blue) and the original study prioritized gene list, then we considered the two sets to be “fully concordant” (colored in green). If at least one between the two sets was concordant, then we considered the two sets to be “partially concordant” (colored in cyan). If no genes were shared between the two sets, then we considered the two sets to be “discordant”. </w:t>
      </w:r>
    </w:p>
    <w:p w14:paraId="14FDC807" w14:textId="77777777" w:rsidR="00F94AAA" w:rsidRDefault="00F94AAA" w:rsidP="00F94AAA">
      <w:pPr>
        <w:rPr>
          <w:rStyle w:val="Heading1Char"/>
          <w:b/>
          <w:bCs/>
          <w:sz w:val="20"/>
          <w:szCs w:val="20"/>
        </w:rPr>
      </w:pPr>
      <w:r>
        <w:rPr>
          <w:rStyle w:val="Heading1Char"/>
          <w:b/>
          <w:bCs/>
          <w:sz w:val="20"/>
          <w:szCs w:val="20"/>
        </w:rPr>
        <w:br w:type="page"/>
      </w:r>
    </w:p>
    <w:p w14:paraId="66EF647F" w14:textId="77777777" w:rsidR="00F94AAA" w:rsidRDefault="00F94AAA" w:rsidP="00F94AAA">
      <w:pPr>
        <w:rPr>
          <w:rStyle w:val="Heading1Char"/>
          <w:b/>
          <w:bCs/>
          <w:sz w:val="20"/>
          <w:szCs w:val="20"/>
        </w:rPr>
      </w:pPr>
      <w:r>
        <w:rPr>
          <w:rFonts w:asciiTheme="majorHAnsi" w:eastAsiaTheme="majorEastAsia" w:hAnsiTheme="majorHAnsi" w:cstheme="majorBidi"/>
          <w:b/>
          <w:bCs/>
          <w:noProof/>
          <w:color w:val="0F4761" w:themeColor="accent1" w:themeShade="BF"/>
          <w:sz w:val="20"/>
          <w:szCs w:val="20"/>
        </w:rPr>
        <w:lastRenderedPageBreak/>
        <w:drawing>
          <wp:inline distT="0" distB="0" distL="0" distR="0" wp14:anchorId="1EC4D2D3" wp14:editId="7FD8AF9B">
            <wp:extent cx="6858000" cy="5853430"/>
            <wp:effectExtent l="0" t="0" r="0" b="1270"/>
            <wp:docPr id="1135941624"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41624" name="Picture 5" descr="A screenshot of a computer screen&#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858000" cy="5853430"/>
                    </a:xfrm>
                    <a:prstGeom prst="rect">
                      <a:avLst/>
                    </a:prstGeom>
                  </pic:spPr>
                </pic:pic>
              </a:graphicData>
            </a:graphic>
          </wp:inline>
        </w:drawing>
      </w:r>
    </w:p>
    <w:p w14:paraId="2EDEF0CD" w14:textId="712C04FD" w:rsidR="00691A3B" w:rsidRPr="00F94AAA" w:rsidRDefault="00F94AAA" w:rsidP="00F94AAA">
      <w:pPr>
        <w:rPr>
          <w:rFonts w:ascii="Arial" w:hAnsi="Arial" w:cs="Arial"/>
          <w:sz w:val="20"/>
          <w:szCs w:val="20"/>
        </w:rPr>
      </w:pPr>
      <w:bookmarkStart w:id="41" w:name="_Toc221608526"/>
      <w:r>
        <w:rPr>
          <w:rStyle w:val="Heading1Char"/>
          <w:b/>
          <w:bCs/>
          <w:sz w:val="20"/>
          <w:szCs w:val="20"/>
        </w:rPr>
        <w:t>Fig.</w:t>
      </w:r>
      <w:r w:rsidRPr="00D8218C">
        <w:rPr>
          <w:rStyle w:val="Heading1Char"/>
          <w:b/>
          <w:bCs/>
          <w:sz w:val="20"/>
          <w:szCs w:val="20"/>
        </w:rPr>
        <w:t xml:space="preserve"> </w:t>
      </w:r>
      <w:r>
        <w:rPr>
          <w:rStyle w:val="Heading1Char"/>
          <w:b/>
          <w:bCs/>
          <w:sz w:val="20"/>
          <w:szCs w:val="20"/>
        </w:rPr>
        <w:t xml:space="preserve">S31 </w:t>
      </w:r>
      <w:r w:rsidRPr="00D8218C">
        <w:rPr>
          <w:rStyle w:val="Heading1Char"/>
          <w:b/>
          <w:bCs/>
          <w:sz w:val="20"/>
          <w:szCs w:val="20"/>
        </w:rPr>
        <w:t xml:space="preserve">– </w:t>
      </w:r>
      <w:r>
        <w:rPr>
          <w:rStyle w:val="Heading1Char"/>
          <w:b/>
          <w:bCs/>
          <w:sz w:val="20"/>
          <w:szCs w:val="20"/>
        </w:rPr>
        <w:t>Bulk tissue expression for prioritized genes of rs4616</w:t>
      </w:r>
      <w:bookmarkEnd w:id="41"/>
      <w:r w:rsidRPr="00904255">
        <w:rPr>
          <w:rFonts w:ascii="Arial" w:hAnsi="Arial" w:cs="Arial"/>
          <w:sz w:val="20"/>
          <w:szCs w:val="20"/>
        </w:rPr>
        <w:t>:</w:t>
      </w:r>
      <w:r w:rsidRPr="00D8218C">
        <w:rPr>
          <w:rFonts w:ascii="Arial" w:hAnsi="Arial" w:cs="Arial"/>
          <w:b/>
          <w:bCs/>
          <w:sz w:val="20"/>
          <w:szCs w:val="20"/>
        </w:rPr>
        <w:t xml:space="preserve"> (a) </w:t>
      </w:r>
      <w:r>
        <w:rPr>
          <w:rFonts w:ascii="Arial" w:hAnsi="Arial" w:cs="Arial"/>
          <w:sz w:val="20"/>
          <w:szCs w:val="20"/>
        </w:rPr>
        <w:t xml:space="preserve">Bulk tissue expression of </w:t>
      </w:r>
      <w:r w:rsidRPr="008C7BCA">
        <w:rPr>
          <w:rFonts w:ascii="Arial" w:hAnsi="Arial" w:cs="Arial"/>
          <w:i/>
          <w:iCs/>
          <w:sz w:val="20"/>
          <w:szCs w:val="20"/>
        </w:rPr>
        <w:t>GSS</w:t>
      </w:r>
      <w:r>
        <w:rPr>
          <w:rFonts w:ascii="Arial" w:hAnsi="Arial" w:cs="Arial"/>
          <w:sz w:val="20"/>
          <w:szCs w:val="20"/>
        </w:rPr>
        <w:t xml:space="preserve">, the gene prioritized by Jurgens et al. 2025 and Zheng et al. 2025. (b) Bulk tissue expression of </w:t>
      </w:r>
      <w:r w:rsidRPr="00107672">
        <w:rPr>
          <w:rFonts w:ascii="Arial" w:hAnsi="Arial" w:cs="Arial"/>
          <w:i/>
          <w:iCs/>
          <w:sz w:val="20"/>
          <w:szCs w:val="20"/>
        </w:rPr>
        <w:t>MYH7B</w:t>
      </w:r>
      <w:r>
        <w:rPr>
          <w:rFonts w:ascii="Arial" w:hAnsi="Arial" w:cs="Arial"/>
          <w:sz w:val="20"/>
          <w:szCs w:val="20"/>
        </w:rPr>
        <w:t>, the gene prioritized in our study through multiomic enhancer-to-gene linkage. Data is obtained from the GTEx Portal</w:t>
      </w:r>
      <w:r>
        <w:rPr>
          <w:rFonts w:ascii="Arial" w:hAnsi="Arial" w:cs="Arial"/>
          <w:sz w:val="20"/>
          <w:szCs w:val="20"/>
        </w:rPr>
        <w:fldChar w:fldCharType="begin"/>
      </w:r>
      <w:r>
        <w:rPr>
          <w:rFonts w:ascii="Arial" w:hAnsi="Arial" w:cs="Arial"/>
          <w:sz w:val="20"/>
          <w:szCs w:val="20"/>
        </w:rPr>
        <w:instrText xml:space="preserve"> ADDIN ZOTERO_ITEM CSL_CITATION {"citationID":"FoX2FTAi","properties":{"unsorted":false,"formattedCitation":"(4)","plainCitation":"(4)","noteIndex":0},"citationItems":[{"id":1970,"uris":["http://zotero.org/users/12236467/items/UXECUK82"],"itemData":{"id":1970,"type":"article-journal","abstract":"The Genotype-Tissue Expression (GTEx) project was established to characterize genetic effects on the transcriptome across human tissues and to link these regulatory mechanisms to trait and disease associations. Here, we present analyses of the version 8 data, examining 15,201 RNA-sequencing samples from 49 tissues of 838 postmortem donors. We comprehensively characterize genetic associations for gene expression and splicing in cis and trans, showing that regulatory associations are found for almost all genes, and describe the underlying molecular mechanisms and their contribution to allelic heterogeneity and pleiotropy of complex traits. Leveraging the large diversity of tissues, we provide insights into the tissue specificity of genetic effects and show that cell type composition is a key factor in understanding gene regulatory mechanisms in human tissues.","container-title":"Science","DOI":"10.1126/science.aaz1776","issue":"6509","page":"1318-1330","publisher":"American Association for the Advancement of Science","source":"www-science-org.proxy.library.upenn.edu (Atypon)","title":"The GTEx Consortium atlas of genetic regulatory effects across human tissues","URL":"https://www.science.org/doi/full/10.1126/science.aaz1776","volume":"369","author":[{"literal":"THE GTEX CONSORTIUM"}],"accessed":{"date-parts":[["2023",11,12]]},"issued":{"date-parts":[["2020",9,11]]}}}],"schema":"https://github.com/citation-style-language/schema/raw/master/csl-citation.json"} </w:instrText>
      </w:r>
      <w:r>
        <w:rPr>
          <w:rFonts w:ascii="Arial" w:hAnsi="Arial" w:cs="Arial"/>
          <w:sz w:val="20"/>
          <w:szCs w:val="20"/>
        </w:rPr>
        <w:fldChar w:fldCharType="separate"/>
      </w:r>
      <w:r>
        <w:rPr>
          <w:rFonts w:ascii="Arial" w:hAnsi="Arial" w:cs="Arial"/>
          <w:sz w:val="20"/>
        </w:rPr>
        <w:t>(4)</w:t>
      </w:r>
      <w:r>
        <w:rPr>
          <w:rFonts w:ascii="Arial" w:hAnsi="Arial" w:cs="Arial"/>
          <w:sz w:val="20"/>
          <w:szCs w:val="20"/>
        </w:rPr>
        <w:fldChar w:fldCharType="end"/>
      </w:r>
      <w:r>
        <w:rPr>
          <w:rFonts w:ascii="Arial" w:hAnsi="Arial" w:cs="Arial"/>
          <w:sz w:val="20"/>
          <w:szCs w:val="20"/>
        </w:rPr>
        <w:t xml:space="preserve">.  </w:t>
      </w:r>
    </w:p>
    <w:sectPr w:rsidR="00691A3B" w:rsidRPr="00F94AAA" w:rsidSect="00447EE9">
      <w:footerReference w:type="even" r:id="rId47"/>
      <w:footerReference w:type="default" r:id="rId4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18C68" w14:textId="77777777" w:rsidR="00986E0F" w:rsidRDefault="00986E0F" w:rsidP="005E4F8D">
      <w:pPr>
        <w:spacing w:after="0" w:line="240" w:lineRule="auto"/>
      </w:pPr>
      <w:r>
        <w:separator/>
      </w:r>
    </w:p>
  </w:endnote>
  <w:endnote w:type="continuationSeparator" w:id="0">
    <w:p w14:paraId="6C56F825" w14:textId="77777777" w:rsidR="00986E0F" w:rsidRDefault="00986E0F" w:rsidP="005E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2209574"/>
      <w:docPartObj>
        <w:docPartGallery w:val="Page Numbers (Bottom of Page)"/>
        <w:docPartUnique/>
      </w:docPartObj>
    </w:sdtPr>
    <w:sdtContent>
      <w:p w14:paraId="7F46255D" w14:textId="480D024F" w:rsidR="005E4F8D" w:rsidRDefault="005E4F8D" w:rsidP="008A4D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A7DFEB" w14:textId="77777777" w:rsidR="005E4F8D" w:rsidRDefault="005E4F8D" w:rsidP="005E4F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7083293"/>
      <w:docPartObj>
        <w:docPartGallery w:val="Page Numbers (Bottom of Page)"/>
        <w:docPartUnique/>
      </w:docPartObj>
    </w:sdtPr>
    <w:sdtContent>
      <w:p w14:paraId="36DBA6C8" w14:textId="5B3BD27A" w:rsidR="005E4F8D" w:rsidRDefault="005E4F8D" w:rsidP="008A4D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66B933" w14:textId="77777777" w:rsidR="005E4F8D" w:rsidRDefault="005E4F8D" w:rsidP="005E4F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1F41C" w14:textId="77777777" w:rsidR="00986E0F" w:rsidRDefault="00986E0F" w:rsidP="005E4F8D">
      <w:pPr>
        <w:spacing w:after="0" w:line="240" w:lineRule="auto"/>
      </w:pPr>
      <w:r>
        <w:separator/>
      </w:r>
    </w:p>
  </w:footnote>
  <w:footnote w:type="continuationSeparator" w:id="0">
    <w:p w14:paraId="309E4CBF" w14:textId="77777777" w:rsidR="00986E0F" w:rsidRDefault="00986E0F" w:rsidP="005E4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1B8D"/>
    <w:multiLevelType w:val="hybridMultilevel"/>
    <w:tmpl w:val="36CA2F54"/>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 w15:restartNumberingAfterBreak="0">
    <w:nsid w:val="06D247EB"/>
    <w:multiLevelType w:val="multilevel"/>
    <w:tmpl w:val="A488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174FA"/>
    <w:multiLevelType w:val="hybridMultilevel"/>
    <w:tmpl w:val="E61C4B3A"/>
    <w:lvl w:ilvl="0" w:tplc="4D8A13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070B1"/>
    <w:multiLevelType w:val="hybridMultilevel"/>
    <w:tmpl w:val="24948A18"/>
    <w:lvl w:ilvl="0" w:tplc="843C7F9E">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73E42"/>
    <w:multiLevelType w:val="multilevel"/>
    <w:tmpl w:val="5A9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75248"/>
    <w:multiLevelType w:val="multilevel"/>
    <w:tmpl w:val="5212CB4A"/>
    <w:lvl w:ilvl="0">
      <w:start w:val="1"/>
      <w:numFmt w:val="lowerLetter"/>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4C338B"/>
    <w:multiLevelType w:val="multilevel"/>
    <w:tmpl w:val="33D4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40FAF"/>
    <w:multiLevelType w:val="multilevel"/>
    <w:tmpl w:val="AC5E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730CD"/>
    <w:multiLevelType w:val="multilevel"/>
    <w:tmpl w:val="A7DE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221344"/>
    <w:multiLevelType w:val="hybridMultilevel"/>
    <w:tmpl w:val="1892F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29686C"/>
    <w:multiLevelType w:val="multilevel"/>
    <w:tmpl w:val="6C6E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873E4"/>
    <w:multiLevelType w:val="multilevel"/>
    <w:tmpl w:val="784A3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203802"/>
    <w:multiLevelType w:val="hybridMultilevel"/>
    <w:tmpl w:val="7132FC78"/>
    <w:lvl w:ilvl="0" w:tplc="255C8890">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47791B"/>
    <w:multiLevelType w:val="multilevel"/>
    <w:tmpl w:val="BD12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364A7C"/>
    <w:multiLevelType w:val="multilevel"/>
    <w:tmpl w:val="752C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3B7492"/>
    <w:multiLevelType w:val="multilevel"/>
    <w:tmpl w:val="B8620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2626C"/>
    <w:multiLevelType w:val="hybridMultilevel"/>
    <w:tmpl w:val="677434EE"/>
    <w:lvl w:ilvl="0" w:tplc="F3407C7A">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798397A"/>
    <w:multiLevelType w:val="hybridMultilevel"/>
    <w:tmpl w:val="99B6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461A44"/>
    <w:multiLevelType w:val="hybridMultilevel"/>
    <w:tmpl w:val="487C23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831EB9"/>
    <w:multiLevelType w:val="hybridMultilevel"/>
    <w:tmpl w:val="C4F6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47B07"/>
    <w:multiLevelType w:val="hybridMultilevel"/>
    <w:tmpl w:val="F9BE7A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4A2D4F"/>
    <w:multiLevelType w:val="multilevel"/>
    <w:tmpl w:val="CBAE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B670B5"/>
    <w:multiLevelType w:val="multilevel"/>
    <w:tmpl w:val="5E26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253D78"/>
    <w:multiLevelType w:val="hybridMultilevel"/>
    <w:tmpl w:val="DD4C6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726BBB"/>
    <w:multiLevelType w:val="multilevel"/>
    <w:tmpl w:val="7A06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F575D1"/>
    <w:multiLevelType w:val="multilevel"/>
    <w:tmpl w:val="3C40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2F0280"/>
    <w:multiLevelType w:val="hybridMultilevel"/>
    <w:tmpl w:val="F4FADC42"/>
    <w:lvl w:ilvl="0" w:tplc="863E834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0A14D3"/>
    <w:multiLevelType w:val="multilevel"/>
    <w:tmpl w:val="4E767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1C3B2F"/>
    <w:multiLevelType w:val="hybridMultilevel"/>
    <w:tmpl w:val="76A8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B11D7F"/>
    <w:multiLevelType w:val="hybridMultilevel"/>
    <w:tmpl w:val="8D68406C"/>
    <w:lvl w:ilvl="0" w:tplc="04090019">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B046BA"/>
    <w:multiLevelType w:val="multilevel"/>
    <w:tmpl w:val="F154B6A0"/>
    <w:lvl w:ilvl="0">
      <w:start w:val="1"/>
      <w:numFmt w:val="lowerLetter"/>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ADB0149"/>
    <w:multiLevelType w:val="multilevel"/>
    <w:tmpl w:val="F154B6A0"/>
    <w:lvl w:ilvl="0">
      <w:start w:val="1"/>
      <w:numFmt w:val="lowerLetter"/>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B08258F"/>
    <w:multiLevelType w:val="hybridMultilevel"/>
    <w:tmpl w:val="4F748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686563"/>
    <w:multiLevelType w:val="hybridMultilevel"/>
    <w:tmpl w:val="1094819C"/>
    <w:lvl w:ilvl="0" w:tplc="973C6312">
      <w:start w:val="6"/>
      <w:numFmt w:val="bullet"/>
      <w:lvlText w:val="-"/>
      <w:lvlJc w:val="left"/>
      <w:pPr>
        <w:ind w:left="720" w:hanging="360"/>
      </w:pPr>
      <w:rPr>
        <w:rFonts w:ascii="Aptos" w:eastAsia="Times New Roman"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65797D"/>
    <w:multiLevelType w:val="hybridMultilevel"/>
    <w:tmpl w:val="F88E1FD2"/>
    <w:lvl w:ilvl="0" w:tplc="3C420160">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1D05A47"/>
    <w:multiLevelType w:val="hybridMultilevel"/>
    <w:tmpl w:val="3EC0D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C0172B"/>
    <w:multiLevelType w:val="hybridMultilevel"/>
    <w:tmpl w:val="DE3E7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6F46F7"/>
    <w:multiLevelType w:val="multilevel"/>
    <w:tmpl w:val="9768D664"/>
    <w:lvl w:ilvl="0">
      <w:start w:val="1"/>
      <w:numFmt w:val="lowerLetter"/>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9A271DE"/>
    <w:multiLevelType w:val="hybridMultilevel"/>
    <w:tmpl w:val="396E9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4B080A"/>
    <w:multiLevelType w:val="hybridMultilevel"/>
    <w:tmpl w:val="50D44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3B2CAB"/>
    <w:multiLevelType w:val="multilevel"/>
    <w:tmpl w:val="95AA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89460C"/>
    <w:multiLevelType w:val="multilevel"/>
    <w:tmpl w:val="2148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C54D7D"/>
    <w:multiLevelType w:val="hybridMultilevel"/>
    <w:tmpl w:val="D15AF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A063B6"/>
    <w:multiLevelType w:val="multilevel"/>
    <w:tmpl w:val="22C4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1A0137"/>
    <w:multiLevelType w:val="hybridMultilevel"/>
    <w:tmpl w:val="830A9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5760F1"/>
    <w:multiLevelType w:val="hybridMultilevel"/>
    <w:tmpl w:val="825A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734E06"/>
    <w:multiLevelType w:val="hybridMultilevel"/>
    <w:tmpl w:val="EA5C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4344EA"/>
    <w:multiLevelType w:val="hybridMultilevel"/>
    <w:tmpl w:val="56A44E58"/>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8" w15:restartNumberingAfterBreak="0">
    <w:nsid w:val="74081AE0"/>
    <w:multiLevelType w:val="multilevel"/>
    <w:tmpl w:val="72BE5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343F56"/>
    <w:multiLevelType w:val="multilevel"/>
    <w:tmpl w:val="10B2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8C0205"/>
    <w:multiLevelType w:val="hybridMultilevel"/>
    <w:tmpl w:val="4CF83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202866"/>
    <w:multiLevelType w:val="multilevel"/>
    <w:tmpl w:val="F528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0326117">
    <w:abstractNumId w:val="2"/>
  </w:num>
  <w:num w:numId="2" w16cid:durableId="657226682">
    <w:abstractNumId w:val="38"/>
  </w:num>
  <w:num w:numId="3" w16cid:durableId="369427412">
    <w:abstractNumId w:val="29"/>
  </w:num>
  <w:num w:numId="4" w16cid:durableId="893661925">
    <w:abstractNumId w:val="26"/>
  </w:num>
  <w:num w:numId="5" w16cid:durableId="1939098917">
    <w:abstractNumId w:val="51"/>
  </w:num>
  <w:num w:numId="6" w16cid:durableId="63571725">
    <w:abstractNumId w:val="10"/>
  </w:num>
  <w:num w:numId="7" w16cid:durableId="266235197">
    <w:abstractNumId w:val="13"/>
  </w:num>
  <w:num w:numId="8" w16cid:durableId="1319387199">
    <w:abstractNumId w:val="7"/>
  </w:num>
  <w:num w:numId="9" w16cid:durableId="265886701">
    <w:abstractNumId w:val="21"/>
  </w:num>
  <w:num w:numId="10" w16cid:durableId="692531434">
    <w:abstractNumId w:val="41"/>
  </w:num>
  <w:num w:numId="11" w16cid:durableId="928974315">
    <w:abstractNumId w:val="11"/>
  </w:num>
  <w:num w:numId="12" w16cid:durableId="1934703208">
    <w:abstractNumId w:val="49"/>
  </w:num>
  <w:num w:numId="13" w16cid:durableId="545801749">
    <w:abstractNumId w:val="4"/>
  </w:num>
  <w:num w:numId="14" w16cid:durableId="1220871169">
    <w:abstractNumId w:val="27"/>
  </w:num>
  <w:num w:numId="15" w16cid:durableId="1351253201">
    <w:abstractNumId w:val="14"/>
  </w:num>
  <w:num w:numId="16" w16cid:durableId="1049496015">
    <w:abstractNumId w:val="48"/>
  </w:num>
  <w:num w:numId="17" w16cid:durableId="1344210382">
    <w:abstractNumId w:val="43"/>
  </w:num>
  <w:num w:numId="18" w16cid:durableId="863791671">
    <w:abstractNumId w:val="40"/>
  </w:num>
  <w:num w:numId="19" w16cid:durableId="1485583863">
    <w:abstractNumId w:val="6"/>
  </w:num>
  <w:num w:numId="20" w16cid:durableId="1006786129">
    <w:abstractNumId w:val="24"/>
  </w:num>
  <w:num w:numId="21" w16cid:durableId="206718104">
    <w:abstractNumId w:val="25"/>
  </w:num>
  <w:num w:numId="22" w16cid:durableId="1218855067">
    <w:abstractNumId w:val="8"/>
  </w:num>
  <w:num w:numId="23" w16cid:durableId="1165441726">
    <w:abstractNumId w:val="22"/>
  </w:num>
  <w:num w:numId="24" w16cid:durableId="1415055281">
    <w:abstractNumId w:val="3"/>
  </w:num>
  <w:num w:numId="25" w16cid:durableId="520627153">
    <w:abstractNumId w:val="36"/>
  </w:num>
  <w:num w:numId="26" w16cid:durableId="1614901002">
    <w:abstractNumId w:val="17"/>
  </w:num>
  <w:num w:numId="27" w16cid:durableId="1563524563">
    <w:abstractNumId w:val="45"/>
  </w:num>
  <w:num w:numId="28" w16cid:durableId="1060178650">
    <w:abstractNumId w:val="50"/>
  </w:num>
  <w:num w:numId="29" w16cid:durableId="952177529">
    <w:abstractNumId w:val="28"/>
  </w:num>
  <w:num w:numId="30" w16cid:durableId="984049078">
    <w:abstractNumId w:val="32"/>
  </w:num>
  <w:num w:numId="31" w16cid:durableId="1797680766">
    <w:abstractNumId w:val="18"/>
  </w:num>
  <w:num w:numId="32" w16cid:durableId="2063095553">
    <w:abstractNumId w:val="1"/>
  </w:num>
  <w:num w:numId="33" w16cid:durableId="117262539">
    <w:abstractNumId w:val="15"/>
  </w:num>
  <w:num w:numId="34" w16cid:durableId="1895701423">
    <w:abstractNumId w:val="20"/>
  </w:num>
  <w:num w:numId="35" w16cid:durableId="754785454">
    <w:abstractNumId w:val="42"/>
  </w:num>
  <w:num w:numId="36" w16cid:durableId="1968778866">
    <w:abstractNumId w:val="0"/>
  </w:num>
  <w:num w:numId="37" w16cid:durableId="1260332830">
    <w:abstractNumId w:val="44"/>
  </w:num>
  <w:num w:numId="38" w16cid:durableId="662590302">
    <w:abstractNumId w:val="47"/>
  </w:num>
  <w:num w:numId="39" w16cid:durableId="328098117">
    <w:abstractNumId w:val="39"/>
  </w:num>
  <w:num w:numId="40" w16cid:durableId="277838610">
    <w:abstractNumId w:val="23"/>
  </w:num>
  <w:num w:numId="41" w16cid:durableId="1813671930">
    <w:abstractNumId w:val="9"/>
  </w:num>
  <w:num w:numId="42" w16cid:durableId="1021206472">
    <w:abstractNumId w:val="35"/>
  </w:num>
  <w:num w:numId="43" w16cid:durableId="958344168">
    <w:abstractNumId w:val="19"/>
  </w:num>
  <w:num w:numId="44" w16cid:durableId="361594677">
    <w:abstractNumId w:val="37"/>
  </w:num>
  <w:num w:numId="45" w16cid:durableId="1273240761">
    <w:abstractNumId w:val="12"/>
  </w:num>
  <w:num w:numId="46" w16cid:durableId="1655185081">
    <w:abstractNumId w:val="34"/>
  </w:num>
  <w:num w:numId="47" w16cid:durableId="1614559364">
    <w:abstractNumId w:val="5"/>
  </w:num>
  <w:num w:numId="48" w16cid:durableId="1885750490">
    <w:abstractNumId w:val="16"/>
  </w:num>
  <w:num w:numId="49" w16cid:durableId="653994928">
    <w:abstractNumId w:val="31"/>
  </w:num>
  <w:num w:numId="50" w16cid:durableId="7173839">
    <w:abstractNumId w:val="30"/>
  </w:num>
  <w:num w:numId="51" w16cid:durableId="48194351">
    <w:abstractNumId w:val="33"/>
  </w:num>
  <w:num w:numId="52" w16cid:durableId="197574563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ell&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5axwzvvza2esce5rrt5sd9fvppet0d5drsx&quot;&gt;Cell_review_on_mammalian_DNA_demethylation-Converted&lt;record-ids&gt;&lt;item&gt;1616&lt;/item&gt;&lt;/record-ids&gt;&lt;/item&gt;&lt;/Libraries&gt;"/>
  </w:docVars>
  <w:rsids>
    <w:rsidRoot w:val="00182AEA"/>
    <w:rsid w:val="000003BB"/>
    <w:rsid w:val="000003F6"/>
    <w:rsid w:val="0000188D"/>
    <w:rsid w:val="00001AD4"/>
    <w:rsid w:val="000020C4"/>
    <w:rsid w:val="00002969"/>
    <w:rsid w:val="000031EE"/>
    <w:rsid w:val="00003654"/>
    <w:rsid w:val="00003A7E"/>
    <w:rsid w:val="00004EB3"/>
    <w:rsid w:val="00005B37"/>
    <w:rsid w:val="00006428"/>
    <w:rsid w:val="000066C5"/>
    <w:rsid w:val="0000693A"/>
    <w:rsid w:val="000070BC"/>
    <w:rsid w:val="00011F5A"/>
    <w:rsid w:val="0001347C"/>
    <w:rsid w:val="000140AA"/>
    <w:rsid w:val="000149CB"/>
    <w:rsid w:val="00015E9B"/>
    <w:rsid w:val="0001627B"/>
    <w:rsid w:val="00016EA0"/>
    <w:rsid w:val="000173AD"/>
    <w:rsid w:val="00017970"/>
    <w:rsid w:val="00017DB8"/>
    <w:rsid w:val="0002005A"/>
    <w:rsid w:val="000202A7"/>
    <w:rsid w:val="00020507"/>
    <w:rsid w:val="000210B1"/>
    <w:rsid w:val="00021436"/>
    <w:rsid w:val="00022832"/>
    <w:rsid w:val="00023068"/>
    <w:rsid w:val="00023754"/>
    <w:rsid w:val="00025250"/>
    <w:rsid w:val="00025CDF"/>
    <w:rsid w:val="00026229"/>
    <w:rsid w:val="000275CC"/>
    <w:rsid w:val="000277AD"/>
    <w:rsid w:val="00027B2E"/>
    <w:rsid w:val="00027CA0"/>
    <w:rsid w:val="00030250"/>
    <w:rsid w:val="00030308"/>
    <w:rsid w:val="00030DC8"/>
    <w:rsid w:val="0003174F"/>
    <w:rsid w:val="000324DC"/>
    <w:rsid w:val="0003250D"/>
    <w:rsid w:val="00032CEF"/>
    <w:rsid w:val="00034797"/>
    <w:rsid w:val="00034D7B"/>
    <w:rsid w:val="00035009"/>
    <w:rsid w:val="0003593A"/>
    <w:rsid w:val="00035D75"/>
    <w:rsid w:val="00035ECA"/>
    <w:rsid w:val="00037D82"/>
    <w:rsid w:val="00040833"/>
    <w:rsid w:val="00040990"/>
    <w:rsid w:val="00040E21"/>
    <w:rsid w:val="0004133B"/>
    <w:rsid w:val="0004228B"/>
    <w:rsid w:val="0004232E"/>
    <w:rsid w:val="00042C73"/>
    <w:rsid w:val="00042E23"/>
    <w:rsid w:val="00043156"/>
    <w:rsid w:val="0004454F"/>
    <w:rsid w:val="00044A79"/>
    <w:rsid w:val="0004512F"/>
    <w:rsid w:val="000451F0"/>
    <w:rsid w:val="00045308"/>
    <w:rsid w:val="000470BB"/>
    <w:rsid w:val="000475BE"/>
    <w:rsid w:val="00047ED7"/>
    <w:rsid w:val="000504B7"/>
    <w:rsid w:val="00050509"/>
    <w:rsid w:val="00050A3F"/>
    <w:rsid w:val="000519C5"/>
    <w:rsid w:val="00051F4B"/>
    <w:rsid w:val="00052073"/>
    <w:rsid w:val="00053A88"/>
    <w:rsid w:val="00054347"/>
    <w:rsid w:val="00055EFB"/>
    <w:rsid w:val="000562C2"/>
    <w:rsid w:val="000572F3"/>
    <w:rsid w:val="00057330"/>
    <w:rsid w:val="00057692"/>
    <w:rsid w:val="0006063C"/>
    <w:rsid w:val="00061387"/>
    <w:rsid w:val="000616B2"/>
    <w:rsid w:val="000624CC"/>
    <w:rsid w:val="000635CA"/>
    <w:rsid w:val="0006369E"/>
    <w:rsid w:val="00064BE4"/>
    <w:rsid w:val="0006559B"/>
    <w:rsid w:val="00065968"/>
    <w:rsid w:val="0006665F"/>
    <w:rsid w:val="000668F2"/>
    <w:rsid w:val="00066945"/>
    <w:rsid w:val="00066D3D"/>
    <w:rsid w:val="000672B0"/>
    <w:rsid w:val="00067B44"/>
    <w:rsid w:val="00067C4B"/>
    <w:rsid w:val="000701D6"/>
    <w:rsid w:val="00070A71"/>
    <w:rsid w:val="00071463"/>
    <w:rsid w:val="00071DFF"/>
    <w:rsid w:val="00072765"/>
    <w:rsid w:val="00072B87"/>
    <w:rsid w:val="00072D1A"/>
    <w:rsid w:val="00073887"/>
    <w:rsid w:val="00073CF2"/>
    <w:rsid w:val="00074300"/>
    <w:rsid w:val="0007445D"/>
    <w:rsid w:val="000745D0"/>
    <w:rsid w:val="00075085"/>
    <w:rsid w:val="0007577F"/>
    <w:rsid w:val="00075D73"/>
    <w:rsid w:val="0007683D"/>
    <w:rsid w:val="00077A28"/>
    <w:rsid w:val="0008017A"/>
    <w:rsid w:val="00080547"/>
    <w:rsid w:val="000813A8"/>
    <w:rsid w:val="0008175A"/>
    <w:rsid w:val="0008227A"/>
    <w:rsid w:val="0008342D"/>
    <w:rsid w:val="00083C54"/>
    <w:rsid w:val="00083DAC"/>
    <w:rsid w:val="00083F77"/>
    <w:rsid w:val="000853D9"/>
    <w:rsid w:val="0008576F"/>
    <w:rsid w:val="0008580B"/>
    <w:rsid w:val="000861C7"/>
    <w:rsid w:val="000865AE"/>
    <w:rsid w:val="00090058"/>
    <w:rsid w:val="000900AB"/>
    <w:rsid w:val="00090D9A"/>
    <w:rsid w:val="000920FF"/>
    <w:rsid w:val="00092131"/>
    <w:rsid w:val="00092F20"/>
    <w:rsid w:val="00093357"/>
    <w:rsid w:val="00093D87"/>
    <w:rsid w:val="000942AE"/>
    <w:rsid w:val="00095844"/>
    <w:rsid w:val="00095936"/>
    <w:rsid w:val="00097B0E"/>
    <w:rsid w:val="000A0E6D"/>
    <w:rsid w:val="000A112D"/>
    <w:rsid w:val="000A1239"/>
    <w:rsid w:val="000A1289"/>
    <w:rsid w:val="000A1ACD"/>
    <w:rsid w:val="000A2107"/>
    <w:rsid w:val="000A266B"/>
    <w:rsid w:val="000A2A88"/>
    <w:rsid w:val="000A2D8E"/>
    <w:rsid w:val="000A3309"/>
    <w:rsid w:val="000A3B22"/>
    <w:rsid w:val="000A41C4"/>
    <w:rsid w:val="000A43CC"/>
    <w:rsid w:val="000A487B"/>
    <w:rsid w:val="000A4F12"/>
    <w:rsid w:val="000A4F19"/>
    <w:rsid w:val="000A59E8"/>
    <w:rsid w:val="000A5E7E"/>
    <w:rsid w:val="000A5F03"/>
    <w:rsid w:val="000A63B9"/>
    <w:rsid w:val="000A6BAA"/>
    <w:rsid w:val="000A709E"/>
    <w:rsid w:val="000A7EC3"/>
    <w:rsid w:val="000B0017"/>
    <w:rsid w:val="000B0281"/>
    <w:rsid w:val="000B0586"/>
    <w:rsid w:val="000B0B09"/>
    <w:rsid w:val="000B0C5B"/>
    <w:rsid w:val="000B1A64"/>
    <w:rsid w:val="000B25C6"/>
    <w:rsid w:val="000B2603"/>
    <w:rsid w:val="000B2D2D"/>
    <w:rsid w:val="000B30B9"/>
    <w:rsid w:val="000B4562"/>
    <w:rsid w:val="000B59EC"/>
    <w:rsid w:val="000B5B03"/>
    <w:rsid w:val="000B603A"/>
    <w:rsid w:val="000B6237"/>
    <w:rsid w:val="000B7A29"/>
    <w:rsid w:val="000C0223"/>
    <w:rsid w:val="000C08CD"/>
    <w:rsid w:val="000C0BDD"/>
    <w:rsid w:val="000C1765"/>
    <w:rsid w:val="000C24CF"/>
    <w:rsid w:val="000C35F2"/>
    <w:rsid w:val="000C36FE"/>
    <w:rsid w:val="000C41C4"/>
    <w:rsid w:val="000C5358"/>
    <w:rsid w:val="000C5810"/>
    <w:rsid w:val="000C6487"/>
    <w:rsid w:val="000C6C58"/>
    <w:rsid w:val="000C6D6E"/>
    <w:rsid w:val="000C7937"/>
    <w:rsid w:val="000D057E"/>
    <w:rsid w:val="000D073E"/>
    <w:rsid w:val="000D097F"/>
    <w:rsid w:val="000D0E9D"/>
    <w:rsid w:val="000D0EFF"/>
    <w:rsid w:val="000D12AF"/>
    <w:rsid w:val="000D1438"/>
    <w:rsid w:val="000D1B36"/>
    <w:rsid w:val="000D261E"/>
    <w:rsid w:val="000D2B6E"/>
    <w:rsid w:val="000D3528"/>
    <w:rsid w:val="000D4925"/>
    <w:rsid w:val="000D4DC5"/>
    <w:rsid w:val="000D4E7F"/>
    <w:rsid w:val="000D5CE2"/>
    <w:rsid w:val="000D6809"/>
    <w:rsid w:val="000D7F01"/>
    <w:rsid w:val="000D7FBD"/>
    <w:rsid w:val="000E007D"/>
    <w:rsid w:val="000E0470"/>
    <w:rsid w:val="000E047B"/>
    <w:rsid w:val="000E1179"/>
    <w:rsid w:val="000E1788"/>
    <w:rsid w:val="000E1F01"/>
    <w:rsid w:val="000E2210"/>
    <w:rsid w:val="000E22AF"/>
    <w:rsid w:val="000E284E"/>
    <w:rsid w:val="000E2AB3"/>
    <w:rsid w:val="000E32D0"/>
    <w:rsid w:val="000E3528"/>
    <w:rsid w:val="000E353A"/>
    <w:rsid w:val="000E3B58"/>
    <w:rsid w:val="000E3E70"/>
    <w:rsid w:val="000E40AA"/>
    <w:rsid w:val="000E425F"/>
    <w:rsid w:val="000E608C"/>
    <w:rsid w:val="000E64B0"/>
    <w:rsid w:val="000E6B47"/>
    <w:rsid w:val="000E7096"/>
    <w:rsid w:val="000F0154"/>
    <w:rsid w:val="000F04B5"/>
    <w:rsid w:val="000F083D"/>
    <w:rsid w:val="000F1507"/>
    <w:rsid w:val="000F1E90"/>
    <w:rsid w:val="000F25A6"/>
    <w:rsid w:val="000F2608"/>
    <w:rsid w:val="000F2711"/>
    <w:rsid w:val="000F29CD"/>
    <w:rsid w:val="000F2BAD"/>
    <w:rsid w:val="000F383D"/>
    <w:rsid w:val="000F4D18"/>
    <w:rsid w:val="000F4E05"/>
    <w:rsid w:val="000F4ECD"/>
    <w:rsid w:val="000F5B04"/>
    <w:rsid w:val="000F5BF1"/>
    <w:rsid w:val="000F5EE3"/>
    <w:rsid w:val="000F6423"/>
    <w:rsid w:val="000F7116"/>
    <w:rsid w:val="000F7230"/>
    <w:rsid w:val="000F74A3"/>
    <w:rsid w:val="000F75AA"/>
    <w:rsid w:val="00100950"/>
    <w:rsid w:val="00100C30"/>
    <w:rsid w:val="00100CEA"/>
    <w:rsid w:val="001011E0"/>
    <w:rsid w:val="00101355"/>
    <w:rsid w:val="00101B86"/>
    <w:rsid w:val="00102096"/>
    <w:rsid w:val="00102526"/>
    <w:rsid w:val="00102565"/>
    <w:rsid w:val="0010434E"/>
    <w:rsid w:val="0010583F"/>
    <w:rsid w:val="00106FD3"/>
    <w:rsid w:val="00107672"/>
    <w:rsid w:val="00107954"/>
    <w:rsid w:val="00107F2A"/>
    <w:rsid w:val="00110774"/>
    <w:rsid w:val="00110ED2"/>
    <w:rsid w:val="00113C9F"/>
    <w:rsid w:val="00114B47"/>
    <w:rsid w:val="00114C69"/>
    <w:rsid w:val="0011610B"/>
    <w:rsid w:val="00116359"/>
    <w:rsid w:val="00120C49"/>
    <w:rsid w:val="00120E04"/>
    <w:rsid w:val="001210CB"/>
    <w:rsid w:val="001218A8"/>
    <w:rsid w:val="00121BF4"/>
    <w:rsid w:val="0012396D"/>
    <w:rsid w:val="00123DFF"/>
    <w:rsid w:val="001241F0"/>
    <w:rsid w:val="00124BF5"/>
    <w:rsid w:val="00125241"/>
    <w:rsid w:val="0012595B"/>
    <w:rsid w:val="001263D1"/>
    <w:rsid w:val="00127E0B"/>
    <w:rsid w:val="00130258"/>
    <w:rsid w:val="00130B6D"/>
    <w:rsid w:val="001310FB"/>
    <w:rsid w:val="00131A20"/>
    <w:rsid w:val="00132AAA"/>
    <w:rsid w:val="00133009"/>
    <w:rsid w:val="001337C8"/>
    <w:rsid w:val="00133D91"/>
    <w:rsid w:val="0013437B"/>
    <w:rsid w:val="001343F0"/>
    <w:rsid w:val="001346CC"/>
    <w:rsid w:val="00134A1D"/>
    <w:rsid w:val="00135C05"/>
    <w:rsid w:val="001361FF"/>
    <w:rsid w:val="001369A7"/>
    <w:rsid w:val="001371D3"/>
    <w:rsid w:val="00140A51"/>
    <w:rsid w:val="0014148A"/>
    <w:rsid w:val="00141A66"/>
    <w:rsid w:val="00141CED"/>
    <w:rsid w:val="00141F16"/>
    <w:rsid w:val="00141F9F"/>
    <w:rsid w:val="00142198"/>
    <w:rsid w:val="0014319C"/>
    <w:rsid w:val="0014369C"/>
    <w:rsid w:val="00143E8B"/>
    <w:rsid w:val="001440B1"/>
    <w:rsid w:val="001443A9"/>
    <w:rsid w:val="001443C1"/>
    <w:rsid w:val="001454F8"/>
    <w:rsid w:val="001461F3"/>
    <w:rsid w:val="00146380"/>
    <w:rsid w:val="00146805"/>
    <w:rsid w:val="00146A71"/>
    <w:rsid w:val="00147AC6"/>
    <w:rsid w:val="0015040C"/>
    <w:rsid w:val="00150452"/>
    <w:rsid w:val="00150A37"/>
    <w:rsid w:val="00150AF9"/>
    <w:rsid w:val="00150BA3"/>
    <w:rsid w:val="00151972"/>
    <w:rsid w:val="001519F4"/>
    <w:rsid w:val="00152FEA"/>
    <w:rsid w:val="00153DBF"/>
    <w:rsid w:val="00154647"/>
    <w:rsid w:val="00154FE4"/>
    <w:rsid w:val="00155713"/>
    <w:rsid w:val="0015684E"/>
    <w:rsid w:val="0015691E"/>
    <w:rsid w:val="00157718"/>
    <w:rsid w:val="00161000"/>
    <w:rsid w:val="00162797"/>
    <w:rsid w:val="00162B78"/>
    <w:rsid w:val="001631AB"/>
    <w:rsid w:val="00164F11"/>
    <w:rsid w:val="00166184"/>
    <w:rsid w:val="00167114"/>
    <w:rsid w:val="001675E7"/>
    <w:rsid w:val="0016770F"/>
    <w:rsid w:val="001677A4"/>
    <w:rsid w:val="00167A16"/>
    <w:rsid w:val="00170ECA"/>
    <w:rsid w:val="001713BC"/>
    <w:rsid w:val="0017177A"/>
    <w:rsid w:val="001717E3"/>
    <w:rsid w:val="001719D9"/>
    <w:rsid w:val="00173EFC"/>
    <w:rsid w:val="0017491D"/>
    <w:rsid w:val="00174A47"/>
    <w:rsid w:val="001753AF"/>
    <w:rsid w:val="00175507"/>
    <w:rsid w:val="00175845"/>
    <w:rsid w:val="001760AD"/>
    <w:rsid w:val="00180F33"/>
    <w:rsid w:val="001811B9"/>
    <w:rsid w:val="001818F2"/>
    <w:rsid w:val="001819B1"/>
    <w:rsid w:val="0018265B"/>
    <w:rsid w:val="00182AEA"/>
    <w:rsid w:val="00182E93"/>
    <w:rsid w:val="001850A2"/>
    <w:rsid w:val="001852E3"/>
    <w:rsid w:val="00185844"/>
    <w:rsid w:val="001859FF"/>
    <w:rsid w:val="00185A6E"/>
    <w:rsid w:val="00185C5D"/>
    <w:rsid w:val="00185E12"/>
    <w:rsid w:val="001860E2"/>
    <w:rsid w:val="001863F5"/>
    <w:rsid w:val="0018666E"/>
    <w:rsid w:val="00186E31"/>
    <w:rsid w:val="00187043"/>
    <w:rsid w:val="00190A90"/>
    <w:rsid w:val="00190DAF"/>
    <w:rsid w:val="00191103"/>
    <w:rsid w:val="00191954"/>
    <w:rsid w:val="00191AE6"/>
    <w:rsid w:val="00192288"/>
    <w:rsid w:val="001922E9"/>
    <w:rsid w:val="001923F0"/>
    <w:rsid w:val="00193FEE"/>
    <w:rsid w:val="00194353"/>
    <w:rsid w:val="001945AB"/>
    <w:rsid w:val="001952AD"/>
    <w:rsid w:val="00195DAD"/>
    <w:rsid w:val="00196115"/>
    <w:rsid w:val="001962CD"/>
    <w:rsid w:val="00197654"/>
    <w:rsid w:val="00197D2D"/>
    <w:rsid w:val="001A04DD"/>
    <w:rsid w:val="001A0DA6"/>
    <w:rsid w:val="001A1DB3"/>
    <w:rsid w:val="001A1EEE"/>
    <w:rsid w:val="001A22FD"/>
    <w:rsid w:val="001A2340"/>
    <w:rsid w:val="001A3845"/>
    <w:rsid w:val="001A47AB"/>
    <w:rsid w:val="001A49E8"/>
    <w:rsid w:val="001A49EB"/>
    <w:rsid w:val="001A4A88"/>
    <w:rsid w:val="001A4E0D"/>
    <w:rsid w:val="001A503D"/>
    <w:rsid w:val="001A505B"/>
    <w:rsid w:val="001A5979"/>
    <w:rsid w:val="001A5B31"/>
    <w:rsid w:val="001A5CB0"/>
    <w:rsid w:val="001A6827"/>
    <w:rsid w:val="001A70FA"/>
    <w:rsid w:val="001B00EC"/>
    <w:rsid w:val="001B057B"/>
    <w:rsid w:val="001B06A6"/>
    <w:rsid w:val="001B3E6D"/>
    <w:rsid w:val="001B4059"/>
    <w:rsid w:val="001B4AD3"/>
    <w:rsid w:val="001B4B88"/>
    <w:rsid w:val="001B4BF1"/>
    <w:rsid w:val="001B50C8"/>
    <w:rsid w:val="001B56A9"/>
    <w:rsid w:val="001B57CC"/>
    <w:rsid w:val="001B5EDA"/>
    <w:rsid w:val="001B7570"/>
    <w:rsid w:val="001B764D"/>
    <w:rsid w:val="001C0FCB"/>
    <w:rsid w:val="001C133D"/>
    <w:rsid w:val="001C1F8D"/>
    <w:rsid w:val="001C22AE"/>
    <w:rsid w:val="001C273F"/>
    <w:rsid w:val="001C2B8B"/>
    <w:rsid w:val="001C2E9C"/>
    <w:rsid w:val="001C36D2"/>
    <w:rsid w:val="001C395C"/>
    <w:rsid w:val="001C3FF0"/>
    <w:rsid w:val="001C4108"/>
    <w:rsid w:val="001C4583"/>
    <w:rsid w:val="001C646D"/>
    <w:rsid w:val="001C707B"/>
    <w:rsid w:val="001C7782"/>
    <w:rsid w:val="001C7F78"/>
    <w:rsid w:val="001D031A"/>
    <w:rsid w:val="001D04E6"/>
    <w:rsid w:val="001D0EBC"/>
    <w:rsid w:val="001D24A1"/>
    <w:rsid w:val="001D27FD"/>
    <w:rsid w:val="001D2EE0"/>
    <w:rsid w:val="001D42F5"/>
    <w:rsid w:val="001D4B2C"/>
    <w:rsid w:val="001D55AF"/>
    <w:rsid w:val="001D61E2"/>
    <w:rsid w:val="001D76CE"/>
    <w:rsid w:val="001D7B7C"/>
    <w:rsid w:val="001E0320"/>
    <w:rsid w:val="001E0640"/>
    <w:rsid w:val="001E081C"/>
    <w:rsid w:val="001E19EC"/>
    <w:rsid w:val="001E2182"/>
    <w:rsid w:val="001E2327"/>
    <w:rsid w:val="001E24F2"/>
    <w:rsid w:val="001E3BDB"/>
    <w:rsid w:val="001E3CC6"/>
    <w:rsid w:val="001E47F9"/>
    <w:rsid w:val="001E4E2C"/>
    <w:rsid w:val="001E5B77"/>
    <w:rsid w:val="001E63BE"/>
    <w:rsid w:val="001E6740"/>
    <w:rsid w:val="001E6F73"/>
    <w:rsid w:val="001E75C8"/>
    <w:rsid w:val="001E7626"/>
    <w:rsid w:val="001F0638"/>
    <w:rsid w:val="001F1A55"/>
    <w:rsid w:val="001F1D56"/>
    <w:rsid w:val="001F1F08"/>
    <w:rsid w:val="001F24BC"/>
    <w:rsid w:val="001F273A"/>
    <w:rsid w:val="001F2A77"/>
    <w:rsid w:val="001F2F0B"/>
    <w:rsid w:val="001F3028"/>
    <w:rsid w:val="001F34AC"/>
    <w:rsid w:val="001F38B8"/>
    <w:rsid w:val="001F49A8"/>
    <w:rsid w:val="001F4F57"/>
    <w:rsid w:val="001F5065"/>
    <w:rsid w:val="001F527A"/>
    <w:rsid w:val="001F550E"/>
    <w:rsid w:val="001F677F"/>
    <w:rsid w:val="001F6A45"/>
    <w:rsid w:val="001F6D33"/>
    <w:rsid w:val="00200260"/>
    <w:rsid w:val="00200B33"/>
    <w:rsid w:val="00201AFC"/>
    <w:rsid w:val="00202330"/>
    <w:rsid w:val="00203465"/>
    <w:rsid w:val="0020399E"/>
    <w:rsid w:val="0020529E"/>
    <w:rsid w:val="00205308"/>
    <w:rsid w:val="00205411"/>
    <w:rsid w:val="002067BB"/>
    <w:rsid w:val="00206AD6"/>
    <w:rsid w:val="00207823"/>
    <w:rsid w:val="002079AA"/>
    <w:rsid w:val="002079BA"/>
    <w:rsid w:val="00210137"/>
    <w:rsid w:val="00210B55"/>
    <w:rsid w:val="00210F20"/>
    <w:rsid w:val="00211438"/>
    <w:rsid w:val="00211739"/>
    <w:rsid w:val="00211DCB"/>
    <w:rsid w:val="00211E6B"/>
    <w:rsid w:val="00212103"/>
    <w:rsid w:val="00212EA6"/>
    <w:rsid w:val="002133D5"/>
    <w:rsid w:val="002133D7"/>
    <w:rsid w:val="0021383C"/>
    <w:rsid w:val="002138A8"/>
    <w:rsid w:val="00214EF6"/>
    <w:rsid w:val="00215BAE"/>
    <w:rsid w:val="002169B0"/>
    <w:rsid w:val="00216F15"/>
    <w:rsid w:val="00220011"/>
    <w:rsid w:val="00220237"/>
    <w:rsid w:val="002219D2"/>
    <w:rsid w:val="00221E28"/>
    <w:rsid w:val="00222C02"/>
    <w:rsid w:val="0022342B"/>
    <w:rsid w:val="0022435B"/>
    <w:rsid w:val="00226BCB"/>
    <w:rsid w:val="00227877"/>
    <w:rsid w:val="002307D6"/>
    <w:rsid w:val="0023132D"/>
    <w:rsid w:val="00231A9E"/>
    <w:rsid w:val="00231AEE"/>
    <w:rsid w:val="00231BFC"/>
    <w:rsid w:val="00232728"/>
    <w:rsid w:val="002332E4"/>
    <w:rsid w:val="00233E6A"/>
    <w:rsid w:val="00235525"/>
    <w:rsid w:val="00235874"/>
    <w:rsid w:val="002365C1"/>
    <w:rsid w:val="00236CBB"/>
    <w:rsid w:val="00236DC8"/>
    <w:rsid w:val="00237861"/>
    <w:rsid w:val="00237B80"/>
    <w:rsid w:val="002411A7"/>
    <w:rsid w:val="002412BD"/>
    <w:rsid w:val="00241AD4"/>
    <w:rsid w:val="0024294D"/>
    <w:rsid w:val="002432CF"/>
    <w:rsid w:val="002432F4"/>
    <w:rsid w:val="002437FE"/>
    <w:rsid w:val="002439DA"/>
    <w:rsid w:val="002444DF"/>
    <w:rsid w:val="0024502F"/>
    <w:rsid w:val="00245385"/>
    <w:rsid w:val="00245A45"/>
    <w:rsid w:val="00245C9D"/>
    <w:rsid w:val="00245FEF"/>
    <w:rsid w:val="00246A2D"/>
    <w:rsid w:val="00247F7E"/>
    <w:rsid w:val="002505AE"/>
    <w:rsid w:val="0025106A"/>
    <w:rsid w:val="0025124C"/>
    <w:rsid w:val="00252403"/>
    <w:rsid w:val="00252738"/>
    <w:rsid w:val="00252B4F"/>
    <w:rsid w:val="00253216"/>
    <w:rsid w:val="0025336C"/>
    <w:rsid w:val="00253864"/>
    <w:rsid w:val="0025400B"/>
    <w:rsid w:val="0025410F"/>
    <w:rsid w:val="002541AC"/>
    <w:rsid w:val="0025438B"/>
    <w:rsid w:val="002547B3"/>
    <w:rsid w:val="00255A0C"/>
    <w:rsid w:val="00255AC6"/>
    <w:rsid w:val="00255BA3"/>
    <w:rsid w:val="00255BB5"/>
    <w:rsid w:val="00255DD9"/>
    <w:rsid w:val="00256207"/>
    <w:rsid w:val="00256227"/>
    <w:rsid w:val="002565C3"/>
    <w:rsid w:val="00257285"/>
    <w:rsid w:val="0026028A"/>
    <w:rsid w:val="002614BA"/>
    <w:rsid w:val="00261DAD"/>
    <w:rsid w:val="00261E6F"/>
    <w:rsid w:val="00261EFD"/>
    <w:rsid w:val="0026220D"/>
    <w:rsid w:val="00264172"/>
    <w:rsid w:val="00264319"/>
    <w:rsid w:val="002643FF"/>
    <w:rsid w:val="00264417"/>
    <w:rsid w:val="0026473D"/>
    <w:rsid w:val="002647FA"/>
    <w:rsid w:val="00264DED"/>
    <w:rsid w:val="0026507F"/>
    <w:rsid w:val="00265101"/>
    <w:rsid w:val="00265C29"/>
    <w:rsid w:val="00266E47"/>
    <w:rsid w:val="002671FB"/>
    <w:rsid w:val="00267311"/>
    <w:rsid w:val="00267F80"/>
    <w:rsid w:val="0027047F"/>
    <w:rsid w:val="0027092F"/>
    <w:rsid w:val="00271A45"/>
    <w:rsid w:val="00271BA3"/>
    <w:rsid w:val="00271D3B"/>
    <w:rsid w:val="00271D75"/>
    <w:rsid w:val="00271E23"/>
    <w:rsid w:val="002720BD"/>
    <w:rsid w:val="002727F5"/>
    <w:rsid w:val="00272EA3"/>
    <w:rsid w:val="00273253"/>
    <w:rsid w:val="0027331C"/>
    <w:rsid w:val="00273FC9"/>
    <w:rsid w:val="00274003"/>
    <w:rsid w:val="0027440D"/>
    <w:rsid w:val="00275993"/>
    <w:rsid w:val="00275D88"/>
    <w:rsid w:val="00276874"/>
    <w:rsid w:val="00276912"/>
    <w:rsid w:val="0027779C"/>
    <w:rsid w:val="00280B82"/>
    <w:rsid w:val="00281364"/>
    <w:rsid w:val="0028143C"/>
    <w:rsid w:val="00281EF3"/>
    <w:rsid w:val="00282410"/>
    <w:rsid w:val="00282794"/>
    <w:rsid w:val="00282863"/>
    <w:rsid w:val="00282C36"/>
    <w:rsid w:val="00283E17"/>
    <w:rsid w:val="00283F7D"/>
    <w:rsid w:val="00285590"/>
    <w:rsid w:val="002857A9"/>
    <w:rsid w:val="00286775"/>
    <w:rsid w:val="00286D68"/>
    <w:rsid w:val="00286E77"/>
    <w:rsid w:val="00286F33"/>
    <w:rsid w:val="0028714C"/>
    <w:rsid w:val="00287D60"/>
    <w:rsid w:val="002917A9"/>
    <w:rsid w:val="0029183F"/>
    <w:rsid w:val="00292F79"/>
    <w:rsid w:val="00294006"/>
    <w:rsid w:val="00294812"/>
    <w:rsid w:val="00294FA6"/>
    <w:rsid w:val="0029545C"/>
    <w:rsid w:val="00295EB5"/>
    <w:rsid w:val="00295F14"/>
    <w:rsid w:val="00296662"/>
    <w:rsid w:val="002966AA"/>
    <w:rsid w:val="002967DC"/>
    <w:rsid w:val="0029693D"/>
    <w:rsid w:val="002973F4"/>
    <w:rsid w:val="00297BC9"/>
    <w:rsid w:val="002A02DD"/>
    <w:rsid w:val="002A04B7"/>
    <w:rsid w:val="002A1C7A"/>
    <w:rsid w:val="002A1F60"/>
    <w:rsid w:val="002A2B0C"/>
    <w:rsid w:val="002A2BA7"/>
    <w:rsid w:val="002A30A0"/>
    <w:rsid w:val="002A486E"/>
    <w:rsid w:val="002A56B3"/>
    <w:rsid w:val="002A5D8D"/>
    <w:rsid w:val="002A603C"/>
    <w:rsid w:val="002A60EA"/>
    <w:rsid w:val="002A7994"/>
    <w:rsid w:val="002A7BDF"/>
    <w:rsid w:val="002B115F"/>
    <w:rsid w:val="002B1492"/>
    <w:rsid w:val="002B1F94"/>
    <w:rsid w:val="002B22C3"/>
    <w:rsid w:val="002B256F"/>
    <w:rsid w:val="002B2CDD"/>
    <w:rsid w:val="002B2F80"/>
    <w:rsid w:val="002B31B6"/>
    <w:rsid w:val="002B3414"/>
    <w:rsid w:val="002B4810"/>
    <w:rsid w:val="002B4E7E"/>
    <w:rsid w:val="002B5103"/>
    <w:rsid w:val="002B593C"/>
    <w:rsid w:val="002B5AFE"/>
    <w:rsid w:val="002B5B1A"/>
    <w:rsid w:val="002B6055"/>
    <w:rsid w:val="002B62BA"/>
    <w:rsid w:val="002B6383"/>
    <w:rsid w:val="002B6936"/>
    <w:rsid w:val="002B77DC"/>
    <w:rsid w:val="002B7AE9"/>
    <w:rsid w:val="002C0462"/>
    <w:rsid w:val="002C121B"/>
    <w:rsid w:val="002C15C1"/>
    <w:rsid w:val="002C171B"/>
    <w:rsid w:val="002C29E8"/>
    <w:rsid w:val="002C3D69"/>
    <w:rsid w:val="002C3EFC"/>
    <w:rsid w:val="002C50D4"/>
    <w:rsid w:val="002C694A"/>
    <w:rsid w:val="002C6AA6"/>
    <w:rsid w:val="002C6F9E"/>
    <w:rsid w:val="002C6FAD"/>
    <w:rsid w:val="002C7317"/>
    <w:rsid w:val="002C753A"/>
    <w:rsid w:val="002C7A7E"/>
    <w:rsid w:val="002C7FA6"/>
    <w:rsid w:val="002D04A1"/>
    <w:rsid w:val="002D1E50"/>
    <w:rsid w:val="002D20E9"/>
    <w:rsid w:val="002D43C4"/>
    <w:rsid w:val="002D4C89"/>
    <w:rsid w:val="002D53D4"/>
    <w:rsid w:val="002D55B4"/>
    <w:rsid w:val="002D7224"/>
    <w:rsid w:val="002D75D9"/>
    <w:rsid w:val="002D76AC"/>
    <w:rsid w:val="002D78E6"/>
    <w:rsid w:val="002E019D"/>
    <w:rsid w:val="002E0F32"/>
    <w:rsid w:val="002E19D9"/>
    <w:rsid w:val="002E1CF7"/>
    <w:rsid w:val="002E29A1"/>
    <w:rsid w:val="002E3175"/>
    <w:rsid w:val="002E4A64"/>
    <w:rsid w:val="002E4B71"/>
    <w:rsid w:val="002E5074"/>
    <w:rsid w:val="002E51A9"/>
    <w:rsid w:val="002E5989"/>
    <w:rsid w:val="002E6E74"/>
    <w:rsid w:val="002E7818"/>
    <w:rsid w:val="002E7E09"/>
    <w:rsid w:val="002E7FE3"/>
    <w:rsid w:val="002F089B"/>
    <w:rsid w:val="002F0C62"/>
    <w:rsid w:val="002F0DE2"/>
    <w:rsid w:val="002F0E69"/>
    <w:rsid w:val="002F2409"/>
    <w:rsid w:val="002F35B6"/>
    <w:rsid w:val="002F3F75"/>
    <w:rsid w:val="002F5001"/>
    <w:rsid w:val="002F504C"/>
    <w:rsid w:val="002F582D"/>
    <w:rsid w:val="002F58C0"/>
    <w:rsid w:val="002F77E8"/>
    <w:rsid w:val="002F796E"/>
    <w:rsid w:val="00300551"/>
    <w:rsid w:val="00300572"/>
    <w:rsid w:val="00300709"/>
    <w:rsid w:val="00300D23"/>
    <w:rsid w:val="003018D4"/>
    <w:rsid w:val="003018F4"/>
    <w:rsid w:val="00302221"/>
    <w:rsid w:val="00302A0A"/>
    <w:rsid w:val="003046DA"/>
    <w:rsid w:val="003055CE"/>
    <w:rsid w:val="003064D8"/>
    <w:rsid w:val="0031077A"/>
    <w:rsid w:val="003110AD"/>
    <w:rsid w:val="00311580"/>
    <w:rsid w:val="003122A3"/>
    <w:rsid w:val="00312DE7"/>
    <w:rsid w:val="00313AC4"/>
    <w:rsid w:val="00313C78"/>
    <w:rsid w:val="003154EE"/>
    <w:rsid w:val="00315675"/>
    <w:rsid w:val="0031605C"/>
    <w:rsid w:val="003162B3"/>
    <w:rsid w:val="00317098"/>
    <w:rsid w:val="00321C4B"/>
    <w:rsid w:val="00321DA9"/>
    <w:rsid w:val="00322B4A"/>
    <w:rsid w:val="00322EF7"/>
    <w:rsid w:val="00323386"/>
    <w:rsid w:val="00323A4C"/>
    <w:rsid w:val="00324155"/>
    <w:rsid w:val="00324C5D"/>
    <w:rsid w:val="00325336"/>
    <w:rsid w:val="003253B5"/>
    <w:rsid w:val="003259A4"/>
    <w:rsid w:val="0032612B"/>
    <w:rsid w:val="00326D85"/>
    <w:rsid w:val="003275F9"/>
    <w:rsid w:val="00330FCE"/>
    <w:rsid w:val="00331771"/>
    <w:rsid w:val="00332FF0"/>
    <w:rsid w:val="00333E32"/>
    <w:rsid w:val="00333EAD"/>
    <w:rsid w:val="003341E9"/>
    <w:rsid w:val="0033486A"/>
    <w:rsid w:val="00334ED6"/>
    <w:rsid w:val="003357E1"/>
    <w:rsid w:val="00335D2F"/>
    <w:rsid w:val="00335E83"/>
    <w:rsid w:val="003401CC"/>
    <w:rsid w:val="0034026B"/>
    <w:rsid w:val="00340E1A"/>
    <w:rsid w:val="00340F63"/>
    <w:rsid w:val="00341390"/>
    <w:rsid w:val="0034140B"/>
    <w:rsid w:val="003414E8"/>
    <w:rsid w:val="00341B41"/>
    <w:rsid w:val="003424B0"/>
    <w:rsid w:val="0034260C"/>
    <w:rsid w:val="00342B68"/>
    <w:rsid w:val="00343525"/>
    <w:rsid w:val="00343BF6"/>
    <w:rsid w:val="00344B59"/>
    <w:rsid w:val="00345394"/>
    <w:rsid w:val="00346344"/>
    <w:rsid w:val="00346D28"/>
    <w:rsid w:val="0035129F"/>
    <w:rsid w:val="00351419"/>
    <w:rsid w:val="00351761"/>
    <w:rsid w:val="00351938"/>
    <w:rsid w:val="00353FB1"/>
    <w:rsid w:val="003544F2"/>
    <w:rsid w:val="00354F09"/>
    <w:rsid w:val="003556A9"/>
    <w:rsid w:val="00355EF5"/>
    <w:rsid w:val="0035720B"/>
    <w:rsid w:val="0035742B"/>
    <w:rsid w:val="00357CF5"/>
    <w:rsid w:val="00357F7F"/>
    <w:rsid w:val="00360002"/>
    <w:rsid w:val="00360836"/>
    <w:rsid w:val="00360A34"/>
    <w:rsid w:val="003622D8"/>
    <w:rsid w:val="00362BB7"/>
    <w:rsid w:val="0036341B"/>
    <w:rsid w:val="00363685"/>
    <w:rsid w:val="00364148"/>
    <w:rsid w:val="0036442C"/>
    <w:rsid w:val="003651BD"/>
    <w:rsid w:val="0036547E"/>
    <w:rsid w:val="0036578A"/>
    <w:rsid w:val="00365D35"/>
    <w:rsid w:val="00366091"/>
    <w:rsid w:val="00366F42"/>
    <w:rsid w:val="0036705D"/>
    <w:rsid w:val="00370EC1"/>
    <w:rsid w:val="00370FFF"/>
    <w:rsid w:val="003725C3"/>
    <w:rsid w:val="00372D03"/>
    <w:rsid w:val="003731F9"/>
    <w:rsid w:val="00373BA0"/>
    <w:rsid w:val="00374937"/>
    <w:rsid w:val="00375B06"/>
    <w:rsid w:val="00376212"/>
    <w:rsid w:val="00376629"/>
    <w:rsid w:val="003766E9"/>
    <w:rsid w:val="00376828"/>
    <w:rsid w:val="00380099"/>
    <w:rsid w:val="00380134"/>
    <w:rsid w:val="003802D8"/>
    <w:rsid w:val="00380EE1"/>
    <w:rsid w:val="00381269"/>
    <w:rsid w:val="00381C46"/>
    <w:rsid w:val="00382688"/>
    <w:rsid w:val="00382F73"/>
    <w:rsid w:val="00382FAC"/>
    <w:rsid w:val="00383521"/>
    <w:rsid w:val="00383C2D"/>
    <w:rsid w:val="0038422F"/>
    <w:rsid w:val="003849E5"/>
    <w:rsid w:val="00384F17"/>
    <w:rsid w:val="003859A4"/>
    <w:rsid w:val="003878D4"/>
    <w:rsid w:val="00387B83"/>
    <w:rsid w:val="00387F67"/>
    <w:rsid w:val="00387FA5"/>
    <w:rsid w:val="00390481"/>
    <w:rsid w:val="003909ED"/>
    <w:rsid w:val="0039287B"/>
    <w:rsid w:val="00393A0E"/>
    <w:rsid w:val="00394D37"/>
    <w:rsid w:val="00394DEA"/>
    <w:rsid w:val="003951AC"/>
    <w:rsid w:val="00395334"/>
    <w:rsid w:val="00395458"/>
    <w:rsid w:val="00395679"/>
    <w:rsid w:val="00395DDF"/>
    <w:rsid w:val="003974AF"/>
    <w:rsid w:val="00397B17"/>
    <w:rsid w:val="00397E75"/>
    <w:rsid w:val="003A0563"/>
    <w:rsid w:val="003A101E"/>
    <w:rsid w:val="003A1062"/>
    <w:rsid w:val="003A1D2B"/>
    <w:rsid w:val="003A2407"/>
    <w:rsid w:val="003A25CE"/>
    <w:rsid w:val="003A25D0"/>
    <w:rsid w:val="003A2A97"/>
    <w:rsid w:val="003A2B59"/>
    <w:rsid w:val="003A2D2C"/>
    <w:rsid w:val="003A3ACD"/>
    <w:rsid w:val="003A3D5B"/>
    <w:rsid w:val="003A4493"/>
    <w:rsid w:val="003A44B4"/>
    <w:rsid w:val="003A48E5"/>
    <w:rsid w:val="003A4D62"/>
    <w:rsid w:val="003A4E19"/>
    <w:rsid w:val="003A5102"/>
    <w:rsid w:val="003A5582"/>
    <w:rsid w:val="003A5CB0"/>
    <w:rsid w:val="003A6212"/>
    <w:rsid w:val="003A6415"/>
    <w:rsid w:val="003A74D6"/>
    <w:rsid w:val="003B0D25"/>
    <w:rsid w:val="003B0E70"/>
    <w:rsid w:val="003B1CE0"/>
    <w:rsid w:val="003B22AF"/>
    <w:rsid w:val="003B3215"/>
    <w:rsid w:val="003B328A"/>
    <w:rsid w:val="003B3290"/>
    <w:rsid w:val="003B3658"/>
    <w:rsid w:val="003B390B"/>
    <w:rsid w:val="003B41E5"/>
    <w:rsid w:val="003B450C"/>
    <w:rsid w:val="003B5042"/>
    <w:rsid w:val="003B6859"/>
    <w:rsid w:val="003B7342"/>
    <w:rsid w:val="003C0127"/>
    <w:rsid w:val="003C0D5F"/>
    <w:rsid w:val="003C0E2A"/>
    <w:rsid w:val="003C1170"/>
    <w:rsid w:val="003C16AE"/>
    <w:rsid w:val="003C16B1"/>
    <w:rsid w:val="003C29E0"/>
    <w:rsid w:val="003C2F69"/>
    <w:rsid w:val="003C3859"/>
    <w:rsid w:val="003C38CB"/>
    <w:rsid w:val="003C40A0"/>
    <w:rsid w:val="003C4515"/>
    <w:rsid w:val="003C5134"/>
    <w:rsid w:val="003C51C9"/>
    <w:rsid w:val="003C5B70"/>
    <w:rsid w:val="003C742C"/>
    <w:rsid w:val="003D0658"/>
    <w:rsid w:val="003D081B"/>
    <w:rsid w:val="003D1014"/>
    <w:rsid w:val="003D1088"/>
    <w:rsid w:val="003D22C0"/>
    <w:rsid w:val="003D2642"/>
    <w:rsid w:val="003D28EA"/>
    <w:rsid w:val="003D4302"/>
    <w:rsid w:val="003D4693"/>
    <w:rsid w:val="003D4835"/>
    <w:rsid w:val="003D4C4C"/>
    <w:rsid w:val="003D5775"/>
    <w:rsid w:val="003D5CE9"/>
    <w:rsid w:val="003D62BD"/>
    <w:rsid w:val="003D6683"/>
    <w:rsid w:val="003D6836"/>
    <w:rsid w:val="003D68F8"/>
    <w:rsid w:val="003D7266"/>
    <w:rsid w:val="003E0EF9"/>
    <w:rsid w:val="003E145B"/>
    <w:rsid w:val="003E1E36"/>
    <w:rsid w:val="003E2A67"/>
    <w:rsid w:val="003E2C8B"/>
    <w:rsid w:val="003E31C8"/>
    <w:rsid w:val="003E3BD8"/>
    <w:rsid w:val="003E481A"/>
    <w:rsid w:val="003E549B"/>
    <w:rsid w:val="003E57FF"/>
    <w:rsid w:val="003E5C8B"/>
    <w:rsid w:val="003E5DF7"/>
    <w:rsid w:val="003E5E59"/>
    <w:rsid w:val="003E6B5E"/>
    <w:rsid w:val="003E6BB4"/>
    <w:rsid w:val="003E6BE2"/>
    <w:rsid w:val="003E79B6"/>
    <w:rsid w:val="003F098F"/>
    <w:rsid w:val="003F0A3E"/>
    <w:rsid w:val="003F199F"/>
    <w:rsid w:val="003F2D6D"/>
    <w:rsid w:val="003F31B3"/>
    <w:rsid w:val="003F34B8"/>
    <w:rsid w:val="003F360D"/>
    <w:rsid w:val="003F3775"/>
    <w:rsid w:val="003F64C9"/>
    <w:rsid w:val="003F6A9B"/>
    <w:rsid w:val="003F6F76"/>
    <w:rsid w:val="003F7ADB"/>
    <w:rsid w:val="003F7C77"/>
    <w:rsid w:val="004006BC"/>
    <w:rsid w:val="00400DC8"/>
    <w:rsid w:val="00401B6A"/>
    <w:rsid w:val="00402A2D"/>
    <w:rsid w:val="0040324C"/>
    <w:rsid w:val="004035ED"/>
    <w:rsid w:val="00404D92"/>
    <w:rsid w:val="00405C67"/>
    <w:rsid w:val="00405DED"/>
    <w:rsid w:val="00405F62"/>
    <w:rsid w:val="00407438"/>
    <w:rsid w:val="00407FB4"/>
    <w:rsid w:val="004107E9"/>
    <w:rsid w:val="004108C6"/>
    <w:rsid w:val="00410C3D"/>
    <w:rsid w:val="0041159E"/>
    <w:rsid w:val="0041216C"/>
    <w:rsid w:val="004122E5"/>
    <w:rsid w:val="004123EB"/>
    <w:rsid w:val="00412CBF"/>
    <w:rsid w:val="0041465A"/>
    <w:rsid w:val="00414784"/>
    <w:rsid w:val="0041490E"/>
    <w:rsid w:val="00414A6F"/>
    <w:rsid w:val="0041528F"/>
    <w:rsid w:val="00415A1A"/>
    <w:rsid w:val="00415A8B"/>
    <w:rsid w:val="00415B29"/>
    <w:rsid w:val="00415EA2"/>
    <w:rsid w:val="004176AE"/>
    <w:rsid w:val="0041781A"/>
    <w:rsid w:val="00417885"/>
    <w:rsid w:val="00417B42"/>
    <w:rsid w:val="0042015A"/>
    <w:rsid w:val="0042060C"/>
    <w:rsid w:val="004208E6"/>
    <w:rsid w:val="00420904"/>
    <w:rsid w:val="00422F6B"/>
    <w:rsid w:val="0042327E"/>
    <w:rsid w:val="0042331E"/>
    <w:rsid w:val="00423329"/>
    <w:rsid w:val="00423A90"/>
    <w:rsid w:val="00424E24"/>
    <w:rsid w:val="00425835"/>
    <w:rsid w:val="00425D11"/>
    <w:rsid w:val="004269D5"/>
    <w:rsid w:val="00431036"/>
    <w:rsid w:val="004312D8"/>
    <w:rsid w:val="00431848"/>
    <w:rsid w:val="00431C2F"/>
    <w:rsid w:val="004328F1"/>
    <w:rsid w:val="00432A25"/>
    <w:rsid w:val="00432CE3"/>
    <w:rsid w:val="00432EC6"/>
    <w:rsid w:val="00433DE7"/>
    <w:rsid w:val="004359F8"/>
    <w:rsid w:val="004365DE"/>
    <w:rsid w:val="00437861"/>
    <w:rsid w:val="00437997"/>
    <w:rsid w:val="00437B48"/>
    <w:rsid w:val="004411F3"/>
    <w:rsid w:val="00441515"/>
    <w:rsid w:val="004421ED"/>
    <w:rsid w:val="004428BB"/>
    <w:rsid w:val="00442EB4"/>
    <w:rsid w:val="0044365C"/>
    <w:rsid w:val="004437E4"/>
    <w:rsid w:val="004448CA"/>
    <w:rsid w:val="004451D7"/>
    <w:rsid w:val="004451E9"/>
    <w:rsid w:val="00445488"/>
    <w:rsid w:val="004454EC"/>
    <w:rsid w:val="0044652D"/>
    <w:rsid w:val="0044664B"/>
    <w:rsid w:val="004471B9"/>
    <w:rsid w:val="0044737E"/>
    <w:rsid w:val="004476C1"/>
    <w:rsid w:val="00447EE9"/>
    <w:rsid w:val="00450427"/>
    <w:rsid w:val="004506E1"/>
    <w:rsid w:val="00450AD9"/>
    <w:rsid w:val="0045183C"/>
    <w:rsid w:val="00451D7D"/>
    <w:rsid w:val="00451DB4"/>
    <w:rsid w:val="00452E2F"/>
    <w:rsid w:val="004530D6"/>
    <w:rsid w:val="004535E0"/>
    <w:rsid w:val="00453871"/>
    <w:rsid w:val="00453979"/>
    <w:rsid w:val="00453980"/>
    <w:rsid w:val="00454002"/>
    <w:rsid w:val="00454091"/>
    <w:rsid w:val="0045487A"/>
    <w:rsid w:val="00454967"/>
    <w:rsid w:val="004554D6"/>
    <w:rsid w:val="00456481"/>
    <w:rsid w:val="00456680"/>
    <w:rsid w:val="00456DC6"/>
    <w:rsid w:val="00457E97"/>
    <w:rsid w:val="00460152"/>
    <w:rsid w:val="004610F7"/>
    <w:rsid w:val="0046287B"/>
    <w:rsid w:val="004628AB"/>
    <w:rsid w:val="004639AB"/>
    <w:rsid w:val="00463AF3"/>
    <w:rsid w:val="004647A5"/>
    <w:rsid w:val="0046498F"/>
    <w:rsid w:val="0046591D"/>
    <w:rsid w:val="00465F83"/>
    <w:rsid w:val="00467571"/>
    <w:rsid w:val="00467A9E"/>
    <w:rsid w:val="00467F13"/>
    <w:rsid w:val="00471085"/>
    <w:rsid w:val="00471601"/>
    <w:rsid w:val="00471DB5"/>
    <w:rsid w:val="00472E9D"/>
    <w:rsid w:val="00472FE9"/>
    <w:rsid w:val="00473086"/>
    <w:rsid w:val="00473C65"/>
    <w:rsid w:val="0047482C"/>
    <w:rsid w:val="00475946"/>
    <w:rsid w:val="00475D90"/>
    <w:rsid w:val="00476016"/>
    <w:rsid w:val="00476240"/>
    <w:rsid w:val="00476A56"/>
    <w:rsid w:val="004770ED"/>
    <w:rsid w:val="00477348"/>
    <w:rsid w:val="00480F67"/>
    <w:rsid w:val="00482183"/>
    <w:rsid w:val="00482685"/>
    <w:rsid w:val="00482FC4"/>
    <w:rsid w:val="004831C6"/>
    <w:rsid w:val="00483A1B"/>
    <w:rsid w:val="00483EBF"/>
    <w:rsid w:val="0048511D"/>
    <w:rsid w:val="004852F2"/>
    <w:rsid w:val="00485A3E"/>
    <w:rsid w:val="00485D8D"/>
    <w:rsid w:val="00486836"/>
    <w:rsid w:val="00486CD7"/>
    <w:rsid w:val="0048702E"/>
    <w:rsid w:val="004870D6"/>
    <w:rsid w:val="00487E5F"/>
    <w:rsid w:val="004902D8"/>
    <w:rsid w:val="00490658"/>
    <w:rsid w:val="004908CE"/>
    <w:rsid w:val="0049099F"/>
    <w:rsid w:val="004915A4"/>
    <w:rsid w:val="00491777"/>
    <w:rsid w:val="00491CB1"/>
    <w:rsid w:val="0049246F"/>
    <w:rsid w:val="00492491"/>
    <w:rsid w:val="00492AC6"/>
    <w:rsid w:val="0049309B"/>
    <w:rsid w:val="00493E45"/>
    <w:rsid w:val="0049490B"/>
    <w:rsid w:val="00495BF4"/>
    <w:rsid w:val="00496A7E"/>
    <w:rsid w:val="0049724A"/>
    <w:rsid w:val="00497548"/>
    <w:rsid w:val="00497D24"/>
    <w:rsid w:val="004A08E3"/>
    <w:rsid w:val="004A0D97"/>
    <w:rsid w:val="004A1419"/>
    <w:rsid w:val="004A2840"/>
    <w:rsid w:val="004A3402"/>
    <w:rsid w:val="004A371E"/>
    <w:rsid w:val="004A3B16"/>
    <w:rsid w:val="004A44CE"/>
    <w:rsid w:val="004A458D"/>
    <w:rsid w:val="004A494A"/>
    <w:rsid w:val="004A5A0A"/>
    <w:rsid w:val="004A6832"/>
    <w:rsid w:val="004A6F1D"/>
    <w:rsid w:val="004A753C"/>
    <w:rsid w:val="004A7640"/>
    <w:rsid w:val="004B032F"/>
    <w:rsid w:val="004B08B4"/>
    <w:rsid w:val="004B0F54"/>
    <w:rsid w:val="004B0FCC"/>
    <w:rsid w:val="004B1BC5"/>
    <w:rsid w:val="004B1F31"/>
    <w:rsid w:val="004B1FAA"/>
    <w:rsid w:val="004B2045"/>
    <w:rsid w:val="004B2598"/>
    <w:rsid w:val="004B415B"/>
    <w:rsid w:val="004B5964"/>
    <w:rsid w:val="004B5C1D"/>
    <w:rsid w:val="004B695E"/>
    <w:rsid w:val="004B750F"/>
    <w:rsid w:val="004B7E43"/>
    <w:rsid w:val="004C0026"/>
    <w:rsid w:val="004C0510"/>
    <w:rsid w:val="004C0756"/>
    <w:rsid w:val="004C08F6"/>
    <w:rsid w:val="004C0A95"/>
    <w:rsid w:val="004C0AF7"/>
    <w:rsid w:val="004C162F"/>
    <w:rsid w:val="004C18E8"/>
    <w:rsid w:val="004C198D"/>
    <w:rsid w:val="004C1ED5"/>
    <w:rsid w:val="004C27ED"/>
    <w:rsid w:val="004C3621"/>
    <w:rsid w:val="004C36F9"/>
    <w:rsid w:val="004C4887"/>
    <w:rsid w:val="004C5CB5"/>
    <w:rsid w:val="004C5CDC"/>
    <w:rsid w:val="004C5FAD"/>
    <w:rsid w:val="004C65B9"/>
    <w:rsid w:val="004C66D5"/>
    <w:rsid w:val="004C699E"/>
    <w:rsid w:val="004C70AD"/>
    <w:rsid w:val="004C795A"/>
    <w:rsid w:val="004D019E"/>
    <w:rsid w:val="004D03EB"/>
    <w:rsid w:val="004D0625"/>
    <w:rsid w:val="004D1302"/>
    <w:rsid w:val="004D132F"/>
    <w:rsid w:val="004D1C75"/>
    <w:rsid w:val="004D1CA9"/>
    <w:rsid w:val="004D2614"/>
    <w:rsid w:val="004D322C"/>
    <w:rsid w:val="004D3785"/>
    <w:rsid w:val="004D42E2"/>
    <w:rsid w:val="004D4F0C"/>
    <w:rsid w:val="004D7A83"/>
    <w:rsid w:val="004E0133"/>
    <w:rsid w:val="004E0A83"/>
    <w:rsid w:val="004E0E7F"/>
    <w:rsid w:val="004E1012"/>
    <w:rsid w:val="004E106F"/>
    <w:rsid w:val="004E17DE"/>
    <w:rsid w:val="004E17F3"/>
    <w:rsid w:val="004E31D6"/>
    <w:rsid w:val="004E3263"/>
    <w:rsid w:val="004E3BAA"/>
    <w:rsid w:val="004E4447"/>
    <w:rsid w:val="004E4A79"/>
    <w:rsid w:val="004E5C62"/>
    <w:rsid w:val="004E6096"/>
    <w:rsid w:val="004E7115"/>
    <w:rsid w:val="004E750C"/>
    <w:rsid w:val="004E7A55"/>
    <w:rsid w:val="004F01D4"/>
    <w:rsid w:val="004F03EC"/>
    <w:rsid w:val="004F0E3D"/>
    <w:rsid w:val="004F1043"/>
    <w:rsid w:val="004F1276"/>
    <w:rsid w:val="004F1579"/>
    <w:rsid w:val="004F1F4D"/>
    <w:rsid w:val="004F221A"/>
    <w:rsid w:val="004F3CF3"/>
    <w:rsid w:val="004F44D5"/>
    <w:rsid w:val="004F49BC"/>
    <w:rsid w:val="004F5064"/>
    <w:rsid w:val="004F540F"/>
    <w:rsid w:val="004F5435"/>
    <w:rsid w:val="004F5773"/>
    <w:rsid w:val="004F5D6C"/>
    <w:rsid w:val="004F6595"/>
    <w:rsid w:val="00500567"/>
    <w:rsid w:val="005019CC"/>
    <w:rsid w:val="005025E5"/>
    <w:rsid w:val="00503264"/>
    <w:rsid w:val="005034CC"/>
    <w:rsid w:val="005035E5"/>
    <w:rsid w:val="00503C9E"/>
    <w:rsid w:val="005049A8"/>
    <w:rsid w:val="005059A1"/>
    <w:rsid w:val="00505B79"/>
    <w:rsid w:val="00505DD1"/>
    <w:rsid w:val="005061B6"/>
    <w:rsid w:val="00506895"/>
    <w:rsid w:val="00506CDF"/>
    <w:rsid w:val="00507E5E"/>
    <w:rsid w:val="0051023C"/>
    <w:rsid w:val="0051044F"/>
    <w:rsid w:val="005107AD"/>
    <w:rsid w:val="00511445"/>
    <w:rsid w:val="005126ED"/>
    <w:rsid w:val="00512C53"/>
    <w:rsid w:val="00515656"/>
    <w:rsid w:val="00516130"/>
    <w:rsid w:val="00516596"/>
    <w:rsid w:val="00516AAA"/>
    <w:rsid w:val="00516E33"/>
    <w:rsid w:val="00520C61"/>
    <w:rsid w:val="00520DA2"/>
    <w:rsid w:val="00520DF9"/>
    <w:rsid w:val="00521155"/>
    <w:rsid w:val="00521285"/>
    <w:rsid w:val="00521439"/>
    <w:rsid w:val="0052183B"/>
    <w:rsid w:val="00521A43"/>
    <w:rsid w:val="00521E4D"/>
    <w:rsid w:val="00521E90"/>
    <w:rsid w:val="005227A3"/>
    <w:rsid w:val="00522AD2"/>
    <w:rsid w:val="00524AFE"/>
    <w:rsid w:val="0052651F"/>
    <w:rsid w:val="00526583"/>
    <w:rsid w:val="00526C7C"/>
    <w:rsid w:val="00530376"/>
    <w:rsid w:val="00530815"/>
    <w:rsid w:val="00531156"/>
    <w:rsid w:val="0053161B"/>
    <w:rsid w:val="00531F93"/>
    <w:rsid w:val="00532878"/>
    <w:rsid w:val="00532B2C"/>
    <w:rsid w:val="00533CC2"/>
    <w:rsid w:val="00534C67"/>
    <w:rsid w:val="00535655"/>
    <w:rsid w:val="00535DC5"/>
    <w:rsid w:val="00536859"/>
    <w:rsid w:val="00537B6C"/>
    <w:rsid w:val="005402BA"/>
    <w:rsid w:val="00540412"/>
    <w:rsid w:val="00540BC7"/>
    <w:rsid w:val="00540E35"/>
    <w:rsid w:val="0054239C"/>
    <w:rsid w:val="005423FE"/>
    <w:rsid w:val="00542699"/>
    <w:rsid w:val="00542CE1"/>
    <w:rsid w:val="00543285"/>
    <w:rsid w:val="00543F23"/>
    <w:rsid w:val="0054688D"/>
    <w:rsid w:val="00546B90"/>
    <w:rsid w:val="00546D1E"/>
    <w:rsid w:val="00547C46"/>
    <w:rsid w:val="00550622"/>
    <w:rsid w:val="00551265"/>
    <w:rsid w:val="00551DC0"/>
    <w:rsid w:val="005530A3"/>
    <w:rsid w:val="00553599"/>
    <w:rsid w:val="005538D1"/>
    <w:rsid w:val="00553DF4"/>
    <w:rsid w:val="00554024"/>
    <w:rsid w:val="005541AC"/>
    <w:rsid w:val="00554776"/>
    <w:rsid w:val="00554AB9"/>
    <w:rsid w:val="005553EA"/>
    <w:rsid w:val="005555BF"/>
    <w:rsid w:val="005556FA"/>
    <w:rsid w:val="00556616"/>
    <w:rsid w:val="00556A84"/>
    <w:rsid w:val="00556C10"/>
    <w:rsid w:val="00556FB6"/>
    <w:rsid w:val="005577B7"/>
    <w:rsid w:val="00557D3E"/>
    <w:rsid w:val="005607AC"/>
    <w:rsid w:val="005607C7"/>
    <w:rsid w:val="00560A13"/>
    <w:rsid w:val="00560AD1"/>
    <w:rsid w:val="00560FC9"/>
    <w:rsid w:val="00561041"/>
    <w:rsid w:val="00562B33"/>
    <w:rsid w:val="005634ED"/>
    <w:rsid w:val="005643DC"/>
    <w:rsid w:val="005647A9"/>
    <w:rsid w:val="00565119"/>
    <w:rsid w:val="005655BF"/>
    <w:rsid w:val="00566079"/>
    <w:rsid w:val="00566390"/>
    <w:rsid w:val="005663BF"/>
    <w:rsid w:val="005672E4"/>
    <w:rsid w:val="00567B9D"/>
    <w:rsid w:val="005704B6"/>
    <w:rsid w:val="005712D4"/>
    <w:rsid w:val="00571BD9"/>
    <w:rsid w:val="00571CB8"/>
    <w:rsid w:val="005723C3"/>
    <w:rsid w:val="0057285E"/>
    <w:rsid w:val="00572D60"/>
    <w:rsid w:val="0057313C"/>
    <w:rsid w:val="005734A6"/>
    <w:rsid w:val="005737FD"/>
    <w:rsid w:val="005746B6"/>
    <w:rsid w:val="00575D3F"/>
    <w:rsid w:val="0057704B"/>
    <w:rsid w:val="00577149"/>
    <w:rsid w:val="00580136"/>
    <w:rsid w:val="00580BD2"/>
    <w:rsid w:val="005810A1"/>
    <w:rsid w:val="005812E6"/>
    <w:rsid w:val="005821B9"/>
    <w:rsid w:val="005825C7"/>
    <w:rsid w:val="005826B1"/>
    <w:rsid w:val="00582A46"/>
    <w:rsid w:val="00582A57"/>
    <w:rsid w:val="00583688"/>
    <w:rsid w:val="00583B7B"/>
    <w:rsid w:val="00584133"/>
    <w:rsid w:val="00584183"/>
    <w:rsid w:val="00584762"/>
    <w:rsid w:val="00584849"/>
    <w:rsid w:val="00584D23"/>
    <w:rsid w:val="00584DA1"/>
    <w:rsid w:val="00585773"/>
    <w:rsid w:val="005859CC"/>
    <w:rsid w:val="00585DBD"/>
    <w:rsid w:val="005861C4"/>
    <w:rsid w:val="00586C29"/>
    <w:rsid w:val="00587233"/>
    <w:rsid w:val="0058751D"/>
    <w:rsid w:val="0058791F"/>
    <w:rsid w:val="00590310"/>
    <w:rsid w:val="0059210E"/>
    <w:rsid w:val="0059246F"/>
    <w:rsid w:val="00592E44"/>
    <w:rsid w:val="00592F1F"/>
    <w:rsid w:val="00593848"/>
    <w:rsid w:val="0059400F"/>
    <w:rsid w:val="005941E2"/>
    <w:rsid w:val="00594341"/>
    <w:rsid w:val="005949EC"/>
    <w:rsid w:val="00594D51"/>
    <w:rsid w:val="0059535B"/>
    <w:rsid w:val="00595A0D"/>
    <w:rsid w:val="00595B8E"/>
    <w:rsid w:val="00596C5C"/>
    <w:rsid w:val="0059709D"/>
    <w:rsid w:val="00597205"/>
    <w:rsid w:val="00597914"/>
    <w:rsid w:val="00597D41"/>
    <w:rsid w:val="005A146C"/>
    <w:rsid w:val="005A1668"/>
    <w:rsid w:val="005A1E0F"/>
    <w:rsid w:val="005A1F56"/>
    <w:rsid w:val="005A2B82"/>
    <w:rsid w:val="005A384B"/>
    <w:rsid w:val="005A39E2"/>
    <w:rsid w:val="005A3DE5"/>
    <w:rsid w:val="005A4363"/>
    <w:rsid w:val="005A4AC6"/>
    <w:rsid w:val="005A4CDD"/>
    <w:rsid w:val="005A4D55"/>
    <w:rsid w:val="005A5C89"/>
    <w:rsid w:val="005A5D21"/>
    <w:rsid w:val="005A724B"/>
    <w:rsid w:val="005B053B"/>
    <w:rsid w:val="005B0877"/>
    <w:rsid w:val="005B1E6C"/>
    <w:rsid w:val="005B244A"/>
    <w:rsid w:val="005B2D97"/>
    <w:rsid w:val="005B3DFB"/>
    <w:rsid w:val="005B4397"/>
    <w:rsid w:val="005B43C6"/>
    <w:rsid w:val="005B441A"/>
    <w:rsid w:val="005B497F"/>
    <w:rsid w:val="005B57BF"/>
    <w:rsid w:val="005B58D3"/>
    <w:rsid w:val="005B6E4E"/>
    <w:rsid w:val="005B7E51"/>
    <w:rsid w:val="005C0526"/>
    <w:rsid w:val="005C2064"/>
    <w:rsid w:val="005C26B6"/>
    <w:rsid w:val="005C32E3"/>
    <w:rsid w:val="005C4BBA"/>
    <w:rsid w:val="005C5E24"/>
    <w:rsid w:val="005C6C93"/>
    <w:rsid w:val="005C6E56"/>
    <w:rsid w:val="005C707C"/>
    <w:rsid w:val="005D2380"/>
    <w:rsid w:val="005D26AE"/>
    <w:rsid w:val="005D2ED7"/>
    <w:rsid w:val="005D3150"/>
    <w:rsid w:val="005D37FF"/>
    <w:rsid w:val="005D4896"/>
    <w:rsid w:val="005D4D33"/>
    <w:rsid w:val="005D5602"/>
    <w:rsid w:val="005D5CE3"/>
    <w:rsid w:val="005D6508"/>
    <w:rsid w:val="005D74AF"/>
    <w:rsid w:val="005E0779"/>
    <w:rsid w:val="005E08A1"/>
    <w:rsid w:val="005E0A75"/>
    <w:rsid w:val="005E1082"/>
    <w:rsid w:val="005E1941"/>
    <w:rsid w:val="005E1CD9"/>
    <w:rsid w:val="005E241A"/>
    <w:rsid w:val="005E2A8C"/>
    <w:rsid w:val="005E3ADC"/>
    <w:rsid w:val="005E4745"/>
    <w:rsid w:val="005E4F8D"/>
    <w:rsid w:val="005F0565"/>
    <w:rsid w:val="005F05BF"/>
    <w:rsid w:val="005F0E6F"/>
    <w:rsid w:val="005F186F"/>
    <w:rsid w:val="005F2061"/>
    <w:rsid w:val="005F2201"/>
    <w:rsid w:val="005F2241"/>
    <w:rsid w:val="005F245C"/>
    <w:rsid w:val="005F315C"/>
    <w:rsid w:val="005F3341"/>
    <w:rsid w:val="005F34E4"/>
    <w:rsid w:val="005F370E"/>
    <w:rsid w:val="005F3A2D"/>
    <w:rsid w:val="005F3D44"/>
    <w:rsid w:val="005F3D80"/>
    <w:rsid w:val="005F4608"/>
    <w:rsid w:val="005F4B1E"/>
    <w:rsid w:val="005F53C2"/>
    <w:rsid w:val="005F5758"/>
    <w:rsid w:val="005F57FC"/>
    <w:rsid w:val="005F6197"/>
    <w:rsid w:val="005F73BE"/>
    <w:rsid w:val="00600467"/>
    <w:rsid w:val="0060054D"/>
    <w:rsid w:val="0060098E"/>
    <w:rsid w:val="00600BD8"/>
    <w:rsid w:val="00600BF4"/>
    <w:rsid w:val="00600DBA"/>
    <w:rsid w:val="00600F7D"/>
    <w:rsid w:val="00601C55"/>
    <w:rsid w:val="00603395"/>
    <w:rsid w:val="00603732"/>
    <w:rsid w:val="00604806"/>
    <w:rsid w:val="006051AF"/>
    <w:rsid w:val="00605430"/>
    <w:rsid w:val="006059E4"/>
    <w:rsid w:val="00606FF4"/>
    <w:rsid w:val="00607A8D"/>
    <w:rsid w:val="0061133B"/>
    <w:rsid w:val="00612695"/>
    <w:rsid w:val="00612FBF"/>
    <w:rsid w:val="0061301C"/>
    <w:rsid w:val="00613C07"/>
    <w:rsid w:val="00614101"/>
    <w:rsid w:val="006148D9"/>
    <w:rsid w:val="00614B7A"/>
    <w:rsid w:val="00614EB8"/>
    <w:rsid w:val="00614FB4"/>
    <w:rsid w:val="006158E5"/>
    <w:rsid w:val="00615DBF"/>
    <w:rsid w:val="00616A4C"/>
    <w:rsid w:val="006209B0"/>
    <w:rsid w:val="00620AF2"/>
    <w:rsid w:val="00622107"/>
    <w:rsid w:val="0062244B"/>
    <w:rsid w:val="00622679"/>
    <w:rsid w:val="006227C5"/>
    <w:rsid w:val="006227F9"/>
    <w:rsid w:val="006228C9"/>
    <w:rsid w:val="00622E10"/>
    <w:rsid w:val="00623561"/>
    <w:rsid w:val="00623658"/>
    <w:rsid w:val="006239BD"/>
    <w:rsid w:val="00623BEC"/>
    <w:rsid w:val="00623F04"/>
    <w:rsid w:val="0062462C"/>
    <w:rsid w:val="0062528D"/>
    <w:rsid w:val="0062548D"/>
    <w:rsid w:val="006257F1"/>
    <w:rsid w:val="00625986"/>
    <w:rsid w:val="00625B8A"/>
    <w:rsid w:val="00626D54"/>
    <w:rsid w:val="00626E68"/>
    <w:rsid w:val="0063052C"/>
    <w:rsid w:val="006306E5"/>
    <w:rsid w:val="00631305"/>
    <w:rsid w:val="00631F41"/>
    <w:rsid w:val="00632122"/>
    <w:rsid w:val="006325D0"/>
    <w:rsid w:val="0063260E"/>
    <w:rsid w:val="00634610"/>
    <w:rsid w:val="00635071"/>
    <w:rsid w:val="00635F26"/>
    <w:rsid w:val="00636014"/>
    <w:rsid w:val="006367ED"/>
    <w:rsid w:val="00636ACD"/>
    <w:rsid w:val="006375D2"/>
    <w:rsid w:val="00637A6C"/>
    <w:rsid w:val="00641139"/>
    <w:rsid w:val="00641CCE"/>
    <w:rsid w:val="0064253F"/>
    <w:rsid w:val="00642924"/>
    <w:rsid w:val="00642B13"/>
    <w:rsid w:val="00642C44"/>
    <w:rsid w:val="00642C87"/>
    <w:rsid w:val="006439C0"/>
    <w:rsid w:val="00644DB6"/>
    <w:rsid w:val="006459E4"/>
    <w:rsid w:val="0064629B"/>
    <w:rsid w:val="00646522"/>
    <w:rsid w:val="00647531"/>
    <w:rsid w:val="0064792D"/>
    <w:rsid w:val="006504E1"/>
    <w:rsid w:val="00651A66"/>
    <w:rsid w:val="00651FEF"/>
    <w:rsid w:val="0065206B"/>
    <w:rsid w:val="006521DB"/>
    <w:rsid w:val="00652295"/>
    <w:rsid w:val="006525A4"/>
    <w:rsid w:val="00652C64"/>
    <w:rsid w:val="00653925"/>
    <w:rsid w:val="00654227"/>
    <w:rsid w:val="0065455A"/>
    <w:rsid w:val="00655A61"/>
    <w:rsid w:val="00655DF5"/>
    <w:rsid w:val="006566C9"/>
    <w:rsid w:val="00656763"/>
    <w:rsid w:val="00656C82"/>
    <w:rsid w:val="0065755E"/>
    <w:rsid w:val="00657BA9"/>
    <w:rsid w:val="00657FDB"/>
    <w:rsid w:val="006603D9"/>
    <w:rsid w:val="00660D63"/>
    <w:rsid w:val="0066415F"/>
    <w:rsid w:val="0066452E"/>
    <w:rsid w:val="00664A11"/>
    <w:rsid w:val="006653BF"/>
    <w:rsid w:val="00665A04"/>
    <w:rsid w:val="006701DE"/>
    <w:rsid w:val="0067078F"/>
    <w:rsid w:val="006711A0"/>
    <w:rsid w:val="00671621"/>
    <w:rsid w:val="00672C10"/>
    <w:rsid w:val="006739A8"/>
    <w:rsid w:val="00673B17"/>
    <w:rsid w:val="00673C0D"/>
    <w:rsid w:val="00673EB6"/>
    <w:rsid w:val="0067451F"/>
    <w:rsid w:val="00675166"/>
    <w:rsid w:val="00677B40"/>
    <w:rsid w:val="00680379"/>
    <w:rsid w:val="006803AE"/>
    <w:rsid w:val="00680E8A"/>
    <w:rsid w:val="00681CA9"/>
    <w:rsid w:val="00682335"/>
    <w:rsid w:val="0068328C"/>
    <w:rsid w:val="0068373A"/>
    <w:rsid w:val="0068378B"/>
    <w:rsid w:val="00684406"/>
    <w:rsid w:val="0068458D"/>
    <w:rsid w:val="00684B96"/>
    <w:rsid w:val="00684D9C"/>
    <w:rsid w:val="00684DE3"/>
    <w:rsid w:val="006851B0"/>
    <w:rsid w:val="006856DC"/>
    <w:rsid w:val="00685A5B"/>
    <w:rsid w:val="00686018"/>
    <w:rsid w:val="00690ADF"/>
    <w:rsid w:val="00691A3B"/>
    <w:rsid w:val="00692210"/>
    <w:rsid w:val="00692FDD"/>
    <w:rsid w:val="0069462D"/>
    <w:rsid w:val="006950C1"/>
    <w:rsid w:val="00695B6C"/>
    <w:rsid w:val="00695FDC"/>
    <w:rsid w:val="0069633F"/>
    <w:rsid w:val="00696CD6"/>
    <w:rsid w:val="00697DD4"/>
    <w:rsid w:val="00697ED6"/>
    <w:rsid w:val="006A05B9"/>
    <w:rsid w:val="006A05BF"/>
    <w:rsid w:val="006A1416"/>
    <w:rsid w:val="006A1B0B"/>
    <w:rsid w:val="006A2080"/>
    <w:rsid w:val="006A25F6"/>
    <w:rsid w:val="006A288F"/>
    <w:rsid w:val="006A32AC"/>
    <w:rsid w:val="006A3A41"/>
    <w:rsid w:val="006A48ED"/>
    <w:rsid w:val="006A4BE3"/>
    <w:rsid w:val="006A6199"/>
    <w:rsid w:val="006A6E70"/>
    <w:rsid w:val="006A78FB"/>
    <w:rsid w:val="006B0512"/>
    <w:rsid w:val="006B0A47"/>
    <w:rsid w:val="006B2251"/>
    <w:rsid w:val="006B26DA"/>
    <w:rsid w:val="006B3B07"/>
    <w:rsid w:val="006B3B6E"/>
    <w:rsid w:val="006B4C6A"/>
    <w:rsid w:val="006B5434"/>
    <w:rsid w:val="006B549D"/>
    <w:rsid w:val="006B5724"/>
    <w:rsid w:val="006B5A23"/>
    <w:rsid w:val="006B5CEE"/>
    <w:rsid w:val="006B6160"/>
    <w:rsid w:val="006B6643"/>
    <w:rsid w:val="006B6C17"/>
    <w:rsid w:val="006B70B7"/>
    <w:rsid w:val="006B723C"/>
    <w:rsid w:val="006B7B2A"/>
    <w:rsid w:val="006C079D"/>
    <w:rsid w:val="006C1591"/>
    <w:rsid w:val="006C2343"/>
    <w:rsid w:val="006C28AC"/>
    <w:rsid w:val="006C29B5"/>
    <w:rsid w:val="006C2C64"/>
    <w:rsid w:val="006C35ED"/>
    <w:rsid w:val="006C3E98"/>
    <w:rsid w:val="006C430A"/>
    <w:rsid w:val="006C5D27"/>
    <w:rsid w:val="006C5DEA"/>
    <w:rsid w:val="006C647D"/>
    <w:rsid w:val="006C7ACC"/>
    <w:rsid w:val="006D026C"/>
    <w:rsid w:val="006D06CE"/>
    <w:rsid w:val="006D0852"/>
    <w:rsid w:val="006D0A42"/>
    <w:rsid w:val="006D29A5"/>
    <w:rsid w:val="006D2E2D"/>
    <w:rsid w:val="006D3049"/>
    <w:rsid w:val="006D3745"/>
    <w:rsid w:val="006D3917"/>
    <w:rsid w:val="006D3C2E"/>
    <w:rsid w:val="006D3FA0"/>
    <w:rsid w:val="006D43E9"/>
    <w:rsid w:val="006D5158"/>
    <w:rsid w:val="006D531C"/>
    <w:rsid w:val="006D5A90"/>
    <w:rsid w:val="006D6000"/>
    <w:rsid w:val="006D610C"/>
    <w:rsid w:val="006D6362"/>
    <w:rsid w:val="006D6E54"/>
    <w:rsid w:val="006D6F6C"/>
    <w:rsid w:val="006D7E5E"/>
    <w:rsid w:val="006E0C6F"/>
    <w:rsid w:val="006E0C74"/>
    <w:rsid w:val="006E1259"/>
    <w:rsid w:val="006E1D78"/>
    <w:rsid w:val="006E2711"/>
    <w:rsid w:val="006E347C"/>
    <w:rsid w:val="006E3705"/>
    <w:rsid w:val="006E3C4D"/>
    <w:rsid w:val="006E43BE"/>
    <w:rsid w:val="006E4A77"/>
    <w:rsid w:val="006E4CBF"/>
    <w:rsid w:val="006E51DE"/>
    <w:rsid w:val="006E58B3"/>
    <w:rsid w:val="006E5D7D"/>
    <w:rsid w:val="006E65F5"/>
    <w:rsid w:val="006E749B"/>
    <w:rsid w:val="006E7665"/>
    <w:rsid w:val="006E7AA9"/>
    <w:rsid w:val="006E7E8E"/>
    <w:rsid w:val="006F23E1"/>
    <w:rsid w:val="006F2A31"/>
    <w:rsid w:val="006F2C08"/>
    <w:rsid w:val="006F325A"/>
    <w:rsid w:val="006F3678"/>
    <w:rsid w:val="006F3B51"/>
    <w:rsid w:val="006F3B58"/>
    <w:rsid w:val="006F3E25"/>
    <w:rsid w:val="006F3FC2"/>
    <w:rsid w:val="006F4883"/>
    <w:rsid w:val="006F4FC5"/>
    <w:rsid w:val="006F54A8"/>
    <w:rsid w:val="006F57B3"/>
    <w:rsid w:val="006F58B8"/>
    <w:rsid w:val="006F6FEC"/>
    <w:rsid w:val="006F709A"/>
    <w:rsid w:val="006F7533"/>
    <w:rsid w:val="007002E7"/>
    <w:rsid w:val="007005F9"/>
    <w:rsid w:val="007006BF"/>
    <w:rsid w:val="00700FCF"/>
    <w:rsid w:val="00701089"/>
    <w:rsid w:val="00701775"/>
    <w:rsid w:val="00701F9E"/>
    <w:rsid w:val="00702229"/>
    <w:rsid w:val="0070255F"/>
    <w:rsid w:val="007036CA"/>
    <w:rsid w:val="00704FB3"/>
    <w:rsid w:val="00705575"/>
    <w:rsid w:val="00706C14"/>
    <w:rsid w:val="00706FCE"/>
    <w:rsid w:val="00710876"/>
    <w:rsid w:val="007110B0"/>
    <w:rsid w:val="00711903"/>
    <w:rsid w:val="00711C4E"/>
    <w:rsid w:val="00711E78"/>
    <w:rsid w:val="00711FED"/>
    <w:rsid w:val="00712F54"/>
    <w:rsid w:val="00713377"/>
    <w:rsid w:val="0071360A"/>
    <w:rsid w:val="00713B10"/>
    <w:rsid w:val="0071481C"/>
    <w:rsid w:val="00714C6F"/>
    <w:rsid w:val="00714DE2"/>
    <w:rsid w:val="00716C3B"/>
    <w:rsid w:val="00716EE4"/>
    <w:rsid w:val="0071732E"/>
    <w:rsid w:val="00717CA1"/>
    <w:rsid w:val="00720C5D"/>
    <w:rsid w:val="00720E22"/>
    <w:rsid w:val="00720E2B"/>
    <w:rsid w:val="00721A16"/>
    <w:rsid w:val="007229E3"/>
    <w:rsid w:val="0072351C"/>
    <w:rsid w:val="007235B4"/>
    <w:rsid w:val="00723B44"/>
    <w:rsid w:val="00723DC7"/>
    <w:rsid w:val="0072489D"/>
    <w:rsid w:val="00724BDC"/>
    <w:rsid w:val="00724C8F"/>
    <w:rsid w:val="00724CB2"/>
    <w:rsid w:val="00726348"/>
    <w:rsid w:val="00727622"/>
    <w:rsid w:val="0072783B"/>
    <w:rsid w:val="007278FF"/>
    <w:rsid w:val="007301F0"/>
    <w:rsid w:val="0073134D"/>
    <w:rsid w:val="00731876"/>
    <w:rsid w:val="007318AC"/>
    <w:rsid w:val="0073256D"/>
    <w:rsid w:val="00733CF3"/>
    <w:rsid w:val="00733DF6"/>
    <w:rsid w:val="00734A52"/>
    <w:rsid w:val="007350D5"/>
    <w:rsid w:val="00735175"/>
    <w:rsid w:val="0073572F"/>
    <w:rsid w:val="00736259"/>
    <w:rsid w:val="00736F76"/>
    <w:rsid w:val="00737009"/>
    <w:rsid w:val="00737330"/>
    <w:rsid w:val="007377CC"/>
    <w:rsid w:val="00737B3E"/>
    <w:rsid w:val="00740146"/>
    <w:rsid w:val="00743CAE"/>
    <w:rsid w:val="00744045"/>
    <w:rsid w:val="00744CD0"/>
    <w:rsid w:val="0074512E"/>
    <w:rsid w:val="007460A1"/>
    <w:rsid w:val="00746B50"/>
    <w:rsid w:val="00747607"/>
    <w:rsid w:val="00747F42"/>
    <w:rsid w:val="00750F92"/>
    <w:rsid w:val="00751888"/>
    <w:rsid w:val="007518FB"/>
    <w:rsid w:val="00751BE8"/>
    <w:rsid w:val="00752584"/>
    <w:rsid w:val="00752676"/>
    <w:rsid w:val="00752CE2"/>
    <w:rsid w:val="00753BE9"/>
    <w:rsid w:val="0075423B"/>
    <w:rsid w:val="007567AD"/>
    <w:rsid w:val="00757661"/>
    <w:rsid w:val="007577CA"/>
    <w:rsid w:val="0076038A"/>
    <w:rsid w:val="00761533"/>
    <w:rsid w:val="00761AAA"/>
    <w:rsid w:val="0076216B"/>
    <w:rsid w:val="00762E89"/>
    <w:rsid w:val="00763247"/>
    <w:rsid w:val="00764593"/>
    <w:rsid w:val="00766994"/>
    <w:rsid w:val="007676E8"/>
    <w:rsid w:val="00767B42"/>
    <w:rsid w:val="00767D64"/>
    <w:rsid w:val="00770EDB"/>
    <w:rsid w:val="0077339F"/>
    <w:rsid w:val="00773F05"/>
    <w:rsid w:val="0077410D"/>
    <w:rsid w:val="00775142"/>
    <w:rsid w:val="0077585D"/>
    <w:rsid w:val="00775E73"/>
    <w:rsid w:val="0077606C"/>
    <w:rsid w:val="007763C9"/>
    <w:rsid w:val="00776C83"/>
    <w:rsid w:val="00777E5C"/>
    <w:rsid w:val="007805DC"/>
    <w:rsid w:val="007807A6"/>
    <w:rsid w:val="0078177E"/>
    <w:rsid w:val="007825AE"/>
    <w:rsid w:val="00782CC4"/>
    <w:rsid w:val="00783C6E"/>
    <w:rsid w:val="00783D62"/>
    <w:rsid w:val="00783F72"/>
    <w:rsid w:val="00784867"/>
    <w:rsid w:val="00784A00"/>
    <w:rsid w:val="0078775D"/>
    <w:rsid w:val="007903C8"/>
    <w:rsid w:val="00790432"/>
    <w:rsid w:val="0079051B"/>
    <w:rsid w:val="00790ED8"/>
    <w:rsid w:val="007919A6"/>
    <w:rsid w:val="007927BF"/>
    <w:rsid w:val="007933F7"/>
    <w:rsid w:val="007936F4"/>
    <w:rsid w:val="00793A3A"/>
    <w:rsid w:val="00793B7A"/>
    <w:rsid w:val="007944D6"/>
    <w:rsid w:val="00794718"/>
    <w:rsid w:val="0079472E"/>
    <w:rsid w:val="00795C22"/>
    <w:rsid w:val="0079673E"/>
    <w:rsid w:val="00796BC3"/>
    <w:rsid w:val="007973B8"/>
    <w:rsid w:val="007979B7"/>
    <w:rsid w:val="007A1216"/>
    <w:rsid w:val="007A134A"/>
    <w:rsid w:val="007A2286"/>
    <w:rsid w:val="007A25A2"/>
    <w:rsid w:val="007A2662"/>
    <w:rsid w:val="007A29D1"/>
    <w:rsid w:val="007A382E"/>
    <w:rsid w:val="007A4B84"/>
    <w:rsid w:val="007A4BB7"/>
    <w:rsid w:val="007A5966"/>
    <w:rsid w:val="007A60B2"/>
    <w:rsid w:val="007A65F8"/>
    <w:rsid w:val="007A735C"/>
    <w:rsid w:val="007A7639"/>
    <w:rsid w:val="007A78C1"/>
    <w:rsid w:val="007B0333"/>
    <w:rsid w:val="007B055A"/>
    <w:rsid w:val="007B0904"/>
    <w:rsid w:val="007B0EBF"/>
    <w:rsid w:val="007B1489"/>
    <w:rsid w:val="007B1D7A"/>
    <w:rsid w:val="007B243A"/>
    <w:rsid w:val="007B25CE"/>
    <w:rsid w:val="007B263E"/>
    <w:rsid w:val="007B2900"/>
    <w:rsid w:val="007B3721"/>
    <w:rsid w:val="007B3D0E"/>
    <w:rsid w:val="007B3D52"/>
    <w:rsid w:val="007B4F6A"/>
    <w:rsid w:val="007B509E"/>
    <w:rsid w:val="007B5386"/>
    <w:rsid w:val="007B5BDB"/>
    <w:rsid w:val="007B6726"/>
    <w:rsid w:val="007B6949"/>
    <w:rsid w:val="007B6C5E"/>
    <w:rsid w:val="007B6D1E"/>
    <w:rsid w:val="007B7A32"/>
    <w:rsid w:val="007B7FE7"/>
    <w:rsid w:val="007C0044"/>
    <w:rsid w:val="007C07BE"/>
    <w:rsid w:val="007C1EC4"/>
    <w:rsid w:val="007C231A"/>
    <w:rsid w:val="007C289E"/>
    <w:rsid w:val="007C2D5D"/>
    <w:rsid w:val="007C361C"/>
    <w:rsid w:val="007C3750"/>
    <w:rsid w:val="007C382C"/>
    <w:rsid w:val="007C3E3E"/>
    <w:rsid w:val="007C43FE"/>
    <w:rsid w:val="007C46CF"/>
    <w:rsid w:val="007C6650"/>
    <w:rsid w:val="007C6651"/>
    <w:rsid w:val="007C699C"/>
    <w:rsid w:val="007C69F6"/>
    <w:rsid w:val="007C6EE5"/>
    <w:rsid w:val="007C74E7"/>
    <w:rsid w:val="007D01E1"/>
    <w:rsid w:val="007D1639"/>
    <w:rsid w:val="007D311E"/>
    <w:rsid w:val="007D3C2F"/>
    <w:rsid w:val="007D3F76"/>
    <w:rsid w:val="007D406A"/>
    <w:rsid w:val="007D4FC5"/>
    <w:rsid w:val="007D5C78"/>
    <w:rsid w:val="007D5F44"/>
    <w:rsid w:val="007D649F"/>
    <w:rsid w:val="007D66C9"/>
    <w:rsid w:val="007D71BE"/>
    <w:rsid w:val="007D7465"/>
    <w:rsid w:val="007E19A2"/>
    <w:rsid w:val="007E209E"/>
    <w:rsid w:val="007E2549"/>
    <w:rsid w:val="007E2A3A"/>
    <w:rsid w:val="007E31F8"/>
    <w:rsid w:val="007E4266"/>
    <w:rsid w:val="007E54E2"/>
    <w:rsid w:val="007E57B5"/>
    <w:rsid w:val="007E6513"/>
    <w:rsid w:val="007E6690"/>
    <w:rsid w:val="007E66EA"/>
    <w:rsid w:val="007E7726"/>
    <w:rsid w:val="007E7B18"/>
    <w:rsid w:val="007F02B8"/>
    <w:rsid w:val="007F02CD"/>
    <w:rsid w:val="007F04EB"/>
    <w:rsid w:val="007F172B"/>
    <w:rsid w:val="007F191E"/>
    <w:rsid w:val="007F1F7D"/>
    <w:rsid w:val="007F24A1"/>
    <w:rsid w:val="007F29A1"/>
    <w:rsid w:val="007F34B8"/>
    <w:rsid w:val="007F3CDD"/>
    <w:rsid w:val="007F4215"/>
    <w:rsid w:val="007F465C"/>
    <w:rsid w:val="007F4BF1"/>
    <w:rsid w:val="007F5923"/>
    <w:rsid w:val="007F61D7"/>
    <w:rsid w:val="007F661F"/>
    <w:rsid w:val="007F6C3C"/>
    <w:rsid w:val="007F7DCF"/>
    <w:rsid w:val="008006AD"/>
    <w:rsid w:val="008009B5"/>
    <w:rsid w:val="00800C04"/>
    <w:rsid w:val="0080156D"/>
    <w:rsid w:val="00801970"/>
    <w:rsid w:val="00802810"/>
    <w:rsid w:val="00802A09"/>
    <w:rsid w:val="00803182"/>
    <w:rsid w:val="008033BD"/>
    <w:rsid w:val="00803D4B"/>
    <w:rsid w:val="008045CF"/>
    <w:rsid w:val="00804A16"/>
    <w:rsid w:val="008058C7"/>
    <w:rsid w:val="00805DBB"/>
    <w:rsid w:val="008067CA"/>
    <w:rsid w:val="00806A8C"/>
    <w:rsid w:val="008073CE"/>
    <w:rsid w:val="00810291"/>
    <w:rsid w:val="00810ACB"/>
    <w:rsid w:val="008115AF"/>
    <w:rsid w:val="00812BBF"/>
    <w:rsid w:val="00812F21"/>
    <w:rsid w:val="008135F8"/>
    <w:rsid w:val="00813FDA"/>
    <w:rsid w:val="008147F7"/>
    <w:rsid w:val="008152A7"/>
    <w:rsid w:val="008153DC"/>
    <w:rsid w:val="00815412"/>
    <w:rsid w:val="008159D6"/>
    <w:rsid w:val="00815DF3"/>
    <w:rsid w:val="00815F67"/>
    <w:rsid w:val="008161E1"/>
    <w:rsid w:val="0081631F"/>
    <w:rsid w:val="00816689"/>
    <w:rsid w:val="00816721"/>
    <w:rsid w:val="0081686B"/>
    <w:rsid w:val="008168F6"/>
    <w:rsid w:val="00817B06"/>
    <w:rsid w:val="00817E2A"/>
    <w:rsid w:val="0082074D"/>
    <w:rsid w:val="00822556"/>
    <w:rsid w:val="00822DD4"/>
    <w:rsid w:val="008230DA"/>
    <w:rsid w:val="00824467"/>
    <w:rsid w:val="00824B63"/>
    <w:rsid w:val="00824E0F"/>
    <w:rsid w:val="00826B4A"/>
    <w:rsid w:val="00827A66"/>
    <w:rsid w:val="0083025E"/>
    <w:rsid w:val="0083052F"/>
    <w:rsid w:val="00831C68"/>
    <w:rsid w:val="0083255E"/>
    <w:rsid w:val="00832D9B"/>
    <w:rsid w:val="00832F84"/>
    <w:rsid w:val="00833615"/>
    <w:rsid w:val="0083384E"/>
    <w:rsid w:val="00833F53"/>
    <w:rsid w:val="00834B34"/>
    <w:rsid w:val="00835479"/>
    <w:rsid w:val="008363F7"/>
    <w:rsid w:val="0083647B"/>
    <w:rsid w:val="00837928"/>
    <w:rsid w:val="00837C20"/>
    <w:rsid w:val="00840616"/>
    <w:rsid w:val="00841BAF"/>
    <w:rsid w:val="00842015"/>
    <w:rsid w:val="008421EA"/>
    <w:rsid w:val="00842B3D"/>
    <w:rsid w:val="00842DF7"/>
    <w:rsid w:val="00842E43"/>
    <w:rsid w:val="0084349D"/>
    <w:rsid w:val="008434F6"/>
    <w:rsid w:val="008437F7"/>
    <w:rsid w:val="00844FA7"/>
    <w:rsid w:val="008456BF"/>
    <w:rsid w:val="00845EA1"/>
    <w:rsid w:val="00846543"/>
    <w:rsid w:val="00846C1C"/>
    <w:rsid w:val="008507BA"/>
    <w:rsid w:val="00850B7E"/>
    <w:rsid w:val="00851513"/>
    <w:rsid w:val="00851B92"/>
    <w:rsid w:val="00853386"/>
    <w:rsid w:val="008538B2"/>
    <w:rsid w:val="0085397F"/>
    <w:rsid w:val="00853E85"/>
    <w:rsid w:val="00854128"/>
    <w:rsid w:val="0085502A"/>
    <w:rsid w:val="00855BAF"/>
    <w:rsid w:val="00855FC7"/>
    <w:rsid w:val="00857465"/>
    <w:rsid w:val="0086083A"/>
    <w:rsid w:val="00860BBD"/>
    <w:rsid w:val="00860FC8"/>
    <w:rsid w:val="008612E9"/>
    <w:rsid w:val="00862059"/>
    <w:rsid w:val="00862D50"/>
    <w:rsid w:val="0086300E"/>
    <w:rsid w:val="0086381B"/>
    <w:rsid w:val="008655F6"/>
    <w:rsid w:val="008656EF"/>
    <w:rsid w:val="00865838"/>
    <w:rsid w:val="00865A44"/>
    <w:rsid w:val="00865A96"/>
    <w:rsid w:val="008660C0"/>
    <w:rsid w:val="0086642C"/>
    <w:rsid w:val="008669D5"/>
    <w:rsid w:val="00866F71"/>
    <w:rsid w:val="00867CD1"/>
    <w:rsid w:val="00867E29"/>
    <w:rsid w:val="008717DF"/>
    <w:rsid w:val="0087222C"/>
    <w:rsid w:val="008729E5"/>
    <w:rsid w:val="00872B2B"/>
    <w:rsid w:val="00873AB0"/>
    <w:rsid w:val="00873DEE"/>
    <w:rsid w:val="00873E1E"/>
    <w:rsid w:val="00873FAB"/>
    <w:rsid w:val="008744D5"/>
    <w:rsid w:val="00876498"/>
    <w:rsid w:val="00876D85"/>
    <w:rsid w:val="00876FBF"/>
    <w:rsid w:val="008775C6"/>
    <w:rsid w:val="00880CD5"/>
    <w:rsid w:val="00880E11"/>
    <w:rsid w:val="00880E5E"/>
    <w:rsid w:val="0088153A"/>
    <w:rsid w:val="00881907"/>
    <w:rsid w:val="00881EEB"/>
    <w:rsid w:val="0088223E"/>
    <w:rsid w:val="00883508"/>
    <w:rsid w:val="008835C8"/>
    <w:rsid w:val="0088394B"/>
    <w:rsid w:val="00883AE9"/>
    <w:rsid w:val="00883F56"/>
    <w:rsid w:val="0088504A"/>
    <w:rsid w:val="0088531E"/>
    <w:rsid w:val="008858A1"/>
    <w:rsid w:val="00885B9D"/>
    <w:rsid w:val="00885D15"/>
    <w:rsid w:val="008867E4"/>
    <w:rsid w:val="00887CBF"/>
    <w:rsid w:val="00887D8C"/>
    <w:rsid w:val="00887E4D"/>
    <w:rsid w:val="008906DE"/>
    <w:rsid w:val="00890B81"/>
    <w:rsid w:val="00890EE2"/>
    <w:rsid w:val="0089159C"/>
    <w:rsid w:val="00891838"/>
    <w:rsid w:val="008927D7"/>
    <w:rsid w:val="00893836"/>
    <w:rsid w:val="00895A3D"/>
    <w:rsid w:val="008967BA"/>
    <w:rsid w:val="0089721A"/>
    <w:rsid w:val="008A0E1F"/>
    <w:rsid w:val="008A1B52"/>
    <w:rsid w:val="008A1D44"/>
    <w:rsid w:val="008A269D"/>
    <w:rsid w:val="008A272A"/>
    <w:rsid w:val="008A2812"/>
    <w:rsid w:val="008A36D5"/>
    <w:rsid w:val="008A3E21"/>
    <w:rsid w:val="008A67B2"/>
    <w:rsid w:val="008A7039"/>
    <w:rsid w:val="008A7EEE"/>
    <w:rsid w:val="008B1357"/>
    <w:rsid w:val="008B1A64"/>
    <w:rsid w:val="008B2293"/>
    <w:rsid w:val="008B2E48"/>
    <w:rsid w:val="008B48E4"/>
    <w:rsid w:val="008B5083"/>
    <w:rsid w:val="008B5189"/>
    <w:rsid w:val="008B547A"/>
    <w:rsid w:val="008B577F"/>
    <w:rsid w:val="008B63C6"/>
    <w:rsid w:val="008B7233"/>
    <w:rsid w:val="008B7690"/>
    <w:rsid w:val="008C021B"/>
    <w:rsid w:val="008C1039"/>
    <w:rsid w:val="008C21E3"/>
    <w:rsid w:val="008C28AB"/>
    <w:rsid w:val="008C3D0D"/>
    <w:rsid w:val="008C3E4F"/>
    <w:rsid w:val="008C45B7"/>
    <w:rsid w:val="008C49BA"/>
    <w:rsid w:val="008C4CFA"/>
    <w:rsid w:val="008C56B4"/>
    <w:rsid w:val="008C631C"/>
    <w:rsid w:val="008C6855"/>
    <w:rsid w:val="008C7BCA"/>
    <w:rsid w:val="008D09F1"/>
    <w:rsid w:val="008D0A42"/>
    <w:rsid w:val="008D0FDD"/>
    <w:rsid w:val="008D13EB"/>
    <w:rsid w:val="008D1E0D"/>
    <w:rsid w:val="008D1E1F"/>
    <w:rsid w:val="008D36AC"/>
    <w:rsid w:val="008D38B5"/>
    <w:rsid w:val="008D3D91"/>
    <w:rsid w:val="008D439A"/>
    <w:rsid w:val="008D4E63"/>
    <w:rsid w:val="008D61FB"/>
    <w:rsid w:val="008D7434"/>
    <w:rsid w:val="008D7E00"/>
    <w:rsid w:val="008E0593"/>
    <w:rsid w:val="008E088B"/>
    <w:rsid w:val="008E0F35"/>
    <w:rsid w:val="008E113C"/>
    <w:rsid w:val="008E11CB"/>
    <w:rsid w:val="008E1C40"/>
    <w:rsid w:val="008E3A2C"/>
    <w:rsid w:val="008E3C86"/>
    <w:rsid w:val="008E4CC9"/>
    <w:rsid w:val="008E57E8"/>
    <w:rsid w:val="008E5977"/>
    <w:rsid w:val="008E64BF"/>
    <w:rsid w:val="008E6607"/>
    <w:rsid w:val="008E782F"/>
    <w:rsid w:val="008E7A6A"/>
    <w:rsid w:val="008E7B25"/>
    <w:rsid w:val="008E7E1B"/>
    <w:rsid w:val="008F1763"/>
    <w:rsid w:val="008F1A9D"/>
    <w:rsid w:val="008F27B0"/>
    <w:rsid w:val="008F35EA"/>
    <w:rsid w:val="008F52DC"/>
    <w:rsid w:val="008F54B2"/>
    <w:rsid w:val="008F5502"/>
    <w:rsid w:val="008F59DA"/>
    <w:rsid w:val="008F5A74"/>
    <w:rsid w:val="008F5F8A"/>
    <w:rsid w:val="008F621A"/>
    <w:rsid w:val="008F6BFD"/>
    <w:rsid w:val="008F6C2F"/>
    <w:rsid w:val="008F7D43"/>
    <w:rsid w:val="00900357"/>
    <w:rsid w:val="009004B7"/>
    <w:rsid w:val="009014D6"/>
    <w:rsid w:val="00901A4D"/>
    <w:rsid w:val="0090243E"/>
    <w:rsid w:val="00902573"/>
    <w:rsid w:val="00903C8C"/>
    <w:rsid w:val="00904255"/>
    <w:rsid w:val="00904380"/>
    <w:rsid w:val="009043AB"/>
    <w:rsid w:val="00904FD5"/>
    <w:rsid w:val="0090511C"/>
    <w:rsid w:val="0090532B"/>
    <w:rsid w:val="00905CEE"/>
    <w:rsid w:val="00905F6D"/>
    <w:rsid w:val="009104C5"/>
    <w:rsid w:val="00910604"/>
    <w:rsid w:val="0091062C"/>
    <w:rsid w:val="0091067C"/>
    <w:rsid w:val="00910737"/>
    <w:rsid w:val="00911B80"/>
    <w:rsid w:val="00912577"/>
    <w:rsid w:val="00912718"/>
    <w:rsid w:val="00912DF9"/>
    <w:rsid w:val="00912FD3"/>
    <w:rsid w:val="00913A68"/>
    <w:rsid w:val="009141B9"/>
    <w:rsid w:val="00915626"/>
    <w:rsid w:val="00915679"/>
    <w:rsid w:val="00915F79"/>
    <w:rsid w:val="00916076"/>
    <w:rsid w:val="00916458"/>
    <w:rsid w:val="00916D59"/>
    <w:rsid w:val="00916FD8"/>
    <w:rsid w:val="009174F8"/>
    <w:rsid w:val="0092022F"/>
    <w:rsid w:val="009205C3"/>
    <w:rsid w:val="00920738"/>
    <w:rsid w:val="009214A9"/>
    <w:rsid w:val="0092152F"/>
    <w:rsid w:val="0092156C"/>
    <w:rsid w:val="00921A0F"/>
    <w:rsid w:val="00921BC8"/>
    <w:rsid w:val="00921C5C"/>
    <w:rsid w:val="00921D71"/>
    <w:rsid w:val="0092315D"/>
    <w:rsid w:val="009233FE"/>
    <w:rsid w:val="00923414"/>
    <w:rsid w:val="00923AE8"/>
    <w:rsid w:val="00924425"/>
    <w:rsid w:val="00924E48"/>
    <w:rsid w:val="009250AB"/>
    <w:rsid w:val="0092545A"/>
    <w:rsid w:val="00925F17"/>
    <w:rsid w:val="00925FA6"/>
    <w:rsid w:val="00926198"/>
    <w:rsid w:val="0092667A"/>
    <w:rsid w:val="009268D9"/>
    <w:rsid w:val="0092767D"/>
    <w:rsid w:val="00927A94"/>
    <w:rsid w:val="0093025C"/>
    <w:rsid w:val="009306AA"/>
    <w:rsid w:val="009322CB"/>
    <w:rsid w:val="00932C49"/>
    <w:rsid w:val="00932F81"/>
    <w:rsid w:val="00933F7F"/>
    <w:rsid w:val="00934423"/>
    <w:rsid w:val="00934439"/>
    <w:rsid w:val="00934795"/>
    <w:rsid w:val="00934D09"/>
    <w:rsid w:val="00934FB1"/>
    <w:rsid w:val="00935232"/>
    <w:rsid w:val="00935773"/>
    <w:rsid w:val="009359A1"/>
    <w:rsid w:val="0094065A"/>
    <w:rsid w:val="00941054"/>
    <w:rsid w:val="009416D4"/>
    <w:rsid w:val="00941940"/>
    <w:rsid w:val="00941C9A"/>
    <w:rsid w:val="00942B07"/>
    <w:rsid w:val="00942E96"/>
    <w:rsid w:val="00942F90"/>
    <w:rsid w:val="00943AF3"/>
    <w:rsid w:val="0094470E"/>
    <w:rsid w:val="00945000"/>
    <w:rsid w:val="00945328"/>
    <w:rsid w:val="009460A5"/>
    <w:rsid w:val="00946187"/>
    <w:rsid w:val="00946558"/>
    <w:rsid w:val="00946B66"/>
    <w:rsid w:val="00947241"/>
    <w:rsid w:val="0094762A"/>
    <w:rsid w:val="00947771"/>
    <w:rsid w:val="009507A2"/>
    <w:rsid w:val="00950AB8"/>
    <w:rsid w:val="009512A0"/>
    <w:rsid w:val="0095170A"/>
    <w:rsid w:val="00952DF7"/>
    <w:rsid w:val="00952F79"/>
    <w:rsid w:val="009531C2"/>
    <w:rsid w:val="0095450E"/>
    <w:rsid w:val="009548E9"/>
    <w:rsid w:val="00954DDB"/>
    <w:rsid w:val="009555E1"/>
    <w:rsid w:val="00955C9F"/>
    <w:rsid w:val="00955E1E"/>
    <w:rsid w:val="00955ECF"/>
    <w:rsid w:val="00955F73"/>
    <w:rsid w:val="00956123"/>
    <w:rsid w:val="0095702C"/>
    <w:rsid w:val="0096085C"/>
    <w:rsid w:val="0096122B"/>
    <w:rsid w:val="00961420"/>
    <w:rsid w:val="00961778"/>
    <w:rsid w:val="00961D19"/>
    <w:rsid w:val="0096352A"/>
    <w:rsid w:val="00963896"/>
    <w:rsid w:val="0096522F"/>
    <w:rsid w:val="009663FD"/>
    <w:rsid w:val="009664BA"/>
    <w:rsid w:val="0096663C"/>
    <w:rsid w:val="00966E19"/>
    <w:rsid w:val="00967228"/>
    <w:rsid w:val="00970000"/>
    <w:rsid w:val="009705C5"/>
    <w:rsid w:val="00970901"/>
    <w:rsid w:val="00971195"/>
    <w:rsid w:val="00971388"/>
    <w:rsid w:val="00974088"/>
    <w:rsid w:val="009744D9"/>
    <w:rsid w:val="00974739"/>
    <w:rsid w:val="00974C3D"/>
    <w:rsid w:val="00974E55"/>
    <w:rsid w:val="00975795"/>
    <w:rsid w:val="00975EFA"/>
    <w:rsid w:val="00980686"/>
    <w:rsid w:val="009808DF"/>
    <w:rsid w:val="00981798"/>
    <w:rsid w:val="00982055"/>
    <w:rsid w:val="009824D9"/>
    <w:rsid w:val="0098330F"/>
    <w:rsid w:val="00983725"/>
    <w:rsid w:val="00983888"/>
    <w:rsid w:val="00983F69"/>
    <w:rsid w:val="0098405C"/>
    <w:rsid w:val="00984530"/>
    <w:rsid w:val="00986365"/>
    <w:rsid w:val="00986E0F"/>
    <w:rsid w:val="00986F22"/>
    <w:rsid w:val="009870F2"/>
    <w:rsid w:val="009872DF"/>
    <w:rsid w:val="009878E4"/>
    <w:rsid w:val="00987A49"/>
    <w:rsid w:val="009903A9"/>
    <w:rsid w:val="009910A5"/>
    <w:rsid w:val="009911B6"/>
    <w:rsid w:val="00991622"/>
    <w:rsid w:val="00991650"/>
    <w:rsid w:val="00991CF5"/>
    <w:rsid w:val="0099202B"/>
    <w:rsid w:val="0099287D"/>
    <w:rsid w:val="00993084"/>
    <w:rsid w:val="009932B7"/>
    <w:rsid w:val="009950D6"/>
    <w:rsid w:val="009963C8"/>
    <w:rsid w:val="00996445"/>
    <w:rsid w:val="009969B6"/>
    <w:rsid w:val="0099735A"/>
    <w:rsid w:val="00997792"/>
    <w:rsid w:val="0099789D"/>
    <w:rsid w:val="0099792C"/>
    <w:rsid w:val="009A02A5"/>
    <w:rsid w:val="009A02A7"/>
    <w:rsid w:val="009A043B"/>
    <w:rsid w:val="009A0E36"/>
    <w:rsid w:val="009A1416"/>
    <w:rsid w:val="009A19D1"/>
    <w:rsid w:val="009A1BA8"/>
    <w:rsid w:val="009A333D"/>
    <w:rsid w:val="009A3BCB"/>
    <w:rsid w:val="009A4331"/>
    <w:rsid w:val="009A6610"/>
    <w:rsid w:val="009A7A24"/>
    <w:rsid w:val="009A7B36"/>
    <w:rsid w:val="009A7E86"/>
    <w:rsid w:val="009B00AF"/>
    <w:rsid w:val="009B0D11"/>
    <w:rsid w:val="009B0F01"/>
    <w:rsid w:val="009B18BE"/>
    <w:rsid w:val="009B2133"/>
    <w:rsid w:val="009B24B8"/>
    <w:rsid w:val="009B3208"/>
    <w:rsid w:val="009B3436"/>
    <w:rsid w:val="009B3519"/>
    <w:rsid w:val="009B3CF2"/>
    <w:rsid w:val="009B4058"/>
    <w:rsid w:val="009B4761"/>
    <w:rsid w:val="009B5ECA"/>
    <w:rsid w:val="009B6247"/>
    <w:rsid w:val="009B6FEE"/>
    <w:rsid w:val="009C0911"/>
    <w:rsid w:val="009C21C8"/>
    <w:rsid w:val="009C2A73"/>
    <w:rsid w:val="009C442E"/>
    <w:rsid w:val="009C492E"/>
    <w:rsid w:val="009C4ABC"/>
    <w:rsid w:val="009C4F69"/>
    <w:rsid w:val="009C50A4"/>
    <w:rsid w:val="009C513A"/>
    <w:rsid w:val="009C5B38"/>
    <w:rsid w:val="009C6078"/>
    <w:rsid w:val="009C6938"/>
    <w:rsid w:val="009C7086"/>
    <w:rsid w:val="009D0DAA"/>
    <w:rsid w:val="009D11FC"/>
    <w:rsid w:val="009D2BB0"/>
    <w:rsid w:val="009D2D34"/>
    <w:rsid w:val="009D3B9C"/>
    <w:rsid w:val="009D3C49"/>
    <w:rsid w:val="009D3D6A"/>
    <w:rsid w:val="009D4556"/>
    <w:rsid w:val="009D547A"/>
    <w:rsid w:val="009D5483"/>
    <w:rsid w:val="009D5B11"/>
    <w:rsid w:val="009D5F0E"/>
    <w:rsid w:val="009D5F29"/>
    <w:rsid w:val="009D6069"/>
    <w:rsid w:val="009D68C7"/>
    <w:rsid w:val="009D6BDB"/>
    <w:rsid w:val="009D6D5B"/>
    <w:rsid w:val="009D7222"/>
    <w:rsid w:val="009D7646"/>
    <w:rsid w:val="009E0373"/>
    <w:rsid w:val="009E1FD8"/>
    <w:rsid w:val="009E272B"/>
    <w:rsid w:val="009E379D"/>
    <w:rsid w:val="009E422D"/>
    <w:rsid w:val="009E46B4"/>
    <w:rsid w:val="009E5677"/>
    <w:rsid w:val="009E64F6"/>
    <w:rsid w:val="009E7E80"/>
    <w:rsid w:val="009F0051"/>
    <w:rsid w:val="009F0835"/>
    <w:rsid w:val="009F0986"/>
    <w:rsid w:val="009F159F"/>
    <w:rsid w:val="009F2DA9"/>
    <w:rsid w:val="009F2E4A"/>
    <w:rsid w:val="009F2EEB"/>
    <w:rsid w:val="009F32EA"/>
    <w:rsid w:val="009F366C"/>
    <w:rsid w:val="009F3B24"/>
    <w:rsid w:val="009F3F0B"/>
    <w:rsid w:val="009F5078"/>
    <w:rsid w:val="009F5665"/>
    <w:rsid w:val="009F64D2"/>
    <w:rsid w:val="009F6D2D"/>
    <w:rsid w:val="009F7334"/>
    <w:rsid w:val="009F7DE2"/>
    <w:rsid w:val="00A00775"/>
    <w:rsid w:val="00A00802"/>
    <w:rsid w:val="00A008E1"/>
    <w:rsid w:val="00A01F77"/>
    <w:rsid w:val="00A02248"/>
    <w:rsid w:val="00A02FBC"/>
    <w:rsid w:val="00A03921"/>
    <w:rsid w:val="00A044DF"/>
    <w:rsid w:val="00A04873"/>
    <w:rsid w:val="00A05E53"/>
    <w:rsid w:val="00A0670D"/>
    <w:rsid w:val="00A0687E"/>
    <w:rsid w:val="00A074C6"/>
    <w:rsid w:val="00A077DA"/>
    <w:rsid w:val="00A07881"/>
    <w:rsid w:val="00A07E38"/>
    <w:rsid w:val="00A1023C"/>
    <w:rsid w:val="00A10381"/>
    <w:rsid w:val="00A10D76"/>
    <w:rsid w:val="00A11252"/>
    <w:rsid w:val="00A11FBD"/>
    <w:rsid w:val="00A1249E"/>
    <w:rsid w:val="00A13831"/>
    <w:rsid w:val="00A13D25"/>
    <w:rsid w:val="00A1408A"/>
    <w:rsid w:val="00A153F1"/>
    <w:rsid w:val="00A15E50"/>
    <w:rsid w:val="00A16172"/>
    <w:rsid w:val="00A161DE"/>
    <w:rsid w:val="00A16281"/>
    <w:rsid w:val="00A16D8F"/>
    <w:rsid w:val="00A200BE"/>
    <w:rsid w:val="00A2062C"/>
    <w:rsid w:val="00A2078F"/>
    <w:rsid w:val="00A20C0C"/>
    <w:rsid w:val="00A21C30"/>
    <w:rsid w:val="00A222F4"/>
    <w:rsid w:val="00A22604"/>
    <w:rsid w:val="00A24524"/>
    <w:rsid w:val="00A24E71"/>
    <w:rsid w:val="00A256DC"/>
    <w:rsid w:val="00A257C2"/>
    <w:rsid w:val="00A25903"/>
    <w:rsid w:val="00A259F0"/>
    <w:rsid w:val="00A25C25"/>
    <w:rsid w:val="00A263E7"/>
    <w:rsid w:val="00A27FB9"/>
    <w:rsid w:val="00A30E5A"/>
    <w:rsid w:val="00A3225C"/>
    <w:rsid w:val="00A32492"/>
    <w:rsid w:val="00A32562"/>
    <w:rsid w:val="00A32DAB"/>
    <w:rsid w:val="00A32E6F"/>
    <w:rsid w:val="00A332B3"/>
    <w:rsid w:val="00A34B41"/>
    <w:rsid w:val="00A34C18"/>
    <w:rsid w:val="00A357EC"/>
    <w:rsid w:val="00A35F45"/>
    <w:rsid w:val="00A35F6E"/>
    <w:rsid w:val="00A37BFC"/>
    <w:rsid w:val="00A4025B"/>
    <w:rsid w:val="00A40307"/>
    <w:rsid w:val="00A40AFF"/>
    <w:rsid w:val="00A40BFD"/>
    <w:rsid w:val="00A42911"/>
    <w:rsid w:val="00A429E5"/>
    <w:rsid w:val="00A4367C"/>
    <w:rsid w:val="00A43D08"/>
    <w:rsid w:val="00A43EFB"/>
    <w:rsid w:val="00A44BBD"/>
    <w:rsid w:val="00A462CA"/>
    <w:rsid w:val="00A4690D"/>
    <w:rsid w:val="00A46B7C"/>
    <w:rsid w:val="00A47E98"/>
    <w:rsid w:val="00A50ABB"/>
    <w:rsid w:val="00A50D92"/>
    <w:rsid w:val="00A50E80"/>
    <w:rsid w:val="00A51102"/>
    <w:rsid w:val="00A518C6"/>
    <w:rsid w:val="00A51CCD"/>
    <w:rsid w:val="00A52A49"/>
    <w:rsid w:val="00A53212"/>
    <w:rsid w:val="00A53483"/>
    <w:rsid w:val="00A53C3A"/>
    <w:rsid w:val="00A53CBC"/>
    <w:rsid w:val="00A547A7"/>
    <w:rsid w:val="00A5514B"/>
    <w:rsid w:val="00A552FF"/>
    <w:rsid w:val="00A56141"/>
    <w:rsid w:val="00A5641E"/>
    <w:rsid w:val="00A5687D"/>
    <w:rsid w:val="00A57346"/>
    <w:rsid w:val="00A60576"/>
    <w:rsid w:val="00A61AB5"/>
    <w:rsid w:val="00A62BA1"/>
    <w:rsid w:val="00A62FCB"/>
    <w:rsid w:val="00A63642"/>
    <w:rsid w:val="00A63BC6"/>
    <w:rsid w:val="00A64CC5"/>
    <w:rsid w:val="00A66869"/>
    <w:rsid w:val="00A66F42"/>
    <w:rsid w:val="00A7082C"/>
    <w:rsid w:val="00A70B33"/>
    <w:rsid w:val="00A71475"/>
    <w:rsid w:val="00A71A6F"/>
    <w:rsid w:val="00A71CDD"/>
    <w:rsid w:val="00A72757"/>
    <w:rsid w:val="00A7377C"/>
    <w:rsid w:val="00A74C86"/>
    <w:rsid w:val="00A75DF1"/>
    <w:rsid w:val="00A75E2F"/>
    <w:rsid w:val="00A7625C"/>
    <w:rsid w:val="00A76638"/>
    <w:rsid w:val="00A76FB0"/>
    <w:rsid w:val="00A77405"/>
    <w:rsid w:val="00A77F9D"/>
    <w:rsid w:val="00A80373"/>
    <w:rsid w:val="00A8136D"/>
    <w:rsid w:val="00A827CE"/>
    <w:rsid w:val="00A834FB"/>
    <w:rsid w:val="00A83CFC"/>
    <w:rsid w:val="00A83DA9"/>
    <w:rsid w:val="00A83FE0"/>
    <w:rsid w:val="00A84604"/>
    <w:rsid w:val="00A84797"/>
    <w:rsid w:val="00A847A4"/>
    <w:rsid w:val="00A84B58"/>
    <w:rsid w:val="00A84CB7"/>
    <w:rsid w:val="00A84F60"/>
    <w:rsid w:val="00A85100"/>
    <w:rsid w:val="00A85845"/>
    <w:rsid w:val="00A90DE8"/>
    <w:rsid w:val="00A910DC"/>
    <w:rsid w:val="00A9117A"/>
    <w:rsid w:val="00A911AB"/>
    <w:rsid w:val="00A91258"/>
    <w:rsid w:val="00A91398"/>
    <w:rsid w:val="00A91C5B"/>
    <w:rsid w:val="00A92E64"/>
    <w:rsid w:val="00A93AE3"/>
    <w:rsid w:val="00A94661"/>
    <w:rsid w:val="00A946DF"/>
    <w:rsid w:val="00A95C0D"/>
    <w:rsid w:val="00A96807"/>
    <w:rsid w:val="00A97E47"/>
    <w:rsid w:val="00AA2019"/>
    <w:rsid w:val="00AA2E93"/>
    <w:rsid w:val="00AA36CD"/>
    <w:rsid w:val="00AA3AFD"/>
    <w:rsid w:val="00AA3DE7"/>
    <w:rsid w:val="00AA3E6D"/>
    <w:rsid w:val="00AA417A"/>
    <w:rsid w:val="00AA4705"/>
    <w:rsid w:val="00AA4A4A"/>
    <w:rsid w:val="00AA4B7B"/>
    <w:rsid w:val="00AA5177"/>
    <w:rsid w:val="00AA54BE"/>
    <w:rsid w:val="00AA5B74"/>
    <w:rsid w:val="00AA5EC1"/>
    <w:rsid w:val="00AA68D0"/>
    <w:rsid w:val="00AA73ED"/>
    <w:rsid w:val="00AA78BE"/>
    <w:rsid w:val="00AB0A14"/>
    <w:rsid w:val="00AB13DF"/>
    <w:rsid w:val="00AB1E10"/>
    <w:rsid w:val="00AB2F78"/>
    <w:rsid w:val="00AB3045"/>
    <w:rsid w:val="00AB3ABD"/>
    <w:rsid w:val="00AB44FB"/>
    <w:rsid w:val="00AB4DCE"/>
    <w:rsid w:val="00AB4E19"/>
    <w:rsid w:val="00AB573A"/>
    <w:rsid w:val="00AB5B50"/>
    <w:rsid w:val="00AB5D87"/>
    <w:rsid w:val="00AB72E2"/>
    <w:rsid w:val="00AB72E6"/>
    <w:rsid w:val="00AB7602"/>
    <w:rsid w:val="00AC0AF0"/>
    <w:rsid w:val="00AC0B7D"/>
    <w:rsid w:val="00AC1561"/>
    <w:rsid w:val="00AC1936"/>
    <w:rsid w:val="00AC1B8B"/>
    <w:rsid w:val="00AC24DE"/>
    <w:rsid w:val="00AC289E"/>
    <w:rsid w:val="00AC30B3"/>
    <w:rsid w:val="00AC3F53"/>
    <w:rsid w:val="00AC42DA"/>
    <w:rsid w:val="00AC45E4"/>
    <w:rsid w:val="00AC4997"/>
    <w:rsid w:val="00AC4E70"/>
    <w:rsid w:val="00AC530A"/>
    <w:rsid w:val="00AC6EAA"/>
    <w:rsid w:val="00AC72E8"/>
    <w:rsid w:val="00AC7487"/>
    <w:rsid w:val="00AC7724"/>
    <w:rsid w:val="00AC7DD3"/>
    <w:rsid w:val="00AD0663"/>
    <w:rsid w:val="00AD0D38"/>
    <w:rsid w:val="00AD122B"/>
    <w:rsid w:val="00AD1389"/>
    <w:rsid w:val="00AD16A6"/>
    <w:rsid w:val="00AD174D"/>
    <w:rsid w:val="00AD2C17"/>
    <w:rsid w:val="00AD2C32"/>
    <w:rsid w:val="00AD2F8C"/>
    <w:rsid w:val="00AD3D7F"/>
    <w:rsid w:val="00AD4E89"/>
    <w:rsid w:val="00AD4F5F"/>
    <w:rsid w:val="00AD5AC9"/>
    <w:rsid w:val="00AD60D7"/>
    <w:rsid w:val="00AD6F23"/>
    <w:rsid w:val="00AD7034"/>
    <w:rsid w:val="00AD7919"/>
    <w:rsid w:val="00AD7C2E"/>
    <w:rsid w:val="00AE0D06"/>
    <w:rsid w:val="00AE0DAB"/>
    <w:rsid w:val="00AE12FB"/>
    <w:rsid w:val="00AE261D"/>
    <w:rsid w:val="00AE2654"/>
    <w:rsid w:val="00AE3D40"/>
    <w:rsid w:val="00AE3F43"/>
    <w:rsid w:val="00AE4156"/>
    <w:rsid w:val="00AE48AD"/>
    <w:rsid w:val="00AE4C29"/>
    <w:rsid w:val="00AE564C"/>
    <w:rsid w:val="00AE599C"/>
    <w:rsid w:val="00AE59EB"/>
    <w:rsid w:val="00AE5B30"/>
    <w:rsid w:val="00AE5B6C"/>
    <w:rsid w:val="00AE6B6B"/>
    <w:rsid w:val="00AE75F0"/>
    <w:rsid w:val="00AF05F4"/>
    <w:rsid w:val="00AF291B"/>
    <w:rsid w:val="00AF2B6A"/>
    <w:rsid w:val="00AF347E"/>
    <w:rsid w:val="00AF34A1"/>
    <w:rsid w:val="00AF34ED"/>
    <w:rsid w:val="00AF4A14"/>
    <w:rsid w:val="00AF59E8"/>
    <w:rsid w:val="00AF6316"/>
    <w:rsid w:val="00AF6E6B"/>
    <w:rsid w:val="00AF76DB"/>
    <w:rsid w:val="00AF7D11"/>
    <w:rsid w:val="00B00F8D"/>
    <w:rsid w:val="00B01013"/>
    <w:rsid w:val="00B01251"/>
    <w:rsid w:val="00B0269E"/>
    <w:rsid w:val="00B0286F"/>
    <w:rsid w:val="00B02E80"/>
    <w:rsid w:val="00B03292"/>
    <w:rsid w:val="00B03301"/>
    <w:rsid w:val="00B05977"/>
    <w:rsid w:val="00B05CF2"/>
    <w:rsid w:val="00B07138"/>
    <w:rsid w:val="00B07524"/>
    <w:rsid w:val="00B1027C"/>
    <w:rsid w:val="00B11406"/>
    <w:rsid w:val="00B12363"/>
    <w:rsid w:val="00B12972"/>
    <w:rsid w:val="00B129BD"/>
    <w:rsid w:val="00B12B11"/>
    <w:rsid w:val="00B132F2"/>
    <w:rsid w:val="00B13A0A"/>
    <w:rsid w:val="00B13EFA"/>
    <w:rsid w:val="00B145C3"/>
    <w:rsid w:val="00B14E90"/>
    <w:rsid w:val="00B15B0D"/>
    <w:rsid w:val="00B15EAB"/>
    <w:rsid w:val="00B1609D"/>
    <w:rsid w:val="00B16F4C"/>
    <w:rsid w:val="00B16FBA"/>
    <w:rsid w:val="00B17DA1"/>
    <w:rsid w:val="00B17FD0"/>
    <w:rsid w:val="00B206BE"/>
    <w:rsid w:val="00B215E9"/>
    <w:rsid w:val="00B2193D"/>
    <w:rsid w:val="00B21BCA"/>
    <w:rsid w:val="00B21D4D"/>
    <w:rsid w:val="00B21F99"/>
    <w:rsid w:val="00B22406"/>
    <w:rsid w:val="00B228A1"/>
    <w:rsid w:val="00B228AA"/>
    <w:rsid w:val="00B22E3F"/>
    <w:rsid w:val="00B25450"/>
    <w:rsid w:val="00B27BA8"/>
    <w:rsid w:val="00B30677"/>
    <w:rsid w:val="00B30B0F"/>
    <w:rsid w:val="00B30B2E"/>
    <w:rsid w:val="00B30CBE"/>
    <w:rsid w:val="00B31317"/>
    <w:rsid w:val="00B31604"/>
    <w:rsid w:val="00B31A2B"/>
    <w:rsid w:val="00B32058"/>
    <w:rsid w:val="00B331AD"/>
    <w:rsid w:val="00B335D0"/>
    <w:rsid w:val="00B33DA7"/>
    <w:rsid w:val="00B33F7C"/>
    <w:rsid w:val="00B34108"/>
    <w:rsid w:val="00B348CC"/>
    <w:rsid w:val="00B35060"/>
    <w:rsid w:val="00B359E8"/>
    <w:rsid w:val="00B35B92"/>
    <w:rsid w:val="00B36116"/>
    <w:rsid w:val="00B372EE"/>
    <w:rsid w:val="00B37FC4"/>
    <w:rsid w:val="00B400D3"/>
    <w:rsid w:val="00B407D0"/>
    <w:rsid w:val="00B40F4C"/>
    <w:rsid w:val="00B4192E"/>
    <w:rsid w:val="00B427F8"/>
    <w:rsid w:val="00B4291A"/>
    <w:rsid w:val="00B4313C"/>
    <w:rsid w:val="00B44DBA"/>
    <w:rsid w:val="00B4508C"/>
    <w:rsid w:val="00B45262"/>
    <w:rsid w:val="00B452AE"/>
    <w:rsid w:val="00B459DC"/>
    <w:rsid w:val="00B45C5E"/>
    <w:rsid w:val="00B45EBD"/>
    <w:rsid w:val="00B45EEF"/>
    <w:rsid w:val="00B4641C"/>
    <w:rsid w:val="00B46966"/>
    <w:rsid w:val="00B46A91"/>
    <w:rsid w:val="00B46BE1"/>
    <w:rsid w:val="00B46D64"/>
    <w:rsid w:val="00B47FF2"/>
    <w:rsid w:val="00B500CE"/>
    <w:rsid w:val="00B50635"/>
    <w:rsid w:val="00B508A0"/>
    <w:rsid w:val="00B51B90"/>
    <w:rsid w:val="00B51F80"/>
    <w:rsid w:val="00B52670"/>
    <w:rsid w:val="00B5293A"/>
    <w:rsid w:val="00B530BA"/>
    <w:rsid w:val="00B53A5D"/>
    <w:rsid w:val="00B54631"/>
    <w:rsid w:val="00B54975"/>
    <w:rsid w:val="00B556DE"/>
    <w:rsid w:val="00B55E90"/>
    <w:rsid w:val="00B5622F"/>
    <w:rsid w:val="00B56A40"/>
    <w:rsid w:val="00B56B08"/>
    <w:rsid w:val="00B576EF"/>
    <w:rsid w:val="00B5770E"/>
    <w:rsid w:val="00B57B96"/>
    <w:rsid w:val="00B57FE2"/>
    <w:rsid w:val="00B612B1"/>
    <w:rsid w:val="00B613A2"/>
    <w:rsid w:val="00B618F9"/>
    <w:rsid w:val="00B61E35"/>
    <w:rsid w:val="00B62CD0"/>
    <w:rsid w:val="00B62E12"/>
    <w:rsid w:val="00B62FD7"/>
    <w:rsid w:val="00B630AD"/>
    <w:rsid w:val="00B63382"/>
    <w:rsid w:val="00B635A3"/>
    <w:rsid w:val="00B6364F"/>
    <w:rsid w:val="00B645C2"/>
    <w:rsid w:val="00B64805"/>
    <w:rsid w:val="00B649C3"/>
    <w:rsid w:val="00B65163"/>
    <w:rsid w:val="00B651E4"/>
    <w:rsid w:val="00B655AD"/>
    <w:rsid w:val="00B65D08"/>
    <w:rsid w:val="00B65D4A"/>
    <w:rsid w:val="00B6614E"/>
    <w:rsid w:val="00B66429"/>
    <w:rsid w:val="00B668D7"/>
    <w:rsid w:val="00B66A45"/>
    <w:rsid w:val="00B66DCE"/>
    <w:rsid w:val="00B67004"/>
    <w:rsid w:val="00B6719C"/>
    <w:rsid w:val="00B671CC"/>
    <w:rsid w:val="00B70500"/>
    <w:rsid w:val="00B70FFA"/>
    <w:rsid w:val="00B7124C"/>
    <w:rsid w:val="00B71B77"/>
    <w:rsid w:val="00B72421"/>
    <w:rsid w:val="00B72840"/>
    <w:rsid w:val="00B73D55"/>
    <w:rsid w:val="00B73E1C"/>
    <w:rsid w:val="00B74087"/>
    <w:rsid w:val="00B7467C"/>
    <w:rsid w:val="00B756D7"/>
    <w:rsid w:val="00B7585C"/>
    <w:rsid w:val="00B76481"/>
    <w:rsid w:val="00B764EE"/>
    <w:rsid w:val="00B7697D"/>
    <w:rsid w:val="00B76AD6"/>
    <w:rsid w:val="00B76FF0"/>
    <w:rsid w:val="00B77182"/>
    <w:rsid w:val="00B773DE"/>
    <w:rsid w:val="00B77831"/>
    <w:rsid w:val="00B778FD"/>
    <w:rsid w:val="00B77B97"/>
    <w:rsid w:val="00B77DE8"/>
    <w:rsid w:val="00B77E3B"/>
    <w:rsid w:val="00B80CBD"/>
    <w:rsid w:val="00B81194"/>
    <w:rsid w:val="00B81496"/>
    <w:rsid w:val="00B82681"/>
    <w:rsid w:val="00B826FF"/>
    <w:rsid w:val="00B82A28"/>
    <w:rsid w:val="00B82E9A"/>
    <w:rsid w:val="00B83290"/>
    <w:rsid w:val="00B839AD"/>
    <w:rsid w:val="00B839B4"/>
    <w:rsid w:val="00B84C23"/>
    <w:rsid w:val="00B84DFA"/>
    <w:rsid w:val="00B84FC8"/>
    <w:rsid w:val="00B855D3"/>
    <w:rsid w:val="00B87C35"/>
    <w:rsid w:val="00B87C52"/>
    <w:rsid w:val="00B9073C"/>
    <w:rsid w:val="00B90970"/>
    <w:rsid w:val="00B91DC3"/>
    <w:rsid w:val="00B92EEC"/>
    <w:rsid w:val="00B92F0F"/>
    <w:rsid w:val="00B93262"/>
    <w:rsid w:val="00B93278"/>
    <w:rsid w:val="00B936B4"/>
    <w:rsid w:val="00B94204"/>
    <w:rsid w:val="00B942BF"/>
    <w:rsid w:val="00B94EB5"/>
    <w:rsid w:val="00B9519C"/>
    <w:rsid w:val="00B954E6"/>
    <w:rsid w:val="00B95817"/>
    <w:rsid w:val="00B960E7"/>
    <w:rsid w:val="00B961E6"/>
    <w:rsid w:val="00B96A39"/>
    <w:rsid w:val="00B972FE"/>
    <w:rsid w:val="00BA00FB"/>
    <w:rsid w:val="00BA0284"/>
    <w:rsid w:val="00BA15B5"/>
    <w:rsid w:val="00BA166A"/>
    <w:rsid w:val="00BA224A"/>
    <w:rsid w:val="00BA2695"/>
    <w:rsid w:val="00BA32B0"/>
    <w:rsid w:val="00BA355E"/>
    <w:rsid w:val="00BA38AE"/>
    <w:rsid w:val="00BA3A57"/>
    <w:rsid w:val="00BA4D09"/>
    <w:rsid w:val="00BA57AD"/>
    <w:rsid w:val="00BA7197"/>
    <w:rsid w:val="00BA7296"/>
    <w:rsid w:val="00BA7619"/>
    <w:rsid w:val="00BB0445"/>
    <w:rsid w:val="00BB0A5D"/>
    <w:rsid w:val="00BB1FD3"/>
    <w:rsid w:val="00BB2F0B"/>
    <w:rsid w:val="00BB36D2"/>
    <w:rsid w:val="00BB41F1"/>
    <w:rsid w:val="00BB4220"/>
    <w:rsid w:val="00BB6791"/>
    <w:rsid w:val="00BB6821"/>
    <w:rsid w:val="00BB7D25"/>
    <w:rsid w:val="00BC15CB"/>
    <w:rsid w:val="00BC1A19"/>
    <w:rsid w:val="00BC2420"/>
    <w:rsid w:val="00BC32CB"/>
    <w:rsid w:val="00BC3458"/>
    <w:rsid w:val="00BC480F"/>
    <w:rsid w:val="00BC4DDA"/>
    <w:rsid w:val="00BC52B7"/>
    <w:rsid w:val="00BC5729"/>
    <w:rsid w:val="00BC58DC"/>
    <w:rsid w:val="00BC5D33"/>
    <w:rsid w:val="00BC67DD"/>
    <w:rsid w:val="00BC6D55"/>
    <w:rsid w:val="00BC742C"/>
    <w:rsid w:val="00BC7F6B"/>
    <w:rsid w:val="00BD0C74"/>
    <w:rsid w:val="00BD16A6"/>
    <w:rsid w:val="00BD1DA6"/>
    <w:rsid w:val="00BD1F8E"/>
    <w:rsid w:val="00BD20B5"/>
    <w:rsid w:val="00BD2647"/>
    <w:rsid w:val="00BD32DA"/>
    <w:rsid w:val="00BD32EF"/>
    <w:rsid w:val="00BD4141"/>
    <w:rsid w:val="00BD4941"/>
    <w:rsid w:val="00BD6684"/>
    <w:rsid w:val="00BD6E71"/>
    <w:rsid w:val="00BD733B"/>
    <w:rsid w:val="00BD7D55"/>
    <w:rsid w:val="00BE0DC0"/>
    <w:rsid w:val="00BE25AD"/>
    <w:rsid w:val="00BE2E60"/>
    <w:rsid w:val="00BE41C3"/>
    <w:rsid w:val="00BE4BA4"/>
    <w:rsid w:val="00BE4D3C"/>
    <w:rsid w:val="00BE4F39"/>
    <w:rsid w:val="00BE615E"/>
    <w:rsid w:val="00BE67DA"/>
    <w:rsid w:val="00BE7009"/>
    <w:rsid w:val="00BE751B"/>
    <w:rsid w:val="00BE7EC1"/>
    <w:rsid w:val="00BF159D"/>
    <w:rsid w:val="00BF21A7"/>
    <w:rsid w:val="00BF260B"/>
    <w:rsid w:val="00BF2E85"/>
    <w:rsid w:val="00BF3009"/>
    <w:rsid w:val="00BF310A"/>
    <w:rsid w:val="00BF33AC"/>
    <w:rsid w:val="00BF3C0E"/>
    <w:rsid w:val="00BF3D35"/>
    <w:rsid w:val="00BF48FE"/>
    <w:rsid w:val="00BF4BD9"/>
    <w:rsid w:val="00BF5041"/>
    <w:rsid w:val="00BF523A"/>
    <w:rsid w:val="00BF5241"/>
    <w:rsid w:val="00BF75D7"/>
    <w:rsid w:val="00BF7623"/>
    <w:rsid w:val="00C0059A"/>
    <w:rsid w:val="00C01296"/>
    <w:rsid w:val="00C01A53"/>
    <w:rsid w:val="00C021A5"/>
    <w:rsid w:val="00C03306"/>
    <w:rsid w:val="00C03458"/>
    <w:rsid w:val="00C038F8"/>
    <w:rsid w:val="00C03B9F"/>
    <w:rsid w:val="00C0431B"/>
    <w:rsid w:val="00C053CF"/>
    <w:rsid w:val="00C05A66"/>
    <w:rsid w:val="00C05AE8"/>
    <w:rsid w:val="00C068FA"/>
    <w:rsid w:val="00C0743A"/>
    <w:rsid w:val="00C07E58"/>
    <w:rsid w:val="00C10972"/>
    <w:rsid w:val="00C10D11"/>
    <w:rsid w:val="00C11902"/>
    <w:rsid w:val="00C1197B"/>
    <w:rsid w:val="00C11A38"/>
    <w:rsid w:val="00C11C80"/>
    <w:rsid w:val="00C11E39"/>
    <w:rsid w:val="00C1268B"/>
    <w:rsid w:val="00C136EA"/>
    <w:rsid w:val="00C158CE"/>
    <w:rsid w:val="00C15D69"/>
    <w:rsid w:val="00C175BB"/>
    <w:rsid w:val="00C177AD"/>
    <w:rsid w:val="00C17E94"/>
    <w:rsid w:val="00C21295"/>
    <w:rsid w:val="00C218FF"/>
    <w:rsid w:val="00C21A12"/>
    <w:rsid w:val="00C21B2D"/>
    <w:rsid w:val="00C21E0C"/>
    <w:rsid w:val="00C21F87"/>
    <w:rsid w:val="00C22460"/>
    <w:rsid w:val="00C2257B"/>
    <w:rsid w:val="00C228B8"/>
    <w:rsid w:val="00C24D99"/>
    <w:rsid w:val="00C24DEF"/>
    <w:rsid w:val="00C258EC"/>
    <w:rsid w:val="00C25C16"/>
    <w:rsid w:val="00C25CCC"/>
    <w:rsid w:val="00C26070"/>
    <w:rsid w:val="00C2719C"/>
    <w:rsid w:val="00C271A3"/>
    <w:rsid w:val="00C2759E"/>
    <w:rsid w:val="00C27BBF"/>
    <w:rsid w:val="00C301DE"/>
    <w:rsid w:val="00C3062D"/>
    <w:rsid w:val="00C30FA0"/>
    <w:rsid w:val="00C32752"/>
    <w:rsid w:val="00C32B57"/>
    <w:rsid w:val="00C3304B"/>
    <w:rsid w:val="00C33B06"/>
    <w:rsid w:val="00C33E50"/>
    <w:rsid w:val="00C342BB"/>
    <w:rsid w:val="00C3496F"/>
    <w:rsid w:val="00C35527"/>
    <w:rsid w:val="00C365A3"/>
    <w:rsid w:val="00C36AE4"/>
    <w:rsid w:val="00C36F39"/>
    <w:rsid w:val="00C37705"/>
    <w:rsid w:val="00C37ECB"/>
    <w:rsid w:val="00C402AB"/>
    <w:rsid w:val="00C40C6C"/>
    <w:rsid w:val="00C40DA2"/>
    <w:rsid w:val="00C41110"/>
    <w:rsid w:val="00C41230"/>
    <w:rsid w:val="00C41728"/>
    <w:rsid w:val="00C41ACF"/>
    <w:rsid w:val="00C421FC"/>
    <w:rsid w:val="00C42BD3"/>
    <w:rsid w:val="00C432DD"/>
    <w:rsid w:val="00C43598"/>
    <w:rsid w:val="00C43D51"/>
    <w:rsid w:val="00C44D65"/>
    <w:rsid w:val="00C456A6"/>
    <w:rsid w:val="00C45E83"/>
    <w:rsid w:val="00C46509"/>
    <w:rsid w:val="00C46D7B"/>
    <w:rsid w:val="00C46EA9"/>
    <w:rsid w:val="00C47DE0"/>
    <w:rsid w:val="00C51A07"/>
    <w:rsid w:val="00C520B4"/>
    <w:rsid w:val="00C52B47"/>
    <w:rsid w:val="00C53477"/>
    <w:rsid w:val="00C53688"/>
    <w:rsid w:val="00C539D0"/>
    <w:rsid w:val="00C54B44"/>
    <w:rsid w:val="00C55382"/>
    <w:rsid w:val="00C5578F"/>
    <w:rsid w:val="00C56184"/>
    <w:rsid w:val="00C563CC"/>
    <w:rsid w:val="00C5667C"/>
    <w:rsid w:val="00C57179"/>
    <w:rsid w:val="00C57184"/>
    <w:rsid w:val="00C572E1"/>
    <w:rsid w:val="00C5793A"/>
    <w:rsid w:val="00C6003C"/>
    <w:rsid w:val="00C61257"/>
    <w:rsid w:val="00C62757"/>
    <w:rsid w:val="00C628C3"/>
    <w:rsid w:val="00C62933"/>
    <w:rsid w:val="00C632F9"/>
    <w:rsid w:val="00C63373"/>
    <w:rsid w:val="00C6412D"/>
    <w:rsid w:val="00C6434A"/>
    <w:rsid w:val="00C64FFA"/>
    <w:rsid w:val="00C64FFB"/>
    <w:rsid w:val="00C6513E"/>
    <w:rsid w:val="00C65AE9"/>
    <w:rsid w:val="00C664FE"/>
    <w:rsid w:val="00C66E64"/>
    <w:rsid w:val="00C675E3"/>
    <w:rsid w:val="00C70269"/>
    <w:rsid w:val="00C70AD6"/>
    <w:rsid w:val="00C70DCC"/>
    <w:rsid w:val="00C7175A"/>
    <w:rsid w:val="00C7211A"/>
    <w:rsid w:val="00C72127"/>
    <w:rsid w:val="00C722A4"/>
    <w:rsid w:val="00C724D1"/>
    <w:rsid w:val="00C728D4"/>
    <w:rsid w:val="00C72A0F"/>
    <w:rsid w:val="00C72DB3"/>
    <w:rsid w:val="00C736C3"/>
    <w:rsid w:val="00C73856"/>
    <w:rsid w:val="00C7480F"/>
    <w:rsid w:val="00C74EC3"/>
    <w:rsid w:val="00C75664"/>
    <w:rsid w:val="00C762A5"/>
    <w:rsid w:val="00C773EB"/>
    <w:rsid w:val="00C81017"/>
    <w:rsid w:val="00C812BB"/>
    <w:rsid w:val="00C81557"/>
    <w:rsid w:val="00C815D3"/>
    <w:rsid w:val="00C82276"/>
    <w:rsid w:val="00C826AA"/>
    <w:rsid w:val="00C82933"/>
    <w:rsid w:val="00C82C1C"/>
    <w:rsid w:val="00C835B8"/>
    <w:rsid w:val="00C83A58"/>
    <w:rsid w:val="00C84A7E"/>
    <w:rsid w:val="00C84B66"/>
    <w:rsid w:val="00C84C75"/>
    <w:rsid w:val="00C84E09"/>
    <w:rsid w:val="00C85D2E"/>
    <w:rsid w:val="00C86E04"/>
    <w:rsid w:val="00C87155"/>
    <w:rsid w:val="00C87451"/>
    <w:rsid w:val="00C903D2"/>
    <w:rsid w:val="00C90BDD"/>
    <w:rsid w:val="00C92303"/>
    <w:rsid w:val="00C92639"/>
    <w:rsid w:val="00C92A8A"/>
    <w:rsid w:val="00C941F9"/>
    <w:rsid w:val="00C94B7B"/>
    <w:rsid w:val="00C94C6C"/>
    <w:rsid w:val="00C95513"/>
    <w:rsid w:val="00C95708"/>
    <w:rsid w:val="00C95EAB"/>
    <w:rsid w:val="00C9720B"/>
    <w:rsid w:val="00C977F7"/>
    <w:rsid w:val="00C97868"/>
    <w:rsid w:val="00CA021B"/>
    <w:rsid w:val="00CA03FB"/>
    <w:rsid w:val="00CA0EB1"/>
    <w:rsid w:val="00CA2036"/>
    <w:rsid w:val="00CA236A"/>
    <w:rsid w:val="00CA2515"/>
    <w:rsid w:val="00CA27CB"/>
    <w:rsid w:val="00CA2FF0"/>
    <w:rsid w:val="00CA436D"/>
    <w:rsid w:val="00CA4B5F"/>
    <w:rsid w:val="00CA4F15"/>
    <w:rsid w:val="00CA6782"/>
    <w:rsid w:val="00CA6E06"/>
    <w:rsid w:val="00CA74D7"/>
    <w:rsid w:val="00CB0D1B"/>
    <w:rsid w:val="00CB0DAA"/>
    <w:rsid w:val="00CB0E52"/>
    <w:rsid w:val="00CB1036"/>
    <w:rsid w:val="00CB14A9"/>
    <w:rsid w:val="00CB20F6"/>
    <w:rsid w:val="00CB2344"/>
    <w:rsid w:val="00CB23F9"/>
    <w:rsid w:val="00CB2740"/>
    <w:rsid w:val="00CB31E5"/>
    <w:rsid w:val="00CB3C05"/>
    <w:rsid w:val="00CB4112"/>
    <w:rsid w:val="00CB4B3C"/>
    <w:rsid w:val="00CB537E"/>
    <w:rsid w:val="00CB5BD6"/>
    <w:rsid w:val="00CB5E83"/>
    <w:rsid w:val="00CB619F"/>
    <w:rsid w:val="00CB72D3"/>
    <w:rsid w:val="00CB771D"/>
    <w:rsid w:val="00CC00B8"/>
    <w:rsid w:val="00CC013A"/>
    <w:rsid w:val="00CC048E"/>
    <w:rsid w:val="00CC0AD4"/>
    <w:rsid w:val="00CC1E51"/>
    <w:rsid w:val="00CC1EDC"/>
    <w:rsid w:val="00CC212E"/>
    <w:rsid w:val="00CC24FA"/>
    <w:rsid w:val="00CC25E0"/>
    <w:rsid w:val="00CC2FBC"/>
    <w:rsid w:val="00CC3017"/>
    <w:rsid w:val="00CC37A7"/>
    <w:rsid w:val="00CC3A04"/>
    <w:rsid w:val="00CC4171"/>
    <w:rsid w:val="00CC4256"/>
    <w:rsid w:val="00CC44F0"/>
    <w:rsid w:val="00CC45D9"/>
    <w:rsid w:val="00CC4DC3"/>
    <w:rsid w:val="00CC5D21"/>
    <w:rsid w:val="00CC61C4"/>
    <w:rsid w:val="00CC6282"/>
    <w:rsid w:val="00CC669E"/>
    <w:rsid w:val="00CC6D8A"/>
    <w:rsid w:val="00CC7B14"/>
    <w:rsid w:val="00CC7B46"/>
    <w:rsid w:val="00CD048F"/>
    <w:rsid w:val="00CD0AAE"/>
    <w:rsid w:val="00CD1F94"/>
    <w:rsid w:val="00CD2C8F"/>
    <w:rsid w:val="00CD2E65"/>
    <w:rsid w:val="00CD30E5"/>
    <w:rsid w:val="00CD3AA9"/>
    <w:rsid w:val="00CD3B46"/>
    <w:rsid w:val="00CD4974"/>
    <w:rsid w:val="00CD6DB6"/>
    <w:rsid w:val="00CD7392"/>
    <w:rsid w:val="00CE081D"/>
    <w:rsid w:val="00CE0A2A"/>
    <w:rsid w:val="00CE0EFD"/>
    <w:rsid w:val="00CE18C7"/>
    <w:rsid w:val="00CE222C"/>
    <w:rsid w:val="00CE2322"/>
    <w:rsid w:val="00CE252C"/>
    <w:rsid w:val="00CE4666"/>
    <w:rsid w:val="00CE4AB9"/>
    <w:rsid w:val="00CE51FF"/>
    <w:rsid w:val="00CE59FC"/>
    <w:rsid w:val="00CE5B9E"/>
    <w:rsid w:val="00CE7223"/>
    <w:rsid w:val="00CE7446"/>
    <w:rsid w:val="00CF0580"/>
    <w:rsid w:val="00CF24A2"/>
    <w:rsid w:val="00CF2879"/>
    <w:rsid w:val="00CF293A"/>
    <w:rsid w:val="00CF2C94"/>
    <w:rsid w:val="00CF2F22"/>
    <w:rsid w:val="00CF36FA"/>
    <w:rsid w:val="00CF43D7"/>
    <w:rsid w:val="00CF4A49"/>
    <w:rsid w:val="00CF5482"/>
    <w:rsid w:val="00CF54F5"/>
    <w:rsid w:val="00CF577E"/>
    <w:rsid w:val="00CF6694"/>
    <w:rsid w:val="00CF71D1"/>
    <w:rsid w:val="00CF72D1"/>
    <w:rsid w:val="00CF7763"/>
    <w:rsid w:val="00D00DE1"/>
    <w:rsid w:val="00D011DE"/>
    <w:rsid w:val="00D015AD"/>
    <w:rsid w:val="00D01ED0"/>
    <w:rsid w:val="00D02ADC"/>
    <w:rsid w:val="00D041BC"/>
    <w:rsid w:val="00D056CE"/>
    <w:rsid w:val="00D06437"/>
    <w:rsid w:val="00D0662E"/>
    <w:rsid w:val="00D06CCB"/>
    <w:rsid w:val="00D0760B"/>
    <w:rsid w:val="00D07F0E"/>
    <w:rsid w:val="00D10623"/>
    <w:rsid w:val="00D11014"/>
    <w:rsid w:val="00D1259D"/>
    <w:rsid w:val="00D1532C"/>
    <w:rsid w:val="00D15609"/>
    <w:rsid w:val="00D15C4C"/>
    <w:rsid w:val="00D1655E"/>
    <w:rsid w:val="00D168CF"/>
    <w:rsid w:val="00D176F7"/>
    <w:rsid w:val="00D20F1C"/>
    <w:rsid w:val="00D21DD7"/>
    <w:rsid w:val="00D21F5B"/>
    <w:rsid w:val="00D222AC"/>
    <w:rsid w:val="00D22B4D"/>
    <w:rsid w:val="00D234D9"/>
    <w:rsid w:val="00D237B6"/>
    <w:rsid w:val="00D23EC4"/>
    <w:rsid w:val="00D24C15"/>
    <w:rsid w:val="00D25DAF"/>
    <w:rsid w:val="00D26560"/>
    <w:rsid w:val="00D276CE"/>
    <w:rsid w:val="00D27BFF"/>
    <w:rsid w:val="00D302E1"/>
    <w:rsid w:val="00D304B6"/>
    <w:rsid w:val="00D30A67"/>
    <w:rsid w:val="00D30B90"/>
    <w:rsid w:val="00D30CE2"/>
    <w:rsid w:val="00D31877"/>
    <w:rsid w:val="00D31A19"/>
    <w:rsid w:val="00D32249"/>
    <w:rsid w:val="00D323C1"/>
    <w:rsid w:val="00D3279D"/>
    <w:rsid w:val="00D33575"/>
    <w:rsid w:val="00D33CA2"/>
    <w:rsid w:val="00D3412D"/>
    <w:rsid w:val="00D34269"/>
    <w:rsid w:val="00D35282"/>
    <w:rsid w:val="00D367C0"/>
    <w:rsid w:val="00D36CE7"/>
    <w:rsid w:val="00D36EB0"/>
    <w:rsid w:val="00D370DE"/>
    <w:rsid w:val="00D37234"/>
    <w:rsid w:val="00D40799"/>
    <w:rsid w:val="00D4113A"/>
    <w:rsid w:val="00D419E0"/>
    <w:rsid w:val="00D42DA0"/>
    <w:rsid w:val="00D43692"/>
    <w:rsid w:val="00D436EA"/>
    <w:rsid w:val="00D437AF"/>
    <w:rsid w:val="00D44BE3"/>
    <w:rsid w:val="00D44FB8"/>
    <w:rsid w:val="00D4542C"/>
    <w:rsid w:val="00D460DD"/>
    <w:rsid w:val="00D4614E"/>
    <w:rsid w:val="00D4782E"/>
    <w:rsid w:val="00D47980"/>
    <w:rsid w:val="00D479CF"/>
    <w:rsid w:val="00D47A4A"/>
    <w:rsid w:val="00D47A79"/>
    <w:rsid w:val="00D47FBB"/>
    <w:rsid w:val="00D50843"/>
    <w:rsid w:val="00D517B2"/>
    <w:rsid w:val="00D51EF0"/>
    <w:rsid w:val="00D5209E"/>
    <w:rsid w:val="00D521BD"/>
    <w:rsid w:val="00D548AD"/>
    <w:rsid w:val="00D55153"/>
    <w:rsid w:val="00D55A12"/>
    <w:rsid w:val="00D56684"/>
    <w:rsid w:val="00D56698"/>
    <w:rsid w:val="00D56947"/>
    <w:rsid w:val="00D56D29"/>
    <w:rsid w:val="00D5795B"/>
    <w:rsid w:val="00D60010"/>
    <w:rsid w:val="00D600AC"/>
    <w:rsid w:val="00D609BF"/>
    <w:rsid w:val="00D61A87"/>
    <w:rsid w:val="00D61B53"/>
    <w:rsid w:val="00D62CA1"/>
    <w:rsid w:val="00D62D46"/>
    <w:rsid w:val="00D63370"/>
    <w:rsid w:val="00D63B99"/>
    <w:rsid w:val="00D63E27"/>
    <w:rsid w:val="00D641B4"/>
    <w:rsid w:val="00D64298"/>
    <w:rsid w:val="00D649A9"/>
    <w:rsid w:val="00D65091"/>
    <w:rsid w:val="00D6576C"/>
    <w:rsid w:val="00D65B9C"/>
    <w:rsid w:val="00D65F6F"/>
    <w:rsid w:val="00D65FE4"/>
    <w:rsid w:val="00D66354"/>
    <w:rsid w:val="00D6727A"/>
    <w:rsid w:val="00D675D1"/>
    <w:rsid w:val="00D67A49"/>
    <w:rsid w:val="00D70F5C"/>
    <w:rsid w:val="00D71254"/>
    <w:rsid w:val="00D715BC"/>
    <w:rsid w:val="00D719E5"/>
    <w:rsid w:val="00D71E6B"/>
    <w:rsid w:val="00D71F3F"/>
    <w:rsid w:val="00D72ACD"/>
    <w:rsid w:val="00D751D7"/>
    <w:rsid w:val="00D76181"/>
    <w:rsid w:val="00D76CEA"/>
    <w:rsid w:val="00D76EC1"/>
    <w:rsid w:val="00D77197"/>
    <w:rsid w:val="00D77F91"/>
    <w:rsid w:val="00D81C6B"/>
    <w:rsid w:val="00D8218C"/>
    <w:rsid w:val="00D82293"/>
    <w:rsid w:val="00D82967"/>
    <w:rsid w:val="00D82F57"/>
    <w:rsid w:val="00D8380F"/>
    <w:rsid w:val="00D83B50"/>
    <w:rsid w:val="00D83E0E"/>
    <w:rsid w:val="00D845A7"/>
    <w:rsid w:val="00D85A6F"/>
    <w:rsid w:val="00D87F11"/>
    <w:rsid w:val="00D90AF4"/>
    <w:rsid w:val="00D91A4C"/>
    <w:rsid w:val="00D9201C"/>
    <w:rsid w:val="00D92FA5"/>
    <w:rsid w:val="00D93DA9"/>
    <w:rsid w:val="00D93FFD"/>
    <w:rsid w:val="00D940E8"/>
    <w:rsid w:val="00D9550A"/>
    <w:rsid w:val="00D9653E"/>
    <w:rsid w:val="00D97373"/>
    <w:rsid w:val="00DA0110"/>
    <w:rsid w:val="00DA038C"/>
    <w:rsid w:val="00DA0D72"/>
    <w:rsid w:val="00DA143E"/>
    <w:rsid w:val="00DA161C"/>
    <w:rsid w:val="00DA1FEE"/>
    <w:rsid w:val="00DA2F9D"/>
    <w:rsid w:val="00DA3242"/>
    <w:rsid w:val="00DA4690"/>
    <w:rsid w:val="00DA4F7E"/>
    <w:rsid w:val="00DA5006"/>
    <w:rsid w:val="00DA6523"/>
    <w:rsid w:val="00DA6645"/>
    <w:rsid w:val="00DA78B4"/>
    <w:rsid w:val="00DA7D3C"/>
    <w:rsid w:val="00DB0047"/>
    <w:rsid w:val="00DB040D"/>
    <w:rsid w:val="00DB122A"/>
    <w:rsid w:val="00DB15BD"/>
    <w:rsid w:val="00DB16FC"/>
    <w:rsid w:val="00DB1889"/>
    <w:rsid w:val="00DB20F4"/>
    <w:rsid w:val="00DB2418"/>
    <w:rsid w:val="00DB3036"/>
    <w:rsid w:val="00DB3404"/>
    <w:rsid w:val="00DB48FD"/>
    <w:rsid w:val="00DB5BDF"/>
    <w:rsid w:val="00DB6543"/>
    <w:rsid w:val="00DB6846"/>
    <w:rsid w:val="00DB6A4E"/>
    <w:rsid w:val="00DB6CE0"/>
    <w:rsid w:val="00DB6FDC"/>
    <w:rsid w:val="00DB73B5"/>
    <w:rsid w:val="00DB774C"/>
    <w:rsid w:val="00DC02FA"/>
    <w:rsid w:val="00DC0490"/>
    <w:rsid w:val="00DC06AE"/>
    <w:rsid w:val="00DC0977"/>
    <w:rsid w:val="00DC1B2B"/>
    <w:rsid w:val="00DC22B4"/>
    <w:rsid w:val="00DC2F30"/>
    <w:rsid w:val="00DC2F52"/>
    <w:rsid w:val="00DC39C2"/>
    <w:rsid w:val="00DC3FCE"/>
    <w:rsid w:val="00DC425E"/>
    <w:rsid w:val="00DC4A31"/>
    <w:rsid w:val="00DC4FDC"/>
    <w:rsid w:val="00DC52EE"/>
    <w:rsid w:val="00DC531D"/>
    <w:rsid w:val="00DC5A92"/>
    <w:rsid w:val="00DC60E8"/>
    <w:rsid w:val="00DC645B"/>
    <w:rsid w:val="00DC6CB1"/>
    <w:rsid w:val="00DC76B9"/>
    <w:rsid w:val="00DC78B3"/>
    <w:rsid w:val="00DD0072"/>
    <w:rsid w:val="00DD02E9"/>
    <w:rsid w:val="00DD0D09"/>
    <w:rsid w:val="00DD1CAF"/>
    <w:rsid w:val="00DD1ECB"/>
    <w:rsid w:val="00DD34B0"/>
    <w:rsid w:val="00DD41C4"/>
    <w:rsid w:val="00DD434E"/>
    <w:rsid w:val="00DD4E89"/>
    <w:rsid w:val="00DD5BE7"/>
    <w:rsid w:val="00DD609A"/>
    <w:rsid w:val="00DD659F"/>
    <w:rsid w:val="00DE0369"/>
    <w:rsid w:val="00DE0984"/>
    <w:rsid w:val="00DE1692"/>
    <w:rsid w:val="00DE18B6"/>
    <w:rsid w:val="00DE1ED2"/>
    <w:rsid w:val="00DE24E8"/>
    <w:rsid w:val="00DE3292"/>
    <w:rsid w:val="00DE33BF"/>
    <w:rsid w:val="00DE341F"/>
    <w:rsid w:val="00DE388B"/>
    <w:rsid w:val="00DE3A17"/>
    <w:rsid w:val="00DE414D"/>
    <w:rsid w:val="00DE421D"/>
    <w:rsid w:val="00DE4590"/>
    <w:rsid w:val="00DE49CE"/>
    <w:rsid w:val="00DE532F"/>
    <w:rsid w:val="00DE5490"/>
    <w:rsid w:val="00DE55E0"/>
    <w:rsid w:val="00DE5C07"/>
    <w:rsid w:val="00DE6856"/>
    <w:rsid w:val="00DE7D60"/>
    <w:rsid w:val="00DE7FD4"/>
    <w:rsid w:val="00DF054F"/>
    <w:rsid w:val="00DF0F63"/>
    <w:rsid w:val="00DF1A6F"/>
    <w:rsid w:val="00DF20AB"/>
    <w:rsid w:val="00DF3290"/>
    <w:rsid w:val="00DF3FAD"/>
    <w:rsid w:val="00DF40EA"/>
    <w:rsid w:val="00DF42BF"/>
    <w:rsid w:val="00DF43C2"/>
    <w:rsid w:val="00DF48CF"/>
    <w:rsid w:val="00DF4A68"/>
    <w:rsid w:val="00DF4ECB"/>
    <w:rsid w:val="00DF4ED4"/>
    <w:rsid w:val="00DF7E92"/>
    <w:rsid w:val="00E003F7"/>
    <w:rsid w:val="00E01234"/>
    <w:rsid w:val="00E01395"/>
    <w:rsid w:val="00E018D1"/>
    <w:rsid w:val="00E0194A"/>
    <w:rsid w:val="00E02112"/>
    <w:rsid w:val="00E03C95"/>
    <w:rsid w:val="00E03D68"/>
    <w:rsid w:val="00E04B1E"/>
    <w:rsid w:val="00E05393"/>
    <w:rsid w:val="00E06FF9"/>
    <w:rsid w:val="00E075DE"/>
    <w:rsid w:val="00E07B22"/>
    <w:rsid w:val="00E10853"/>
    <w:rsid w:val="00E10F53"/>
    <w:rsid w:val="00E113C4"/>
    <w:rsid w:val="00E11490"/>
    <w:rsid w:val="00E11E63"/>
    <w:rsid w:val="00E12C03"/>
    <w:rsid w:val="00E12C88"/>
    <w:rsid w:val="00E13085"/>
    <w:rsid w:val="00E14134"/>
    <w:rsid w:val="00E1460A"/>
    <w:rsid w:val="00E14665"/>
    <w:rsid w:val="00E14932"/>
    <w:rsid w:val="00E14AB0"/>
    <w:rsid w:val="00E14D7C"/>
    <w:rsid w:val="00E14F27"/>
    <w:rsid w:val="00E1506D"/>
    <w:rsid w:val="00E155D8"/>
    <w:rsid w:val="00E15C73"/>
    <w:rsid w:val="00E1627E"/>
    <w:rsid w:val="00E16631"/>
    <w:rsid w:val="00E17708"/>
    <w:rsid w:val="00E179A4"/>
    <w:rsid w:val="00E17DEE"/>
    <w:rsid w:val="00E209AB"/>
    <w:rsid w:val="00E20A98"/>
    <w:rsid w:val="00E20BDA"/>
    <w:rsid w:val="00E20C32"/>
    <w:rsid w:val="00E20D6C"/>
    <w:rsid w:val="00E21F78"/>
    <w:rsid w:val="00E222FC"/>
    <w:rsid w:val="00E233F0"/>
    <w:rsid w:val="00E23640"/>
    <w:rsid w:val="00E2386C"/>
    <w:rsid w:val="00E240F7"/>
    <w:rsid w:val="00E24601"/>
    <w:rsid w:val="00E24774"/>
    <w:rsid w:val="00E2528F"/>
    <w:rsid w:val="00E25583"/>
    <w:rsid w:val="00E25BF1"/>
    <w:rsid w:val="00E25EE3"/>
    <w:rsid w:val="00E25F41"/>
    <w:rsid w:val="00E27928"/>
    <w:rsid w:val="00E30017"/>
    <w:rsid w:val="00E303F8"/>
    <w:rsid w:val="00E30CD0"/>
    <w:rsid w:val="00E30D5A"/>
    <w:rsid w:val="00E30EEF"/>
    <w:rsid w:val="00E311C9"/>
    <w:rsid w:val="00E31A22"/>
    <w:rsid w:val="00E31BE5"/>
    <w:rsid w:val="00E31F9A"/>
    <w:rsid w:val="00E3304D"/>
    <w:rsid w:val="00E333DF"/>
    <w:rsid w:val="00E34016"/>
    <w:rsid w:val="00E34873"/>
    <w:rsid w:val="00E35005"/>
    <w:rsid w:val="00E35347"/>
    <w:rsid w:val="00E358C0"/>
    <w:rsid w:val="00E361DD"/>
    <w:rsid w:val="00E36820"/>
    <w:rsid w:val="00E36EF5"/>
    <w:rsid w:val="00E40A6F"/>
    <w:rsid w:val="00E40AB0"/>
    <w:rsid w:val="00E4106B"/>
    <w:rsid w:val="00E4207A"/>
    <w:rsid w:val="00E428C5"/>
    <w:rsid w:val="00E430CF"/>
    <w:rsid w:val="00E43DA2"/>
    <w:rsid w:val="00E447BD"/>
    <w:rsid w:val="00E4485A"/>
    <w:rsid w:val="00E4523C"/>
    <w:rsid w:val="00E45B92"/>
    <w:rsid w:val="00E477F5"/>
    <w:rsid w:val="00E47852"/>
    <w:rsid w:val="00E50163"/>
    <w:rsid w:val="00E5086E"/>
    <w:rsid w:val="00E50D27"/>
    <w:rsid w:val="00E52A64"/>
    <w:rsid w:val="00E52EC1"/>
    <w:rsid w:val="00E53264"/>
    <w:rsid w:val="00E53F53"/>
    <w:rsid w:val="00E54258"/>
    <w:rsid w:val="00E5477A"/>
    <w:rsid w:val="00E54BC8"/>
    <w:rsid w:val="00E55A83"/>
    <w:rsid w:val="00E55E7B"/>
    <w:rsid w:val="00E56049"/>
    <w:rsid w:val="00E566A0"/>
    <w:rsid w:val="00E56D89"/>
    <w:rsid w:val="00E574C9"/>
    <w:rsid w:val="00E57AC3"/>
    <w:rsid w:val="00E60B68"/>
    <w:rsid w:val="00E60DD4"/>
    <w:rsid w:val="00E62245"/>
    <w:rsid w:val="00E62AAA"/>
    <w:rsid w:val="00E62C1D"/>
    <w:rsid w:val="00E62D04"/>
    <w:rsid w:val="00E63163"/>
    <w:rsid w:val="00E6388A"/>
    <w:rsid w:val="00E63B2B"/>
    <w:rsid w:val="00E64277"/>
    <w:rsid w:val="00E64947"/>
    <w:rsid w:val="00E66352"/>
    <w:rsid w:val="00E66399"/>
    <w:rsid w:val="00E665E3"/>
    <w:rsid w:val="00E666AE"/>
    <w:rsid w:val="00E66D93"/>
    <w:rsid w:val="00E6734D"/>
    <w:rsid w:val="00E7089D"/>
    <w:rsid w:val="00E70B0D"/>
    <w:rsid w:val="00E70C51"/>
    <w:rsid w:val="00E70FD9"/>
    <w:rsid w:val="00E7123C"/>
    <w:rsid w:val="00E71A68"/>
    <w:rsid w:val="00E71D27"/>
    <w:rsid w:val="00E7219B"/>
    <w:rsid w:val="00E7253F"/>
    <w:rsid w:val="00E72895"/>
    <w:rsid w:val="00E72C5C"/>
    <w:rsid w:val="00E72D00"/>
    <w:rsid w:val="00E7348D"/>
    <w:rsid w:val="00E73A0D"/>
    <w:rsid w:val="00E73F84"/>
    <w:rsid w:val="00E7404B"/>
    <w:rsid w:val="00E744D7"/>
    <w:rsid w:val="00E747C7"/>
    <w:rsid w:val="00E748A1"/>
    <w:rsid w:val="00E75880"/>
    <w:rsid w:val="00E7627D"/>
    <w:rsid w:val="00E7724F"/>
    <w:rsid w:val="00E804A8"/>
    <w:rsid w:val="00E80A3D"/>
    <w:rsid w:val="00E83261"/>
    <w:rsid w:val="00E8351D"/>
    <w:rsid w:val="00E83788"/>
    <w:rsid w:val="00E83BEB"/>
    <w:rsid w:val="00E843E8"/>
    <w:rsid w:val="00E84A92"/>
    <w:rsid w:val="00E860E3"/>
    <w:rsid w:val="00E8639E"/>
    <w:rsid w:val="00E86889"/>
    <w:rsid w:val="00E86D04"/>
    <w:rsid w:val="00E8726B"/>
    <w:rsid w:val="00E8791C"/>
    <w:rsid w:val="00E87968"/>
    <w:rsid w:val="00E90448"/>
    <w:rsid w:val="00E91183"/>
    <w:rsid w:val="00E92933"/>
    <w:rsid w:val="00E93A40"/>
    <w:rsid w:val="00E94E61"/>
    <w:rsid w:val="00E95647"/>
    <w:rsid w:val="00E96412"/>
    <w:rsid w:val="00E9657C"/>
    <w:rsid w:val="00E96846"/>
    <w:rsid w:val="00E96F8F"/>
    <w:rsid w:val="00E976AE"/>
    <w:rsid w:val="00E9795A"/>
    <w:rsid w:val="00E97F0D"/>
    <w:rsid w:val="00EA02B4"/>
    <w:rsid w:val="00EA04EA"/>
    <w:rsid w:val="00EA07B8"/>
    <w:rsid w:val="00EA0ED1"/>
    <w:rsid w:val="00EA174C"/>
    <w:rsid w:val="00EA2837"/>
    <w:rsid w:val="00EA3913"/>
    <w:rsid w:val="00EA3D31"/>
    <w:rsid w:val="00EA4F46"/>
    <w:rsid w:val="00EA534B"/>
    <w:rsid w:val="00EA5616"/>
    <w:rsid w:val="00EA5E71"/>
    <w:rsid w:val="00EA5E78"/>
    <w:rsid w:val="00EA5FCB"/>
    <w:rsid w:val="00EA6E33"/>
    <w:rsid w:val="00EA7846"/>
    <w:rsid w:val="00EB0BB1"/>
    <w:rsid w:val="00EB101E"/>
    <w:rsid w:val="00EB10F6"/>
    <w:rsid w:val="00EB1A25"/>
    <w:rsid w:val="00EB1DCB"/>
    <w:rsid w:val="00EB1E0F"/>
    <w:rsid w:val="00EB2FDE"/>
    <w:rsid w:val="00EB3B02"/>
    <w:rsid w:val="00EB43DC"/>
    <w:rsid w:val="00EB49EF"/>
    <w:rsid w:val="00EB58C6"/>
    <w:rsid w:val="00EB6530"/>
    <w:rsid w:val="00EB691B"/>
    <w:rsid w:val="00EB7838"/>
    <w:rsid w:val="00EB7B1A"/>
    <w:rsid w:val="00EC04AF"/>
    <w:rsid w:val="00EC0DFA"/>
    <w:rsid w:val="00EC132A"/>
    <w:rsid w:val="00EC1844"/>
    <w:rsid w:val="00EC1B1B"/>
    <w:rsid w:val="00EC1B61"/>
    <w:rsid w:val="00EC1F4F"/>
    <w:rsid w:val="00EC264F"/>
    <w:rsid w:val="00EC39D6"/>
    <w:rsid w:val="00EC3FC9"/>
    <w:rsid w:val="00EC43FB"/>
    <w:rsid w:val="00EC4926"/>
    <w:rsid w:val="00EC49DF"/>
    <w:rsid w:val="00EC531A"/>
    <w:rsid w:val="00EC690D"/>
    <w:rsid w:val="00EC6AA3"/>
    <w:rsid w:val="00EC6BAE"/>
    <w:rsid w:val="00EC714E"/>
    <w:rsid w:val="00ED1875"/>
    <w:rsid w:val="00ED18C7"/>
    <w:rsid w:val="00ED1E29"/>
    <w:rsid w:val="00ED1E4A"/>
    <w:rsid w:val="00ED2965"/>
    <w:rsid w:val="00ED3678"/>
    <w:rsid w:val="00ED43EB"/>
    <w:rsid w:val="00ED45AC"/>
    <w:rsid w:val="00ED4699"/>
    <w:rsid w:val="00ED4CA7"/>
    <w:rsid w:val="00ED5842"/>
    <w:rsid w:val="00ED634A"/>
    <w:rsid w:val="00ED653D"/>
    <w:rsid w:val="00ED6684"/>
    <w:rsid w:val="00ED6AC0"/>
    <w:rsid w:val="00ED6C34"/>
    <w:rsid w:val="00ED7A76"/>
    <w:rsid w:val="00EE00F1"/>
    <w:rsid w:val="00EE0806"/>
    <w:rsid w:val="00EE0AD5"/>
    <w:rsid w:val="00EE0C5D"/>
    <w:rsid w:val="00EE0DCC"/>
    <w:rsid w:val="00EE12A5"/>
    <w:rsid w:val="00EE153B"/>
    <w:rsid w:val="00EE160B"/>
    <w:rsid w:val="00EE3273"/>
    <w:rsid w:val="00EE3C9C"/>
    <w:rsid w:val="00EE4AC4"/>
    <w:rsid w:val="00EE4C53"/>
    <w:rsid w:val="00EE4F0B"/>
    <w:rsid w:val="00EE5BE6"/>
    <w:rsid w:val="00EE6D4D"/>
    <w:rsid w:val="00EE72D4"/>
    <w:rsid w:val="00EE79C3"/>
    <w:rsid w:val="00EF0BE0"/>
    <w:rsid w:val="00EF0DEA"/>
    <w:rsid w:val="00EF1425"/>
    <w:rsid w:val="00EF1D3A"/>
    <w:rsid w:val="00EF1FEB"/>
    <w:rsid w:val="00EF2DCF"/>
    <w:rsid w:val="00EF2EFA"/>
    <w:rsid w:val="00EF3031"/>
    <w:rsid w:val="00EF3403"/>
    <w:rsid w:val="00EF3B18"/>
    <w:rsid w:val="00EF52DB"/>
    <w:rsid w:val="00EF5B53"/>
    <w:rsid w:val="00EF5B7A"/>
    <w:rsid w:val="00EF5C0F"/>
    <w:rsid w:val="00EF5C4F"/>
    <w:rsid w:val="00EF5C6E"/>
    <w:rsid w:val="00EF639E"/>
    <w:rsid w:val="00EF70DD"/>
    <w:rsid w:val="00EF751B"/>
    <w:rsid w:val="00EF7721"/>
    <w:rsid w:val="00F00279"/>
    <w:rsid w:val="00F007AA"/>
    <w:rsid w:val="00F00FB9"/>
    <w:rsid w:val="00F019CA"/>
    <w:rsid w:val="00F01F47"/>
    <w:rsid w:val="00F01FA4"/>
    <w:rsid w:val="00F03340"/>
    <w:rsid w:val="00F0337F"/>
    <w:rsid w:val="00F03C2C"/>
    <w:rsid w:val="00F04EC0"/>
    <w:rsid w:val="00F0525A"/>
    <w:rsid w:val="00F057D4"/>
    <w:rsid w:val="00F05D9E"/>
    <w:rsid w:val="00F05FCD"/>
    <w:rsid w:val="00F06583"/>
    <w:rsid w:val="00F06A32"/>
    <w:rsid w:val="00F07013"/>
    <w:rsid w:val="00F075CA"/>
    <w:rsid w:val="00F10B32"/>
    <w:rsid w:val="00F11D7B"/>
    <w:rsid w:val="00F12017"/>
    <w:rsid w:val="00F125AC"/>
    <w:rsid w:val="00F1263B"/>
    <w:rsid w:val="00F1266C"/>
    <w:rsid w:val="00F1282E"/>
    <w:rsid w:val="00F13E4B"/>
    <w:rsid w:val="00F14126"/>
    <w:rsid w:val="00F14BD1"/>
    <w:rsid w:val="00F1501B"/>
    <w:rsid w:val="00F152A1"/>
    <w:rsid w:val="00F1664A"/>
    <w:rsid w:val="00F16A86"/>
    <w:rsid w:val="00F16B5C"/>
    <w:rsid w:val="00F170EC"/>
    <w:rsid w:val="00F1719A"/>
    <w:rsid w:val="00F17771"/>
    <w:rsid w:val="00F17A0F"/>
    <w:rsid w:val="00F17F2A"/>
    <w:rsid w:val="00F217AA"/>
    <w:rsid w:val="00F2241D"/>
    <w:rsid w:val="00F235B9"/>
    <w:rsid w:val="00F23C74"/>
    <w:rsid w:val="00F23CF9"/>
    <w:rsid w:val="00F23F51"/>
    <w:rsid w:val="00F2403D"/>
    <w:rsid w:val="00F240D1"/>
    <w:rsid w:val="00F24A87"/>
    <w:rsid w:val="00F24BAA"/>
    <w:rsid w:val="00F24DE8"/>
    <w:rsid w:val="00F259E4"/>
    <w:rsid w:val="00F268CC"/>
    <w:rsid w:val="00F26C3A"/>
    <w:rsid w:val="00F27C81"/>
    <w:rsid w:val="00F30892"/>
    <w:rsid w:val="00F30999"/>
    <w:rsid w:val="00F30B86"/>
    <w:rsid w:val="00F314F3"/>
    <w:rsid w:val="00F31FB7"/>
    <w:rsid w:val="00F32959"/>
    <w:rsid w:val="00F33294"/>
    <w:rsid w:val="00F3339D"/>
    <w:rsid w:val="00F334DE"/>
    <w:rsid w:val="00F33A12"/>
    <w:rsid w:val="00F33E29"/>
    <w:rsid w:val="00F33F5E"/>
    <w:rsid w:val="00F34025"/>
    <w:rsid w:val="00F3481D"/>
    <w:rsid w:val="00F35305"/>
    <w:rsid w:val="00F35920"/>
    <w:rsid w:val="00F369C4"/>
    <w:rsid w:val="00F37A25"/>
    <w:rsid w:val="00F37DEC"/>
    <w:rsid w:val="00F402DA"/>
    <w:rsid w:val="00F402FC"/>
    <w:rsid w:val="00F419AE"/>
    <w:rsid w:val="00F41E22"/>
    <w:rsid w:val="00F41E91"/>
    <w:rsid w:val="00F42574"/>
    <w:rsid w:val="00F42A2E"/>
    <w:rsid w:val="00F44C68"/>
    <w:rsid w:val="00F44DD4"/>
    <w:rsid w:val="00F44F41"/>
    <w:rsid w:val="00F450C6"/>
    <w:rsid w:val="00F462DF"/>
    <w:rsid w:val="00F4713F"/>
    <w:rsid w:val="00F476A0"/>
    <w:rsid w:val="00F478B0"/>
    <w:rsid w:val="00F47C81"/>
    <w:rsid w:val="00F47E06"/>
    <w:rsid w:val="00F50035"/>
    <w:rsid w:val="00F502D4"/>
    <w:rsid w:val="00F50373"/>
    <w:rsid w:val="00F50B62"/>
    <w:rsid w:val="00F50E47"/>
    <w:rsid w:val="00F517AD"/>
    <w:rsid w:val="00F539EA"/>
    <w:rsid w:val="00F53F30"/>
    <w:rsid w:val="00F54324"/>
    <w:rsid w:val="00F543C9"/>
    <w:rsid w:val="00F547C3"/>
    <w:rsid w:val="00F54CAD"/>
    <w:rsid w:val="00F556D6"/>
    <w:rsid w:val="00F55AF3"/>
    <w:rsid w:val="00F56260"/>
    <w:rsid w:val="00F562E5"/>
    <w:rsid w:val="00F56693"/>
    <w:rsid w:val="00F56F62"/>
    <w:rsid w:val="00F57135"/>
    <w:rsid w:val="00F57E1E"/>
    <w:rsid w:val="00F60159"/>
    <w:rsid w:val="00F6039A"/>
    <w:rsid w:val="00F61AE2"/>
    <w:rsid w:val="00F622CB"/>
    <w:rsid w:val="00F62795"/>
    <w:rsid w:val="00F62939"/>
    <w:rsid w:val="00F62C1B"/>
    <w:rsid w:val="00F63E6B"/>
    <w:rsid w:val="00F6466F"/>
    <w:rsid w:val="00F64B17"/>
    <w:rsid w:val="00F64BBD"/>
    <w:rsid w:val="00F64FCF"/>
    <w:rsid w:val="00F6607D"/>
    <w:rsid w:val="00F66A57"/>
    <w:rsid w:val="00F66FE9"/>
    <w:rsid w:val="00F676CD"/>
    <w:rsid w:val="00F67AAB"/>
    <w:rsid w:val="00F70F4A"/>
    <w:rsid w:val="00F72921"/>
    <w:rsid w:val="00F72A7C"/>
    <w:rsid w:val="00F737F6"/>
    <w:rsid w:val="00F73D20"/>
    <w:rsid w:val="00F742B7"/>
    <w:rsid w:val="00F74432"/>
    <w:rsid w:val="00F7535A"/>
    <w:rsid w:val="00F7540F"/>
    <w:rsid w:val="00F75AB4"/>
    <w:rsid w:val="00F75BDD"/>
    <w:rsid w:val="00F7625B"/>
    <w:rsid w:val="00F76567"/>
    <w:rsid w:val="00F76AF0"/>
    <w:rsid w:val="00F773FA"/>
    <w:rsid w:val="00F7766D"/>
    <w:rsid w:val="00F8004F"/>
    <w:rsid w:val="00F80AD0"/>
    <w:rsid w:val="00F80CBD"/>
    <w:rsid w:val="00F81A93"/>
    <w:rsid w:val="00F8282A"/>
    <w:rsid w:val="00F834E8"/>
    <w:rsid w:val="00F85908"/>
    <w:rsid w:val="00F85B1B"/>
    <w:rsid w:val="00F8650F"/>
    <w:rsid w:val="00F86C68"/>
    <w:rsid w:val="00F86DA3"/>
    <w:rsid w:val="00F872E7"/>
    <w:rsid w:val="00F90767"/>
    <w:rsid w:val="00F9173F"/>
    <w:rsid w:val="00F9217A"/>
    <w:rsid w:val="00F9241A"/>
    <w:rsid w:val="00F92C79"/>
    <w:rsid w:val="00F9314B"/>
    <w:rsid w:val="00F93BFE"/>
    <w:rsid w:val="00F93C9F"/>
    <w:rsid w:val="00F9406E"/>
    <w:rsid w:val="00F94AAA"/>
    <w:rsid w:val="00F94B9C"/>
    <w:rsid w:val="00F9521F"/>
    <w:rsid w:val="00F9524A"/>
    <w:rsid w:val="00F9526F"/>
    <w:rsid w:val="00F95437"/>
    <w:rsid w:val="00F95A0F"/>
    <w:rsid w:val="00F95BBE"/>
    <w:rsid w:val="00F95CF7"/>
    <w:rsid w:val="00F97A98"/>
    <w:rsid w:val="00F97BA4"/>
    <w:rsid w:val="00F97BEE"/>
    <w:rsid w:val="00FA0768"/>
    <w:rsid w:val="00FA0C16"/>
    <w:rsid w:val="00FA0D7C"/>
    <w:rsid w:val="00FA0E80"/>
    <w:rsid w:val="00FA124E"/>
    <w:rsid w:val="00FA1755"/>
    <w:rsid w:val="00FA1B3F"/>
    <w:rsid w:val="00FA2365"/>
    <w:rsid w:val="00FA375B"/>
    <w:rsid w:val="00FA3CC9"/>
    <w:rsid w:val="00FA41F7"/>
    <w:rsid w:val="00FA4515"/>
    <w:rsid w:val="00FA4821"/>
    <w:rsid w:val="00FA54EF"/>
    <w:rsid w:val="00FA5C1A"/>
    <w:rsid w:val="00FA612D"/>
    <w:rsid w:val="00FA62C9"/>
    <w:rsid w:val="00FA65B9"/>
    <w:rsid w:val="00FA6B67"/>
    <w:rsid w:val="00FA7F45"/>
    <w:rsid w:val="00FB0C22"/>
    <w:rsid w:val="00FB0E21"/>
    <w:rsid w:val="00FB127B"/>
    <w:rsid w:val="00FB1EB6"/>
    <w:rsid w:val="00FB2A50"/>
    <w:rsid w:val="00FB2BDF"/>
    <w:rsid w:val="00FB2CD6"/>
    <w:rsid w:val="00FB3209"/>
    <w:rsid w:val="00FB503F"/>
    <w:rsid w:val="00FB5061"/>
    <w:rsid w:val="00FB5472"/>
    <w:rsid w:val="00FB5E13"/>
    <w:rsid w:val="00FB62DE"/>
    <w:rsid w:val="00FB6979"/>
    <w:rsid w:val="00FB7245"/>
    <w:rsid w:val="00FC078F"/>
    <w:rsid w:val="00FC1941"/>
    <w:rsid w:val="00FC27D2"/>
    <w:rsid w:val="00FC2803"/>
    <w:rsid w:val="00FC346C"/>
    <w:rsid w:val="00FC34E6"/>
    <w:rsid w:val="00FC3F9C"/>
    <w:rsid w:val="00FC48A3"/>
    <w:rsid w:val="00FC5779"/>
    <w:rsid w:val="00FC5C95"/>
    <w:rsid w:val="00FC5EF0"/>
    <w:rsid w:val="00FC6336"/>
    <w:rsid w:val="00FC671C"/>
    <w:rsid w:val="00FC7194"/>
    <w:rsid w:val="00FC7242"/>
    <w:rsid w:val="00FC76B4"/>
    <w:rsid w:val="00FC7E5C"/>
    <w:rsid w:val="00FD03CF"/>
    <w:rsid w:val="00FD06FD"/>
    <w:rsid w:val="00FD08DC"/>
    <w:rsid w:val="00FD1420"/>
    <w:rsid w:val="00FD2378"/>
    <w:rsid w:val="00FD2529"/>
    <w:rsid w:val="00FD3544"/>
    <w:rsid w:val="00FD3930"/>
    <w:rsid w:val="00FD4840"/>
    <w:rsid w:val="00FD4EEC"/>
    <w:rsid w:val="00FD57E7"/>
    <w:rsid w:val="00FD6031"/>
    <w:rsid w:val="00FD7DC7"/>
    <w:rsid w:val="00FE152A"/>
    <w:rsid w:val="00FE1851"/>
    <w:rsid w:val="00FE19BC"/>
    <w:rsid w:val="00FE2067"/>
    <w:rsid w:val="00FE265E"/>
    <w:rsid w:val="00FE2D2E"/>
    <w:rsid w:val="00FE301B"/>
    <w:rsid w:val="00FE3321"/>
    <w:rsid w:val="00FE385F"/>
    <w:rsid w:val="00FE3CCF"/>
    <w:rsid w:val="00FE3DB0"/>
    <w:rsid w:val="00FE3FF5"/>
    <w:rsid w:val="00FE41AD"/>
    <w:rsid w:val="00FE447F"/>
    <w:rsid w:val="00FE5A3C"/>
    <w:rsid w:val="00FE6AED"/>
    <w:rsid w:val="00FE701F"/>
    <w:rsid w:val="00FE7391"/>
    <w:rsid w:val="00FF0A04"/>
    <w:rsid w:val="00FF2442"/>
    <w:rsid w:val="00FF29BA"/>
    <w:rsid w:val="00FF2E00"/>
    <w:rsid w:val="00FF361D"/>
    <w:rsid w:val="00FF39E3"/>
    <w:rsid w:val="00FF4554"/>
    <w:rsid w:val="00FF5AE3"/>
    <w:rsid w:val="00FF6A63"/>
    <w:rsid w:val="00FF6E9D"/>
    <w:rsid w:val="00FF7AE5"/>
    <w:rsid w:val="00FF7C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8AC26"/>
  <w15:chartTrackingRefBased/>
  <w15:docId w15:val="{6E080357-BC5E-3C45-B247-0B39D1C1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240"/>
  </w:style>
  <w:style w:type="paragraph" w:styleId="Heading1">
    <w:name w:val="heading 1"/>
    <w:basedOn w:val="Normal"/>
    <w:next w:val="Normal"/>
    <w:link w:val="Heading1Char"/>
    <w:uiPriority w:val="9"/>
    <w:qFormat/>
    <w:rsid w:val="00182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2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2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2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82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2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2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82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82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AEA"/>
    <w:rPr>
      <w:rFonts w:eastAsiaTheme="majorEastAsia" w:cstheme="majorBidi"/>
      <w:color w:val="272727" w:themeColor="text1" w:themeTint="D8"/>
    </w:rPr>
  </w:style>
  <w:style w:type="paragraph" w:styleId="Title">
    <w:name w:val="Title"/>
    <w:basedOn w:val="Normal"/>
    <w:next w:val="Normal"/>
    <w:link w:val="TitleChar"/>
    <w:uiPriority w:val="10"/>
    <w:qFormat/>
    <w:rsid w:val="00182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AEA"/>
    <w:pPr>
      <w:spacing w:before="160"/>
      <w:jc w:val="center"/>
    </w:pPr>
    <w:rPr>
      <w:i/>
      <w:iCs/>
      <w:color w:val="404040" w:themeColor="text1" w:themeTint="BF"/>
    </w:rPr>
  </w:style>
  <w:style w:type="character" w:customStyle="1" w:styleId="QuoteChar">
    <w:name w:val="Quote Char"/>
    <w:basedOn w:val="DefaultParagraphFont"/>
    <w:link w:val="Quote"/>
    <w:uiPriority w:val="29"/>
    <w:rsid w:val="00182AEA"/>
    <w:rPr>
      <w:i/>
      <w:iCs/>
      <w:color w:val="404040" w:themeColor="text1" w:themeTint="BF"/>
    </w:rPr>
  </w:style>
  <w:style w:type="paragraph" w:styleId="ListParagraph">
    <w:name w:val="List Paragraph"/>
    <w:basedOn w:val="Normal"/>
    <w:uiPriority w:val="34"/>
    <w:qFormat/>
    <w:rsid w:val="00182AEA"/>
    <w:pPr>
      <w:ind w:left="720"/>
      <w:contextualSpacing/>
    </w:pPr>
  </w:style>
  <w:style w:type="character" w:styleId="IntenseEmphasis">
    <w:name w:val="Intense Emphasis"/>
    <w:basedOn w:val="DefaultParagraphFont"/>
    <w:uiPriority w:val="21"/>
    <w:qFormat/>
    <w:rsid w:val="00182AEA"/>
    <w:rPr>
      <w:i/>
      <w:iCs/>
      <w:color w:val="0F4761" w:themeColor="accent1" w:themeShade="BF"/>
    </w:rPr>
  </w:style>
  <w:style w:type="paragraph" w:styleId="IntenseQuote">
    <w:name w:val="Intense Quote"/>
    <w:basedOn w:val="Normal"/>
    <w:next w:val="Normal"/>
    <w:link w:val="IntenseQuoteChar"/>
    <w:uiPriority w:val="30"/>
    <w:qFormat/>
    <w:rsid w:val="00182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AEA"/>
    <w:rPr>
      <w:i/>
      <w:iCs/>
      <w:color w:val="0F4761" w:themeColor="accent1" w:themeShade="BF"/>
    </w:rPr>
  </w:style>
  <w:style w:type="character" w:styleId="IntenseReference">
    <w:name w:val="Intense Reference"/>
    <w:basedOn w:val="DefaultParagraphFont"/>
    <w:uiPriority w:val="32"/>
    <w:qFormat/>
    <w:rsid w:val="00182AEA"/>
    <w:rPr>
      <w:b/>
      <w:bCs/>
      <w:smallCaps/>
      <w:color w:val="0F4761" w:themeColor="accent1" w:themeShade="BF"/>
      <w:spacing w:val="5"/>
    </w:rPr>
  </w:style>
  <w:style w:type="paragraph" w:styleId="Footer">
    <w:name w:val="footer"/>
    <w:basedOn w:val="Normal"/>
    <w:link w:val="FooterChar"/>
    <w:uiPriority w:val="99"/>
    <w:unhideWhenUsed/>
    <w:rsid w:val="005E4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F8D"/>
  </w:style>
  <w:style w:type="character" w:styleId="PageNumber">
    <w:name w:val="page number"/>
    <w:basedOn w:val="DefaultParagraphFont"/>
    <w:uiPriority w:val="99"/>
    <w:semiHidden/>
    <w:unhideWhenUsed/>
    <w:rsid w:val="005E4F8D"/>
  </w:style>
  <w:style w:type="paragraph" w:styleId="TOCHeading">
    <w:name w:val="TOC Heading"/>
    <w:basedOn w:val="Heading1"/>
    <w:next w:val="Normal"/>
    <w:uiPriority w:val="39"/>
    <w:unhideWhenUsed/>
    <w:qFormat/>
    <w:rsid w:val="005E4F8D"/>
    <w:pPr>
      <w:spacing w:before="480" w:after="0" w:line="276" w:lineRule="auto"/>
      <w:outlineLvl w:val="9"/>
    </w:pPr>
    <w:rPr>
      <w:b/>
      <w:bCs/>
      <w:kern w:val="0"/>
      <w:sz w:val="28"/>
      <w:szCs w:val="28"/>
      <w:lang w:eastAsia="en-US"/>
      <w14:ligatures w14:val="none"/>
    </w:rPr>
  </w:style>
  <w:style w:type="paragraph" w:styleId="TOC1">
    <w:name w:val="toc 1"/>
    <w:basedOn w:val="Normal"/>
    <w:next w:val="Normal"/>
    <w:autoRedefine/>
    <w:uiPriority w:val="39"/>
    <w:unhideWhenUsed/>
    <w:rsid w:val="005E4F8D"/>
    <w:pPr>
      <w:spacing w:before="120" w:after="0"/>
    </w:pPr>
    <w:rPr>
      <w:b/>
      <w:bCs/>
      <w:i/>
      <w:iCs/>
    </w:rPr>
  </w:style>
  <w:style w:type="paragraph" w:styleId="TOC2">
    <w:name w:val="toc 2"/>
    <w:basedOn w:val="Normal"/>
    <w:next w:val="Normal"/>
    <w:autoRedefine/>
    <w:uiPriority w:val="39"/>
    <w:semiHidden/>
    <w:unhideWhenUsed/>
    <w:rsid w:val="005E4F8D"/>
    <w:pPr>
      <w:spacing w:before="120" w:after="0"/>
      <w:ind w:left="240"/>
    </w:pPr>
    <w:rPr>
      <w:b/>
      <w:bCs/>
      <w:sz w:val="22"/>
      <w:szCs w:val="22"/>
    </w:rPr>
  </w:style>
  <w:style w:type="paragraph" w:styleId="TOC3">
    <w:name w:val="toc 3"/>
    <w:basedOn w:val="Normal"/>
    <w:next w:val="Normal"/>
    <w:autoRedefine/>
    <w:uiPriority w:val="39"/>
    <w:semiHidden/>
    <w:unhideWhenUsed/>
    <w:rsid w:val="005E4F8D"/>
    <w:pPr>
      <w:spacing w:after="0"/>
      <w:ind w:left="480"/>
    </w:pPr>
    <w:rPr>
      <w:sz w:val="20"/>
      <w:szCs w:val="20"/>
    </w:rPr>
  </w:style>
  <w:style w:type="paragraph" w:styleId="TOC4">
    <w:name w:val="toc 4"/>
    <w:basedOn w:val="Normal"/>
    <w:next w:val="Normal"/>
    <w:autoRedefine/>
    <w:uiPriority w:val="39"/>
    <w:semiHidden/>
    <w:unhideWhenUsed/>
    <w:rsid w:val="005E4F8D"/>
    <w:pPr>
      <w:spacing w:after="0"/>
      <w:ind w:left="720"/>
    </w:pPr>
    <w:rPr>
      <w:sz w:val="20"/>
      <w:szCs w:val="20"/>
    </w:rPr>
  </w:style>
  <w:style w:type="paragraph" w:styleId="TOC5">
    <w:name w:val="toc 5"/>
    <w:basedOn w:val="Normal"/>
    <w:next w:val="Normal"/>
    <w:autoRedefine/>
    <w:uiPriority w:val="39"/>
    <w:semiHidden/>
    <w:unhideWhenUsed/>
    <w:rsid w:val="005E4F8D"/>
    <w:pPr>
      <w:spacing w:after="0"/>
      <w:ind w:left="960"/>
    </w:pPr>
    <w:rPr>
      <w:sz w:val="20"/>
      <w:szCs w:val="20"/>
    </w:rPr>
  </w:style>
  <w:style w:type="paragraph" w:styleId="TOC6">
    <w:name w:val="toc 6"/>
    <w:basedOn w:val="Normal"/>
    <w:next w:val="Normal"/>
    <w:autoRedefine/>
    <w:uiPriority w:val="39"/>
    <w:semiHidden/>
    <w:unhideWhenUsed/>
    <w:rsid w:val="005E4F8D"/>
    <w:pPr>
      <w:spacing w:after="0"/>
      <w:ind w:left="1200"/>
    </w:pPr>
    <w:rPr>
      <w:sz w:val="20"/>
      <w:szCs w:val="20"/>
    </w:rPr>
  </w:style>
  <w:style w:type="paragraph" w:styleId="TOC7">
    <w:name w:val="toc 7"/>
    <w:basedOn w:val="Normal"/>
    <w:next w:val="Normal"/>
    <w:autoRedefine/>
    <w:uiPriority w:val="39"/>
    <w:semiHidden/>
    <w:unhideWhenUsed/>
    <w:rsid w:val="005E4F8D"/>
    <w:pPr>
      <w:spacing w:after="0"/>
      <w:ind w:left="1440"/>
    </w:pPr>
    <w:rPr>
      <w:sz w:val="20"/>
      <w:szCs w:val="20"/>
    </w:rPr>
  </w:style>
  <w:style w:type="paragraph" w:styleId="TOC8">
    <w:name w:val="toc 8"/>
    <w:basedOn w:val="Normal"/>
    <w:next w:val="Normal"/>
    <w:autoRedefine/>
    <w:uiPriority w:val="39"/>
    <w:semiHidden/>
    <w:unhideWhenUsed/>
    <w:rsid w:val="005E4F8D"/>
    <w:pPr>
      <w:spacing w:after="0"/>
      <w:ind w:left="1680"/>
    </w:pPr>
    <w:rPr>
      <w:sz w:val="20"/>
      <w:szCs w:val="20"/>
    </w:rPr>
  </w:style>
  <w:style w:type="paragraph" w:styleId="TOC9">
    <w:name w:val="toc 9"/>
    <w:basedOn w:val="Normal"/>
    <w:next w:val="Normal"/>
    <w:autoRedefine/>
    <w:uiPriority w:val="39"/>
    <w:semiHidden/>
    <w:unhideWhenUsed/>
    <w:rsid w:val="005E4F8D"/>
    <w:pPr>
      <w:spacing w:after="0"/>
      <w:ind w:left="1920"/>
    </w:pPr>
    <w:rPr>
      <w:sz w:val="20"/>
      <w:szCs w:val="20"/>
    </w:rPr>
  </w:style>
  <w:style w:type="character" w:styleId="Hyperlink">
    <w:name w:val="Hyperlink"/>
    <w:basedOn w:val="DefaultParagraphFont"/>
    <w:uiPriority w:val="99"/>
    <w:unhideWhenUsed/>
    <w:rsid w:val="00D719E5"/>
    <w:rPr>
      <w:color w:val="467886" w:themeColor="hyperlink"/>
      <w:u w:val="single"/>
    </w:rPr>
  </w:style>
  <w:style w:type="character" w:styleId="CommentReference">
    <w:name w:val="annotation reference"/>
    <w:basedOn w:val="DefaultParagraphFont"/>
    <w:uiPriority w:val="99"/>
    <w:semiHidden/>
    <w:unhideWhenUsed/>
    <w:rsid w:val="00D71E6B"/>
    <w:rPr>
      <w:sz w:val="16"/>
      <w:szCs w:val="16"/>
    </w:rPr>
  </w:style>
  <w:style w:type="paragraph" w:styleId="CommentText">
    <w:name w:val="annotation text"/>
    <w:basedOn w:val="Normal"/>
    <w:link w:val="CommentTextChar"/>
    <w:uiPriority w:val="99"/>
    <w:semiHidden/>
    <w:unhideWhenUsed/>
    <w:rsid w:val="00D71E6B"/>
    <w:pPr>
      <w:spacing w:line="240" w:lineRule="auto"/>
    </w:pPr>
    <w:rPr>
      <w:sz w:val="20"/>
      <w:szCs w:val="20"/>
    </w:rPr>
  </w:style>
  <w:style w:type="character" w:customStyle="1" w:styleId="CommentTextChar">
    <w:name w:val="Comment Text Char"/>
    <w:basedOn w:val="DefaultParagraphFont"/>
    <w:link w:val="CommentText"/>
    <w:uiPriority w:val="99"/>
    <w:semiHidden/>
    <w:rsid w:val="00D71E6B"/>
    <w:rPr>
      <w:sz w:val="20"/>
      <w:szCs w:val="20"/>
    </w:rPr>
  </w:style>
  <w:style w:type="paragraph" w:styleId="CommentSubject">
    <w:name w:val="annotation subject"/>
    <w:basedOn w:val="CommentText"/>
    <w:next w:val="CommentText"/>
    <w:link w:val="CommentSubjectChar"/>
    <w:uiPriority w:val="99"/>
    <w:semiHidden/>
    <w:unhideWhenUsed/>
    <w:rsid w:val="00D71E6B"/>
    <w:rPr>
      <w:b/>
      <w:bCs/>
    </w:rPr>
  </w:style>
  <w:style w:type="character" w:customStyle="1" w:styleId="CommentSubjectChar">
    <w:name w:val="Comment Subject Char"/>
    <w:basedOn w:val="CommentTextChar"/>
    <w:link w:val="CommentSubject"/>
    <w:uiPriority w:val="99"/>
    <w:semiHidden/>
    <w:rsid w:val="00D71E6B"/>
    <w:rPr>
      <w:b/>
      <w:bCs/>
      <w:sz w:val="20"/>
      <w:szCs w:val="20"/>
    </w:rPr>
  </w:style>
  <w:style w:type="paragraph" w:styleId="Revision">
    <w:name w:val="Revision"/>
    <w:hidden/>
    <w:uiPriority w:val="99"/>
    <w:semiHidden/>
    <w:rsid w:val="00FB2CD6"/>
    <w:pPr>
      <w:spacing w:after="0" w:line="240" w:lineRule="auto"/>
    </w:pPr>
  </w:style>
  <w:style w:type="character" w:customStyle="1" w:styleId="current-selection">
    <w:name w:val="current-selection"/>
    <w:basedOn w:val="DefaultParagraphFont"/>
    <w:rsid w:val="00E179A4"/>
  </w:style>
  <w:style w:type="paragraph" w:styleId="Bibliography">
    <w:name w:val="Bibliography"/>
    <w:basedOn w:val="Normal"/>
    <w:next w:val="Normal"/>
    <w:uiPriority w:val="37"/>
    <w:unhideWhenUsed/>
    <w:rsid w:val="00752584"/>
    <w:pPr>
      <w:tabs>
        <w:tab w:val="left" w:pos="260"/>
        <w:tab w:val="left" w:pos="380"/>
      </w:tabs>
      <w:spacing w:after="240" w:line="240" w:lineRule="auto"/>
      <w:ind w:left="384" w:hanging="384"/>
    </w:pPr>
  </w:style>
  <w:style w:type="paragraph" w:styleId="Header">
    <w:name w:val="header"/>
    <w:basedOn w:val="Normal"/>
    <w:link w:val="HeaderChar"/>
    <w:uiPriority w:val="99"/>
    <w:unhideWhenUsed/>
    <w:rsid w:val="006D7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E5E"/>
  </w:style>
  <w:style w:type="table" w:styleId="TableGrid">
    <w:name w:val="Table Grid"/>
    <w:basedOn w:val="TableNormal"/>
    <w:uiPriority w:val="39"/>
    <w:rsid w:val="00F94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F94AA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F94AAA"/>
    <w:rPr>
      <w:rFonts w:ascii="Consolas" w:hAnsi="Consolas" w:cs="Consolas"/>
      <w:sz w:val="20"/>
      <w:szCs w:val="20"/>
    </w:rPr>
  </w:style>
  <w:style w:type="character" w:styleId="UnresolvedMention">
    <w:name w:val="Unresolved Mention"/>
    <w:basedOn w:val="DefaultParagraphFont"/>
    <w:uiPriority w:val="99"/>
    <w:semiHidden/>
    <w:unhideWhenUsed/>
    <w:rsid w:val="00F94AAA"/>
    <w:rPr>
      <w:color w:val="605E5C"/>
      <w:shd w:val="clear" w:color="auto" w:fill="E1DFDD"/>
    </w:rPr>
  </w:style>
  <w:style w:type="character" w:styleId="FollowedHyperlink">
    <w:name w:val="FollowedHyperlink"/>
    <w:basedOn w:val="DefaultParagraphFont"/>
    <w:uiPriority w:val="99"/>
    <w:semiHidden/>
    <w:unhideWhenUsed/>
    <w:rsid w:val="00F94AAA"/>
    <w:rPr>
      <w:color w:val="96607D" w:themeColor="followedHyperlink"/>
      <w:u w:val="single"/>
    </w:rPr>
  </w:style>
  <w:style w:type="paragraph" w:styleId="NoSpacing">
    <w:name w:val="No Spacing"/>
    <w:uiPriority w:val="1"/>
    <w:qFormat/>
    <w:rsid w:val="00F94AAA"/>
    <w:pPr>
      <w:spacing w:after="0" w:line="240" w:lineRule="auto"/>
    </w:pPr>
  </w:style>
  <w:style w:type="character" w:customStyle="1" w:styleId="n">
    <w:name w:val="n"/>
    <w:basedOn w:val="DefaultParagraphFont"/>
    <w:rsid w:val="00F94AAA"/>
  </w:style>
  <w:style w:type="character" w:customStyle="1" w:styleId="o">
    <w:name w:val="o"/>
    <w:basedOn w:val="DefaultParagraphFont"/>
    <w:rsid w:val="00F94AAA"/>
  </w:style>
  <w:style w:type="character" w:styleId="LineNumber">
    <w:name w:val="line number"/>
    <w:basedOn w:val="DefaultParagraphFont"/>
    <w:uiPriority w:val="99"/>
    <w:unhideWhenUsed/>
    <w:rsid w:val="00F94AAA"/>
  </w:style>
  <w:style w:type="paragraph" w:customStyle="1" w:styleId="p4">
    <w:name w:val="p4"/>
    <w:basedOn w:val="Normal"/>
    <w:rsid w:val="00F94AAA"/>
    <w:pPr>
      <w:spacing w:after="0" w:line="240" w:lineRule="auto"/>
    </w:pPr>
    <w:rPr>
      <w:rFonts w:ascii="Arial" w:eastAsiaTheme="minorHAnsi" w:hAnsi="Arial" w:cs="Arial"/>
      <w:kern w:val="0"/>
      <w:sz w:val="15"/>
      <w:szCs w:val="15"/>
      <w:lang w:eastAsia="en-US"/>
      <w14:ligatures w14:val="none"/>
    </w:rPr>
  </w:style>
  <w:style w:type="paragraph" w:styleId="NormalWeb">
    <w:name w:val="Normal (Web)"/>
    <w:basedOn w:val="Normal"/>
    <w:link w:val="NormalWebChar"/>
    <w:uiPriority w:val="99"/>
    <w:unhideWhenUsed/>
    <w:rsid w:val="00F94AAA"/>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customStyle="1" w:styleId="identifier">
    <w:name w:val="identifier"/>
    <w:basedOn w:val="DefaultParagraphFont"/>
    <w:rsid w:val="00F94AAA"/>
  </w:style>
  <w:style w:type="paragraph" w:customStyle="1" w:styleId="EndNoteBibliographyTitle">
    <w:name w:val="EndNote Bibliography Title"/>
    <w:basedOn w:val="Normal"/>
    <w:link w:val="EndNoteBibliographyTitleChar"/>
    <w:rsid w:val="00F94AAA"/>
    <w:pPr>
      <w:spacing w:after="0"/>
      <w:jc w:val="center"/>
    </w:pPr>
    <w:rPr>
      <w:rFonts w:ascii="Arial" w:eastAsia="Times New Roman" w:hAnsi="Arial" w:cs="Arial"/>
      <w:kern w:val="0"/>
      <w:lang w:eastAsia="en-US"/>
      <w14:ligatures w14:val="none"/>
    </w:rPr>
  </w:style>
  <w:style w:type="character" w:customStyle="1" w:styleId="NormalWebChar">
    <w:name w:val="Normal (Web) Char"/>
    <w:basedOn w:val="DefaultParagraphFont"/>
    <w:link w:val="NormalWeb"/>
    <w:uiPriority w:val="99"/>
    <w:rsid w:val="00F94AAA"/>
    <w:rPr>
      <w:rFonts w:ascii="Times New Roman" w:eastAsia="Times New Roman" w:hAnsi="Times New Roman" w:cs="Times New Roman"/>
      <w:kern w:val="0"/>
      <w:lang w:eastAsia="en-US"/>
      <w14:ligatures w14:val="none"/>
    </w:rPr>
  </w:style>
  <w:style w:type="character" w:customStyle="1" w:styleId="EndNoteBibliographyTitleChar">
    <w:name w:val="EndNote Bibliography Title Char"/>
    <w:basedOn w:val="NormalWebChar"/>
    <w:link w:val="EndNoteBibliographyTitle"/>
    <w:rsid w:val="00F94AAA"/>
    <w:rPr>
      <w:rFonts w:ascii="Arial" w:eastAsia="Times New Roman" w:hAnsi="Arial" w:cs="Arial"/>
      <w:kern w:val="0"/>
      <w:lang w:eastAsia="en-US"/>
      <w14:ligatures w14:val="none"/>
    </w:rPr>
  </w:style>
  <w:style w:type="paragraph" w:customStyle="1" w:styleId="EndNoteBibliography">
    <w:name w:val="EndNote Bibliography"/>
    <w:basedOn w:val="Normal"/>
    <w:link w:val="EndNoteBibliographyChar"/>
    <w:rsid w:val="00F94AAA"/>
    <w:pPr>
      <w:spacing w:line="240" w:lineRule="auto"/>
    </w:pPr>
    <w:rPr>
      <w:rFonts w:ascii="Arial" w:eastAsia="Times New Roman" w:hAnsi="Arial" w:cs="Arial"/>
      <w:kern w:val="0"/>
      <w:lang w:eastAsia="en-US"/>
      <w14:ligatures w14:val="none"/>
    </w:rPr>
  </w:style>
  <w:style w:type="character" w:customStyle="1" w:styleId="EndNoteBibliographyChar">
    <w:name w:val="EndNote Bibliography Char"/>
    <w:basedOn w:val="NormalWebChar"/>
    <w:link w:val="EndNoteBibliography"/>
    <w:rsid w:val="00F94AAA"/>
    <w:rPr>
      <w:rFonts w:ascii="Arial" w:eastAsia="Times New Roman" w:hAnsi="Arial" w:cs="Arial"/>
      <w:kern w:val="0"/>
      <w:lang w:eastAsia="en-US"/>
      <w14:ligatures w14:val="none"/>
    </w:rPr>
  </w:style>
  <w:style w:type="paragraph" w:customStyle="1" w:styleId="p1">
    <w:name w:val="p1"/>
    <w:basedOn w:val="Normal"/>
    <w:rsid w:val="00F94AA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5">
    <w:name w:val="s5"/>
    <w:basedOn w:val="DefaultParagraphFont"/>
    <w:rsid w:val="00F94AAA"/>
  </w:style>
  <w:style w:type="character" w:customStyle="1" w:styleId="apple-converted-space">
    <w:name w:val="apple-converted-space"/>
    <w:basedOn w:val="DefaultParagraphFont"/>
    <w:rsid w:val="00F94AAA"/>
  </w:style>
  <w:style w:type="character" w:customStyle="1" w:styleId="s11">
    <w:name w:val="s11"/>
    <w:basedOn w:val="DefaultParagraphFont"/>
    <w:rsid w:val="00F94AAA"/>
  </w:style>
  <w:style w:type="character" w:customStyle="1" w:styleId="s1">
    <w:name w:val="s1"/>
    <w:basedOn w:val="DefaultParagraphFont"/>
    <w:rsid w:val="00F94AAA"/>
  </w:style>
  <w:style w:type="paragraph" w:styleId="BodyText">
    <w:name w:val="Body Text"/>
    <w:basedOn w:val="Normal"/>
    <w:link w:val="BodyTextChar"/>
    <w:rsid w:val="00F94AAA"/>
    <w:pPr>
      <w:spacing w:after="140" w:line="276"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F94AAA"/>
    <w:rPr>
      <w:rFonts w:ascii="Times New Roman" w:eastAsia="Times New Roman" w:hAnsi="Times New Roman" w:cs="Times New Roman"/>
      <w:kern w:val="0"/>
      <w14:ligatures w14:val="none"/>
    </w:rPr>
  </w:style>
  <w:style w:type="paragraph" w:customStyle="1" w:styleId="p2">
    <w:name w:val="p2"/>
    <w:basedOn w:val="Normal"/>
    <w:rsid w:val="00F94AAA"/>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F94AA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8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emf"/><Relationship Id="rId21" Type="http://schemas.openxmlformats.org/officeDocument/2006/relationships/image" Target="media/image14.png"/><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emf"/><Relationship Id="rId44" Type="http://schemas.openxmlformats.org/officeDocument/2006/relationships/image" Target="media/image3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emf"/><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A383C-DD2E-9D40-B431-811FBB8E8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48</Pages>
  <Words>35061</Words>
  <Characters>203009</Characters>
  <Application>Microsoft Office Word</Application>
  <DocSecurity>0</DocSecurity>
  <Lines>2780</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Gao, William</dc:creator>
  <cp:keywords/>
  <dc:description/>
  <cp:lastModifiedBy>Gao, William</cp:lastModifiedBy>
  <cp:revision>14</cp:revision>
  <dcterms:created xsi:type="dcterms:W3CDTF">2026-03-16T00:31:00Z</dcterms:created>
  <dcterms:modified xsi:type="dcterms:W3CDTF">2026-03-16T14:32:00Z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zotero-version="8.0-beta.27+470660121"&gt;&lt;session id="SVq4UH2q"/&gt;&lt;style id="http://www.zotero.org/styles/nature" hasBibliography="1" bibliographyStyleHasBeenSet="1"/&gt;&lt;prefs&gt;&lt;pref name="fieldType" value="Field"/&gt;&lt;pref name="dontAskDela</vt:lpwstr>
  </property>
  <property fmtid="{D5CDD505-2E9C-101B-9397-08002B2CF9AE}" pid="3" name="ZOTERO_PREF_2">
    <vt:lpwstr>yCitationUpdates" value="true"/&gt;&lt;/prefs&gt;&lt;/data&gt;</vt:lpwstr>
  </property>
</Properties>
</file>