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5304F9" w14:textId="558BDEFF" w:rsidR="00244120" w:rsidRPr="00EE756E" w:rsidRDefault="006C77F8" w:rsidP="00244120">
      <w:pPr>
        <w:jc w:val="both"/>
        <w:rPr>
          <w:b/>
          <w:bCs/>
        </w:rPr>
      </w:pPr>
      <w:r>
        <w:rPr>
          <w:b/>
          <w:bCs/>
        </w:rPr>
        <w:t xml:space="preserve">Additional File 2: </w:t>
      </w:r>
      <w:r w:rsidR="00F2783F" w:rsidRPr="00410513">
        <w:rPr>
          <w:b/>
          <w:bCs/>
        </w:rPr>
        <w:t xml:space="preserve">Supplementary information </w:t>
      </w:r>
      <w:r w:rsidR="00CA694A" w:rsidRPr="00410513">
        <w:rPr>
          <w:b/>
          <w:bCs/>
        </w:rPr>
        <w:t xml:space="preserve">for </w:t>
      </w:r>
      <w:r w:rsidR="003E5F9F" w:rsidRPr="003E5F9F">
        <w:rPr>
          <w:b/>
          <w:bCs/>
        </w:rPr>
        <w:t>ERVmancer: a phylogeny-guided framework for decoding human endogenous retrovirus regulatory mechanisms in health and disease</w:t>
      </w:r>
    </w:p>
    <w:p w14:paraId="3BD97181" w14:textId="36F29408" w:rsidR="00F2783F" w:rsidRPr="00410513" w:rsidRDefault="00F2783F" w:rsidP="00CA694A">
      <w:pPr>
        <w:jc w:val="both"/>
        <w:rPr>
          <w:b/>
          <w:bCs/>
        </w:rPr>
      </w:pPr>
    </w:p>
    <w:p w14:paraId="3639D168" w14:textId="26A24FBB" w:rsidR="00220A21" w:rsidRPr="00410513" w:rsidRDefault="00220A21" w:rsidP="00FF56D3">
      <w:pPr>
        <w:jc w:val="both"/>
        <w:rPr>
          <w:b/>
          <w:bCs/>
        </w:rPr>
      </w:pPr>
      <w:r w:rsidRPr="00410513">
        <w:rPr>
          <w:b/>
          <w:bCs/>
        </w:rPr>
        <w:t>Supplement</w:t>
      </w:r>
      <w:r w:rsidR="003367AA" w:rsidRPr="00410513">
        <w:rPr>
          <w:b/>
          <w:bCs/>
        </w:rPr>
        <w:t>al</w:t>
      </w:r>
      <w:r w:rsidRPr="00410513">
        <w:rPr>
          <w:b/>
          <w:bCs/>
        </w:rPr>
        <w:t xml:space="preserve"> Table Legends</w:t>
      </w:r>
    </w:p>
    <w:p w14:paraId="6E555064" w14:textId="0BE106F4" w:rsidR="00220A21" w:rsidRPr="00410513" w:rsidRDefault="00E90AE8" w:rsidP="00FF56D3">
      <w:pPr>
        <w:jc w:val="both"/>
      </w:pPr>
      <w:r w:rsidRPr="00410513">
        <w:rPr>
          <w:b/>
          <w:bCs/>
        </w:rPr>
        <w:t xml:space="preserve">Table </w:t>
      </w:r>
      <w:r w:rsidR="005C5DC3">
        <w:rPr>
          <w:b/>
          <w:bCs/>
        </w:rPr>
        <w:t>S</w:t>
      </w:r>
      <w:r w:rsidRPr="00410513">
        <w:rPr>
          <w:b/>
          <w:bCs/>
        </w:rPr>
        <w:t>1</w:t>
      </w:r>
      <w:r w:rsidR="008E2CEE" w:rsidRPr="00410513">
        <w:rPr>
          <w:b/>
          <w:bCs/>
        </w:rPr>
        <w:t>.</w:t>
      </w:r>
      <w:r w:rsidRPr="00410513">
        <w:t xml:space="preserve"> </w:t>
      </w:r>
      <w:r w:rsidR="00310AEF" w:rsidRPr="00410513">
        <w:t xml:space="preserve">Metadata on the </w:t>
      </w:r>
      <w:r w:rsidRPr="00410513">
        <w:t>3043 HERVs used by ERVmancer with at least one intact GAG, Pol</w:t>
      </w:r>
      <w:r w:rsidR="006B0575" w:rsidRPr="00410513">
        <w:t>/RT</w:t>
      </w:r>
      <w:r w:rsidRPr="00410513">
        <w:t>, or ENV protein, their hg19 genomic locations, and the closest gene to the HERV. HERV names are from HERVd.</w:t>
      </w:r>
    </w:p>
    <w:p w14:paraId="4DA2D139" w14:textId="4818D75C" w:rsidR="00310AEF" w:rsidRPr="00410513" w:rsidRDefault="00310AEF" w:rsidP="00FF56D3">
      <w:pPr>
        <w:jc w:val="both"/>
      </w:pPr>
      <w:r w:rsidRPr="00410513">
        <w:rPr>
          <w:b/>
          <w:bCs/>
        </w:rPr>
        <w:t xml:space="preserve">Table </w:t>
      </w:r>
      <w:r w:rsidR="00A45F41">
        <w:rPr>
          <w:b/>
          <w:bCs/>
        </w:rPr>
        <w:t>S</w:t>
      </w:r>
      <w:r w:rsidRPr="00410513">
        <w:rPr>
          <w:b/>
          <w:bCs/>
        </w:rPr>
        <w:t>2</w:t>
      </w:r>
      <w:r w:rsidR="002906CC" w:rsidRPr="00410513">
        <w:rPr>
          <w:b/>
          <w:bCs/>
        </w:rPr>
        <w:t>.</w:t>
      </w:r>
      <w:r w:rsidRPr="00410513">
        <w:t xml:space="preserve"> </w:t>
      </w:r>
      <w:r w:rsidR="00212DA0" w:rsidRPr="00410513">
        <w:t>Metadata on the</w:t>
      </w:r>
      <w:r w:rsidR="003A6C06" w:rsidRPr="00410513">
        <w:t xml:space="preserve"> spontaneous lymphoblastoid cell lines from</w:t>
      </w:r>
      <w:r w:rsidR="00212DA0" w:rsidRPr="00410513">
        <w:t xml:space="preserve"> Multiple Sclerosis</w:t>
      </w:r>
      <w:r w:rsidR="003A6C06" w:rsidRPr="00410513">
        <w:t xml:space="preserve"> patients</w:t>
      </w:r>
      <w:r w:rsidR="00212DA0" w:rsidRPr="00410513">
        <w:t xml:space="preserve"> </w:t>
      </w:r>
      <w:r w:rsidRPr="00410513">
        <w:t xml:space="preserve">and </w:t>
      </w:r>
      <w:r w:rsidR="003A6C06" w:rsidRPr="00410513">
        <w:t>healthy controls.</w:t>
      </w:r>
    </w:p>
    <w:p w14:paraId="206A4A7B" w14:textId="6548BECE" w:rsidR="003A6C06" w:rsidRPr="00410513" w:rsidRDefault="003A6C06" w:rsidP="00FF56D3">
      <w:pPr>
        <w:jc w:val="both"/>
      </w:pPr>
      <w:r w:rsidRPr="00410513">
        <w:rPr>
          <w:b/>
          <w:bCs/>
        </w:rPr>
        <w:t xml:space="preserve">Table </w:t>
      </w:r>
      <w:r w:rsidR="00D03ED6">
        <w:rPr>
          <w:b/>
          <w:bCs/>
        </w:rPr>
        <w:t>S</w:t>
      </w:r>
      <w:r w:rsidRPr="00410513">
        <w:rPr>
          <w:b/>
          <w:bCs/>
        </w:rPr>
        <w:t>3</w:t>
      </w:r>
      <w:r w:rsidR="003D62F3" w:rsidRPr="00410513">
        <w:rPr>
          <w:b/>
          <w:bCs/>
        </w:rPr>
        <w:t>.</w:t>
      </w:r>
      <w:r w:rsidRPr="00410513">
        <w:t xml:space="preserve"> Metadata on the CCLE breast cancer cell lines.</w:t>
      </w:r>
    </w:p>
    <w:p w14:paraId="3FB52CFC" w14:textId="46126C3F" w:rsidR="00697C38" w:rsidRPr="00410513" w:rsidRDefault="003A6C06" w:rsidP="00FF56D3">
      <w:pPr>
        <w:jc w:val="both"/>
      </w:pPr>
      <w:r w:rsidRPr="00410513">
        <w:rPr>
          <w:b/>
          <w:bCs/>
        </w:rPr>
        <w:t xml:space="preserve">Table </w:t>
      </w:r>
      <w:r w:rsidR="00D03ED6">
        <w:rPr>
          <w:b/>
          <w:bCs/>
        </w:rPr>
        <w:t>S</w:t>
      </w:r>
      <w:r w:rsidRPr="00410513">
        <w:rPr>
          <w:b/>
          <w:bCs/>
        </w:rPr>
        <w:t>4</w:t>
      </w:r>
      <w:r w:rsidR="000F3D75" w:rsidRPr="00410513">
        <w:rPr>
          <w:b/>
          <w:bCs/>
        </w:rPr>
        <w:t>.</w:t>
      </w:r>
      <w:r w:rsidR="003367AA" w:rsidRPr="00410513">
        <w:t xml:space="preserve"> Metadata for primers used in </w:t>
      </w:r>
      <w:r w:rsidR="00690432">
        <w:t>F</w:t>
      </w:r>
      <w:r w:rsidR="003367AA" w:rsidRPr="00410513">
        <w:t>ig</w:t>
      </w:r>
      <w:r w:rsidR="007B3A29">
        <w:t>.</w:t>
      </w:r>
      <w:r w:rsidR="003367AA" w:rsidRPr="00410513">
        <w:t xml:space="preserve"> 4.</w:t>
      </w:r>
    </w:p>
    <w:p w14:paraId="5152B26C" w14:textId="77777777" w:rsidR="00E81265" w:rsidRPr="00410513" w:rsidRDefault="00E81265" w:rsidP="00FF56D3">
      <w:pPr>
        <w:jc w:val="both"/>
        <w:rPr>
          <w:b/>
          <w:bCs/>
        </w:rPr>
      </w:pPr>
    </w:p>
    <w:p w14:paraId="1E471CD4" w14:textId="67D02040" w:rsidR="003367AA" w:rsidRPr="00410513" w:rsidRDefault="00C507F6" w:rsidP="00FF56D3">
      <w:pPr>
        <w:jc w:val="both"/>
        <w:rPr>
          <w:b/>
          <w:bCs/>
        </w:rPr>
      </w:pPr>
      <w:r>
        <w:rPr>
          <w:b/>
          <w:bCs/>
        </w:rPr>
        <w:t>S1</w:t>
      </w:r>
      <w:r w:rsidR="003367AA" w:rsidRPr="00410513">
        <w:rPr>
          <w:b/>
          <w:bCs/>
        </w:rPr>
        <w:t xml:space="preserve"> Methods</w:t>
      </w:r>
    </w:p>
    <w:p w14:paraId="7F42C2A2" w14:textId="6D201121" w:rsidR="00697C38" w:rsidRPr="00410513" w:rsidRDefault="002E3E62" w:rsidP="00FF56D3">
      <w:pPr>
        <w:jc w:val="both"/>
        <w:rPr>
          <w:b/>
          <w:bCs/>
        </w:rPr>
      </w:pPr>
      <w:r w:rsidRPr="00410513">
        <w:rPr>
          <w:b/>
          <w:bCs/>
        </w:rPr>
        <w:t>T</w:t>
      </w:r>
      <w:r w:rsidR="00697C38" w:rsidRPr="00410513">
        <w:rPr>
          <w:b/>
          <w:bCs/>
        </w:rPr>
        <w:t xml:space="preserve">he </w:t>
      </w:r>
      <w:r w:rsidR="00F46523" w:rsidRPr="00410513">
        <w:rPr>
          <w:b/>
          <w:bCs/>
        </w:rPr>
        <w:t>p</w:t>
      </w:r>
      <w:r w:rsidR="00697C38" w:rsidRPr="00410513">
        <w:rPr>
          <w:b/>
          <w:bCs/>
        </w:rPr>
        <w:t xml:space="preserve">arallel ERVmancer </w:t>
      </w:r>
      <w:r w:rsidR="00F46523" w:rsidRPr="00410513">
        <w:rPr>
          <w:b/>
          <w:bCs/>
        </w:rPr>
        <w:t>a</w:t>
      </w:r>
      <w:r w:rsidR="00697C38" w:rsidRPr="00410513">
        <w:rPr>
          <w:b/>
          <w:bCs/>
        </w:rPr>
        <w:t xml:space="preserve">ssignment </w:t>
      </w:r>
      <w:r w:rsidR="00F46523" w:rsidRPr="00410513">
        <w:rPr>
          <w:b/>
          <w:bCs/>
        </w:rPr>
        <w:t>s</w:t>
      </w:r>
      <w:r w:rsidR="00697C38" w:rsidRPr="00410513">
        <w:rPr>
          <w:b/>
          <w:bCs/>
        </w:rPr>
        <w:t>teps</w:t>
      </w:r>
    </w:p>
    <w:p w14:paraId="5E54950E" w14:textId="517659D9" w:rsidR="00220A21" w:rsidRPr="00410513" w:rsidRDefault="00697C38" w:rsidP="00FF56D3">
      <w:pPr>
        <w:ind w:firstLine="720"/>
        <w:jc w:val="both"/>
      </w:pPr>
      <w:r w:rsidRPr="00410513">
        <w:t>ERVmancer uses two parallel methods to assign originator HERVs</w:t>
      </w:r>
      <w:r w:rsidR="00066CBB" w:rsidRPr="00410513">
        <w:t>:</w:t>
      </w:r>
      <w:r w:rsidRPr="00410513">
        <w:t xml:space="preserve"> a step using hashed k-mer tables, and a step using Bowtie2 multimapping assignments. These parallel approaches result in a more accurate tree assignment. After the initial Bowtie2 HERV read selection, the k-mer step removes more false positives (Fig</w:t>
      </w:r>
      <w:r w:rsidR="005C6E2F">
        <w:t>.</w:t>
      </w:r>
      <w:r w:rsidRPr="00410513">
        <w:t xml:space="preserve"> </w:t>
      </w:r>
      <w:r w:rsidR="005C6E2F">
        <w:t>S</w:t>
      </w:r>
      <w:r w:rsidR="00035F1A">
        <w:t>5</w:t>
      </w:r>
      <w:r w:rsidRPr="00410513">
        <w:t>A) but tends to assign reads further from the leaves compared to the multimap</w:t>
      </w:r>
      <w:r w:rsidR="00E00017" w:rsidRPr="00410513">
        <w:t>ping</w:t>
      </w:r>
      <w:r w:rsidRPr="00410513">
        <w:t xml:space="preserve"> approach (</w:t>
      </w:r>
      <w:r w:rsidR="005C6E2F" w:rsidRPr="00410513">
        <w:t>Fig</w:t>
      </w:r>
      <w:r w:rsidR="005C6E2F">
        <w:t>.</w:t>
      </w:r>
      <w:r w:rsidR="005C6E2F" w:rsidRPr="00410513">
        <w:t xml:space="preserve"> </w:t>
      </w:r>
      <w:r w:rsidR="005C6E2F">
        <w:t>S5B</w:t>
      </w:r>
      <w:r w:rsidRPr="00410513">
        <w:t xml:space="preserve">). This pattern is due to the </w:t>
      </w:r>
      <w:r w:rsidR="006B0575" w:rsidRPr="00410513">
        <w:t>k-mer</w:t>
      </w:r>
      <w:r w:rsidRPr="00410513">
        <w:t xml:space="preserve"> step relying on the smaller, less informative 31 </w:t>
      </w:r>
      <w:r w:rsidR="00E00017" w:rsidRPr="00410513">
        <w:t>bp</w:t>
      </w:r>
      <w:r w:rsidRPr="00410513">
        <w:t xml:space="preserve"> </w:t>
      </w:r>
      <w:r w:rsidR="00E00017" w:rsidRPr="00410513">
        <w:t>k-mers</w:t>
      </w:r>
      <w:r w:rsidRPr="00410513">
        <w:t xml:space="preserve"> for assignment. In contrast, Bowtie2, by considering information across the entire read, tends to assign reads lower down in the tree (</w:t>
      </w:r>
      <w:r w:rsidR="005C6E2F" w:rsidRPr="00410513">
        <w:t>Fig</w:t>
      </w:r>
      <w:r w:rsidR="005C6E2F">
        <w:t>.</w:t>
      </w:r>
      <w:r w:rsidR="005C6E2F" w:rsidRPr="00410513">
        <w:t xml:space="preserve"> </w:t>
      </w:r>
      <w:r w:rsidR="005C6E2F">
        <w:t>S5B</w:t>
      </w:r>
      <w:r w:rsidRPr="00410513">
        <w:t xml:space="preserve">). However, the multimapping step does not filter false positives, as it does not consider if the read also aligns to non-HERV regions. Therefore, the final read counts are </w:t>
      </w:r>
      <w:r w:rsidR="004C65E9">
        <w:t>generated</w:t>
      </w:r>
      <w:r w:rsidRPr="00410513">
        <w:t xml:space="preserve"> by removing all reads which are filtered in the k-mer step, and then assigning the read to the tree to the lowest LCA assignment between the k-mer and Bowtie2 multimapping approaches. </w:t>
      </w:r>
      <w:r w:rsidR="007D1F3C" w:rsidRPr="007D1F3C">
        <w:t>This approach yields the most specific LCA assignment while minimizing false positive mappings</w:t>
      </w:r>
      <w:r w:rsidRPr="00410513">
        <w:t xml:space="preserve"> (</w:t>
      </w:r>
      <w:r w:rsidR="005C6E2F" w:rsidRPr="00410513">
        <w:t>Fig</w:t>
      </w:r>
      <w:r w:rsidR="00320D2F">
        <w:t xml:space="preserve">. </w:t>
      </w:r>
      <w:r w:rsidR="00F85448">
        <w:t>S</w:t>
      </w:r>
      <w:r w:rsidR="00A53373">
        <w:t>5A,B</w:t>
      </w:r>
      <w:r w:rsidRPr="00410513">
        <w:t>).</w:t>
      </w:r>
    </w:p>
    <w:p w14:paraId="7C47A9FE" w14:textId="5ABB17DC" w:rsidR="00D0636A" w:rsidRPr="00410513" w:rsidRDefault="00BC0049" w:rsidP="00BC0049">
      <w:pPr>
        <w:jc w:val="both"/>
        <w:rPr>
          <w:b/>
          <w:bCs/>
        </w:rPr>
      </w:pPr>
      <w:r w:rsidRPr="00410513">
        <w:rPr>
          <w:b/>
          <w:bCs/>
        </w:rPr>
        <w:t>Examining alternative</w:t>
      </w:r>
      <w:r w:rsidR="00D0636A" w:rsidRPr="00410513">
        <w:rPr>
          <w:b/>
          <w:bCs/>
        </w:rPr>
        <w:t xml:space="preserve"> </w:t>
      </w:r>
      <w:r w:rsidR="00F1579C" w:rsidRPr="00410513">
        <w:rPr>
          <w:b/>
          <w:bCs/>
        </w:rPr>
        <w:t xml:space="preserve">strategies for </w:t>
      </w:r>
      <w:r w:rsidR="00D0636A" w:rsidRPr="00410513">
        <w:rPr>
          <w:b/>
          <w:bCs/>
        </w:rPr>
        <w:t xml:space="preserve">HERV </w:t>
      </w:r>
      <w:r w:rsidR="00F1579C" w:rsidRPr="00410513">
        <w:rPr>
          <w:b/>
          <w:bCs/>
        </w:rPr>
        <w:t>q</w:t>
      </w:r>
      <w:r w:rsidR="00D0636A" w:rsidRPr="00410513">
        <w:rPr>
          <w:b/>
          <w:bCs/>
        </w:rPr>
        <w:t xml:space="preserve">uantification </w:t>
      </w:r>
    </w:p>
    <w:p w14:paraId="6CE6C9E8" w14:textId="70E60008" w:rsidR="002553E6" w:rsidRPr="00410513" w:rsidRDefault="00D0636A" w:rsidP="002553E6">
      <w:pPr>
        <w:ind w:firstLine="360"/>
        <w:jc w:val="both"/>
      </w:pPr>
      <w:r w:rsidRPr="00410513">
        <w:t xml:space="preserve">Our initial attempts to solve the issue of quantification of HERV expression used clustering and consensus approaches. </w:t>
      </w:r>
      <w:r w:rsidR="006902AD" w:rsidRPr="00410513">
        <w:t>First, we applied</w:t>
      </w:r>
      <w:r w:rsidRPr="00410513">
        <w:t xml:space="preserve"> CD-Hit-E</w:t>
      </w:r>
      <w:r w:rsidR="006902AD" w:rsidRPr="00410513">
        <w:t>ST</w:t>
      </w:r>
      <w:r w:rsidR="00387015" w:rsidRPr="00410513">
        <w:t xml:space="preserve"> to cluster </w:t>
      </w:r>
      <w:r w:rsidR="00F35766">
        <w:t xml:space="preserve">fragments </w:t>
      </w:r>
      <w:r w:rsidR="00C553CB">
        <w:t xml:space="preserve">of length 75bp </w:t>
      </w:r>
      <w:r w:rsidR="00387015" w:rsidRPr="00410513">
        <w:t xml:space="preserve">from the 3,043 annotated HERVs and grouped these clusters as potential </w:t>
      </w:r>
      <w:r w:rsidR="00387015" w:rsidRPr="00410513">
        <w:lastRenderedPageBreak/>
        <w:t>biomarkers. However, the resulting clusters lacked the necessary granularity for effective biomarker development or discovery, and their high heterogeneity prevented the construction of biologically meaningful consensus sequences.</w:t>
      </w:r>
    </w:p>
    <w:p w14:paraId="6E3B0B55" w14:textId="1DCEA72D" w:rsidR="00156764" w:rsidRPr="00410513" w:rsidRDefault="002553E6" w:rsidP="002553E6">
      <w:pPr>
        <w:jc w:val="both"/>
      </w:pPr>
      <w:r w:rsidRPr="00410513">
        <w:t xml:space="preserve">Next, we explored </w:t>
      </w:r>
      <w:r w:rsidR="004340F2" w:rsidRPr="00410513">
        <w:t>a</w:t>
      </w:r>
      <w:r w:rsidR="00A57AAC" w:rsidRPr="00410513">
        <w:t xml:space="preserve"> consensus-based alignment-informed approach</w:t>
      </w:r>
      <w:r w:rsidRPr="00410513">
        <w:t xml:space="preserve"> using</w:t>
      </w:r>
      <w:r w:rsidR="00D0636A" w:rsidRPr="00410513">
        <w:t xml:space="preserve"> MAFFT</w:t>
      </w:r>
      <w:r w:rsidRPr="00410513">
        <w:t xml:space="preserve"> to align every possible HERV pair, yielding ~4.7 million pairwise alignments. While homology was frequently observed between individual pairs, it did not extend consistently across groups of related HERVs, again precluding the derivation of accurate consensus sequences or coherent clusters. </w:t>
      </w:r>
    </w:p>
    <w:p w14:paraId="7A18E9DF" w14:textId="73A43574" w:rsidR="00D0636A" w:rsidRPr="00410513" w:rsidRDefault="002553E6" w:rsidP="002553E6">
      <w:pPr>
        <w:jc w:val="both"/>
      </w:pPr>
      <w:r w:rsidRPr="00410513">
        <w:t>Given these limitations, we turned to a phylogenetic approach. This framework offers a sliding scale of resolution</w:t>
      </w:r>
      <w:r w:rsidR="00DB4A0C" w:rsidRPr="00410513">
        <w:t>,</w:t>
      </w:r>
      <w:r w:rsidRPr="00410513">
        <w:t xml:space="preserve"> uniquely </w:t>
      </w:r>
      <w:r w:rsidR="00755919">
        <w:t>mapped</w:t>
      </w:r>
      <w:r w:rsidRPr="00410513">
        <w:t xml:space="preserve"> reads can be directly assigned to specific HERVs, while reads from highly homologous regions can be placed at the most informative internal nodes. In doing so, the phylogenetic method preserves</w:t>
      </w:r>
      <w:r w:rsidR="00262C60" w:rsidRPr="00410513">
        <w:t xml:space="preserve"> </w:t>
      </w:r>
      <w:r w:rsidRPr="00410513">
        <w:t xml:space="preserve">biological interpretability </w:t>
      </w:r>
      <w:r w:rsidR="00262C60" w:rsidRPr="00410513">
        <w:t xml:space="preserve">within the context of </w:t>
      </w:r>
      <w:r w:rsidRPr="00410513">
        <w:t xml:space="preserve">the inherent uncertainty of </w:t>
      </w:r>
      <w:r w:rsidR="00262C60" w:rsidRPr="00410513">
        <w:t>highly homologous reads.</w:t>
      </w:r>
    </w:p>
    <w:p w14:paraId="3409F71A" w14:textId="77777777" w:rsidR="00D03610" w:rsidRPr="00410513" w:rsidRDefault="00D03610" w:rsidP="002553E6">
      <w:pPr>
        <w:jc w:val="both"/>
      </w:pPr>
    </w:p>
    <w:p w14:paraId="7A4F2B49" w14:textId="071F9629" w:rsidR="00E30B7A" w:rsidRPr="00410513" w:rsidRDefault="00010069" w:rsidP="00FF56D3">
      <w:pPr>
        <w:jc w:val="both"/>
        <w:rPr>
          <w:b/>
          <w:bCs/>
        </w:rPr>
      </w:pPr>
      <w:r w:rsidRPr="00410513">
        <w:rPr>
          <w:b/>
          <w:bCs/>
        </w:rPr>
        <w:t>Supplementa</w:t>
      </w:r>
      <w:r w:rsidR="003367AA" w:rsidRPr="00410513">
        <w:rPr>
          <w:b/>
          <w:bCs/>
        </w:rPr>
        <w:t>l</w:t>
      </w:r>
      <w:r w:rsidRPr="00410513">
        <w:rPr>
          <w:b/>
          <w:bCs/>
        </w:rPr>
        <w:t xml:space="preserve"> Figures</w:t>
      </w:r>
    </w:p>
    <w:p w14:paraId="62FE99D1" w14:textId="7BA454A1" w:rsidR="000D32E1" w:rsidRPr="00410513" w:rsidRDefault="000D32E1" w:rsidP="00FF56D3">
      <w:pPr>
        <w:jc w:val="both"/>
      </w:pPr>
      <w:r w:rsidRPr="00410513">
        <w:rPr>
          <w:noProof/>
        </w:rPr>
        <w:lastRenderedPageBreak/>
        <w:drawing>
          <wp:inline distT="0" distB="0" distL="0" distR="0" wp14:anchorId="6A4F92DB" wp14:editId="099C94B1">
            <wp:extent cx="5943600" cy="5979795"/>
            <wp:effectExtent l="0" t="0" r="0" b="0"/>
            <wp:docPr id="23069526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95266" name="Graphic 230695266"/>
                    <pic:cNvPicPr/>
                  </pic:nvPicPr>
                  <pic:blipFill>
                    <a:blip r:embed="rId5">
                      <a:extLst>
                        <a:ext uri="{96DAC541-7B7A-43D3-8B79-37D633B846F1}">
                          <asvg:svgBlip xmlns:asvg="http://schemas.microsoft.com/office/drawing/2016/SVG/main" r:embed="rId6"/>
                        </a:ext>
                      </a:extLst>
                    </a:blip>
                    <a:stretch>
                      <a:fillRect/>
                    </a:stretch>
                  </pic:blipFill>
                  <pic:spPr>
                    <a:xfrm>
                      <a:off x="0" y="0"/>
                      <a:ext cx="5943600" cy="5979795"/>
                    </a:xfrm>
                    <a:prstGeom prst="rect">
                      <a:avLst/>
                    </a:prstGeom>
                  </pic:spPr>
                </pic:pic>
              </a:graphicData>
            </a:graphic>
          </wp:inline>
        </w:drawing>
      </w:r>
    </w:p>
    <w:p w14:paraId="2BEF9690" w14:textId="34B4CA2F" w:rsidR="00010069" w:rsidRPr="00410513" w:rsidRDefault="00010069" w:rsidP="00FF56D3">
      <w:pPr>
        <w:jc w:val="both"/>
      </w:pPr>
      <w:r w:rsidRPr="00410513">
        <w:rPr>
          <w:b/>
          <w:bCs/>
        </w:rPr>
        <w:t>Fig</w:t>
      </w:r>
      <w:r w:rsidR="00EC4631">
        <w:rPr>
          <w:b/>
          <w:bCs/>
        </w:rPr>
        <w:t>. S</w:t>
      </w:r>
      <w:r w:rsidRPr="00410513">
        <w:rPr>
          <w:b/>
          <w:bCs/>
        </w:rPr>
        <w:t>1</w:t>
      </w:r>
      <w:r w:rsidR="00702C4C" w:rsidRPr="00410513">
        <w:rPr>
          <w:b/>
          <w:bCs/>
        </w:rPr>
        <w:t>.</w:t>
      </w:r>
      <w:r w:rsidRPr="00410513">
        <w:rPr>
          <w:b/>
          <w:bCs/>
        </w:rPr>
        <w:t xml:space="preserve"> </w:t>
      </w:r>
      <w:r w:rsidR="00007CBE" w:rsidRPr="00410513">
        <w:rPr>
          <w:b/>
          <w:bCs/>
        </w:rPr>
        <w:t xml:space="preserve">CDF </w:t>
      </w:r>
      <w:r w:rsidR="00DC71DF" w:rsidRPr="00410513">
        <w:rPr>
          <w:b/>
          <w:bCs/>
        </w:rPr>
        <w:t>specific</w:t>
      </w:r>
      <w:r w:rsidR="00D83B3E" w:rsidRPr="00410513">
        <w:rPr>
          <w:b/>
          <w:bCs/>
        </w:rPr>
        <w:t xml:space="preserve"> patterns </w:t>
      </w:r>
      <w:r w:rsidR="00DC71DF" w:rsidRPr="00410513">
        <w:rPr>
          <w:b/>
          <w:bCs/>
        </w:rPr>
        <w:t>across</w:t>
      </w:r>
      <w:r w:rsidR="00007CBE" w:rsidRPr="00410513">
        <w:rPr>
          <w:b/>
          <w:bCs/>
        </w:rPr>
        <w:t xml:space="preserve"> HERV </w:t>
      </w:r>
      <w:r w:rsidR="00B8759F" w:rsidRPr="00410513">
        <w:rPr>
          <w:b/>
          <w:bCs/>
        </w:rPr>
        <w:t>f</w:t>
      </w:r>
      <w:r w:rsidR="00007CBE" w:rsidRPr="00410513">
        <w:rPr>
          <w:b/>
          <w:bCs/>
        </w:rPr>
        <w:t xml:space="preserve">amilies </w:t>
      </w:r>
      <w:r w:rsidR="00DC71DF" w:rsidRPr="00410513">
        <w:rPr>
          <w:b/>
          <w:bCs/>
        </w:rPr>
        <w:t xml:space="preserve">and </w:t>
      </w:r>
      <w:r w:rsidR="002715EB" w:rsidRPr="00410513">
        <w:rPr>
          <w:b/>
          <w:bCs/>
        </w:rPr>
        <w:t>clades</w:t>
      </w:r>
      <w:r w:rsidR="00007CBE" w:rsidRPr="00410513">
        <w:rPr>
          <w:b/>
          <w:bCs/>
        </w:rPr>
        <w:t>.</w:t>
      </w:r>
      <w:r w:rsidR="00007CBE" w:rsidRPr="00410513">
        <w:t xml:space="preserve"> </w:t>
      </w:r>
      <w:r w:rsidR="00007CBE" w:rsidRPr="00410513">
        <w:rPr>
          <w:b/>
          <w:bCs/>
        </w:rPr>
        <w:t>(A)</w:t>
      </w:r>
      <w:r w:rsidR="00007CBE" w:rsidRPr="00410513">
        <w:t xml:space="preserve"> </w:t>
      </w:r>
      <w:r w:rsidR="006B01BC" w:rsidRPr="00410513">
        <w:t>Left</w:t>
      </w:r>
      <w:r w:rsidR="00007CBE" w:rsidRPr="00410513">
        <w:t xml:space="preserve">: Slice of the tree comparing </w:t>
      </w:r>
      <w:r w:rsidR="00EE2EFF">
        <w:t>the first numbered clade (</w:t>
      </w:r>
      <w:r w:rsidR="00B912FF" w:rsidRPr="00410513">
        <w:t>Clade 0</w:t>
      </w:r>
      <w:r w:rsidR="00EE2EFF">
        <w:t>)</w:t>
      </w:r>
      <w:r w:rsidR="00B912FF" w:rsidRPr="00410513">
        <w:t xml:space="preserve"> containing </w:t>
      </w:r>
      <w:r w:rsidR="00007CBE" w:rsidRPr="00410513">
        <w:t xml:space="preserve">HERVH colored by a </w:t>
      </w:r>
      <w:r w:rsidR="00B65352" w:rsidRPr="00410513">
        <w:t xml:space="preserve">CDF cutoff </w:t>
      </w:r>
      <w:r w:rsidR="00007CBE" w:rsidRPr="00410513">
        <w:t xml:space="preserve">of 1 </w:t>
      </w:r>
      <w:r w:rsidR="006C3F33" w:rsidRPr="00410513">
        <w:t xml:space="preserve">(top) </w:t>
      </w:r>
      <w:r w:rsidR="00007CBE" w:rsidRPr="00410513">
        <w:t xml:space="preserve">vs a </w:t>
      </w:r>
      <w:r w:rsidR="00B65352" w:rsidRPr="00410513">
        <w:t xml:space="preserve">CDF cutoff </w:t>
      </w:r>
      <w:r w:rsidR="00007CBE" w:rsidRPr="00410513">
        <w:t>of 0.95</w:t>
      </w:r>
      <w:r w:rsidR="00887E2C" w:rsidRPr="00410513">
        <w:t xml:space="preserve"> (bottom)</w:t>
      </w:r>
      <w:r w:rsidR="00007CBE" w:rsidRPr="00410513">
        <w:t xml:space="preserve">. </w:t>
      </w:r>
      <w:r w:rsidR="006B01BC" w:rsidRPr="00410513">
        <w:t>Right</w:t>
      </w:r>
      <w:r w:rsidR="00007CBE" w:rsidRPr="00410513">
        <w:t xml:space="preserve">: The depth </w:t>
      </w:r>
      <w:r w:rsidR="00ED26D4" w:rsidRPr="00410513">
        <w:t xml:space="preserve">(y-axis) </w:t>
      </w:r>
      <w:r w:rsidR="00007CBE" w:rsidRPr="00410513">
        <w:t>from the HERV leaf to the specified CDF cutoff for HERVH</w:t>
      </w:r>
      <w:r w:rsidR="00D04DF0" w:rsidRPr="00410513">
        <w:t xml:space="preserve"> when using CDF cutoff of 1 vs. 0</w:t>
      </w:r>
      <w:r w:rsidR="0031546C">
        <w:t>.95</w:t>
      </w:r>
      <w:r w:rsidR="00271F5B" w:rsidRPr="00410513">
        <w:t xml:space="preserve"> (x-axis)</w:t>
      </w:r>
      <w:r w:rsidR="00D04DF0" w:rsidRPr="00410513">
        <w:t>.</w:t>
      </w:r>
      <w:r w:rsidR="00B84CF9" w:rsidRPr="00410513">
        <w:t xml:space="preserve"> </w:t>
      </w:r>
      <w:r w:rsidR="00B65352" w:rsidRPr="00410513">
        <w:rPr>
          <w:b/>
          <w:bCs/>
        </w:rPr>
        <w:t>(B)</w:t>
      </w:r>
      <w:r w:rsidR="00B65352" w:rsidRPr="00410513">
        <w:t xml:space="preserve"> </w:t>
      </w:r>
      <w:r w:rsidR="006B01BC" w:rsidRPr="00410513">
        <w:t>Left</w:t>
      </w:r>
      <w:r w:rsidR="00B65352" w:rsidRPr="00410513">
        <w:t xml:space="preserve">: Comparison of Clade 1067 containing HERVE colored at CDF cutoff of 1 </w:t>
      </w:r>
      <w:r w:rsidR="004722D3" w:rsidRPr="00410513">
        <w:t xml:space="preserve">(top) </w:t>
      </w:r>
      <w:r w:rsidR="00B65352" w:rsidRPr="00410513">
        <w:t>and CDF cutoff of 0.95</w:t>
      </w:r>
      <w:r w:rsidR="004722D3" w:rsidRPr="00410513">
        <w:t xml:space="preserve"> (bottom)</w:t>
      </w:r>
      <w:r w:rsidR="00B65352" w:rsidRPr="00410513">
        <w:t xml:space="preserve">. </w:t>
      </w:r>
      <w:r w:rsidR="006B01BC" w:rsidRPr="00410513">
        <w:t>Right</w:t>
      </w:r>
      <w:r w:rsidR="00B65352" w:rsidRPr="00410513">
        <w:t xml:space="preserve">: Depth </w:t>
      </w:r>
      <w:r w:rsidR="001411A0" w:rsidRPr="00410513">
        <w:t xml:space="preserve">(y-axis) </w:t>
      </w:r>
      <w:r w:rsidR="00B65352" w:rsidRPr="00410513">
        <w:t xml:space="preserve">to reach the specified CDF </w:t>
      </w:r>
      <w:r w:rsidR="00D04DF0" w:rsidRPr="00410513">
        <w:t xml:space="preserve">(x-axis) </w:t>
      </w:r>
      <w:r w:rsidR="00B65352" w:rsidRPr="00410513">
        <w:t>for</w:t>
      </w:r>
      <w:r w:rsidR="00B84CF9" w:rsidRPr="00410513">
        <w:t xml:space="preserve"> </w:t>
      </w:r>
      <w:r w:rsidR="00B65352" w:rsidRPr="00410513">
        <w:t xml:space="preserve">HERVE. </w:t>
      </w:r>
      <w:r w:rsidR="00B65352" w:rsidRPr="00410513">
        <w:rPr>
          <w:b/>
          <w:bCs/>
        </w:rPr>
        <w:t>(C)</w:t>
      </w:r>
      <w:r w:rsidR="00B65352" w:rsidRPr="00410513">
        <w:t xml:space="preserve"> </w:t>
      </w:r>
      <w:r w:rsidR="004225F9" w:rsidRPr="00410513">
        <w:t>Left</w:t>
      </w:r>
      <w:r w:rsidR="00B65352" w:rsidRPr="00410513">
        <w:t>: Comparison of Clade 1586 containing HER</w:t>
      </w:r>
      <w:r w:rsidR="004F19E4">
        <w:t>V</w:t>
      </w:r>
      <w:r w:rsidR="00B65352" w:rsidRPr="00410513">
        <w:t>K9 at CDF cutoff of 1</w:t>
      </w:r>
      <w:r w:rsidR="0020395B" w:rsidRPr="00410513">
        <w:t xml:space="preserve"> (top)</w:t>
      </w:r>
      <w:r w:rsidR="00B84CF9" w:rsidRPr="00410513">
        <w:t xml:space="preserve"> vs a CDF cutoff of 0.95</w:t>
      </w:r>
      <w:r w:rsidR="0020395B" w:rsidRPr="00410513">
        <w:t xml:space="preserve"> (bottom)</w:t>
      </w:r>
      <w:r w:rsidR="0071109D" w:rsidRPr="00410513">
        <w:t>.</w:t>
      </w:r>
      <w:r w:rsidR="004225F9" w:rsidRPr="00410513">
        <w:t xml:space="preserve"> Right:</w:t>
      </w:r>
      <w:r w:rsidR="0071109D" w:rsidRPr="00410513">
        <w:t xml:space="preserve"> </w:t>
      </w:r>
      <w:r w:rsidR="004225F9" w:rsidRPr="00410513">
        <w:t>Depth</w:t>
      </w:r>
      <w:r w:rsidR="002662DE" w:rsidRPr="00410513">
        <w:t xml:space="preserve"> (y-axis)</w:t>
      </w:r>
      <w:r w:rsidR="004225F9" w:rsidRPr="00410513">
        <w:t xml:space="preserve"> to reach the specified CDF</w:t>
      </w:r>
      <w:r w:rsidR="00A36DE6" w:rsidRPr="00410513">
        <w:t xml:space="preserve"> (x-axis)</w:t>
      </w:r>
      <w:r w:rsidR="004225F9" w:rsidRPr="00410513">
        <w:t xml:space="preserve"> for HERVK9</w:t>
      </w:r>
      <w:r w:rsidR="00244120">
        <w:t>.</w:t>
      </w:r>
      <w:r w:rsidR="004225F9" w:rsidRPr="00410513">
        <w:t xml:space="preserve"> </w:t>
      </w:r>
      <w:r w:rsidR="0071109D" w:rsidRPr="00410513">
        <w:rPr>
          <w:b/>
          <w:bCs/>
        </w:rPr>
        <w:t>(</w:t>
      </w:r>
      <w:r w:rsidR="00E30B7A" w:rsidRPr="00410513">
        <w:rPr>
          <w:b/>
          <w:bCs/>
        </w:rPr>
        <w:t>D</w:t>
      </w:r>
      <w:r w:rsidR="0071109D" w:rsidRPr="00410513">
        <w:rPr>
          <w:b/>
          <w:bCs/>
        </w:rPr>
        <w:t>)</w:t>
      </w:r>
      <w:r w:rsidR="0071109D" w:rsidRPr="00410513">
        <w:t xml:space="preserve"> Violin </w:t>
      </w:r>
      <w:r w:rsidR="0071109D" w:rsidRPr="00410513">
        <w:lastRenderedPageBreak/>
        <w:t>plots</w:t>
      </w:r>
      <w:r w:rsidR="00687CD2" w:rsidRPr="00410513">
        <w:t xml:space="preserve"> </w:t>
      </w:r>
      <w:r w:rsidR="00F830F9" w:rsidRPr="00410513">
        <w:t>showing</w:t>
      </w:r>
      <w:r w:rsidR="00687CD2" w:rsidRPr="00410513">
        <w:t xml:space="preserve"> depth</w:t>
      </w:r>
      <w:r w:rsidR="00E700F5" w:rsidRPr="00410513">
        <w:t xml:space="preserve"> (y-axis)</w:t>
      </w:r>
      <w:r w:rsidR="00687CD2" w:rsidRPr="00410513">
        <w:t xml:space="preserve"> each HERV </w:t>
      </w:r>
      <w:r w:rsidR="00683C75" w:rsidRPr="00410513">
        <w:t xml:space="preserve">family or subtype (x-axis) requires </w:t>
      </w:r>
      <w:r w:rsidR="00552F67" w:rsidRPr="00410513">
        <w:t>for reaching</w:t>
      </w:r>
      <w:r w:rsidR="00683C75" w:rsidRPr="00410513">
        <w:t xml:space="preserve"> a </w:t>
      </w:r>
      <w:r w:rsidR="00687CD2" w:rsidRPr="00410513">
        <w:t xml:space="preserve">CDF of 1. </w:t>
      </w:r>
    </w:p>
    <w:p w14:paraId="4E6C6DFB" w14:textId="3E3C5993" w:rsidR="00687CD2" w:rsidRPr="00410513" w:rsidRDefault="0034427D" w:rsidP="00FF56D3">
      <w:pPr>
        <w:jc w:val="both"/>
      </w:pPr>
      <w:r w:rsidRPr="00410513">
        <w:rPr>
          <w:noProof/>
        </w:rPr>
        <w:lastRenderedPageBreak/>
        <w:drawing>
          <wp:inline distT="0" distB="0" distL="0" distR="0" wp14:anchorId="2C452C5A" wp14:editId="012B36FB">
            <wp:extent cx="4749800" cy="8229600"/>
            <wp:effectExtent l="0" t="0" r="0" b="0"/>
            <wp:docPr id="1329119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1960" name="Graphic 132911960"/>
                    <pic:cNvPicPr/>
                  </pic:nvPicPr>
                  <pic:blipFill>
                    <a:blip r:embed="rId7">
                      <a:extLst>
                        <a:ext uri="{96DAC541-7B7A-43D3-8B79-37D633B846F1}">
                          <asvg:svgBlip xmlns:asvg="http://schemas.microsoft.com/office/drawing/2016/SVG/main" r:embed="rId8"/>
                        </a:ext>
                      </a:extLst>
                    </a:blip>
                    <a:stretch>
                      <a:fillRect/>
                    </a:stretch>
                  </pic:blipFill>
                  <pic:spPr>
                    <a:xfrm>
                      <a:off x="0" y="0"/>
                      <a:ext cx="4749800" cy="8229600"/>
                    </a:xfrm>
                    <a:prstGeom prst="rect">
                      <a:avLst/>
                    </a:prstGeom>
                  </pic:spPr>
                </pic:pic>
              </a:graphicData>
            </a:graphic>
          </wp:inline>
        </w:drawing>
      </w:r>
    </w:p>
    <w:p w14:paraId="6DCCBAA8" w14:textId="291B74F2" w:rsidR="00687CD2" w:rsidRPr="00410513" w:rsidRDefault="00687CD2" w:rsidP="00FF56D3">
      <w:pPr>
        <w:jc w:val="both"/>
      </w:pPr>
    </w:p>
    <w:p w14:paraId="6D3263D1" w14:textId="414CAD72" w:rsidR="00FC1ABF" w:rsidRPr="00410513" w:rsidRDefault="00FC1ABF" w:rsidP="00927875">
      <w:pPr>
        <w:jc w:val="both"/>
      </w:pPr>
      <w:r w:rsidRPr="00410513">
        <w:rPr>
          <w:b/>
          <w:bCs/>
        </w:rPr>
        <w:t>Fig</w:t>
      </w:r>
      <w:r w:rsidR="00A17E68">
        <w:rPr>
          <w:b/>
          <w:bCs/>
        </w:rPr>
        <w:t>. S</w:t>
      </w:r>
      <w:r w:rsidRPr="00410513">
        <w:rPr>
          <w:b/>
          <w:bCs/>
        </w:rPr>
        <w:t>2</w:t>
      </w:r>
      <w:r w:rsidR="00702C4C" w:rsidRPr="00410513">
        <w:rPr>
          <w:b/>
          <w:bCs/>
        </w:rPr>
        <w:t>.</w:t>
      </w:r>
      <w:r w:rsidRPr="00410513">
        <w:rPr>
          <w:b/>
          <w:bCs/>
        </w:rPr>
        <w:t xml:space="preserve"> </w:t>
      </w:r>
      <w:r w:rsidR="000118E8" w:rsidRPr="00410513">
        <w:rPr>
          <w:b/>
          <w:bCs/>
        </w:rPr>
        <w:t xml:space="preserve">MS-specific </w:t>
      </w:r>
      <w:r w:rsidRPr="00410513">
        <w:rPr>
          <w:b/>
          <w:bCs/>
        </w:rPr>
        <w:t xml:space="preserve">HERV </w:t>
      </w:r>
      <w:r w:rsidR="00FE72C6" w:rsidRPr="00410513">
        <w:rPr>
          <w:b/>
          <w:bCs/>
        </w:rPr>
        <w:t>e</w:t>
      </w:r>
      <w:r w:rsidRPr="00410513">
        <w:rPr>
          <w:b/>
          <w:bCs/>
        </w:rPr>
        <w:t xml:space="preserve">xpression </w:t>
      </w:r>
      <w:r w:rsidR="000118E8" w:rsidRPr="00410513">
        <w:rPr>
          <w:b/>
          <w:bCs/>
        </w:rPr>
        <w:t>patterns</w:t>
      </w:r>
      <w:r w:rsidRPr="00410513">
        <w:rPr>
          <w:b/>
          <w:bCs/>
        </w:rPr>
        <w:t>. (A)</w:t>
      </w:r>
      <w:r w:rsidRPr="00410513">
        <w:t xml:space="preserve"> A heatmap comparing the general HERV expression across ERVmancer (right), ERVmap (middle) and T</w:t>
      </w:r>
      <w:r w:rsidR="00BE4260" w:rsidRPr="00410513">
        <w:t>ele</w:t>
      </w:r>
      <w:r w:rsidRPr="00410513">
        <w:t>scope (left)</w:t>
      </w:r>
      <w:r w:rsidR="00E7573A" w:rsidRPr="00410513">
        <w:t xml:space="preserve"> in long- and short-read data</w:t>
      </w:r>
      <w:r w:rsidRPr="00410513">
        <w:t xml:space="preserve">. SMS samples generally show higher HERV expression. </w:t>
      </w:r>
      <w:r w:rsidRPr="00410513">
        <w:rPr>
          <w:b/>
          <w:bCs/>
        </w:rPr>
        <w:t>(B)</w:t>
      </w:r>
      <w:r w:rsidRPr="00410513">
        <w:t xml:space="preserve"> </w:t>
      </w:r>
      <w:r w:rsidR="008A6FC1" w:rsidRPr="008A6FC1">
        <w:t xml:space="preserve">HERV expression for 11 chromosome 19 HERVs with unadjusted </w:t>
      </w:r>
      <w:r w:rsidR="00320B51" w:rsidRPr="00410513">
        <w:t xml:space="preserve">MWU </w:t>
      </w:r>
      <w:r w:rsidR="008A6FC1" w:rsidRPr="008A6FC1">
        <w:t xml:space="preserve">test (p &lt; 0.05) indicating higher expression in SMS compared with both HC and AMS samples. </w:t>
      </w:r>
      <w:r w:rsidR="00167061" w:rsidRPr="00410513">
        <w:rPr>
          <w:b/>
          <w:bCs/>
        </w:rPr>
        <w:t>(C)</w:t>
      </w:r>
      <w:r w:rsidR="00167061" w:rsidRPr="00410513">
        <w:t xml:space="preserve"> </w:t>
      </w:r>
      <w:r w:rsidR="00B61D60" w:rsidRPr="00B61D60">
        <w:t>HERV and clade-level expression for 58 HERVs or clades located within 10 nodes of a chromosome 19 HERV in the phylogenetic tree</w:t>
      </w:r>
      <w:r w:rsidR="00210024">
        <w:t xml:space="preserve"> and showing</w:t>
      </w:r>
      <w:r w:rsidR="00B61D60" w:rsidRPr="00B61D60">
        <w:t xml:space="preserve"> unadjusted </w:t>
      </w:r>
      <w:r w:rsidR="00CD3351" w:rsidRPr="00410513">
        <w:t>MWU</w:t>
      </w:r>
      <w:r w:rsidR="00B61D60" w:rsidRPr="00B61D60">
        <w:t xml:space="preserve"> test (p &lt; 0.05)</w:t>
      </w:r>
      <w:r w:rsidR="000867C1">
        <w:t>,</w:t>
      </w:r>
      <w:r w:rsidR="00B61D60" w:rsidRPr="00B61D60">
        <w:t xml:space="preserve"> indicating higher expression in SMS compared with both HC and AMS samples. All significant HERVs and clades meeting these criteria showed the same direction of association (higher expression in SMS)</w:t>
      </w:r>
      <w:r w:rsidR="008E17F9" w:rsidRPr="008E17F9">
        <w:t xml:space="preserve">. </w:t>
      </w:r>
      <w:r w:rsidR="00167061" w:rsidRPr="00410513">
        <w:rPr>
          <w:b/>
          <w:bCs/>
        </w:rPr>
        <w:t>(D)</w:t>
      </w:r>
      <w:r w:rsidR="00167061" w:rsidRPr="00410513">
        <w:t xml:space="preserve"> Density plot showing the log10 distance in base pairs of the HERV to the nearest Zinc Finger</w:t>
      </w:r>
      <w:r w:rsidR="00F0259F" w:rsidRPr="00410513">
        <w:t xml:space="preserve"> (ZNF)</w:t>
      </w:r>
      <w:r w:rsidR="00167061" w:rsidRPr="00410513">
        <w:t xml:space="preserve"> </w:t>
      </w:r>
      <w:r w:rsidR="00F0259F" w:rsidRPr="00410513">
        <w:t>g</w:t>
      </w:r>
      <w:r w:rsidR="00167061" w:rsidRPr="00410513">
        <w:t>ene.</w:t>
      </w:r>
      <w:r w:rsidR="00F0259F" w:rsidRPr="00410513">
        <w:t xml:space="preserve"> </w:t>
      </w:r>
      <w:r w:rsidR="00F0259F" w:rsidRPr="00410513">
        <w:rPr>
          <w:b/>
          <w:bCs/>
        </w:rPr>
        <w:t>(E)</w:t>
      </w:r>
      <w:r w:rsidR="00F0259F" w:rsidRPr="00410513">
        <w:t xml:space="preserve"> </w:t>
      </w:r>
      <w:r w:rsidR="0034427D" w:rsidRPr="00410513">
        <w:t>PhenoGram</w:t>
      </w:r>
      <w:r w:rsidR="00E77682" w:rsidRPr="00410513">
        <w:fldChar w:fldCharType="begin"/>
      </w:r>
      <w:r w:rsidR="00E77682" w:rsidRPr="00410513">
        <w:instrText xml:space="preserve"> ADDIN ZOTERO_ITEM CSL_CITATION {"citationID":"qdj7rfM1","properties":{"formattedCitation":"\\super 4\\nosupersub{}","plainCitation":"4","noteIndex":0},"citationItems":[{"id":1997,"uris":["http://zotero.org/users/8717697/items/GNT8IPWU"],"itemData":{"id":1997,"type":"article-journal","container-title":"BioData Mining","DOI":"10.1186/1756-0381-6-18","ISSN":"1756-0381","issue":"1","page":"18","title":"Visualizing genomic information across chromosomes with PhenoGram","volume":"6","author":[{"family":"Wolfe","given":"Daniel"},{"family":"Dudek","given":"Scott"},{"family":"Ritchie","given":"Marylyn D."},{"family":"Pendergrass","given":"Sarah A."}],"issued":{"date-parts":[["2013",12,1]]}}}],"schema":"https://github.com/citation-style-language/schema/raw/master/csl-citation.json"} </w:instrText>
      </w:r>
      <w:r w:rsidR="00E77682" w:rsidRPr="00410513">
        <w:fldChar w:fldCharType="separate"/>
      </w:r>
      <w:r w:rsidR="00E77682" w:rsidRPr="00410513">
        <w:fldChar w:fldCharType="end"/>
      </w:r>
      <w:r w:rsidR="00A15039">
        <w:t xml:space="preserve"> </w:t>
      </w:r>
      <w:r w:rsidR="0034427D" w:rsidRPr="00410513">
        <w:t xml:space="preserve">plot showing </w:t>
      </w:r>
      <w:r w:rsidR="00F0259F" w:rsidRPr="00410513">
        <w:t xml:space="preserve">the </w:t>
      </w:r>
      <w:r w:rsidR="00B51D40" w:rsidRPr="00410513">
        <w:t xml:space="preserve">hg19 </w:t>
      </w:r>
      <w:r w:rsidR="00F0259F" w:rsidRPr="00410513">
        <w:t xml:space="preserve">position on chr19 of the HERVs and clades with MWU </w:t>
      </w:r>
      <w:r w:rsidR="007D1F3C">
        <w:t xml:space="preserve">test </w:t>
      </w:r>
      <w:r w:rsidR="00F0259F" w:rsidRPr="00410513">
        <w:t>unadjusted p-values</w:t>
      </w:r>
      <w:r w:rsidR="00FE7CD7">
        <w:t xml:space="preserve"> &lt; 0.05</w:t>
      </w:r>
      <w:r w:rsidR="00F0259F" w:rsidRPr="00410513">
        <w:t xml:space="preserve"> for higher expression in SMS than the other states.</w:t>
      </w:r>
    </w:p>
    <w:p w14:paraId="7C4DDE6F" w14:textId="039B8ACA" w:rsidR="00A86043" w:rsidRPr="00410513" w:rsidRDefault="00951C06" w:rsidP="00FF56D3">
      <w:pPr>
        <w:jc w:val="both"/>
      </w:pPr>
      <w:r>
        <w:rPr>
          <w:noProof/>
        </w:rPr>
        <w:lastRenderedPageBreak/>
        <w:drawing>
          <wp:inline distT="0" distB="0" distL="0" distR="0" wp14:anchorId="01281F95" wp14:editId="740D6A35">
            <wp:extent cx="5943600" cy="7610475"/>
            <wp:effectExtent l="0" t="0" r="0" b="0"/>
            <wp:docPr id="135385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5647" name="Picture 135385647"/>
                    <pic:cNvPicPr/>
                  </pic:nvPicPr>
                  <pic:blipFill>
                    <a:blip r:embed="rId9"/>
                    <a:stretch>
                      <a:fillRect/>
                    </a:stretch>
                  </pic:blipFill>
                  <pic:spPr>
                    <a:xfrm>
                      <a:off x="0" y="0"/>
                      <a:ext cx="5943600" cy="7610475"/>
                    </a:xfrm>
                    <a:prstGeom prst="rect">
                      <a:avLst/>
                    </a:prstGeom>
                  </pic:spPr>
                </pic:pic>
              </a:graphicData>
            </a:graphic>
          </wp:inline>
        </w:drawing>
      </w:r>
    </w:p>
    <w:p w14:paraId="14F6FDD4" w14:textId="0A5E921B" w:rsidR="00A86043" w:rsidRPr="00410513" w:rsidRDefault="00A86043" w:rsidP="00FF56D3">
      <w:pPr>
        <w:jc w:val="both"/>
      </w:pPr>
    </w:p>
    <w:p w14:paraId="026B0659" w14:textId="4246E7AC" w:rsidR="00871B3C" w:rsidRPr="00410513" w:rsidRDefault="00871B3C" w:rsidP="00FF56D3">
      <w:pPr>
        <w:jc w:val="both"/>
      </w:pPr>
    </w:p>
    <w:p w14:paraId="4F19005E" w14:textId="5ABE0F8C" w:rsidR="00073DD2" w:rsidRPr="00410513" w:rsidRDefault="00073DD2" w:rsidP="00FF56D3">
      <w:pPr>
        <w:jc w:val="both"/>
      </w:pPr>
    </w:p>
    <w:p w14:paraId="2E321095" w14:textId="49576E18" w:rsidR="00393FC8" w:rsidRPr="00410513" w:rsidRDefault="00393FC8" w:rsidP="00FF56D3">
      <w:pPr>
        <w:jc w:val="both"/>
      </w:pPr>
      <w:r w:rsidRPr="00410513">
        <w:rPr>
          <w:b/>
          <w:bCs/>
        </w:rPr>
        <w:t>Fig</w:t>
      </w:r>
      <w:r w:rsidR="00FB16C9">
        <w:rPr>
          <w:b/>
          <w:bCs/>
        </w:rPr>
        <w:t>.</w:t>
      </w:r>
      <w:r w:rsidRPr="00410513">
        <w:rPr>
          <w:b/>
          <w:bCs/>
        </w:rPr>
        <w:t xml:space="preserve"> </w:t>
      </w:r>
      <w:r w:rsidR="00FB16C9">
        <w:rPr>
          <w:b/>
          <w:bCs/>
        </w:rPr>
        <w:t>S</w:t>
      </w:r>
      <w:r w:rsidRPr="00410513">
        <w:rPr>
          <w:b/>
          <w:bCs/>
        </w:rPr>
        <w:t>3</w:t>
      </w:r>
      <w:r w:rsidR="00706D40" w:rsidRPr="00410513">
        <w:rPr>
          <w:b/>
          <w:bCs/>
        </w:rPr>
        <w:t>.</w:t>
      </w:r>
      <w:r w:rsidRPr="00410513">
        <w:rPr>
          <w:b/>
          <w:bCs/>
        </w:rPr>
        <w:t xml:space="preserve"> </w:t>
      </w:r>
      <w:r w:rsidR="00533525" w:rsidRPr="00410513">
        <w:rPr>
          <w:b/>
          <w:bCs/>
        </w:rPr>
        <w:t>HERV family specific performance evaluation</w:t>
      </w:r>
      <w:r w:rsidRPr="00410513">
        <w:rPr>
          <w:b/>
          <w:bCs/>
        </w:rPr>
        <w:t>. (A)</w:t>
      </w:r>
      <w:r w:rsidRPr="00410513">
        <w:t xml:space="preserve"> ERVmancer correlations with long</w:t>
      </w:r>
      <w:r w:rsidR="00DA0FCC" w:rsidRPr="00410513">
        <w:t>-</w:t>
      </w:r>
      <w:r w:rsidRPr="00410513">
        <w:t xml:space="preserve">read output by HERV family or </w:t>
      </w:r>
      <w:r w:rsidR="00E7573A" w:rsidRPr="00410513">
        <w:t>subtype</w:t>
      </w:r>
      <w:r w:rsidRPr="00410513">
        <w:t xml:space="preserve">. </w:t>
      </w:r>
      <w:r w:rsidRPr="00410513">
        <w:rPr>
          <w:b/>
          <w:bCs/>
        </w:rPr>
        <w:t>(B</w:t>
      </w:r>
      <w:r w:rsidR="00FD1760" w:rsidRPr="00410513">
        <w:rPr>
          <w:b/>
          <w:bCs/>
        </w:rPr>
        <w:t>)</w:t>
      </w:r>
      <w:r w:rsidRPr="00410513">
        <w:rPr>
          <w:b/>
          <w:bCs/>
        </w:rPr>
        <w:t>-</w:t>
      </w:r>
      <w:r w:rsidR="00FD1760" w:rsidRPr="00410513">
        <w:rPr>
          <w:b/>
          <w:bCs/>
        </w:rPr>
        <w:t>(</w:t>
      </w:r>
      <w:r w:rsidRPr="00410513">
        <w:rPr>
          <w:b/>
          <w:bCs/>
        </w:rPr>
        <w:t>D)</w:t>
      </w:r>
      <w:r w:rsidRPr="00410513">
        <w:t xml:space="preserve"> Left: Correlation of </w:t>
      </w:r>
      <w:r w:rsidR="00DA0FCC" w:rsidRPr="00410513">
        <w:t>the short-read quantification method</w:t>
      </w:r>
      <w:r w:rsidRPr="00410513">
        <w:t xml:space="preserve"> counts with long</w:t>
      </w:r>
      <w:r w:rsidR="00DA0FCC" w:rsidRPr="00410513">
        <w:t>-</w:t>
      </w:r>
      <w:r w:rsidRPr="00410513">
        <w:t>read output</w:t>
      </w:r>
      <w:r w:rsidR="00706D40" w:rsidRPr="00410513">
        <w:t xml:space="preserve"> for the specified HERV family</w:t>
      </w:r>
      <w:r w:rsidRPr="00410513">
        <w:t>. Right: Scatterplots of the -log</w:t>
      </w:r>
      <w:r w:rsidRPr="00410513">
        <w:rPr>
          <w:vertAlign w:val="subscript"/>
        </w:rPr>
        <w:t>2</w:t>
      </w:r>
      <w:r w:rsidRPr="00410513">
        <w:t xml:space="preserve"> normalized counts on the x-axis and the -log</w:t>
      </w:r>
      <w:r w:rsidRPr="00410513">
        <w:rPr>
          <w:vertAlign w:val="subscript"/>
        </w:rPr>
        <w:t>2</w:t>
      </w:r>
      <w:r w:rsidRPr="00410513">
        <w:t xml:space="preserve"> normalized long read counts on the y-axis for ERVmancer, ERVmap, and T</w:t>
      </w:r>
      <w:r w:rsidR="00EF1A89" w:rsidRPr="00410513">
        <w:t>ele</w:t>
      </w:r>
      <w:r w:rsidRPr="00410513">
        <w:t>scope</w:t>
      </w:r>
      <w:r w:rsidR="003A6C3D" w:rsidRPr="00410513">
        <w:t>.</w:t>
      </w:r>
      <w:r w:rsidRPr="00410513">
        <w:t xml:space="preserve"> </w:t>
      </w:r>
      <w:r w:rsidRPr="00410513">
        <w:rPr>
          <w:b/>
          <w:bCs/>
        </w:rPr>
        <w:t>(B)</w:t>
      </w:r>
      <w:r w:rsidRPr="00410513">
        <w:t xml:space="preserve"> HERVH </w:t>
      </w:r>
      <w:r w:rsidRPr="00410513">
        <w:rPr>
          <w:b/>
          <w:bCs/>
        </w:rPr>
        <w:t>(C)</w:t>
      </w:r>
      <w:r w:rsidRPr="00410513">
        <w:t xml:space="preserve"> HERVE </w:t>
      </w:r>
      <w:r w:rsidRPr="00410513">
        <w:rPr>
          <w:b/>
          <w:bCs/>
        </w:rPr>
        <w:t>(D)</w:t>
      </w:r>
      <w:r w:rsidRPr="00410513">
        <w:t xml:space="preserve"> HERVK9</w:t>
      </w:r>
      <w:r w:rsidR="00E26CFB" w:rsidRPr="00410513">
        <w:t>.</w:t>
      </w:r>
    </w:p>
    <w:p w14:paraId="72C09379" w14:textId="5A90C4DB" w:rsidR="00A27304" w:rsidRPr="00410513" w:rsidRDefault="00F771E9" w:rsidP="00FF56D3">
      <w:pPr>
        <w:jc w:val="both"/>
      </w:pPr>
      <w:r w:rsidRPr="00410513">
        <w:rPr>
          <w:noProof/>
        </w:rPr>
        <w:drawing>
          <wp:inline distT="0" distB="0" distL="0" distR="0" wp14:anchorId="7EDCE670" wp14:editId="310F2226">
            <wp:extent cx="5943600" cy="5504180"/>
            <wp:effectExtent l="0" t="0" r="0" b="1270"/>
            <wp:docPr id="437285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85913" name="Picture 4372859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504180"/>
                    </a:xfrm>
                    <a:prstGeom prst="rect">
                      <a:avLst/>
                    </a:prstGeom>
                  </pic:spPr>
                </pic:pic>
              </a:graphicData>
            </a:graphic>
          </wp:inline>
        </w:drawing>
      </w:r>
    </w:p>
    <w:p w14:paraId="7E54B8E3" w14:textId="6AE7DA05" w:rsidR="00A27304" w:rsidRPr="00410513" w:rsidRDefault="00A27304" w:rsidP="00A27304">
      <w:pPr>
        <w:jc w:val="both"/>
      </w:pPr>
      <w:r w:rsidRPr="00410513">
        <w:rPr>
          <w:b/>
          <w:bCs/>
        </w:rPr>
        <w:t>Fig</w:t>
      </w:r>
      <w:r w:rsidR="00FB16C9">
        <w:rPr>
          <w:b/>
          <w:bCs/>
        </w:rPr>
        <w:t>. S</w:t>
      </w:r>
      <w:r w:rsidRPr="00410513">
        <w:rPr>
          <w:b/>
          <w:bCs/>
        </w:rPr>
        <w:t xml:space="preserve">4. </w:t>
      </w:r>
      <w:r w:rsidR="00BB3A3A" w:rsidRPr="00410513">
        <w:rPr>
          <w:b/>
          <w:bCs/>
        </w:rPr>
        <w:t xml:space="preserve">Technical validation of an expression-variable </w:t>
      </w:r>
      <w:r w:rsidRPr="00410513">
        <w:rPr>
          <w:b/>
          <w:bCs/>
        </w:rPr>
        <w:t xml:space="preserve">ERV3 </w:t>
      </w:r>
      <w:r w:rsidR="00BB3A3A" w:rsidRPr="00410513">
        <w:rPr>
          <w:b/>
          <w:bCs/>
        </w:rPr>
        <w:t>clade</w:t>
      </w:r>
      <w:r w:rsidRPr="00410513">
        <w:rPr>
          <w:b/>
          <w:bCs/>
        </w:rPr>
        <w:t xml:space="preserve"> </w:t>
      </w:r>
      <w:r w:rsidR="00BB3A3A" w:rsidRPr="00410513">
        <w:rPr>
          <w:b/>
          <w:bCs/>
        </w:rPr>
        <w:t>through RT-qPCR in</w:t>
      </w:r>
      <w:r w:rsidRPr="00410513">
        <w:rPr>
          <w:b/>
          <w:bCs/>
        </w:rPr>
        <w:t xml:space="preserve"> </w:t>
      </w:r>
      <w:r w:rsidR="00821F56" w:rsidRPr="00410513">
        <w:rPr>
          <w:b/>
          <w:bCs/>
        </w:rPr>
        <w:t xml:space="preserve">the </w:t>
      </w:r>
      <w:r w:rsidRPr="00410513">
        <w:rPr>
          <w:b/>
          <w:bCs/>
        </w:rPr>
        <w:t>MS</w:t>
      </w:r>
      <w:r w:rsidR="00AD481B" w:rsidRPr="00410513">
        <w:rPr>
          <w:b/>
          <w:bCs/>
        </w:rPr>
        <w:t xml:space="preserve"> or </w:t>
      </w:r>
      <w:r w:rsidR="00DF25FA" w:rsidRPr="00410513">
        <w:rPr>
          <w:b/>
          <w:bCs/>
        </w:rPr>
        <w:t>control</w:t>
      </w:r>
      <w:r w:rsidRPr="00410513">
        <w:rPr>
          <w:b/>
          <w:bCs/>
        </w:rPr>
        <w:t xml:space="preserve"> cell line</w:t>
      </w:r>
      <w:r w:rsidR="004F3D47" w:rsidRPr="00410513">
        <w:rPr>
          <w:b/>
          <w:bCs/>
        </w:rPr>
        <w:t>s</w:t>
      </w:r>
      <w:r w:rsidRPr="00410513">
        <w:rPr>
          <w:b/>
          <w:bCs/>
        </w:rPr>
        <w:t xml:space="preserve">. (A) </w:t>
      </w:r>
      <w:r w:rsidRPr="00410513">
        <w:t xml:space="preserve">ERVmancer normalized counts for </w:t>
      </w:r>
      <w:r w:rsidR="001C2C86" w:rsidRPr="00410513">
        <w:t xml:space="preserve">ERV3 </w:t>
      </w:r>
      <w:r w:rsidRPr="00410513">
        <w:t xml:space="preserve">Clade 993 </w:t>
      </w:r>
      <w:r w:rsidRPr="00410513">
        <w:lastRenderedPageBreak/>
        <w:t xml:space="preserve">containing ERV_3731545. </w:t>
      </w:r>
      <w:r w:rsidRPr="00410513">
        <w:rPr>
          <w:b/>
          <w:bCs/>
        </w:rPr>
        <w:t>(B)</w:t>
      </w:r>
      <w:r w:rsidRPr="00410513">
        <w:t xml:space="preserve"> minimap2</w:t>
      </w:r>
      <w:r w:rsidR="003B624F" w:rsidRPr="00410513">
        <w:t xml:space="preserve"> expression patterns for</w:t>
      </w:r>
      <w:r w:rsidR="00CB1E69" w:rsidRPr="00410513">
        <w:t xml:space="preserve"> ERV3</w:t>
      </w:r>
      <w:r w:rsidR="003B624F" w:rsidRPr="00410513">
        <w:t xml:space="preserve"> Clade 993. </w:t>
      </w:r>
      <w:r w:rsidR="003B624F" w:rsidRPr="00410513">
        <w:rPr>
          <w:b/>
          <w:bCs/>
        </w:rPr>
        <w:t>(C)</w:t>
      </w:r>
      <w:r w:rsidR="003B624F" w:rsidRPr="00410513">
        <w:t xml:space="preserve"> qPCR expression for </w:t>
      </w:r>
      <w:r w:rsidR="00D30209" w:rsidRPr="00410513">
        <w:t>the first</w:t>
      </w:r>
      <w:r w:rsidR="003B624F" w:rsidRPr="00410513">
        <w:t xml:space="preserve"> primer for ERV_3731545 relative to GUSB. </w:t>
      </w:r>
      <w:r w:rsidR="003B624F" w:rsidRPr="00410513">
        <w:rPr>
          <w:b/>
          <w:bCs/>
        </w:rPr>
        <w:t>(D)</w:t>
      </w:r>
      <w:r w:rsidR="003B624F" w:rsidRPr="00410513">
        <w:t xml:space="preserve"> qPCR expression for </w:t>
      </w:r>
      <w:r w:rsidR="0051689E" w:rsidRPr="00410513">
        <w:t>a second</w:t>
      </w:r>
      <w:r w:rsidR="003B624F" w:rsidRPr="00410513">
        <w:t xml:space="preserve"> primer for ERV_3731545 relative to GUSB.</w:t>
      </w:r>
    </w:p>
    <w:p w14:paraId="04A1F8D2" w14:textId="13EBC530" w:rsidR="00A27304" w:rsidRPr="00410513" w:rsidRDefault="00A27304" w:rsidP="00FF56D3">
      <w:pPr>
        <w:jc w:val="both"/>
        <w:rPr>
          <w:b/>
          <w:bCs/>
        </w:rPr>
      </w:pPr>
    </w:p>
    <w:p w14:paraId="63DDF1EE" w14:textId="16A53F2A" w:rsidR="00E26CFB" w:rsidRPr="00410513" w:rsidRDefault="00CC3904" w:rsidP="00FF56D3">
      <w:pPr>
        <w:jc w:val="both"/>
      </w:pPr>
      <w:r>
        <w:rPr>
          <w:noProof/>
        </w:rPr>
        <w:lastRenderedPageBreak/>
        <w:drawing>
          <wp:inline distT="0" distB="0" distL="0" distR="0" wp14:anchorId="5C74EB9F" wp14:editId="430249E4">
            <wp:extent cx="5943600" cy="7526655"/>
            <wp:effectExtent l="0" t="0" r="0" b="4445"/>
            <wp:docPr id="2134294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94071" name="Picture 2134294071"/>
                    <pic:cNvPicPr/>
                  </pic:nvPicPr>
                  <pic:blipFill>
                    <a:blip r:embed="rId11"/>
                    <a:stretch>
                      <a:fillRect/>
                    </a:stretch>
                  </pic:blipFill>
                  <pic:spPr>
                    <a:xfrm>
                      <a:off x="0" y="0"/>
                      <a:ext cx="5943600" cy="7526655"/>
                    </a:xfrm>
                    <a:prstGeom prst="rect">
                      <a:avLst/>
                    </a:prstGeom>
                  </pic:spPr>
                </pic:pic>
              </a:graphicData>
            </a:graphic>
          </wp:inline>
        </w:drawing>
      </w:r>
    </w:p>
    <w:p w14:paraId="3EB04F70" w14:textId="647C4F1A" w:rsidR="00C63A60" w:rsidRPr="00410513" w:rsidRDefault="002A42C3" w:rsidP="00311098">
      <w:pPr>
        <w:jc w:val="both"/>
      </w:pPr>
      <w:r w:rsidRPr="00410513">
        <w:rPr>
          <w:b/>
          <w:bCs/>
        </w:rPr>
        <w:t>Fig</w:t>
      </w:r>
      <w:r w:rsidR="00FB16C9">
        <w:rPr>
          <w:b/>
          <w:bCs/>
        </w:rPr>
        <w:t>. S</w:t>
      </w:r>
      <w:r w:rsidR="005952DA" w:rsidRPr="00410513">
        <w:rPr>
          <w:b/>
          <w:bCs/>
        </w:rPr>
        <w:t>5</w:t>
      </w:r>
      <w:r w:rsidR="00AE45FD" w:rsidRPr="00410513">
        <w:rPr>
          <w:b/>
          <w:bCs/>
        </w:rPr>
        <w:t>.</w:t>
      </w:r>
      <w:r w:rsidRPr="00410513">
        <w:rPr>
          <w:b/>
          <w:bCs/>
        </w:rPr>
        <w:t xml:space="preserve"> </w:t>
      </w:r>
      <w:r w:rsidR="00413AE0" w:rsidRPr="00410513">
        <w:rPr>
          <w:b/>
          <w:bCs/>
        </w:rPr>
        <w:t>P</w:t>
      </w:r>
      <w:r w:rsidR="00E30DF5" w:rsidRPr="00410513">
        <w:rPr>
          <w:b/>
          <w:bCs/>
        </w:rPr>
        <w:t>erformance</w:t>
      </w:r>
      <w:r w:rsidR="00413AE0" w:rsidRPr="00410513">
        <w:rPr>
          <w:b/>
          <w:bCs/>
        </w:rPr>
        <w:t xml:space="preserve"> evaluation using simulated sequencing data</w:t>
      </w:r>
      <w:r w:rsidR="00E30DF5" w:rsidRPr="00410513">
        <w:t xml:space="preserve"> </w:t>
      </w:r>
      <w:r w:rsidR="00E30DF5" w:rsidRPr="00410513">
        <w:rPr>
          <w:b/>
          <w:bCs/>
        </w:rPr>
        <w:t>(A</w:t>
      </w:r>
      <w:r w:rsidR="00A93592" w:rsidRPr="00410513">
        <w:rPr>
          <w:b/>
          <w:bCs/>
        </w:rPr>
        <w:t>),(</w:t>
      </w:r>
      <w:r w:rsidR="00E30DF5" w:rsidRPr="00410513">
        <w:rPr>
          <w:b/>
          <w:bCs/>
        </w:rPr>
        <w:t>B)</w:t>
      </w:r>
      <w:r w:rsidR="00E30DF5" w:rsidRPr="00410513">
        <w:t xml:space="preserve"> Comparison of the k-mer</w:t>
      </w:r>
      <w:r w:rsidR="00C358C0" w:rsidRPr="00410513">
        <w:t xml:space="preserve"> or</w:t>
      </w:r>
      <w:r w:rsidR="00FD464D" w:rsidRPr="00410513">
        <w:t xml:space="preserve"> </w:t>
      </w:r>
      <w:r w:rsidR="00E30DF5" w:rsidRPr="00410513">
        <w:t>Bowtie2 multimap</w:t>
      </w:r>
      <w:r w:rsidR="00E00017" w:rsidRPr="00410513">
        <w:t>ping</w:t>
      </w:r>
      <w:r w:rsidR="00E30DF5" w:rsidRPr="00410513">
        <w:t xml:space="preserve"> </w:t>
      </w:r>
      <w:r w:rsidR="003915AA" w:rsidRPr="00410513">
        <w:t>steps</w:t>
      </w:r>
      <w:r w:rsidR="00E30DF5" w:rsidRPr="00410513">
        <w:t xml:space="preserve"> </w:t>
      </w:r>
      <w:r w:rsidR="003915AA" w:rsidRPr="00410513">
        <w:t>of</w:t>
      </w:r>
      <w:r w:rsidR="00E30DF5" w:rsidRPr="00410513">
        <w:t xml:space="preserve"> ERVmancer</w:t>
      </w:r>
      <w:r w:rsidR="003915AA" w:rsidRPr="00410513">
        <w:t xml:space="preserve"> in isolation</w:t>
      </w:r>
      <w:r w:rsidR="00E30DF5" w:rsidRPr="00410513">
        <w:t xml:space="preserve">, </w:t>
      </w:r>
      <w:r w:rsidR="00F863E2" w:rsidRPr="00410513">
        <w:t>versus the</w:t>
      </w:r>
      <w:r w:rsidR="00E30DF5" w:rsidRPr="00410513">
        <w:t xml:space="preserve"> final</w:t>
      </w:r>
      <w:r w:rsidR="008A181C" w:rsidRPr="00410513">
        <w:t xml:space="preserve"> </w:t>
      </w:r>
      <w:r w:rsidR="008A181C" w:rsidRPr="00410513">
        <w:lastRenderedPageBreak/>
        <w:t>combined</w:t>
      </w:r>
      <w:r w:rsidR="00E30DF5" w:rsidRPr="00410513">
        <w:t xml:space="preserve"> </w:t>
      </w:r>
      <w:r w:rsidR="008B7BD5" w:rsidRPr="00410513">
        <w:t xml:space="preserve">approach mapping </w:t>
      </w:r>
      <w:r w:rsidR="00E30DF5" w:rsidRPr="00410513">
        <w:t xml:space="preserve">to the lowest clade </w:t>
      </w:r>
      <w:r w:rsidR="00C055DF" w:rsidRPr="00410513">
        <w:t>across</w:t>
      </w:r>
      <w:r w:rsidR="00E30DF5" w:rsidRPr="00410513">
        <w:t xml:space="preserve"> the two methods. </w:t>
      </w:r>
      <w:r w:rsidR="00E30DF5" w:rsidRPr="00410513">
        <w:rPr>
          <w:b/>
          <w:bCs/>
        </w:rPr>
        <w:t>(A)</w:t>
      </w:r>
      <w:r w:rsidR="00E30DF5" w:rsidRPr="00410513">
        <w:t xml:space="preserve"> Non-target false positive rate for the k-mer approach, the Bowtie2 multimapping approach, and the final ERVmancer </w:t>
      </w:r>
      <w:r w:rsidR="009222F9" w:rsidRPr="00410513">
        <w:t>method</w:t>
      </w:r>
      <w:r w:rsidR="00E30DF5" w:rsidRPr="00410513">
        <w:t xml:space="preserve">. </w:t>
      </w:r>
      <w:r w:rsidR="00E30DF5" w:rsidRPr="00410513">
        <w:rPr>
          <w:b/>
          <w:bCs/>
        </w:rPr>
        <w:t>(B)</w:t>
      </w:r>
      <w:r w:rsidR="00E30DF5" w:rsidRPr="00410513">
        <w:t xml:space="preserve"> The depth of the clade assignment </w:t>
      </w:r>
      <w:r w:rsidR="006D3BEF" w:rsidRPr="00410513">
        <w:t xml:space="preserve">between the k-mer, </w:t>
      </w:r>
      <w:r w:rsidR="00B84E67" w:rsidRPr="00410513">
        <w:t>B</w:t>
      </w:r>
      <w:r w:rsidR="006D3BEF" w:rsidRPr="00410513">
        <w:t>owtie</w:t>
      </w:r>
      <w:r w:rsidR="00B84E67" w:rsidRPr="00410513">
        <w:t>2</w:t>
      </w:r>
      <w:r w:rsidR="006D3BEF" w:rsidRPr="00410513">
        <w:t xml:space="preserve">, and final ERVmancer </w:t>
      </w:r>
      <w:r w:rsidR="009222F9" w:rsidRPr="00410513">
        <w:t>method</w:t>
      </w:r>
      <w:r w:rsidR="006D3BEF" w:rsidRPr="00410513">
        <w:t xml:space="preserve">. </w:t>
      </w:r>
      <w:r w:rsidR="003F7483" w:rsidRPr="003F7483">
        <w:rPr>
          <w:b/>
          <w:bCs/>
        </w:rPr>
        <w:t xml:space="preserve">(C) </w:t>
      </w:r>
      <w:r w:rsidR="003F7483" w:rsidRPr="009779A9">
        <w:t xml:space="preserve">Spearman correlation coefficients between ground-truth counts and short-read quantification estimates generated by ERVmancer (blue), ERVmap (orange), and </w:t>
      </w:r>
      <w:r w:rsidR="00C551EC" w:rsidRPr="00C551EC">
        <w:t xml:space="preserve">Telescope </w:t>
      </w:r>
      <w:r w:rsidR="003F7483" w:rsidRPr="009779A9">
        <w:t xml:space="preserve">(yellow), using assigned counts rather than exact per-read assignments. </w:t>
      </w:r>
      <w:r w:rsidR="003F7483" w:rsidRPr="003F7483">
        <w:rPr>
          <w:b/>
          <w:bCs/>
        </w:rPr>
        <w:t xml:space="preserve">(D) </w:t>
      </w:r>
      <w:r w:rsidR="003F7483" w:rsidRPr="00B861B1">
        <w:t xml:space="preserve">False positive rate (left), recall (middle), and F1 score (right) for ERVmancer, ERVmap, and </w:t>
      </w:r>
      <w:r w:rsidR="00C551EC" w:rsidRPr="00C551EC">
        <w:t>Telescope</w:t>
      </w:r>
      <w:r w:rsidR="003F7483" w:rsidRPr="00B861B1">
        <w:t>, calculated using assigned counts rather than exact per-read assignments.</w:t>
      </w:r>
      <w:r w:rsidR="003F7483" w:rsidRPr="003F7483">
        <w:rPr>
          <w:b/>
          <w:bCs/>
        </w:rPr>
        <w:t xml:space="preserve"> </w:t>
      </w:r>
      <w:r w:rsidR="006D3BEF" w:rsidRPr="00410513">
        <w:rPr>
          <w:b/>
          <w:bCs/>
        </w:rPr>
        <w:t>(</w:t>
      </w:r>
      <w:r w:rsidR="00EE3CB4">
        <w:rPr>
          <w:b/>
          <w:bCs/>
        </w:rPr>
        <w:t>E</w:t>
      </w:r>
      <w:r w:rsidR="006D3BEF" w:rsidRPr="00410513">
        <w:rPr>
          <w:b/>
          <w:bCs/>
        </w:rPr>
        <w:t>)</w:t>
      </w:r>
      <w:r w:rsidR="006D3BEF" w:rsidRPr="00410513">
        <w:t xml:space="preserve"> Comparison of the different methods in quantifying the HERVs in Clade 2306</w:t>
      </w:r>
      <w:r w:rsidR="007E0F8C" w:rsidRPr="00410513">
        <w:t>.</w:t>
      </w:r>
      <w:r w:rsidR="00706D40" w:rsidRPr="00410513">
        <w:t xml:space="preserve"> ERVmancer assigns reads correctly to Clade 2306, while the other methods either over filter, as in the case of ERVmap, or misassign within the clades, as seen in </w:t>
      </w:r>
      <w:r w:rsidR="00526703" w:rsidRPr="00410513">
        <w:t>Telescope</w:t>
      </w:r>
      <w:r w:rsidR="00706D40" w:rsidRPr="00410513">
        <w:t xml:space="preserve">. </w:t>
      </w:r>
      <w:r w:rsidR="00311098" w:rsidRPr="00311098">
        <w:t>For clarity, only representative clades are shown.</w:t>
      </w:r>
    </w:p>
    <w:p w14:paraId="2CF181E4" w14:textId="77777777" w:rsidR="00C63A60" w:rsidRPr="00410513" w:rsidRDefault="00C63A60" w:rsidP="00FF56D3">
      <w:pPr>
        <w:jc w:val="both"/>
      </w:pPr>
    </w:p>
    <w:p w14:paraId="49387F9B" w14:textId="77777777" w:rsidR="00C63A60" w:rsidRPr="00410513" w:rsidRDefault="00C63A60" w:rsidP="00FF56D3">
      <w:pPr>
        <w:jc w:val="both"/>
      </w:pPr>
    </w:p>
    <w:p w14:paraId="1C691829" w14:textId="2B2B7F96" w:rsidR="00FA415C" w:rsidRPr="00410513" w:rsidRDefault="000B0843" w:rsidP="00FF56D3">
      <w:pPr>
        <w:jc w:val="both"/>
      </w:pPr>
      <w:r w:rsidRPr="00410513">
        <w:rPr>
          <w:noProof/>
        </w:rPr>
        <w:drawing>
          <wp:inline distT="0" distB="0" distL="0" distR="0" wp14:anchorId="3ECA687F" wp14:editId="71F6B07B">
            <wp:extent cx="5943600" cy="2876550"/>
            <wp:effectExtent l="0" t="0" r="0" b="6350"/>
            <wp:docPr id="540602925" name="Picture 1"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02925" name="Picture 1" descr="A graph with text on 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876550"/>
                    </a:xfrm>
                    <a:prstGeom prst="rect">
                      <a:avLst/>
                    </a:prstGeom>
                  </pic:spPr>
                </pic:pic>
              </a:graphicData>
            </a:graphic>
          </wp:inline>
        </w:drawing>
      </w:r>
    </w:p>
    <w:p w14:paraId="160F12F6" w14:textId="7AE64E4A" w:rsidR="005952DA" w:rsidRPr="008632FB" w:rsidRDefault="005952DA" w:rsidP="00FF56D3">
      <w:pPr>
        <w:jc w:val="both"/>
      </w:pPr>
      <w:r w:rsidRPr="00410513">
        <w:rPr>
          <w:b/>
          <w:bCs/>
        </w:rPr>
        <w:t>Fig</w:t>
      </w:r>
      <w:r w:rsidR="00BD5B7F">
        <w:rPr>
          <w:b/>
          <w:bCs/>
        </w:rPr>
        <w:t>. S</w:t>
      </w:r>
      <w:r w:rsidR="00C63A60" w:rsidRPr="00410513">
        <w:rPr>
          <w:b/>
          <w:bCs/>
        </w:rPr>
        <w:t>6</w:t>
      </w:r>
      <w:r w:rsidRPr="00410513">
        <w:rPr>
          <w:b/>
          <w:bCs/>
        </w:rPr>
        <w:t xml:space="preserve">. </w:t>
      </w:r>
      <w:r w:rsidR="004117CD" w:rsidRPr="004117CD">
        <w:rPr>
          <w:b/>
          <w:bCs/>
        </w:rPr>
        <w:t>Proportion of HERVs generating reads assigned to an internal phylogenetic clade in the simulated datasets</w:t>
      </w:r>
      <w:r w:rsidRPr="00410513">
        <w:rPr>
          <w:b/>
          <w:bCs/>
        </w:rPr>
        <w:t>.</w:t>
      </w:r>
      <w:r w:rsidR="008632FB" w:rsidRPr="008632FB">
        <w:t xml:space="preserve"> A HERV was classified as requiring clade-level assignment if at least one simulated read was assigned to an internal phylogenetic clade rather than uniquely to the HERV leaf node. This analysis quantifies mapping ambiguity across the HERV reference set.</w:t>
      </w:r>
    </w:p>
    <w:p w14:paraId="0B7E6FD5" w14:textId="7871AB37" w:rsidR="00FA415C" w:rsidRPr="00410513" w:rsidRDefault="004131D3" w:rsidP="00FF56D3">
      <w:pPr>
        <w:jc w:val="both"/>
      </w:pPr>
      <w:r w:rsidRPr="00410513">
        <w:rPr>
          <w:noProof/>
        </w:rPr>
        <w:lastRenderedPageBreak/>
        <w:drawing>
          <wp:inline distT="0" distB="0" distL="0" distR="0" wp14:anchorId="3BC2576A" wp14:editId="3A1B79B0">
            <wp:extent cx="5131435" cy="8229600"/>
            <wp:effectExtent l="0" t="0" r="0" b="0"/>
            <wp:docPr id="942159911"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59911" name="Graphic 942159911"/>
                    <pic:cNvPicPr/>
                  </pic:nvPicPr>
                  <pic:blipFill>
                    <a:blip r:embed="rId13">
                      <a:extLst>
                        <a:ext uri="{96DAC541-7B7A-43D3-8B79-37D633B846F1}">
                          <asvg:svgBlip xmlns:asvg="http://schemas.microsoft.com/office/drawing/2016/SVG/main" r:embed="rId14"/>
                        </a:ext>
                      </a:extLst>
                    </a:blip>
                    <a:stretch>
                      <a:fillRect/>
                    </a:stretch>
                  </pic:blipFill>
                  <pic:spPr>
                    <a:xfrm>
                      <a:off x="0" y="0"/>
                      <a:ext cx="5131435" cy="8229600"/>
                    </a:xfrm>
                    <a:prstGeom prst="rect">
                      <a:avLst/>
                    </a:prstGeom>
                  </pic:spPr>
                </pic:pic>
              </a:graphicData>
            </a:graphic>
          </wp:inline>
        </w:drawing>
      </w:r>
    </w:p>
    <w:p w14:paraId="512BAE61" w14:textId="4E5420FA" w:rsidR="001F7FF1" w:rsidRPr="00410513" w:rsidRDefault="00AA7727" w:rsidP="00FF56D3">
      <w:pPr>
        <w:jc w:val="both"/>
      </w:pPr>
      <w:r w:rsidRPr="00410513">
        <w:rPr>
          <w:b/>
          <w:bCs/>
        </w:rPr>
        <w:lastRenderedPageBreak/>
        <w:t>Fig</w:t>
      </w:r>
      <w:r w:rsidR="00BD5B7F">
        <w:rPr>
          <w:b/>
          <w:bCs/>
        </w:rPr>
        <w:t>.</w:t>
      </w:r>
      <w:r w:rsidRPr="00410513">
        <w:rPr>
          <w:b/>
          <w:bCs/>
        </w:rPr>
        <w:t xml:space="preserve"> </w:t>
      </w:r>
      <w:r w:rsidR="00BD5B7F">
        <w:rPr>
          <w:b/>
          <w:bCs/>
        </w:rPr>
        <w:t>S</w:t>
      </w:r>
      <w:r w:rsidR="00C45CC6" w:rsidRPr="00410513">
        <w:rPr>
          <w:b/>
          <w:bCs/>
        </w:rPr>
        <w:t>7</w:t>
      </w:r>
      <w:r w:rsidR="00706D40" w:rsidRPr="00410513">
        <w:rPr>
          <w:b/>
          <w:bCs/>
        </w:rPr>
        <w:t xml:space="preserve">. p53 binding sites </w:t>
      </w:r>
      <w:r w:rsidR="00AC4767" w:rsidRPr="00410513">
        <w:rPr>
          <w:b/>
          <w:bCs/>
        </w:rPr>
        <w:t>across</w:t>
      </w:r>
      <w:r w:rsidR="00706D40" w:rsidRPr="00410513">
        <w:rPr>
          <w:b/>
          <w:bCs/>
        </w:rPr>
        <w:t xml:space="preserve"> </w:t>
      </w:r>
      <w:r w:rsidR="00AC4767" w:rsidRPr="00410513">
        <w:rPr>
          <w:b/>
          <w:bCs/>
        </w:rPr>
        <w:t>diverse</w:t>
      </w:r>
      <w:r w:rsidR="00706D40" w:rsidRPr="00410513">
        <w:rPr>
          <w:b/>
          <w:bCs/>
        </w:rPr>
        <w:t xml:space="preserve"> HERV </w:t>
      </w:r>
      <w:r w:rsidR="00DD1CE1" w:rsidRPr="00410513">
        <w:rPr>
          <w:b/>
          <w:bCs/>
        </w:rPr>
        <w:t xml:space="preserve">clades and </w:t>
      </w:r>
      <w:r w:rsidR="00706D40" w:rsidRPr="00410513">
        <w:rPr>
          <w:b/>
          <w:bCs/>
        </w:rPr>
        <w:t>families.</w:t>
      </w:r>
      <w:r w:rsidRPr="00410513">
        <w:rPr>
          <w:b/>
          <w:bCs/>
        </w:rPr>
        <w:t xml:space="preserve"> (A)</w:t>
      </w:r>
      <w:r w:rsidRPr="00410513">
        <w:t xml:space="preserve"> The phylogenetic tree colored by different HERV clades with p53 binding sites. </w:t>
      </w:r>
      <w:r w:rsidRPr="00410513">
        <w:rPr>
          <w:b/>
          <w:bCs/>
        </w:rPr>
        <w:t>(B</w:t>
      </w:r>
      <w:r w:rsidR="00706D40" w:rsidRPr="00410513">
        <w:rPr>
          <w:b/>
          <w:bCs/>
        </w:rPr>
        <w:t>),(</w:t>
      </w:r>
      <w:r w:rsidRPr="00410513">
        <w:rPr>
          <w:b/>
          <w:bCs/>
        </w:rPr>
        <w:t>C)</w:t>
      </w:r>
      <w:r w:rsidRPr="00410513">
        <w:t xml:space="preserve"> HERVE CPM for HERVE</w:t>
      </w:r>
      <w:r w:rsidR="00374F4C">
        <w:t>s</w:t>
      </w:r>
      <w:r w:rsidRPr="00410513">
        <w:t xml:space="preserve"> with p53 binding sites </w:t>
      </w:r>
      <w:r w:rsidR="003E1287">
        <w:t>that</w:t>
      </w:r>
      <w:r w:rsidRPr="00410513">
        <w:t xml:space="preserve"> </w:t>
      </w:r>
      <w:r w:rsidR="009C2D7E" w:rsidRPr="00410513">
        <w:t xml:space="preserve">individually </w:t>
      </w:r>
      <w:r w:rsidR="00760C55">
        <w:t>show</w:t>
      </w:r>
      <w:r w:rsidR="009C2D7E" w:rsidRPr="00410513">
        <w:t xml:space="preserve"> </w:t>
      </w:r>
      <w:r w:rsidR="00080402">
        <w:t>higher</w:t>
      </w:r>
      <w:r w:rsidRPr="00410513">
        <w:t xml:space="preserve"> (B) or </w:t>
      </w:r>
      <w:r w:rsidR="00FF7BF1">
        <w:t>lower</w:t>
      </w:r>
      <w:r w:rsidRPr="00410513">
        <w:t xml:space="preserve"> (C) </w:t>
      </w:r>
      <w:r w:rsidR="00427DD7">
        <w:t>expression compared to</w:t>
      </w:r>
      <w:r w:rsidRPr="00410513">
        <w:t xml:space="preserve"> WT samples</w:t>
      </w:r>
      <w:r w:rsidR="005263B3" w:rsidRPr="00410513">
        <w:t xml:space="preserve"> (MWU unadjusted p-values are reported)</w:t>
      </w:r>
      <w:r w:rsidRPr="00410513">
        <w:t xml:space="preserve">. </w:t>
      </w:r>
      <w:r w:rsidRPr="00410513">
        <w:rPr>
          <w:b/>
          <w:bCs/>
        </w:rPr>
        <w:t>(D</w:t>
      </w:r>
      <w:r w:rsidR="00706D40" w:rsidRPr="00410513">
        <w:rPr>
          <w:b/>
          <w:bCs/>
        </w:rPr>
        <w:t>),(</w:t>
      </w:r>
      <w:r w:rsidRPr="00410513">
        <w:rPr>
          <w:b/>
          <w:bCs/>
        </w:rPr>
        <w:t>E)</w:t>
      </w:r>
      <w:r w:rsidRPr="00410513">
        <w:t xml:space="preserve"> HERVK9 CPM for HERVK9 with p53 binding sites which are</w:t>
      </w:r>
      <w:r w:rsidR="009C2D7E" w:rsidRPr="00410513">
        <w:t xml:space="preserve"> individually </w:t>
      </w:r>
      <w:r w:rsidR="001555C9" w:rsidRPr="00410513">
        <w:t>evaluated</w:t>
      </w:r>
      <w:r w:rsidR="009C2D7E" w:rsidRPr="00410513">
        <w:t xml:space="preserve"> for</w:t>
      </w:r>
      <w:r w:rsidR="00C30133" w:rsidRPr="00410513">
        <w:t xml:space="preserve"> expression</w:t>
      </w:r>
      <w:r w:rsidRPr="00410513">
        <w:t xml:space="preserve"> </w:t>
      </w:r>
      <w:r w:rsidR="001C622F">
        <w:t>higher</w:t>
      </w:r>
      <w:r w:rsidRPr="00410513">
        <w:t xml:space="preserve"> (D) or </w:t>
      </w:r>
      <w:r w:rsidR="00D75F4D">
        <w:t>lower</w:t>
      </w:r>
      <w:r w:rsidRPr="00410513">
        <w:t xml:space="preserve"> than (E) the WT samples</w:t>
      </w:r>
      <w:r w:rsidR="0075193C" w:rsidRPr="00410513">
        <w:t xml:space="preserve"> (MWU unadjusted p-values are reported).</w:t>
      </w:r>
    </w:p>
    <w:p w14:paraId="6C251FA9" w14:textId="77777777" w:rsidR="00B40209" w:rsidRPr="00410513" w:rsidRDefault="00B40209" w:rsidP="00FF56D3">
      <w:pPr>
        <w:jc w:val="both"/>
        <w:rPr>
          <w:b/>
          <w:bCs/>
        </w:rPr>
      </w:pPr>
    </w:p>
    <w:p w14:paraId="3FC548B8" w14:textId="35A6BCA4" w:rsidR="00220A21" w:rsidRPr="00410513" w:rsidRDefault="00220A21" w:rsidP="00C77366">
      <w:fldSimple w:instr=" ADDIN EN.REFLIST "/>
    </w:p>
    <w:sectPr w:rsidR="00220A21" w:rsidRPr="00410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C226F5"/>
    <w:multiLevelType w:val="hybridMultilevel"/>
    <w:tmpl w:val="9B3E3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92948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Biotechnolog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fz5zf5easvwbezxxzpdz5f9tzesva520fw&quot;&gt;My EndNote Library&lt;record-ids&gt;&lt;item&gt;137&lt;/item&gt;&lt;/record-ids&gt;&lt;/item&gt;&lt;/Libraries&gt;"/>
  </w:docVars>
  <w:rsids>
    <w:rsidRoot w:val="00010069"/>
    <w:rsid w:val="00000C7A"/>
    <w:rsid w:val="00007CBE"/>
    <w:rsid w:val="00010069"/>
    <w:rsid w:val="000118E8"/>
    <w:rsid w:val="00035F1A"/>
    <w:rsid w:val="000615DD"/>
    <w:rsid w:val="00065637"/>
    <w:rsid w:val="00066CBB"/>
    <w:rsid w:val="00072E9D"/>
    <w:rsid w:val="00073DD2"/>
    <w:rsid w:val="00076775"/>
    <w:rsid w:val="00077595"/>
    <w:rsid w:val="00080402"/>
    <w:rsid w:val="00080D5C"/>
    <w:rsid w:val="000836BA"/>
    <w:rsid w:val="00083A2E"/>
    <w:rsid w:val="00084014"/>
    <w:rsid w:val="00085500"/>
    <w:rsid w:val="000867C1"/>
    <w:rsid w:val="00091914"/>
    <w:rsid w:val="00092D4F"/>
    <w:rsid w:val="000A358F"/>
    <w:rsid w:val="000A438A"/>
    <w:rsid w:val="000A4BD0"/>
    <w:rsid w:val="000B0843"/>
    <w:rsid w:val="000B555D"/>
    <w:rsid w:val="000C2B40"/>
    <w:rsid w:val="000C2F91"/>
    <w:rsid w:val="000D2417"/>
    <w:rsid w:val="000D32E1"/>
    <w:rsid w:val="000F2D01"/>
    <w:rsid w:val="000F3D75"/>
    <w:rsid w:val="0010117C"/>
    <w:rsid w:val="001013A7"/>
    <w:rsid w:val="00103FEA"/>
    <w:rsid w:val="00117C04"/>
    <w:rsid w:val="00125359"/>
    <w:rsid w:val="001411A0"/>
    <w:rsid w:val="0014269C"/>
    <w:rsid w:val="00142A38"/>
    <w:rsid w:val="00151C57"/>
    <w:rsid w:val="001555C9"/>
    <w:rsid w:val="00156764"/>
    <w:rsid w:val="00161938"/>
    <w:rsid w:val="0016485A"/>
    <w:rsid w:val="001650F0"/>
    <w:rsid w:val="00167061"/>
    <w:rsid w:val="0017179C"/>
    <w:rsid w:val="00181B64"/>
    <w:rsid w:val="001A0DBE"/>
    <w:rsid w:val="001A78DA"/>
    <w:rsid w:val="001C2C86"/>
    <w:rsid w:val="001C622F"/>
    <w:rsid w:val="001E2BCE"/>
    <w:rsid w:val="001F029F"/>
    <w:rsid w:val="001F33CD"/>
    <w:rsid w:val="001F5D76"/>
    <w:rsid w:val="001F7FF1"/>
    <w:rsid w:val="00202E26"/>
    <w:rsid w:val="0020395B"/>
    <w:rsid w:val="002060AA"/>
    <w:rsid w:val="00210024"/>
    <w:rsid w:val="00212DA0"/>
    <w:rsid w:val="00214888"/>
    <w:rsid w:val="00215F1C"/>
    <w:rsid w:val="00220A21"/>
    <w:rsid w:val="00222CC2"/>
    <w:rsid w:val="002320DD"/>
    <w:rsid w:val="0023539C"/>
    <w:rsid w:val="002433BD"/>
    <w:rsid w:val="00244120"/>
    <w:rsid w:val="002553E6"/>
    <w:rsid w:val="002567F8"/>
    <w:rsid w:val="00262C60"/>
    <w:rsid w:val="002662DE"/>
    <w:rsid w:val="002711C5"/>
    <w:rsid w:val="002715EB"/>
    <w:rsid w:val="00271F5B"/>
    <w:rsid w:val="00280E78"/>
    <w:rsid w:val="0028692B"/>
    <w:rsid w:val="002906CC"/>
    <w:rsid w:val="00292551"/>
    <w:rsid w:val="002968DB"/>
    <w:rsid w:val="002A0B0A"/>
    <w:rsid w:val="002A36E4"/>
    <w:rsid w:val="002A42C3"/>
    <w:rsid w:val="002A717F"/>
    <w:rsid w:val="002E2E04"/>
    <w:rsid w:val="002E3E62"/>
    <w:rsid w:val="002E44AD"/>
    <w:rsid w:val="002E5AB1"/>
    <w:rsid w:val="003006E3"/>
    <w:rsid w:val="00304F79"/>
    <w:rsid w:val="003053F4"/>
    <w:rsid w:val="00307C62"/>
    <w:rsid w:val="00310AEF"/>
    <w:rsid w:val="00311098"/>
    <w:rsid w:val="0031546C"/>
    <w:rsid w:val="00320B51"/>
    <w:rsid w:val="00320D2F"/>
    <w:rsid w:val="00324F9F"/>
    <w:rsid w:val="003342A4"/>
    <w:rsid w:val="003367AA"/>
    <w:rsid w:val="00337D4C"/>
    <w:rsid w:val="0034427D"/>
    <w:rsid w:val="00374F4C"/>
    <w:rsid w:val="00383460"/>
    <w:rsid w:val="00384BD5"/>
    <w:rsid w:val="00387015"/>
    <w:rsid w:val="003915AA"/>
    <w:rsid w:val="00393FC8"/>
    <w:rsid w:val="003A6C06"/>
    <w:rsid w:val="003A6C3D"/>
    <w:rsid w:val="003B624F"/>
    <w:rsid w:val="003D0FFA"/>
    <w:rsid w:val="003D62F3"/>
    <w:rsid w:val="003E1287"/>
    <w:rsid w:val="003E5F9F"/>
    <w:rsid w:val="003F7483"/>
    <w:rsid w:val="00410513"/>
    <w:rsid w:val="004117CD"/>
    <w:rsid w:val="004131D3"/>
    <w:rsid w:val="00413AE0"/>
    <w:rsid w:val="00420C7A"/>
    <w:rsid w:val="004225F9"/>
    <w:rsid w:val="00427DD7"/>
    <w:rsid w:val="004340F2"/>
    <w:rsid w:val="004346C1"/>
    <w:rsid w:val="004440A8"/>
    <w:rsid w:val="00460CED"/>
    <w:rsid w:val="004722D3"/>
    <w:rsid w:val="0047634F"/>
    <w:rsid w:val="004919D1"/>
    <w:rsid w:val="00496E92"/>
    <w:rsid w:val="004A7E9F"/>
    <w:rsid w:val="004B070A"/>
    <w:rsid w:val="004C65E9"/>
    <w:rsid w:val="004E72A2"/>
    <w:rsid w:val="004F19E4"/>
    <w:rsid w:val="004F3D47"/>
    <w:rsid w:val="005115C9"/>
    <w:rsid w:val="0051689E"/>
    <w:rsid w:val="005263B3"/>
    <w:rsid w:val="00526703"/>
    <w:rsid w:val="0053064F"/>
    <w:rsid w:val="00533525"/>
    <w:rsid w:val="00552F67"/>
    <w:rsid w:val="005549B2"/>
    <w:rsid w:val="00563638"/>
    <w:rsid w:val="00563C87"/>
    <w:rsid w:val="00570A13"/>
    <w:rsid w:val="005863E9"/>
    <w:rsid w:val="005952DA"/>
    <w:rsid w:val="005B21AC"/>
    <w:rsid w:val="005B619F"/>
    <w:rsid w:val="005C0699"/>
    <w:rsid w:val="005C2D94"/>
    <w:rsid w:val="005C5DC3"/>
    <w:rsid w:val="005C6E2F"/>
    <w:rsid w:val="005E2944"/>
    <w:rsid w:val="005F1944"/>
    <w:rsid w:val="005F74F2"/>
    <w:rsid w:val="006452B7"/>
    <w:rsid w:val="00646367"/>
    <w:rsid w:val="00652D2A"/>
    <w:rsid w:val="00670858"/>
    <w:rsid w:val="006717C6"/>
    <w:rsid w:val="00676FC9"/>
    <w:rsid w:val="00683C75"/>
    <w:rsid w:val="006841BD"/>
    <w:rsid w:val="00687CD2"/>
    <w:rsid w:val="006902AD"/>
    <w:rsid w:val="00690432"/>
    <w:rsid w:val="0069440A"/>
    <w:rsid w:val="00697C38"/>
    <w:rsid w:val="006B01BC"/>
    <w:rsid w:val="006B0575"/>
    <w:rsid w:val="006B2D44"/>
    <w:rsid w:val="006B7499"/>
    <w:rsid w:val="006C0345"/>
    <w:rsid w:val="006C3F33"/>
    <w:rsid w:val="006C77F8"/>
    <w:rsid w:val="006D3BEF"/>
    <w:rsid w:val="006D6C54"/>
    <w:rsid w:val="006E09AF"/>
    <w:rsid w:val="006E521E"/>
    <w:rsid w:val="006F0BCF"/>
    <w:rsid w:val="006F65C3"/>
    <w:rsid w:val="00702C4C"/>
    <w:rsid w:val="00706D40"/>
    <w:rsid w:val="0071109D"/>
    <w:rsid w:val="00716033"/>
    <w:rsid w:val="00727638"/>
    <w:rsid w:val="007411D8"/>
    <w:rsid w:val="0075122A"/>
    <w:rsid w:val="0075193C"/>
    <w:rsid w:val="00755919"/>
    <w:rsid w:val="00757EEB"/>
    <w:rsid w:val="00760BEA"/>
    <w:rsid w:val="00760C55"/>
    <w:rsid w:val="00787463"/>
    <w:rsid w:val="00792C20"/>
    <w:rsid w:val="007B2C7F"/>
    <w:rsid w:val="007B3A29"/>
    <w:rsid w:val="007C1910"/>
    <w:rsid w:val="007C2F4D"/>
    <w:rsid w:val="007C481B"/>
    <w:rsid w:val="007D0A9B"/>
    <w:rsid w:val="007D1F3C"/>
    <w:rsid w:val="007E0F8C"/>
    <w:rsid w:val="00813415"/>
    <w:rsid w:val="00821F56"/>
    <w:rsid w:val="0083288C"/>
    <w:rsid w:val="00835B59"/>
    <w:rsid w:val="00836173"/>
    <w:rsid w:val="00841456"/>
    <w:rsid w:val="00856420"/>
    <w:rsid w:val="0086068F"/>
    <w:rsid w:val="008632FB"/>
    <w:rsid w:val="00871B3C"/>
    <w:rsid w:val="00881ED5"/>
    <w:rsid w:val="00883A39"/>
    <w:rsid w:val="00887E2C"/>
    <w:rsid w:val="00895EB7"/>
    <w:rsid w:val="008A181C"/>
    <w:rsid w:val="008A4F32"/>
    <w:rsid w:val="008A6FC1"/>
    <w:rsid w:val="008B7BD5"/>
    <w:rsid w:val="008C7772"/>
    <w:rsid w:val="008E17F9"/>
    <w:rsid w:val="008E2CEE"/>
    <w:rsid w:val="008F0550"/>
    <w:rsid w:val="008F1D93"/>
    <w:rsid w:val="009178CD"/>
    <w:rsid w:val="00921AA8"/>
    <w:rsid w:val="009222F9"/>
    <w:rsid w:val="00927875"/>
    <w:rsid w:val="00936594"/>
    <w:rsid w:val="00941EE2"/>
    <w:rsid w:val="00946F76"/>
    <w:rsid w:val="00951C06"/>
    <w:rsid w:val="00957EC6"/>
    <w:rsid w:val="009612CB"/>
    <w:rsid w:val="00964E57"/>
    <w:rsid w:val="009716CE"/>
    <w:rsid w:val="00976998"/>
    <w:rsid w:val="009779A9"/>
    <w:rsid w:val="00993107"/>
    <w:rsid w:val="00997AFA"/>
    <w:rsid w:val="009A5105"/>
    <w:rsid w:val="009B1386"/>
    <w:rsid w:val="009C2D7E"/>
    <w:rsid w:val="009C4BD7"/>
    <w:rsid w:val="009E5DF2"/>
    <w:rsid w:val="009E6C1D"/>
    <w:rsid w:val="00A01757"/>
    <w:rsid w:val="00A14A19"/>
    <w:rsid w:val="00A15039"/>
    <w:rsid w:val="00A17E68"/>
    <w:rsid w:val="00A22916"/>
    <w:rsid w:val="00A2680C"/>
    <w:rsid w:val="00A26DAD"/>
    <w:rsid w:val="00A27304"/>
    <w:rsid w:val="00A3585B"/>
    <w:rsid w:val="00A36DE6"/>
    <w:rsid w:val="00A377E8"/>
    <w:rsid w:val="00A45F41"/>
    <w:rsid w:val="00A4626A"/>
    <w:rsid w:val="00A53373"/>
    <w:rsid w:val="00A56DE2"/>
    <w:rsid w:val="00A57AAC"/>
    <w:rsid w:val="00A86043"/>
    <w:rsid w:val="00A876CE"/>
    <w:rsid w:val="00A93592"/>
    <w:rsid w:val="00A95FFA"/>
    <w:rsid w:val="00AA6755"/>
    <w:rsid w:val="00AA7727"/>
    <w:rsid w:val="00AB144D"/>
    <w:rsid w:val="00AC4767"/>
    <w:rsid w:val="00AC65D8"/>
    <w:rsid w:val="00AD481B"/>
    <w:rsid w:val="00AE45FD"/>
    <w:rsid w:val="00AF6249"/>
    <w:rsid w:val="00AF6A0A"/>
    <w:rsid w:val="00B00E13"/>
    <w:rsid w:val="00B118AD"/>
    <w:rsid w:val="00B14DD3"/>
    <w:rsid w:val="00B32A3A"/>
    <w:rsid w:val="00B40209"/>
    <w:rsid w:val="00B51D40"/>
    <w:rsid w:val="00B57D86"/>
    <w:rsid w:val="00B61D60"/>
    <w:rsid w:val="00B65352"/>
    <w:rsid w:val="00B808B4"/>
    <w:rsid w:val="00B84CF9"/>
    <w:rsid w:val="00B84E67"/>
    <w:rsid w:val="00B861B1"/>
    <w:rsid w:val="00B863B1"/>
    <w:rsid w:val="00B8759F"/>
    <w:rsid w:val="00B87B8E"/>
    <w:rsid w:val="00B912FF"/>
    <w:rsid w:val="00BA187A"/>
    <w:rsid w:val="00BB3A3A"/>
    <w:rsid w:val="00BC0049"/>
    <w:rsid w:val="00BD133D"/>
    <w:rsid w:val="00BD27AA"/>
    <w:rsid w:val="00BD5B7F"/>
    <w:rsid w:val="00BD691F"/>
    <w:rsid w:val="00BE2482"/>
    <w:rsid w:val="00BE4260"/>
    <w:rsid w:val="00BE7231"/>
    <w:rsid w:val="00C055DF"/>
    <w:rsid w:val="00C113FD"/>
    <w:rsid w:val="00C12EC7"/>
    <w:rsid w:val="00C15904"/>
    <w:rsid w:val="00C20871"/>
    <w:rsid w:val="00C25175"/>
    <w:rsid w:val="00C2630D"/>
    <w:rsid w:val="00C30133"/>
    <w:rsid w:val="00C32F0C"/>
    <w:rsid w:val="00C358C0"/>
    <w:rsid w:val="00C45CC6"/>
    <w:rsid w:val="00C507F6"/>
    <w:rsid w:val="00C551EC"/>
    <w:rsid w:val="00C553CB"/>
    <w:rsid w:val="00C56C3D"/>
    <w:rsid w:val="00C63A60"/>
    <w:rsid w:val="00C655A2"/>
    <w:rsid w:val="00C77366"/>
    <w:rsid w:val="00C82813"/>
    <w:rsid w:val="00CA694A"/>
    <w:rsid w:val="00CA6BF6"/>
    <w:rsid w:val="00CB1E69"/>
    <w:rsid w:val="00CC3904"/>
    <w:rsid w:val="00CC6CA9"/>
    <w:rsid w:val="00CD3351"/>
    <w:rsid w:val="00CF3987"/>
    <w:rsid w:val="00CF62BA"/>
    <w:rsid w:val="00D02366"/>
    <w:rsid w:val="00D02B9C"/>
    <w:rsid w:val="00D03610"/>
    <w:rsid w:val="00D03ED6"/>
    <w:rsid w:val="00D04DF0"/>
    <w:rsid w:val="00D0607D"/>
    <w:rsid w:val="00D0636A"/>
    <w:rsid w:val="00D26533"/>
    <w:rsid w:val="00D30209"/>
    <w:rsid w:val="00D364BE"/>
    <w:rsid w:val="00D57965"/>
    <w:rsid w:val="00D604B2"/>
    <w:rsid w:val="00D629F5"/>
    <w:rsid w:val="00D64915"/>
    <w:rsid w:val="00D75F4D"/>
    <w:rsid w:val="00D83B3E"/>
    <w:rsid w:val="00D93B79"/>
    <w:rsid w:val="00DA0FCC"/>
    <w:rsid w:val="00DB1D9D"/>
    <w:rsid w:val="00DB4A0C"/>
    <w:rsid w:val="00DC45FA"/>
    <w:rsid w:val="00DC513F"/>
    <w:rsid w:val="00DC71DF"/>
    <w:rsid w:val="00DC76AE"/>
    <w:rsid w:val="00DD1CE1"/>
    <w:rsid w:val="00DF25FA"/>
    <w:rsid w:val="00E00017"/>
    <w:rsid w:val="00E001FD"/>
    <w:rsid w:val="00E26CFB"/>
    <w:rsid w:val="00E30B7A"/>
    <w:rsid w:val="00E30DF5"/>
    <w:rsid w:val="00E3459F"/>
    <w:rsid w:val="00E37A92"/>
    <w:rsid w:val="00E47881"/>
    <w:rsid w:val="00E700F5"/>
    <w:rsid w:val="00E7573A"/>
    <w:rsid w:val="00E77682"/>
    <w:rsid w:val="00E81265"/>
    <w:rsid w:val="00E90AE8"/>
    <w:rsid w:val="00E92D34"/>
    <w:rsid w:val="00EA1A4E"/>
    <w:rsid w:val="00EC4631"/>
    <w:rsid w:val="00ED26D4"/>
    <w:rsid w:val="00EE2EFF"/>
    <w:rsid w:val="00EE3CB4"/>
    <w:rsid w:val="00EF0D13"/>
    <w:rsid w:val="00EF1A89"/>
    <w:rsid w:val="00F0259F"/>
    <w:rsid w:val="00F04345"/>
    <w:rsid w:val="00F1579C"/>
    <w:rsid w:val="00F23543"/>
    <w:rsid w:val="00F2783F"/>
    <w:rsid w:val="00F35766"/>
    <w:rsid w:val="00F43104"/>
    <w:rsid w:val="00F43CE3"/>
    <w:rsid w:val="00F46523"/>
    <w:rsid w:val="00F57EE4"/>
    <w:rsid w:val="00F65677"/>
    <w:rsid w:val="00F7698C"/>
    <w:rsid w:val="00F771E9"/>
    <w:rsid w:val="00F777D4"/>
    <w:rsid w:val="00F830F9"/>
    <w:rsid w:val="00F85448"/>
    <w:rsid w:val="00F863E2"/>
    <w:rsid w:val="00F90C74"/>
    <w:rsid w:val="00F961F6"/>
    <w:rsid w:val="00FA415C"/>
    <w:rsid w:val="00FB16C9"/>
    <w:rsid w:val="00FB5B37"/>
    <w:rsid w:val="00FC1ABF"/>
    <w:rsid w:val="00FC4411"/>
    <w:rsid w:val="00FC5E06"/>
    <w:rsid w:val="00FD1760"/>
    <w:rsid w:val="00FD1A6D"/>
    <w:rsid w:val="00FD464D"/>
    <w:rsid w:val="00FE72C6"/>
    <w:rsid w:val="00FE7CD7"/>
    <w:rsid w:val="00FF1E5E"/>
    <w:rsid w:val="00FF56D3"/>
    <w:rsid w:val="00FF7B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298E"/>
  <w15:chartTrackingRefBased/>
  <w15:docId w15:val="{E15630B0-0868-469A-9A0E-AF9BEB40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069"/>
    <w:rPr>
      <w:rFonts w:eastAsiaTheme="majorEastAsia" w:cstheme="majorBidi"/>
      <w:color w:val="272727" w:themeColor="text1" w:themeTint="D8"/>
    </w:rPr>
  </w:style>
  <w:style w:type="paragraph" w:styleId="Title">
    <w:name w:val="Title"/>
    <w:basedOn w:val="Normal"/>
    <w:next w:val="Normal"/>
    <w:link w:val="TitleChar"/>
    <w:uiPriority w:val="10"/>
    <w:qFormat/>
    <w:rsid w:val="00010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069"/>
    <w:pPr>
      <w:spacing w:before="160"/>
      <w:jc w:val="center"/>
    </w:pPr>
    <w:rPr>
      <w:i/>
      <w:iCs/>
      <w:color w:val="404040" w:themeColor="text1" w:themeTint="BF"/>
    </w:rPr>
  </w:style>
  <w:style w:type="character" w:customStyle="1" w:styleId="QuoteChar">
    <w:name w:val="Quote Char"/>
    <w:basedOn w:val="DefaultParagraphFont"/>
    <w:link w:val="Quote"/>
    <w:uiPriority w:val="29"/>
    <w:rsid w:val="00010069"/>
    <w:rPr>
      <w:i/>
      <w:iCs/>
      <w:color w:val="404040" w:themeColor="text1" w:themeTint="BF"/>
    </w:rPr>
  </w:style>
  <w:style w:type="paragraph" w:styleId="ListParagraph">
    <w:name w:val="List Paragraph"/>
    <w:basedOn w:val="Normal"/>
    <w:uiPriority w:val="34"/>
    <w:qFormat/>
    <w:rsid w:val="00010069"/>
    <w:pPr>
      <w:ind w:left="720"/>
      <w:contextualSpacing/>
    </w:pPr>
  </w:style>
  <w:style w:type="character" w:styleId="IntenseEmphasis">
    <w:name w:val="Intense Emphasis"/>
    <w:basedOn w:val="DefaultParagraphFont"/>
    <w:uiPriority w:val="21"/>
    <w:qFormat/>
    <w:rsid w:val="00010069"/>
    <w:rPr>
      <w:i/>
      <w:iCs/>
      <w:color w:val="0F4761" w:themeColor="accent1" w:themeShade="BF"/>
    </w:rPr>
  </w:style>
  <w:style w:type="paragraph" w:styleId="IntenseQuote">
    <w:name w:val="Intense Quote"/>
    <w:basedOn w:val="Normal"/>
    <w:next w:val="Normal"/>
    <w:link w:val="IntenseQuoteChar"/>
    <w:uiPriority w:val="30"/>
    <w:qFormat/>
    <w:rsid w:val="00010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069"/>
    <w:rPr>
      <w:i/>
      <w:iCs/>
      <w:color w:val="0F4761" w:themeColor="accent1" w:themeShade="BF"/>
    </w:rPr>
  </w:style>
  <w:style w:type="character" w:styleId="IntenseReference">
    <w:name w:val="Intense Reference"/>
    <w:basedOn w:val="DefaultParagraphFont"/>
    <w:uiPriority w:val="32"/>
    <w:qFormat/>
    <w:rsid w:val="00010069"/>
    <w:rPr>
      <w:b/>
      <w:bCs/>
      <w:smallCaps/>
      <w:color w:val="0F4761" w:themeColor="accent1" w:themeShade="BF"/>
      <w:spacing w:val="5"/>
    </w:rPr>
  </w:style>
  <w:style w:type="character" w:styleId="CommentReference">
    <w:name w:val="annotation reference"/>
    <w:basedOn w:val="DefaultParagraphFont"/>
    <w:uiPriority w:val="99"/>
    <w:semiHidden/>
    <w:unhideWhenUsed/>
    <w:rsid w:val="00697C38"/>
    <w:rPr>
      <w:sz w:val="16"/>
      <w:szCs w:val="16"/>
    </w:rPr>
  </w:style>
  <w:style w:type="paragraph" w:customStyle="1" w:styleId="EndNoteBibliographyTitle">
    <w:name w:val="EndNote Bibliography Title"/>
    <w:basedOn w:val="Normal"/>
    <w:link w:val="EndNoteBibliographyTitleChar"/>
    <w:rsid w:val="001F7FF1"/>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F7FF1"/>
    <w:rPr>
      <w:rFonts w:ascii="Aptos" w:hAnsi="Aptos"/>
      <w:noProof/>
    </w:rPr>
  </w:style>
  <w:style w:type="paragraph" w:customStyle="1" w:styleId="EndNoteBibliography">
    <w:name w:val="EndNote Bibliography"/>
    <w:basedOn w:val="Normal"/>
    <w:link w:val="EndNoteBibliographyChar"/>
    <w:rsid w:val="001F7FF1"/>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1F7FF1"/>
    <w:rPr>
      <w:rFonts w:ascii="Aptos" w:hAnsi="Aptos"/>
      <w:noProof/>
    </w:rPr>
  </w:style>
  <w:style w:type="paragraph" w:styleId="Revision">
    <w:name w:val="Revision"/>
    <w:hidden/>
    <w:uiPriority w:val="99"/>
    <w:semiHidden/>
    <w:rsid w:val="00066CBB"/>
    <w:pPr>
      <w:spacing w:after="0" w:line="240" w:lineRule="auto"/>
    </w:pPr>
  </w:style>
  <w:style w:type="paragraph" w:styleId="Bibliography">
    <w:name w:val="Bibliography"/>
    <w:basedOn w:val="Normal"/>
    <w:next w:val="Normal"/>
    <w:uiPriority w:val="37"/>
    <w:unhideWhenUsed/>
    <w:rsid w:val="00420C7A"/>
    <w:pPr>
      <w:tabs>
        <w:tab w:val="left" w:pos="504"/>
      </w:tabs>
      <w:spacing w:after="0" w:line="48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0494905">
      <w:bodyDiv w:val="1"/>
      <w:marLeft w:val="0"/>
      <w:marRight w:val="0"/>
      <w:marTop w:val="0"/>
      <w:marBottom w:val="0"/>
      <w:divBdr>
        <w:top w:val="none" w:sz="0" w:space="0" w:color="auto"/>
        <w:left w:val="none" w:sz="0" w:space="0" w:color="auto"/>
        <w:bottom w:val="none" w:sz="0" w:space="0" w:color="auto"/>
        <w:right w:val="none" w:sz="0" w:space="0" w:color="auto"/>
      </w:divBdr>
    </w:div>
    <w:div w:id="1267925477">
      <w:bodyDiv w:val="1"/>
      <w:marLeft w:val="0"/>
      <w:marRight w:val="0"/>
      <w:marTop w:val="0"/>
      <w:marBottom w:val="0"/>
      <w:divBdr>
        <w:top w:val="none" w:sz="0" w:space="0" w:color="auto"/>
        <w:left w:val="none" w:sz="0" w:space="0" w:color="auto"/>
        <w:bottom w:val="none" w:sz="0" w:space="0" w:color="auto"/>
        <w:right w:val="none" w:sz="0" w:space="0" w:color="auto"/>
      </w:divBdr>
    </w:div>
    <w:div w:id="192422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13</Pages>
  <Words>1112</Words>
  <Characters>7686</Characters>
  <Application>Microsoft Office Word</Application>
  <DocSecurity>0</DocSecurity>
  <Lines>114</Lines>
  <Paragraphs>12</Paragraphs>
  <ScaleCrop>false</ScaleCrop>
  <HeadingPairs>
    <vt:vector size="2" baseType="variant">
      <vt:variant>
        <vt:lpstr>Title</vt:lpstr>
      </vt:variant>
      <vt:variant>
        <vt:i4>1</vt:i4>
      </vt:variant>
    </vt:vector>
  </HeadingPairs>
  <TitlesOfParts>
    <vt:vector size="1" baseType="lpstr">
      <vt:lpstr/>
    </vt:vector>
  </TitlesOfParts>
  <Company>The Wistar Institute</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Patterson</dc:creator>
  <cp:keywords/>
  <dc:description/>
  <cp:lastModifiedBy>Noam Auslander</cp:lastModifiedBy>
  <cp:revision>158</cp:revision>
  <cp:lastPrinted>2026-03-06T20:53:00Z</cp:lastPrinted>
  <dcterms:created xsi:type="dcterms:W3CDTF">2026-03-06T20:53:00Z</dcterms:created>
  <dcterms:modified xsi:type="dcterms:W3CDTF">2026-09-01T15:09:00Z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id="G4lOhPMe"/&gt;&lt;style id="http://www.zotero.org/styles/nature" hasBibliography="1" bibliographyStyleHasBeenSet="1"/&gt;&lt;prefs&gt;&lt;pref name="fieldType" value="Field"/&gt;&lt;/prefs&gt;&lt;/data&gt;</vt:lpwstr>
  </property>
</Properties>
</file>