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6F1E" w:rsidRPr="00B66F1E" w:rsidRDefault="00B66F1E" w:rsidP="00B66F1E">
      <w:pPr>
        <w:keepNext/>
        <w:keepLines/>
        <w:spacing w:after="200" w:line="276" w:lineRule="auto"/>
        <w:jc w:val="both"/>
        <w:rPr>
          <w:rFonts w:ascii="Arial" w:eastAsia="Arial" w:hAnsi="Arial" w:cs="Arial"/>
          <w:color w:val="666666"/>
          <w:sz w:val="30"/>
          <w:szCs w:val="30"/>
          <w:lang w:val="ca" w:eastAsia="ca-ES"/>
        </w:rPr>
      </w:pPr>
      <w:r w:rsidRPr="00B66F1E">
        <w:rPr>
          <w:rFonts w:ascii="Arial" w:eastAsia="Arial" w:hAnsi="Arial" w:cs="Arial"/>
          <w:color w:val="666666"/>
          <w:sz w:val="30"/>
          <w:szCs w:val="30"/>
          <w:lang w:val="ca" w:eastAsia="ca-ES"/>
        </w:rPr>
        <w:t>Supplementary Information</w:t>
      </w:r>
    </w:p>
    <w:p w:rsidR="00B66F1E" w:rsidRPr="00B66F1E" w:rsidRDefault="00B66F1E" w:rsidP="00B66F1E">
      <w:pPr>
        <w:keepNext/>
        <w:keepLines/>
        <w:spacing w:after="200" w:line="360" w:lineRule="auto"/>
        <w:jc w:val="both"/>
        <w:rPr>
          <w:rFonts w:ascii="Arial" w:eastAsia="Arial" w:hAnsi="Arial" w:cs="Arial"/>
          <w:color w:val="000000"/>
          <w:sz w:val="28"/>
          <w:szCs w:val="28"/>
          <w:lang w:val="ca" w:eastAsia="ca-ES"/>
        </w:rPr>
      </w:pPr>
      <w:bookmarkStart w:id="0" w:name="_4x47c6lqtdr7" w:colFirst="0" w:colLast="0"/>
      <w:bookmarkEnd w:id="0"/>
      <w:r w:rsidRPr="00B66F1E">
        <w:rPr>
          <w:rFonts w:ascii="Arial" w:eastAsia="Arial" w:hAnsi="Arial" w:cs="Arial"/>
          <w:color w:val="000000"/>
          <w:sz w:val="28"/>
          <w:szCs w:val="28"/>
          <w:lang w:val="ca" w:eastAsia="ca-ES"/>
        </w:rPr>
        <w:t>Non-invasive genomic sampling uncovers nove</w:t>
      </w:r>
      <w:bookmarkStart w:id="1" w:name="_GoBack"/>
      <w:bookmarkEnd w:id="1"/>
      <w:r w:rsidRPr="00B66F1E">
        <w:rPr>
          <w:rFonts w:ascii="Arial" w:eastAsia="Arial" w:hAnsi="Arial" w:cs="Arial"/>
          <w:color w:val="000000"/>
          <w:sz w:val="28"/>
          <w:szCs w:val="28"/>
          <w:lang w:val="ca" w:eastAsia="ca-ES"/>
        </w:rPr>
        <w:t>l connectivities and origins of confiscated gorillas</w:t>
      </w:r>
    </w:p>
    <w:p w:rsidR="00B66F1E" w:rsidRPr="00B66F1E" w:rsidRDefault="00B66F1E" w:rsidP="00B66F1E">
      <w:pPr>
        <w:keepNext/>
        <w:keepLines/>
        <w:spacing w:after="200" w:line="276" w:lineRule="auto"/>
        <w:jc w:val="both"/>
        <w:rPr>
          <w:rFonts w:ascii="Arial" w:eastAsia="Arial" w:hAnsi="Arial" w:cs="Arial"/>
          <w:sz w:val="30"/>
          <w:szCs w:val="30"/>
          <w:lang w:val="ca" w:eastAsia="ca-ES"/>
        </w:rPr>
      </w:pPr>
      <w:bookmarkStart w:id="2" w:name="_sphpm7atiy7f" w:colFirst="0" w:colLast="0"/>
      <w:bookmarkEnd w:id="2"/>
      <w:r w:rsidRPr="00B66F1E">
        <w:rPr>
          <w:rFonts w:ascii="Arial" w:eastAsia="Arial" w:hAnsi="Arial" w:cs="Arial"/>
          <w:color w:val="666666"/>
          <w:sz w:val="30"/>
          <w:szCs w:val="30"/>
          <w:lang w:val="ca" w:eastAsia="ca-ES"/>
        </w:rPr>
        <w:t>Sections</w:t>
      </w:r>
    </w:p>
    <w:sdt>
      <w:sdtPr>
        <w:rPr>
          <w:rFonts w:ascii="Arial" w:eastAsia="Arial" w:hAnsi="Arial" w:cs="Arial"/>
          <w:lang w:val="ca" w:eastAsia="ca-ES"/>
        </w:rPr>
        <w:id w:val="-1378456345"/>
        <w:docPartObj>
          <w:docPartGallery w:val="Table of Contents"/>
          <w:docPartUnique/>
        </w:docPartObj>
      </w:sdtPr>
      <w:sdtContent>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r w:rsidRPr="00B66F1E">
            <w:rPr>
              <w:rFonts w:ascii="Arial" w:eastAsia="Arial" w:hAnsi="Arial" w:cs="Arial"/>
              <w:noProof/>
              <w:lang w:val="ca" w:eastAsia="ca-ES"/>
            </w:rPr>
            <w:fldChar w:fldCharType="begin"/>
          </w:r>
          <w:r w:rsidRPr="00B66F1E">
            <w:rPr>
              <w:rFonts w:ascii="Arial" w:eastAsia="Arial" w:hAnsi="Arial" w:cs="Arial"/>
              <w:noProof/>
              <w:lang w:val="ca" w:eastAsia="ca-ES"/>
            </w:rPr>
            <w:instrText xml:space="preserve"> TOC \h \u \z \t "Heading 1,1,Heading 2,2,Heading 3,3,Heading 4,4,Heading 5,5,Heading 6,6,"</w:instrText>
          </w:r>
          <w:r w:rsidRPr="00B66F1E">
            <w:rPr>
              <w:rFonts w:ascii="Arial" w:eastAsia="Arial" w:hAnsi="Arial" w:cs="Arial"/>
              <w:noProof/>
              <w:lang w:val="ca" w:eastAsia="ca-ES"/>
            </w:rPr>
            <w:fldChar w:fldCharType="separate"/>
          </w:r>
          <w:hyperlink w:anchor="_Toc234923638" w:history="1">
            <w:r w:rsidRPr="00B66F1E">
              <w:rPr>
                <w:rFonts w:ascii="Arial" w:eastAsia="Arial" w:hAnsi="Arial" w:cs="Arial"/>
                <w:noProof/>
                <w:lang w:val="ca" w:eastAsia="ca-ES"/>
              </w:rPr>
              <w:t>1. Sample collection and data generation</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_Toc234923638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39" w:history="1">
            <w:r w:rsidRPr="00B66F1E">
              <w:rPr>
                <w:rFonts w:ascii="Arial" w:eastAsia="Arial" w:hAnsi="Arial" w:cs="Arial"/>
                <w:noProof/>
                <w:lang w:val="ca" w:eastAsia="ca-ES"/>
              </w:rPr>
              <w:t>Sample collection</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_Toc234923639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40" w:history="1">
            <w:r w:rsidRPr="00B66F1E">
              <w:rPr>
                <w:rFonts w:ascii="Arial" w:eastAsia="Arial" w:hAnsi="Arial" w:cs="Arial"/>
                <w:noProof/>
                <w:lang w:val="ca" w:eastAsia="ca-ES"/>
              </w:rPr>
              <w:t>1.1 Capture protocol</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_Toc234923640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41" w:history="1">
            <w:r w:rsidRPr="00B66F1E">
              <w:rPr>
                <w:rFonts w:ascii="Arial" w:eastAsia="Arial" w:hAnsi="Arial" w:cs="Arial"/>
                <w:noProof/>
                <w:lang w:val="ca" w:eastAsia="ca-ES"/>
              </w:rPr>
              <w:t>Endogenous DNA</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_Toc234923641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7</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42" w:history="1">
            <w:r w:rsidRPr="00B66F1E">
              <w:rPr>
                <w:rFonts w:ascii="Arial" w:eastAsia="Arial" w:hAnsi="Arial" w:cs="Arial"/>
                <w:noProof/>
                <w:lang w:val="ca" w:eastAsia="ca-ES"/>
              </w:rPr>
              <w:t>1.2 Assessment of the performance of the target capture hybridisation</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_Toc234923642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8</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43" w:history="1">
            <w:r w:rsidRPr="00B66F1E">
              <w:rPr>
                <w:rFonts w:ascii="Arial" w:eastAsia="Arial" w:hAnsi="Arial" w:cs="Arial"/>
                <w:noProof/>
                <w:lang w:val="ca" w:eastAsia="ca-ES"/>
              </w:rPr>
              <w:t>Summary metrics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_Toc234923643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8</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44" w:history="1">
            <w:r w:rsidRPr="00B66F1E">
              <w:rPr>
                <w:rFonts w:ascii="Arial" w:eastAsia="Arial" w:hAnsi="Arial" w:cs="Arial"/>
                <w:noProof/>
                <w:lang w:val="ca" w:eastAsia="ca-ES"/>
              </w:rPr>
              <w:t>Enrichment factor</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_Toc234923644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11</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45" w:history="1">
            <w:r w:rsidRPr="00B66F1E">
              <w:rPr>
                <w:rFonts w:ascii="Arial" w:eastAsia="Arial" w:hAnsi="Arial" w:cs="Arial"/>
                <w:noProof/>
                <w:lang w:val="ca" w:eastAsia="ca-ES"/>
              </w:rPr>
              <w:t>Library complexity</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_Toc234923645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46" w:history="1">
            <w:r w:rsidRPr="00B66F1E">
              <w:rPr>
                <w:rFonts w:ascii="Arial" w:eastAsia="Arial" w:hAnsi="Arial" w:cs="Arial"/>
                <w:noProof/>
                <w:lang w:val="ca" w:eastAsia="ca-ES"/>
              </w:rPr>
              <w:t>Specificity</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_Toc234923646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15</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47" w:history="1">
            <w:r w:rsidRPr="00B66F1E">
              <w:rPr>
                <w:rFonts w:ascii="Arial" w:eastAsia="Arial" w:hAnsi="Arial" w:cs="Arial"/>
                <w:noProof/>
                <w:lang w:val="ca" w:eastAsia="ca-ES"/>
              </w:rPr>
              <w:t>Sensitivity</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_Toc234923647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16</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hyperlink w:anchor="_Toc234923648" w:history="1">
            <w:r w:rsidRPr="00B66F1E">
              <w:rPr>
                <w:rFonts w:ascii="Arial" w:eastAsia="Arial" w:hAnsi="Arial" w:cs="Arial"/>
                <w:noProof/>
                <w:lang w:val="ca" w:eastAsia="ca-ES"/>
              </w:rPr>
              <w:t>2. Quality control</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_Toc234923648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18</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49" w:history="1">
            <w:r w:rsidRPr="00B66F1E">
              <w:rPr>
                <w:rFonts w:ascii="Arial" w:eastAsia="Arial" w:hAnsi="Arial" w:cs="Arial"/>
                <w:noProof/>
                <w:lang w:val="ca" w:eastAsia="ca-ES"/>
              </w:rPr>
              <w:t>2.1 Coverage and human contamination</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_Toc234923649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18</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0" w:history="1">
            <w:r w:rsidRPr="00B66F1E">
              <w:rPr>
                <w:rFonts w:ascii="Arial" w:eastAsia="Arial" w:hAnsi="Arial" w:cs="Arial"/>
                <w:noProof/>
                <w:lang w:val="ca" w:eastAsia="ca-ES"/>
              </w:rPr>
              <w:t>Chromosome 21 depth of coverage</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_Toc234923650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18</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1" w:history="1">
            <w:r w:rsidRPr="00B66F1E">
              <w:rPr>
                <w:rFonts w:ascii="Arial" w:eastAsia="Arial" w:hAnsi="Arial" w:cs="Arial"/>
                <w:noProof/>
                <w:lang w:val="ca" w:eastAsia="ca-ES"/>
              </w:rPr>
              <w:t>Human contamination</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_Toc234923651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19</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2" w:history="1">
            <w:r w:rsidRPr="00B66F1E">
              <w:rPr>
                <w:rFonts w:ascii="Arial" w:eastAsia="Arial" w:hAnsi="Arial" w:cs="Arial"/>
                <w:noProof/>
                <w:lang w:val="ca" w:eastAsia="ca-ES"/>
              </w:rPr>
              <w:t>Exome depth of coverage</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_Toc234923652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20</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53" w:history="1">
            <w:r w:rsidRPr="00B66F1E">
              <w:rPr>
                <w:rFonts w:ascii="Arial" w:eastAsia="Arial" w:hAnsi="Arial" w:cs="Arial"/>
                <w:noProof/>
                <w:lang w:val="ca" w:eastAsia="ca-ES"/>
              </w:rPr>
              <w:t>2.2 Damage Patterns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_Toc234923653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21</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54" w:history="1">
            <w:r w:rsidRPr="00B66F1E">
              <w:rPr>
                <w:rFonts w:ascii="Arial" w:eastAsia="Arial" w:hAnsi="Arial" w:cs="Arial"/>
                <w:noProof/>
                <w:lang w:val="ca" w:eastAsia="ca-ES"/>
              </w:rPr>
              <w:t>2.3 Relatedness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_Toc234923654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5" w:history="1">
            <w:r w:rsidRPr="00B66F1E">
              <w:rPr>
                <w:rFonts w:ascii="Arial" w:eastAsia="Arial" w:hAnsi="Arial" w:cs="Arial"/>
                <w:noProof/>
                <w:lang w:val="ca" w:eastAsia="ca-ES"/>
              </w:rPr>
              <w:t>Cross River gorillas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_Toc234923655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24</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6" w:history="1">
            <w:r w:rsidRPr="00B66F1E">
              <w:rPr>
                <w:rFonts w:ascii="Arial" w:eastAsia="Arial" w:hAnsi="Arial" w:cs="Arial"/>
                <w:noProof/>
                <w:lang w:val="ca" w:eastAsia="ca-ES"/>
              </w:rPr>
              <w:t>Eastern lowland gorillas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_Toc234923656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24</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7" w:history="1">
            <w:r w:rsidRPr="00B66F1E">
              <w:rPr>
                <w:rFonts w:ascii="Arial" w:eastAsia="Arial" w:hAnsi="Arial" w:cs="Arial"/>
                <w:noProof/>
                <w:lang w:val="ca" w:eastAsia="ca-ES"/>
              </w:rPr>
              <w:t>Mountain gorillas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_Toc234923657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25</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58" w:history="1">
            <w:r w:rsidRPr="00B66F1E">
              <w:rPr>
                <w:rFonts w:ascii="Arial" w:eastAsia="Arial" w:hAnsi="Arial" w:cs="Arial"/>
                <w:noProof/>
                <w:lang w:val="ca" w:eastAsia="ca-ES"/>
              </w:rPr>
              <w:t>Western lowland gorillas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_Toc234923658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26</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59" w:history="1">
            <w:r w:rsidRPr="00B66F1E">
              <w:rPr>
                <w:rFonts w:ascii="Arial" w:eastAsia="Arial" w:hAnsi="Arial" w:cs="Arial"/>
                <w:noProof/>
                <w:lang w:val="ca" w:eastAsia="ca-ES"/>
              </w:rPr>
              <w:t>2.4 Variant calling metrics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_Toc234923659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28</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hyperlink w:anchor="_Toc234923660" w:history="1">
            <w:r w:rsidRPr="00B66F1E">
              <w:rPr>
                <w:rFonts w:ascii="Arial" w:eastAsia="Arial" w:hAnsi="Arial" w:cs="Arial"/>
                <w:noProof/>
                <w:lang w:val="ca" w:eastAsia="ca-ES"/>
              </w:rPr>
              <w:t>3. Population structure</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_Toc234923660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29</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1" w:history="1">
            <w:r w:rsidRPr="00B66F1E">
              <w:rPr>
                <w:rFonts w:ascii="Arial" w:eastAsia="Arial" w:hAnsi="Arial" w:cs="Arial"/>
                <w:noProof/>
                <w:lang w:val="ca" w:eastAsia="ca-ES"/>
              </w:rPr>
              <w:t>3.1. Principal component analysis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_Toc234923661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29</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2" w:history="1">
            <w:r w:rsidRPr="00B66F1E">
              <w:rPr>
                <w:rFonts w:ascii="Arial" w:eastAsia="Arial" w:hAnsi="Arial" w:cs="Arial"/>
                <w:noProof/>
                <w:lang w:val="ca" w:eastAsia="ca-ES"/>
              </w:rPr>
              <w:t>3.2. Admixture</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_Toc234923662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39</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3" w:history="1">
            <w:r w:rsidRPr="00B66F1E">
              <w:rPr>
                <w:rFonts w:ascii="Arial" w:eastAsia="Arial" w:hAnsi="Arial" w:cs="Arial"/>
                <w:noProof/>
                <w:lang w:val="ca" w:eastAsia="ca-ES"/>
              </w:rPr>
              <w:t>3.3. Heterozygosity</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_Toc234923663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43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4" w:history="1">
            <w:r w:rsidRPr="00B66F1E">
              <w:rPr>
                <w:rFonts w:ascii="Arial" w:eastAsia="Arial" w:hAnsi="Arial" w:cs="Arial"/>
                <w:noProof/>
                <w:lang w:val="ca" w:eastAsia="ca-ES"/>
              </w:rPr>
              <w:t>3.4 FST</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_Toc234923664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51</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hyperlink w:anchor="_Toc234923665" w:history="1">
            <w:r w:rsidRPr="00B66F1E">
              <w:rPr>
                <w:rFonts w:ascii="Arial" w:eastAsia="Arial" w:hAnsi="Arial" w:cs="Arial"/>
                <w:noProof/>
                <w:lang w:val="ca" w:eastAsia="ca-ES"/>
              </w:rPr>
              <w:t>4. Population connectivity and gene flow</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_Toc234923665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55</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6" w:history="1">
            <w:r w:rsidRPr="00B66F1E">
              <w:rPr>
                <w:rFonts w:ascii="Arial" w:eastAsia="Arial" w:hAnsi="Arial" w:cs="Arial"/>
                <w:noProof/>
                <w:lang w:val="ca" w:eastAsia="ca-ES"/>
              </w:rPr>
              <w:t>4.1 D statistics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_Toc234923666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56</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7" w:history="1">
            <w:r w:rsidRPr="00B66F1E">
              <w:rPr>
                <w:rFonts w:ascii="Arial" w:eastAsia="Arial" w:hAnsi="Arial" w:cs="Arial"/>
                <w:noProof/>
                <w:lang w:val="ca" w:eastAsia="ca-ES"/>
              </w:rPr>
              <w:t>4.2 Fragments of shared ancestry</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_Toc234923667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56</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220"/>
            <w:rPr>
              <w:rFonts w:ascii="Cambria" w:eastAsia="Times New Roman" w:hAnsi="Cambria" w:cs="Times New Roman"/>
              <w:noProof/>
              <w:kern w:val="2"/>
              <w:sz w:val="24"/>
              <w:szCs w:val="24"/>
              <w:lang w:val="ca" w:eastAsia="en-GB"/>
              <w14:ligatures w14:val="standardContextual"/>
            </w:rPr>
          </w:pPr>
          <w:hyperlink w:anchor="_Toc234923668" w:history="1">
            <w:r w:rsidRPr="00B66F1E">
              <w:rPr>
                <w:rFonts w:ascii="Arial" w:eastAsia="Arial" w:hAnsi="Arial" w:cs="Arial"/>
                <w:noProof/>
                <w:lang w:val="ca" w:eastAsia="ca-ES"/>
              </w:rPr>
              <w:t>4.3 EEMS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_Toc234923668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62</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hyperlink w:anchor="_Toc234923669" w:history="1">
            <w:r w:rsidRPr="00B66F1E">
              <w:rPr>
                <w:rFonts w:ascii="Arial" w:eastAsia="Arial" w:hAnsi="Arial" w:cs="Arial"/>
                <w:noProof/>
                <w:lang w:val="ca" w:eastAsia="ca-ES"/>
              </w:rPr>
              <w:t>5. Geolocalisation</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_Toc234923669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65</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0" w:history="1">
            <w:r w:rsidRPr="00B66F1E">
              <w:rPr>
                <w:rFonts w:ascii="Arial" w:eastAsia="Arial" w:hAnsi="Arial" w:cs="Arial"/>
                <w:noProof/>
                <w:lang w:val="ca" w:eastAsia="ca-ES"/>
              </w:rPr>
              <w:t>Locator</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_Toc234923670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65</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1" w:history="1">
            <w:r w:rsidRPr="00B66F1E">
              <w:rPr>
                <w:rFonts w:ascii="Arial" w:eastAsia="Arial" w:hAnsi="Arial" w:cs="Arial"/>
                <w:noProof/>
                <w:lang w:val="ca" w:eastAsia="ca-ES"/>
              </w:rPr>
              <w:t>PCA points distances: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_Toc234923671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67</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2" w:history="1">
            <w:r w:rsidRPr="00B66F1E">
              <w:rPr>
                <w:rFonts w:ascii="Arial" w:eastAsia="Arial" w:hAnsi="Arial" w:cs="Arial"/>
                <w:noProof/>
                <w:lang w:val="ca" w:eastAsia="ca-ES"/>
              </w:rPr>
              <w:t>Comparison between methods: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_Toc234923672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67</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3" w:history="1">
            <w:r w:rsidRPr="00B66F1E">
              <w:rPr>
                <w:rFonts w:ascii="Arial" w:eastAsia="Arial" w:hAnsi="Arial" w:cs="Arial"/>
                <w:noProof/>
                <w:lang w:val="ca" w:eastAsia="ca-ES"/>
              </w:rPr>
              <w:t>Public genomes, FTA and museum samples geographic predictions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_Toc234923673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69</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4" w:history="1">
            <w:r w:rsidRPr="00B66F1E">
              <w:rPr>
                <w:rFonts w:ascii="Arial" w:eastAsia="Arial" w:hAnsi="Arial" w:cs="Arial"/>
                <w:noProof/>
                <w:lang w:val="ca" w:eastAsia="ca-ES"/>
              </w:rPr>
              <w:t>WLG FTA and Museum samples: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_Toc234923674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72</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5" w:history="1">
            <w:r w:rsidRPr="00B66F1E">
              <w:rPr>
                <w:rFonts w:ascii="Arial" w:eastAsia="Arial" w:hAnsi="Arial" w:cs="Arial"/>
                <w:noProof/>
                <w:lang w:val="ca" w:eastAsia="ca-ES"/>
              </w:rPr>
              <w:t>ELG Museum samples: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_Toc234923675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73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ind w:left="440"/>
            <w:rPr>
              <w:rFonts w:ascii="Cambria" w:eastAsia="Times New Roman" w:hAnsi="Cambria" w:cs="Times New Roman"/>
              <w:noProof/>
              <w:kern w:val="2"/>
              <w:sz w:val="24"/>
              <w:szCs w:val="24"/>
              <w:lang w:val="ca" w:eastAsia="en-GB"/>
              <w14:ligatures w14:val="standardContextual"/>
            </w:rPr>
          </w:pPr>
          <w:hyperlink w:anchor="_Toc234923676" w:history="1">
            <w:r w:rsidRPr="00B66F1E">
              <w:rPr>
                <w:rFonts w:ascii="Arial" w:eastAsia="Arial" w:hAnsi="Arial" w:cs="Arial"/>
                <w:noProof/>
                <w:lang w:val="ca" w:eastAsia="ca-ES"/>
              </w:rPr>
              <w:t>CRG Museum sample:</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_Toc234923676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73</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hyperlink w:anchor="_Toc234923677" w:history="1">
            <w:r w:rsidRPr="00B66F1E">
              <w:rPr>
                <w:rFonts w:ascii="Arial" w:eastAsia="Arial" w:hAnsi="Arial" w:cs="Arial"/>
                <w:noProof/>
                <w:lang w:val="ca" w:eastAsia="ca-ES"/>
              </w:rPr>
              <w:t>6. X:autosome heterozygosity in coding regions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_Toc234923677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75</w:t>
            </w:r>
            <w:r w:rsidRPr="00B66F1E">
              <w:rPr>
                <w:rFonts w:ascii="Arial" w:eastAsia="Arial" w:hAnsi="Arial" w:cs="Arial"/>
                <w:noProof/>
                <w:webHidden/>
                <w:lang w:val="ca" w:eastAsia="ca-ES"/>
              </w:rPr>
              <w:fldChar w:fldCharType="end"/>
            </w:r>
          </w:hyperlink>
        </w:p>
        <w:p w:rsidR="00B66F1E" w:rsidRPr="00B66F1E" w:rsidRDefault="00B66F1E" w:rsidP="00B66F1E">
          <w:pPr>
            <w:tabs>
              <w:tab w:val="right" w:pos="9019"/>
            </w:tabs>
            <w:spacing w:after="100" w:line="276" w:lineRule="auto"/>
            <w:rPr>
              <w:rFonts w:ascii="Cambria" w:eastAsia="Times New Roman" w:hAnsi="Cambria" w:cs="Times New Roman"/>
              <w:noProof/>
              <w:kern w:val="2"/>
              <w:sz w:val="24"/>
              <w:szCs w:val="24"/>
              <w:lang w:val="ca" w:eastAsia="en-GB"/>
              <w14:ligatures w14:val="standardContextual"/>
            </w:rPr>
          </w:pPr>
          <w:hyperlink w:anchor="_Toc234923678" w:history="1">
            <w:r w:rsidRPr="00B66F1E">
              <w:rPr>
                <w:rFonts w:ascii="Arial" w:eastAsia="Arial" w:hAnsi="Arial" w:cs="Arial"/>
                <w:noProof/>
                <w:lang w:val="ca" w:eastAsia="ca-ES"/>
              </w:rPr>
              <w:t>References</w:t>
            </w:r>
            <w:r w:rsidRPr="00B66F1E">
              <w:rPr>
                <w:rFonts w:ascii="Arial" w:eastAsia="Arial" w:hAnsi="Arial" w:cs="Arial"/>
                <w:noProof/>
                <w:webHidden/>
                <w:lang w:val="ca" w:eastAsia="ca-ES"/>
              </w:rPr>
              <w:tab/>
            </w:r>
            <w:r w:rsidRPr="00B66F1E">
              <w:rPr>
                <w:rFonts w:ascii="Arial" w:eastAsia="Arial" w:hAnsi="Arial" w:cs="Arial"/>
                <w:noProof/>
                <w:webHidden/>
                <w:lang w:val="ca" w:eastAsia="ca-ES"/>
              </w:rPr>
              <w:fldChar w:fldCharType="begin"/>
            </w:r>
            <w:r w:rsidRPr="00B66F1E">
              <w:rPr>
                <w:rFonts w:ascii="Arial" w:eastAsia="Arial" w:hAnsi="Arial" w:cs="Arial"/>
                <w:noProof/>
                <w:webHidden/>
                <w:lang w:val="ca" w:eastAsia="ca-ES"/>
              </w:rPr>
              <w:instrText xml:space="preserve"> PAGEREF _Toc234923678 \h </w:instrText>
            </w:r>
            <w:r w:rsidRPr="00B66F1E">
              <w:rPr>
                <w:rFonts w:ascii="Arial" w:eastAsia="Arial" w:hAnsi="Arial" w:cs="Arial"/>
                <w:noProof/>
                <w:webHidden/>
                <w:lang w:val="ca" w:eastAsia="ca-ES"/>
              </w:rPr>
            </w:r>
            <w:r w:rsidRPr="00B66F1E">
              <w:rPr>
                <w:rFonts w:ascii="Arial" w:eastAsia="Arial" w:hAnsi="Arial" w:cs="Arial"/>
                <w:noProof/>
                <w:webHidden/>
                <w:lang w:val="ca" w:eastAsia="ca-ES"/>
              </w:rPr>
              <w:fldChar w:fldCharType="separate"/>
            </w:r>
            <w:r w:rsidRPr="00B66F1E">
              <w:rPr>
                <w:rFonts w:ascii="Arial" w:eastAsia="Arial" w:hAnsi="Arial" w:cs="Arial"/>
                <w:noProof/>
                <w:webHidden/>
                <w:lang w:val="ca" w:eastAsia="ca-ES"/>
              </w:rPr>
              <w:t>77</w:t>
            </w:r>
            <w:r w:rsidRPr="00B66F1E">
              <w:rPr>
                <w:rFonts w:ascii="Arial" w:eastAsia="Arial" w:hAnsi="Arial" w:cs="Arial"/>
                <w:noProof/>
                <w:webHidden/>
                <w:lang w:val="ca" w:eastAsia="ca-ES"/>
              </w:rPr>
              <w:fldChar w:fldCharType="end"/>
            </w:r>
          </w:hyperlink>
        </w:p>
        <w:p w:rsidR="00B66F1E" w:rsidRPr="00B66F1E" w:rsidRDefault="00B66F1E" w:rsidP="00B66F1E">
          <w:pPr>
            <w:widowControl w:val="0"/>
            <w:tabs>
              <w:tab w:val="right" w:pos="9025"/>
            </w:tabs>
            <w:spacing w:before="60" w:after="0" w:line="240" w:lineRule="auto"/>
            <w:rPr>
              <w:rFonts w:ascii="Arial" w:eastAsia="Arial" w:hAnsi="Arial" w:cs="Arial"/>
              <w:b/>
              <w:color w:val="000000"/>
              <w:lang w:val="ca" w:eastAsia="ca-ES"/>
            </w:rPr>
          </w:pPr>
          <w:r w:rsidRPr="00B66F1E">
            <w:rPr>
              <w:rFonts w:ascii="Arial" w:eastAsia="Arial" w:hAnsi="Arial" w:cs="Arial"/>
              <w:lang w:val="ca" w:eastAsia="ca-ES"/>
            </w:rPr>
            <w:fldChar w:fldCharType="end"/>
          </w:r>
        </w:p>
      </w:sdtContent>
    </w:sdt>
    <w:p w:rsidR="00B66F1E" w:rsidRPr="00B66F1E" w:rsidRDefault="00B66F1E" w:rsidP="00B66F1E">
      <w:pPr>
        <w:spacing w:after="200" w:line="276" w:lineRule="auto"/>
        <w:jc w:val="both"/>
        <w:rPr>
          <w:rFonts w:ascii="Arial" w:eastAsia="Arial" w:hAnsi="Arial" w:cs="Arial"/>
          <w:b/>
          <w:lang w:val="ca" w:eastAsia="ca-ES"/>
        </w:rPr>
      </w:pPr>
    </w:p>
    <w:p w:rsidR="00B66F1E" w:rsidRPr="00B66F1E" w:rsidRDefault="00B66F1E" w:rsidP="00B66F1E">
      <w:pPr>
        <w:spacing w:after="200" w:line="276" w:lineRule="auto"/>
        <w:jc w:val="both"/>
        <w:rPr>
          <w:rFonts w:ascii="Arial" w:eastAsia="Arial" w:hAnsi="Arial" w:cs="Arial"/>
          <w:b/>
          <w:lang w:val="ca" w:eastAsia="ca-ES"/>
        </w:rPr>
        <w:sectPr w:rsidR="00B66F1E" w:rsidRPr="00B66F1E">
          <w:footerReference w:type="default" r:id="rId4"/>
          <w:pgSz w:w="11909" w:h="16834"/>
          <w:pgMar w:top="1440" w:right="1440" w:bottom="1440" w:left="1440" w:header="720" w:footer="720" w:gutter="0"/>
          <w:pgNumType w:start="1"/>
          <w:cols w:space="708"/>
        </w:sectPr>
      </w:pPr>
    </w:p>
    <w:p w:rsidR="00B66F1E" w:rsidRPr="00B66F1E" w:rsidRDefault="00B66F1E" w:rsidP="00B66F1E">
      <w:pPr>
        <w:keepNext/>
        <w:keepLines/>
        <w:spacing w:before="400" w:after="200" w:line="276" w:lineRule="auto"/>
        <w:jc w:val="both"/>
        <w:outlineLvl w:val="0"/>
        <w:rPr>
          <w:rFonts w:ascii="Arial" w:eastAsia="Arial" w:hAnsi="Arial" w:cs="Arial"/>
          <w:sz w:val="40"/>
          <w:szCs w:val="40"/>
          <w:lang w:val="ca" w:eastAsia="ca-ES"/>
        </w:rPr>
      </w:pPr>
      <w:bookmarkStart w:id="3" w:name="_Toc234923638"/>
      <w:r w:rsidRPr="00B66F1E">
        <w:rPr>
          <w:rFonts w:ascii="Arial" w:eastAsia="Arial" w:hAnsi="Arial" w:cs="Arial"/>
          <w:sz w:val="40"/>
          <w:szCs w:val="40"/>
          <w:lang w:val="ca" w:eastAsia="ca-ES"/>
        </w:rPr>
        <w:lastRenderedPageBreak/>
        <w:t>1. Sample collection and data generation</w:t>
      </w:r>
      <w:bookmarkEnd w:id="3"/>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4" w:name="_Toc234923639"/>
      <w:r w:rsidRPr="00B66F1E">
        <w:rPr>
          <w:rFonts w:ascii="Arial" w:eastAsia="Arial" w:hAnsi="Arial" w:cs="Arial"/>
          <w:color w:val="434343"/>
          <w:sz w:val="28"/>
          <w:szCs w:val="28"/>
          <w:lang w:val="ca" w:eastAsia="ca-ES"/>
        </w:rPr>
        <w:t>Sample collection</w:t>
      </w:r>
      <w:bookmarkEnd w:id="4"/>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280 non-invasive samples (265 faecal samples, 15 hair samples) were sampled from 26 sampling sites across the distribution ranges of eastern lowland gorillas, mountain gorillas and western lowland gorillas. This was possible due to extensive collaboration with researchers in the field over several years. Wild gorilla samples were collected under the research umbrellas of various programs including the Pan African Programme: The Cultured Chimpanzee (PanAf: Uganda (Bwindi), Cameroon(Campo Ma'an, La belgique (Dja)), Nigeria (Mbe mountains), Republic of Congo (Conkouati, Goualougo) and Gabon ( Ivindo, Loango, Lopé, and Mts de Cristal).</w:t>
      </w:r>
      <w:r w:rsidRPr="00B66F1E">
        <w:rPr>
          <w:rFonts w:ascii="Arial" w:eastAsia="Arial" w:hAnsi="Arial" w:cs="Arial"/>
          <w:sz w:val="24"/>
          <w:szCs w:val="24"/>
          <w:highlight w:val="white"/>
          <w:lang w:val="ca" w:eastAsia="ca-ES"/>
        </w:rPr>
        <w:t xml:space="preserve"> </w:t>
      </w:r>
      <w:r w:rsidRPr="00B66F1E">
        <w:rPr>
          <w:rFonts w:ascii="Arial" w:eastAsia="Arial" w:hAnsi="Arial" w:cs="Arial"/>
          <w:lang w:val="ca" w:eastAsia="ca-ES"/>
        </w:rPr>
        <w:t xml:space="preserve">A full list of field sites is listed in Table S1, and storage conditions in Table S3. In addition, 12 western lowland gorillas were sampled using FTA cards®, which collect, stabilize and protect nucleic acids using blood drops at room temperature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{"citationID":"eVORG1Ih","properties":{"formattedCitation":"[75]","plainCitation":"[75]","noteIndex":0},"citationItems":[{"id":234,"uris":["http://zotero.org/users/local/jTutsuih/items/9V2AH4TX"],"itemData":{"id":234,"type":"article-journal","container-title":"BMC Ecology","DOI":"10.1186/1472-6785-4-4","ISSN":"1472-6785","issue":"1","journalAbbreviation":"BMC Ecol","language":"en","page":"4","source":"DOI.org (Crossref)","title":"Collecting, archiving and processing DNA from wildlife samples using FTA® databasing paper","volume":"4","author":[{"family":"Smith","given":"Lm"},{"family":"Burgoyne","given":"La"}],"issued":{"date-parts":[["2004",4,8]]}}}],"schema":"https://github.com/citation-style-language/schema/raw/master/csl-citation.json"}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[75]</w:t>
      </w:r>
      <w:r w:rsidRPr="00B66F1E">
        <w:rPr>
          <w:rFonts w:ascii="Arial" w:eastAsia="Arial" w:hAnsi="Arial" w:cs="Arial"/>
          <w:lang w:val="ca" w:eastAsia="ca-ES"/>
        </w:rPr>
        <w:fldChar w:fldCharType="end"/>
      </w:r>
      <w:r w:rsidRPr="00B66F1E">
        <w:rPr>
          <w:rFonts w:ascii="Arial" w:eastAsia="Arial" w:hAnsi="Arial" w:cs="Arial"/>
          <w:lang w:val="ca" w:eastAsia="ca-ES"/>
        </w:rPr>
        <w:t>. The FTA cards were sampled from rescued individuals; the location where the individuals were found was available. 11 tooth samples were collected from eastern and western gorilla specimens at 5 different natural history museums (Museum Koenig Bonn, Senckenberg Forschungsinstitut und Naturmuseum Frankfurt, Haus der Natur Salzburg, Museum für Naturkunde Berlin and Naturhistorisches Museum Vienna). For 9 out of the 11 museum samples, the region of origin information was available in the metadata provided by the museum collections. Specific geographic coordinates were not available for the museum or FTA card samples, unlike for the georeferenced faecal and hair samples. In total, 303 new samples were collected for this study from 28 different sampling sites (Figures S1 and S2).</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6D42A597" wp14:editId="30D77669">
            <wp:extent cx="5731200" cy="3327400"/>
            <wp:effectExtent l="0" t="0" r="0" b="0"/>
            <wp:docPr id="39"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5"/>
                    <a:srcRect/>
                    <a:stretch>
                      <a:fillRect/>
                    </a:stretch>
                  </pic:blipFill>
                  <pic:spPr>
                    <a:xfrm>
                      <a:off x="0" y="0"/>
                      <a:ext cx="5731200" cy="33274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S1. Map of the distribution ranges of the two gorilla species (A-western gorillas &amp; B-eastern gorillas). Plotted are the sampling locations for the newly sequenced non-invasive gorilla samples and the sampling locations for previously published Cross River gorillas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{"citationID":"zemHckij","properties":{"formattedCitation":"[76]","plainCitation":"[76]","noteIndex":0},"citationItems":[{"id":22,"uris":["http://zotero.org/users/local/jTutsuih/items/LAE9J37X"],"itemData":{"id":22,"type":"article-journal","abstract":"The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[76]</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xml:space="preserve"> and wild-born eastern gorillas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{"citationID":"5DfQBD0J","properties":{"formattedCitation":"[13,17]","plainCitation":"[13,17]","noteIndex":0},"citationItems":[{"id":18,"uris":["http://zotero.org/users/local/jTutsuih/items/NFZVD9TD"],"itemData":{"id":18,"type":"article-journal","abstract":"Genomes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24,"uris":["http://zotero.org/users/local/jTutsuih/items/JWVFIGH3"],"itemData":{"id":24,"type":"article-journal","abstract":"AbstractArchaic admixture has had a substantial impact on human evolution with multiple events across different clades, including from extinct hominins such as Neanderthals and Denisovans into modern humans. In great apes, archaic admixture has been identified in chimpanzees and bonobos but the possibility of such events has not been explored in other species. Here, we address this question using high-coverage whole-genome sequences from all four extant gorilla subspecies, including six newly sequenced eastern gorillas from previously unsampled geographic regions. Using approximate Bayesian computation with neural networks to model the demographic history of gorillas, we find a signature of admixture from an archaic ‘ghost’ lineage into the common ancestor of eastern gorillas but not western gorillas. We infer that up to 3% of the genome of these individuals is introgressed from an archaic lineage that diverged more than 3 million years ago from the common ancestor of all extant gorillas. This introgression event took place before the split of mountain and eastern lowland gorillas, probably more than 40 thousand years ago and may have influenced perception of bitter taste in eastern gorillas. When comparing the introgression landscapes of gorillas, humans and bonobos, we find a consistent depletion of introgressed fragments on the X chromosome across these species. However, depletion in protein-coding content is not detectable in eastern gorillas, possibly as a consequence of stronger genetic drift in this species.","container-title":"Nature Ecology &amp; Evolution","DOI":"10.1038/s41559-023-02145-2","ISSN":"2397-334X","issue":"9","journalAbbreviation":"Nat Ecol Evol","language":"en","license":"https://creativecommons.org/licenses/by/4.0","page":"1503-1514","publisher":"Springer Science and Business Media LLC","source":"Crossref","title":"Ghost admixture in eastern gorillas","volume":"7","author":[{"family":"Pawar","given":"Harvinder"},{"family":"Rymbekova","given":"Aigerim"},{"family":"Cuadros-Espinoza","given":"Sebastian"},{"family":"Huang","given":"Xin"},{"family":"De Manuel","given":"Marc"},{"family":"Van Der Valk","given":"Tom"},{"family":"Lobon","given":"Irene"},{"family":"Alvarez-Estape","given":"Marina"},{"family":"Haber","given":"Marc"},{"family":"Dolgova","given":"Olga"},{"family":"Han","given":"Sojung"},{"family":"Esteller-Cucala","given":"Paula"},{"family":"Juan","given":"David"},{"family":"Ayub","given":"Qasim"},{"family":"Bautista","given":"Ruben"},{"family":"Kelley","given":"Joanna L."},{"family":"Cornejo","given":"Omar E."},{"family":"Lao","given":"Oscar"},{"family":"Andrés","given":"Aida M."},{"family":"Guschanski","given":"Katerina"},{"family":"Ssebide","given":"Benard"},{"family":"Cranfield","given":"Mike"},{"family":"Tyler-Smith","given":"Chris"},{"family":"Xue","given":"Yali"},{"family":"Prado-Martinez","given":"Javier"},{"family":"Marques-Bonet","given":"Tomas"},{"family":"Kuhlwilm","given":"Martin"}],"issued":{"date-parts":[["2023",7,27]]}}}],"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[13,17]</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for which we extracted chromosome 21 and the exome. Filled circles indicate sites with available geographic origin information (specific coordinates), and empty circles indicate sites where rescued gorillas were found (FTA card samples). Triangles indicate sites for which all samples came from public data. Distribution ranges are coloured yellow for western gorillas and blue for eastern gorillas. Each sampling site is labelled with an identifier, and the full names are given in Tables S1 and S3. National parks are highlighted in dark colors for both gorilla species.</w:t>
      </w:r>
    </w:p>
    <w:p w:rsidR="00B66F1E" w:rsidRPr="00B66F1E" w:rsidRDefault="00B66F1E" w:rsidP="00B66F1E">
      <w:pPr>
        <w:spacing w:after="0" w:line="360"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54E66AFE" wp14:editId="26A36BBD">
            <wp:extent cx="5734050" cy="2190821"/>
            <wp:effectExtent l="0" t="0" r="0" b="0"/>
            <wp:docPr id="34"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6"/>
                    <a:srcRect b="4163"/>
                    <a:stretch>
                      <a:fillRect/>
                    </a:stretch>
                  </pic:blipFill>
                  <pic:spPr>
                    <a:xfrm>
                      <a:off x="0" y="0"/>
                      <a:ext cx="5734050" cy="2190821"/>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S2. Number of samples per site: public data and collected non-invasive samples have been used in this summary plot. Each color represents a sample type or origin of the data.</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DNA extraction and library preparation were performed for the 303 newly collected samples (explained in the methods section). Library preparation failed for 19 faecal </w:t>
      </w:r>
      <w:r w:rsidRPr="00B66F1E">
        <w:rPr>
          <w:rFonts w:ascii="Arial" w:eastAsia="Arial" w:hAnsi="Arial" w:cs="Arial"/>
          <w:lang w:val="ca" w:eastAsia="ca-ES"/>
        </w:rPr>
        <w:lastRenderedPageBreak/>
        <w:t>samples; therefore, these samples were discarded from the final dataset. One capture pool also failed and was removed from the final dataset.</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Eight samples from the Ebo forest were collected and processed following the same procedure used for the general dataset. It was only possible to extract DNA, prepare libraries and capture Chr21 and exome for four of the initial samples.</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5" w:name="_Toc234923640"/>
      <w:r w:rsidRPr="00B66F1E">
        <w:rPr>
          <w:rFonts w:ascii="Arial" w:eastAsia="Arial" w:hAnsi="Arial" w:cs="Arial"/>
          <w:sz w:val="32"/>
          <w:szCs w:val="32"/>
          <w:lang w:val="ca" w:eastAsia="ca-ES"/>
        </w:rPr>
        <w:t>1.1 Capture protocol</w:t>
      </w:r>
      <w:bookmarkEnd w:id="5"/>
    </w:p>
    <w:p w:rsidR="00B66F1E" w:rsidRPr="00B66F1E" w:rsidRDefault="00B66F1E" w:rsidP="00B66F1E">
      <w:pPr>
        <w:spacing w:after="200" w:line="360" w:lineRule="auto"/>
        <w:jc w:val="both"/>
        <w:rPr>
          <w:rFonts w:ascii="Arial" w:eastAsia="Arial" w:hAnsi="Arial" w:cs="Arial"/>
          <w:b/>
          <w:color w:val="FF0000"/>
          <w:lang w:val="ca" w:eastAsia="ca-ES"/>
        </w:rPr>
      </w:pPr>
      <w:r w:rsidRPr="00B66F1E">
        <w:rPr>
          <w:rFonts w:ascii="Arial" w:eastAsia="Arial" w:hAnsi="Arial" w:cs="Arial"/>
          <w:lang w:val="ca" w:eastAsia="ca-ES"/>
        </w:rPr>
        <w:t xml:space="preserve">The capture protocol applied here followed the methodology proposed in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{"citationID":"XpZs3bH3","properties":{"formattedCitation":"[32]","plainCitation":"[32]","noteIndex":0},"citationItems":[{"id":65,"uris":["http://zotero.org/users/local/jTutsuih/items/V3SEGAXW"],"itemData":{"id":65,"type":"article-journal","abstract":"Abstract\n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To determine the pooling strategy for capture, we quantified the endogenous DNA (host DNA, hDNA) of each sample, grouping the libraries in different pools for shallow sequencing (~3GB/pool). The percentage of endogenous DNA content is the gorilla endogenous DNA concentration divided by total DNA concentration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{"citationID":"B9MaM5K8","properties":{"formattedCitation":"[32]","plainCitation":"[32]","noteIndex":0},"citationItems":[{"id":65,"uris":["http://zotero.org/users/local/jTutsuih/items/V3SEGAXW"],"itemData":{"id":65,"type":"article-journal","abstract":"Abstract\n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Samples with less than 0.02 of endogenous DNA content were not expected to be successfully captured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{"citationID":"FlmQQYyR","properties":{"formattedCitation":"[30,32]","plainCitation":"[30,32]","noteIndex":0},"citationItems":[{"id":65,"uris":["http://zotero.org/users/local/jTutsuih/items/V3SEGAXW"],"itemData":{"id":65,"type":"article-journal","abstract":"Abstract\n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Bonet","given":"Tomas"},{"family":"Hughes","given":"David A."},{"family":"Lizano","given":"Esther"}],"issued":{"date-parts":[["2021",4]]}}},{"id":78,"uris":["http://zotero.org/users/local/jTutsuih/items/88NWS5WF"],"itemData":{"id":78,"type":"article-journal","abstract":"Abstract\n            \n              Target</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capture approach has improved over the past years, proving to be very efficient tool for selectively sequencing genetic regions of interest. These methods have also allowed the use of noninvasive samples such as faeces (characterized by their low quantity and quality of endogenous DNA) to be used in conservation genomic, evolution and population genetic studies. Here we aim to test different protocols and strategies for exome capture using the Roche SeqCap EZ Developer kit (57.5 Mb). First, we captured a complex pool of DNA libraries. Second, we assessed the influence of using more than one faecal sample, extract and/or library from the same individual, to evaluate its effect on the molecular complexity of the experiment. We validated our experiments with 18 chimpanzee faecal samples collected from two field sites as a part of the Pan African Programme: The Cultured Chimpanzee. Those two field sites are in Kibale National Park, Uganda (\n              N\n               = 9) and Loango National Park, Gabon (\n              N\n               = 9). We demonstrate that at least 16 libraries can be pooled, target enriched through hybridization, and sequenced allowing for the genotyping of 951,949 exome markers for population genetic analyses. Further, we observe that molecule richness, and thus, data acquisition, increase when using multiple libraries from the same extract or multiple extracts from the same sample. Finally, repeated captures significantly decrease the proportion of off</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target reads from 34.15% after one capture round to 7.83% after two capture rounds, supporting our conclusion that two rounds of target enrichment are advisable when using complex faecal samples.","container-title":"Molecular Ecology Resources","DOI":"10.1111/1755-0998.12728","ISSN":"1755-098X, 1755-0998","issue":"2","journalAbbreviation":"Molecular Ecology Resources","language":"en","license":"http://creativecommons.org/licenses/by-nc/4.0/","page":"319-333","source":"DOI.org (Crossref)","title":"The impact of endogenous content, replicates and pooling on genome capture from faecal samples","volume":"18","author":[{"family":"Hernandez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Rodriguez","given":"Jessica"},{"family":"Arandjelovic","given":"Mimi"},{"family":"Lester","given":"Jack"},{"family":"De Filippo","given":"Cesare"},{"family":"Weihmann","given":"Antje"},{"family":"Meyer","given":"Matthias"},{"family":"Angedakin","given":"Samuel"},{"family":"Casals","given":"Ferran"},{"family":"Navarro","given":"Arcadi"},{"family":"Vigilant","given":"Linda"},{"family":"Kühl","given":"Hjalmar S."},{"family":"Langergraber","given":"Kevin"},{"family":"Boesch","given":"Christophe"},{"family":"Hughes","given":"David"},{"family":"Marques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Bonet","given":"Tomas"}],"issued":{"date-parts":[["2018",3]]}}}],"schema":"https://github.com/citation-style-language/schema/raw/master/csl-citation.json"}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[30,32]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Still, some pools having less than 0.02 of endogenous content were captured as some samples were from interesting sampling sites where few samples had been obtained, such as Ebo forest, Maiko and Nkuba Conservation Area. Pooling was performed equi-endogenously to avoid capturing bias, where the sample with the highest endogenous DNA content included in a pool at a maximum can be double that of the library with the lowest endogenous DNA, following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{"citationID":"ZwfHLtAU","properties":{"formattedCitation":"[32]","plainCitation":"[32]","noteIndex":0},"citationItems":[{"id":65,"uris":["http://zotero.org/users/local/jTutsuih/items/V3SEGAXW"],"itemData":{"id":65,"type":"article-journal","abstract":"Abstract\n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w:t>
      </w:r>
      <w:r w:rsidRPr="00B66F1E">
        <w:rPr>
          <w:rFonts w:ascii="Arial" w:eastAsia="Arial" w:hAnsi="Arial" w:cs="Arial"/>
          <w:b/>
          <w:color w:val="FF0000"/>
          <w:lang w:val="ca" w:eastAsia="ca-ES"/>
        </w:rPr>
        <w:t xml:space="preserve"> </w:t>
      </w:r>
      <w:r w:rsidRPr="00B66F1E">
        <w:rPr>
          <w:rFonts w:ascii="Arial" w:eastAsia="Arial" w:hAnsi="Arial" w:cs="Arial"/>
          <w:lang w:val="ca" w:eastAsia="ca-ES"/>
        </w:rPr>
        <w:t xml:space="preserve">4 μg of DNA were required per pool as starting material for the target capture hybridisation as described in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{"citationID":"P8B23NAe","properties":{"formattedCitation":"[32]","plainCitation":"[32]","noteIndex":0},"citationItems":[{"id":65,"uris":["http://zotero.org/users/local/jTutsuih/items/V3SEGAXW"],"itemData":{"id":65,"type":"article-journal","abstract":"Abstract\n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We pooled 297 libraries into 21 pools (Table S2). Each pool was divided into two to capture the chromosome 21 and exome of the same samples, and subsequently subdivided into two replicates (a total of four divisions from one original pool). We performed two consecutive rounds of target capture hybridisation for all pools, as recommended by Hernandez-Rodriguez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{"citationID":"k2TQaSu7","properties":{"formattedCitation":"[30]","plainCitation":"[30]","noteIndex":0},"citationItems":[{"id":78,"uris":["http://zotero.org/users/local/jTutsuih/items/88NWS5WF"],"itemData":{"id":78,"type":"article-journal","abstract":"Abstract\n            \n              Target</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capture approach has improved over the past years, proving to be very efficient tool for selectively sequencing genetic regions of interest. These methods have also allowed the use of noninvasive samples such as faeces (characterized by their low quantity and quality of endogenous DNA) to be used in conservation genomic, evolution and population genetic studies. Here we aim to test different protocols and strategies for exome capture using the Roche SeqCap EZ Developer kit (57.5 Mb). First, we captured a complex pool of DNA libraries. Second, we assessed the influence of using more than one faecal sample, extract and/or library from the same individual, to evaluate its effect on the molecular complexity of the experiment. We validated our experiments with 18 chimpanzee faecal samples collected from two field sites as a part of the Pan African Programme: The Cultured Chimpanzee. Those two field sites are in Kibale National Park, Uganda (\n              N\n               = 9) and Loango National Park, Gabon (\n              N\n               = 9). We demonstrate that at least 16 libraries can be pooled, target enriched through hybridization, and sequenced allowing for the genotyping of 951,949 exome markers for population genetic analyses. Further, we observe that molecule richness, and thus, data acquisition, increase when using multiple libraries from the same extract or multiple extracts from the same sample. Finally, repeated captures significantly decrease the proportion of off</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target reads from 34.15% after one capture round to 7.83% after two capture rounds, supporting our conclusion that two rounds of target enrichment are advisable when using complex faecal samples.","container-title":"Molecular Ecology Resources","DOI":"10.1111/1755-0998.12728","ISSN":"1755-098X, 1755-0998","issue":"2","journalAbbreviation":"Molecular Ecology Resources","language":"en","license":"http://creativecommons.org/licenses/by-nc/4.0/","page":"319-333","source":"DOI.org (Crossref)","title":"The impact of endogenous content, replicates and pooling on genome capture from faecal samples","volume":"18","author":[{"family":"Hernandez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Rodriguez","given":"Jessica"},{"family":"Arandjelovic","given":"Mimi"},{"family":"Lester","given":"Jack"},{"family":"De Filippo","given":"Cesare"},{"family":"Weihmann","given":"Antje"},{"family":"Meyer","given":"Matthias"},{"family":"Angedakin","given":"Samuel"},{"family":"Casals","given":"Ferran"},{"family":"Navarro","given":"Arcadi"},{"family":"Vigilant","given":"Linda"},{"family":"Kühl","given":"Hjalmar S."},{"family":"Langergraber","given":"Kevin"},{"family":"Boesch","given":"Christophe"},{"family":"Hughes","given":"David"},{"family":"Marques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Bonet","given":"Tomas"}],"issued":{"date-parts":[["2018",3]]}}}],"schema":"https://github.com/citation-style-language/schema/raw/master/csl-citation.json"}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[30]</w:t>
      </w:r>
      <w:r w:rsidRPr="00B66F1E">
        <w:rPr>
          <w:rFonts w:ascii="Arial" w:eastAsia="Arial" w:hAnsi="Arial" w:cs="Arial"/>
          <w:lang w:val="ca" w:eastAsia="ca-ES"/>
        </w:rPr>
        <w:fldChar w:fldCharType="end"/>
      </w:r>
      <w:r w:rsidRPr="00B66F1E">
        <w:rPr>
          <w:rFonts w:ascii="Arial" w:eastAsia="Arial" w:hAnsi="Arial" w:cs="Arial"/>
          <w:lang w:val="ca" w:eastAsia="ca-ES"/>
        </w:rPr>
        <w:t>. 1 pool (11 libraries) failed the capture process and, in consequence, was not sequenced (this pool contained samples from Ebo forest, Maiko, Virunga and Nkuba Conservation Area).</w:t>
      </w:r>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6" w:name="_Toc234923641"/>
      <w:r w:rsidRPr="00B66F1E">
        <w:rPr>
          <w:rFonts w:ascii="Arial" w:eastAsia="Arial" w:hAnsi="Arial" w:cs="Arial"/>
          <w:color w:val="434343"/>
          <w:sz w:val="28"/>
          <w:szCs w:val="28"/>
          <w:lang w:val="ca" w:eastAsia="ca-ES"/>
        </w:rPr>
        <w:t>Endogenous DNA</w:t>
      </w:r>
      <w:bookmarkEnd w:id="6"/>
    </w:p>
    <w:p w:rsidR="00B66F1E" w:rsidRPr="00B66F1E" w:rsidRDefault="00B66F1E" w:rsidP="00B66F1E">
      <w:pPr>
        <w:spacing w:after="200" w:line="360" w:lineRule="auto"/>
        <w:jc w:val="both"/>
        <w:rPr>
          <w:rFonts w:ascii="Arial" w:eastAsia="Arial" w:hAnsi="Arial" w:cs="Arial"/>
          <w:sz w:val="20"/>
          <w:szCs w:val="20"/>
          <w:highlight w:val="yellow"/>
          <w:lang w:val="ca" w:eastAsia="ca-ES"/>
        </w:rPr>
      </w:pPr>
      <w:r w:rsidRPr="00B66F1E">
        <w:rPr>
          <w:rFonts w:ascii="Arial" w:eastAsia="Arial" w:hAnsi="Arial" w:cs="Arial"/>
          <w:lang w:val="ca" w:eastAsia="ca-ES"/>
        </w:rPr>
        <w:t xml:space="preserve">As reported in previous studies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{"citationID":"6tsrNyDn","properties":{"formattedCitation":"[30,32,76,77]","plainCitation":"[30,32,76,77]","noteIndex":0},"citationItems":[{"id":22,"uris":["http://zotero.org/users/local/jTutsuih/items/LAE9J37X"],"itemData":{"id":22,"type":"article-journal","abstract":"The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Bonet","given":"Tomas"},{"family":"Hughes","given":"David A."},{"family":"Lizano","given":"Esther"}],"issued":{"date-parts":[["2021",4]]}}},{"id":78,"uris":["http://zotero.org/users/local/jTutsuih/items/88NWS5WF"],"itemData":{"id":78,"type":"article-journal","abstract":"Abstract\n            \n              Target</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capture approach has improved over the past years, proving to be very efficient tool for selectively sequencing genetic regions of interest. These methods have also allowed the use of noninvasive samples such as faeces (characterized by their low quantity and quality of endogenous DNA) to be used in conservation genomic, evolution and population genetic studies. Here we aim to test different protocols and strategies for exome capture using the Roche SeqCap EZ Developer kit (57.5 Mb). First, we captured a complex pool of DNA libraries. Second, we assessed the influence of using more than one faecal sample, extract and/or library from the same individual, to evaluate its effect on the molecular complexity of the experiment. We validated our experiments with 18 chimpanzee faecal samples collected from two field sites as a part of the Pan African Programme: The Cultured Chimpanzee. Those two field sites are in Kibale National Park, Uganda (\n              N\n               = 9) and Loango National Park, Gabon (\n              N\n               = 9). We demonstrate that at least 16 libraries can be pooled, target enriched through hybridization, and sequenced allowing for the genotyping of 951,949 exome markers for population genetic analyses. Further, we observe that molecule richness, and thus, data acquisition, increase when using multiple libraries from the same extract or multiple extracts from the same sample. Finally, repeated captures significantly decrease the proportion of off</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target reads from 34.15% after one capture round to 7.83% after two capture rounds, supporting our conclusion that two rounds of target enrichment are advisable when using complex faecal samples.","container-title":"Molecular Ecology Resources","DOI":"10.1111/1755-0998.12728","ISSN":"1755-098X, 1755-0998","issue":"2","journalAbbreviation":"Molecular Ecology Resources","language":"en","license":"http://creativecommons.org/licenses/by-nc/4.0/","page":"319-333","source":"DOI.org (Crossref)","title":"The impact of endogenous content, replicates and pooling on genome capture from faecal samples","volume":"18","author":[{"family":"Hernandez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Rodriguez","given":"Jessica"},{"family":"Arandjelovic","given":"Mimi"},{"family":"Lester","given":"Jack"},{"family":"De Filippo","given":"Cesare"},{"family":"Weihmann","given":"Antje"},{"family":"Meyer","given":"Matthias"},{"family":"Angedakin","given":"Samuel"},{"family":"Casals","given":"Ferran"},{"family":"Navarro","given":"Arcadi"},{"family":"Vigilant","given":"Linda"},{"family":"Kühl","given":"Hjalmar S."},{"family":"Langergraber","given":"Kevin"},{"family":"Boesch","given":"Christophe"},{"family":"Hughes","given":"David"},{"family":"Marques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Bonet","given":"Tomas"}],"issued":{"date-parts":[["2018",3]]}}},{"id":236,"uris":["http://zotero.org/users/local/jTutsuih/items/GFNTZWLX"],"itemData":{"id":236,"type":"article-journal","abstract":"Hair is a prominent physiological feature of many animals that can be easily and non-invasively sampled. However, most previous studies have focused on human hair, and animal hair has not been widely used as a DNA source in genetic and evolutionary studies. Analysing the DNA quality of animal hair is more challenging than that of human hair because it varies across different species and is influenced by different storage conditions. To address this gap in our knowledge, this study systematically evaluated the DNA quality of various animal hair samples. Our findings show that lightly medullated hairs, which are typical in carnivores, yield greater amounts of DNA and have better sequencing results than highly medullated hairs, which are typical in ungulate herbivores. Furthermore, the roots and middle hair were more productive than the upper hair parts. Tanning and storage time impair DNA yield and sequencing quality and increase nucleotide damage. Moreover, for certain historical specimens and field samples, genomic DNA was more successfully obtained from hair samples than from skin samples. This study provides data and theoretical support for improving the use of animal hair in genetic research.","container-title":"Biology","DOI":"10.3390/biology14040353","ISSN":"2079-7737","issue":"4","journalAbbreviation":"Biology","language":"en","page":"353","source":"DOI.org (Crossref)","title":"Unlocking the Potential of Animal Hair Shafts for Genomic Studies: A Comprehensive Evaluation of DNA Quality","title-short":"Unlocking the Potential of Animal Hair Shafts for Genomic Studies","volume":"14","author":[{"family":"Zhou","given":"Yongheng"},{"family":"Zhang","given":"Qi"},{"family":"Gao","given":"Peng"},{"family":"Yang","given":"Shuhui"},{"family":"Xu","given":"Yanchun"}],"issued":{"date-parts":[["2025",3,28]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[30,32,76,77]</w:t>
      </w:r>
      <w:r w:rsidRPr="00B66F1E">
        <w:rPr>
          <w:rFonts w:ascii="Arial" w:eastAsia="Arial" w:hAnsi="Arial" w:cs="Arial"/>
          <w:lang w:val="ca" w:eastAsia="ca-ES"/>
        </w:rPr>
        <w:fldChar w:fldCharType="end"/>
      </w:r>
      <w:r w:rsidRPr="00B66F1E">
        <w:rPr>
          <w:rFonts w:ascii="Arial" w:eastAsia="Arial" w:hAnsi="Arial" w:cs="Arial"/>
          <w:lang w:val="ca" w:eastAsia="ca-ES"/>
        </w:rPr>
        <w:t>, we observe that hair samples have higher endogenous content than faecal samples (Figure S3).</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666906DA" wp14:editId="6638C730">
            <wp:extent cx="5731200" cy="1752600"/>
            <wp:effectExtent l="0" t="0" r="0" b="0"/>
            <wp:docPr id="2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7"/>
                    <a:srcRect/>
                    <a:stretch>
                      <a:fillRect/>
                    </a:stretch>
                  </pic:blipFill>
                  <pic:spPr>
                    <a:xfrm>
                      <a:off x="0" y="0"/>
                      <a:ext cx="5731200" cy="17526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S3. Endogenous content. A) Endogenous content per sample type (endogenous DNA is equivalent to host DNA, here hDNA). B) Endogenous content per faecal sample pool.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Chromosome 21 capture was performed using RNA baits designed by SureSelect on the chimpanzee assembly (PanTro4) and previously used in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{"citationID":"4180jy7I","properties":{"formattedCitation":"[27]","plainCitation":"[27]","noteIndex":0},"citationItems":[{"id":4,"uris":["http://zotero.org/users/local/jTutsuih/items/6HQ27HWG"],"itemData":{"id":4,"type":"article-journal","abstract":"Knowledge on the population history of endangered species is critical for conservation, but whole-genome data on chimpanzees (Pan troglodytes) is geographically sparse. Here, we produced the ﬁrst non-invasive geolocalized catalog of genomic diversity by capturing chromosome 21 from 828 non-invasive samples collected at 48 sampling sites across Africa. The four recognized subspecies show clear genetic differentiation correlating with known barriers, while previously undescribed genetic exchange suggests that these have been permeable on a local scale. We obtained a detailed reconstruction of population stratiﬁcation and ﬁne-scale patterns of isolation, migration, and connectivity, including a comprehensive picture of admixture with bonobos (Pan paniscus). Unlike humans, chimpanzees did not experience extended episodes of long-distance migrations, which might have limited cultural transmission. Finally, based on local rare variation, we implement a ﬁne-grained geolocalization approach demonstrating improved precision in determining the origin of conﬁscated chimpanzees.","container-title":"Cell Genomics","DOI":"10.1016/j.xgen.2022.100133","ISSN":"2666-979X","issue":"6","language":"en","license":"https://www.elsevier.com/tdm/userlicense/1.0/","page":"100133","publisher":"Elsevier BV","source":"Crossref","title":"Population dynamics and genetic connectivity in recent chimpanzee history","volume":"2","author":[{"family":"Fontsere","given":"Claudia"},{"family":"Kuhlwilm","given":"Martin"},{"family":"Morcillo-Suarez","given":"Carlos"},{"family":"Alvarez-Estape","given":"Marina"},{"family":"Lester","given":"Jack D."},{"family":"Gratton","given":"Paolo"},{"family":"Schmidt","given":"Joshua M."},{"family":"Dieguez","given":"Paula"},{"family":"Aebischer","given":"Thierry"},{"family":"Álvarez-Varona","given":"Paula"},{"family":"Agbor","given":"Anthony"},{"family":"Angedakin","given":"Samuel"},{"family":"Assumang","given":"Alfred K."},{"family":"Ayimisin","given":"Emmanuel A."},{"family":"Bailey","given":"Emma"},{"family":"Barubiyo","given":"Donatienne"},{"family":"Bessone","given":"Mattia"},{"family":"Carretero-Alonso","given":"Andrea"},{"family":"Chancellor","given":"Rebecca"},{"family":"Cohen","given":"Heather"},{"family":"Danquah","given":"Emmanuel"},{"family":"Deschner","given":"Tobias"},{"family":"Dunn","given":"Andrew"},{"family":"Dupain","given":"Jef"},{"family":"Egbe","given":"Villard E."},{"family":"Feliu","given":"Olga"},{"family":"Goedmakers","given":"Annemarie"},{"family":"Granjon","given":"Anne-Céline"},{"family":"Head","given":"Josephine"},{"family":"Hedwig","given":"Daniela"},{"family":"Hermans","given":"Veerle"},{"family":"Hernandez-Aguilar","given":"R. Adriana"},{"family":"Imong","given":"Inaoyom"},{"family":"Jones","given":"Sorrel"},{"family":"Junker","given":"Jessica"},{"family":"Kadam","given":"Parag"},{"family":"Kaiser","given":"Mike"},{"family":"Kambere","given":"Mbangi"},{"family":"Kambale","given":"Magloire V."},{"family":"Kalan","given":"Ammie K."},{"family":"Kienast","given":"Ivonne"},{"family":"Kujirakwinja","given":"Deo"},{"family":"Langergraber","given":"Kevin"},{"family":"Lapuente","given":"Juan"},{"family":"Larson","given":"Bradley"},{"family":"Laudisoit","given":"Anne"},{"family":"Lee","given":"Kevin"},{"family":"Llana","given":"Manuel"},{"family":"Llorente","given":"Miquel"},{"family":"Marrocoli","given":"Sergio"},{"family":"Morgan","given":"David"},{"family":"Mulindahabi","given":"Felix"},{"family":"Murai","given":"Mizuki"},{"family":"Neil","given":"Emily"},{"family":"Nicholl","given":"Sonia"},{"family":"Nixon","given":"Stuart"},{"family":"Normand","given":"Emma"},{"family":"Orbell","given":"Chris"},{"family":"Ormsby","given":"Lucy J."},{"family":"Pacheco","given":"Liliana"},{"family":"Piel","given":"Alex"},{"family":"Riera","given":"Laura"},{"family":"Robbins","given":"Martha M."},{"family":"Rundus","given":"Aaron"},{"family":"Sanz","given":"Crickette"},{"family":"Sciaky","given":"Lilah"},{"family":"Sommer","given":"Volker"},{"family":"Stewart","given":"Fiona A."},{"family":"Tagg","given":"Nikki"},{"family":"Tédonzong","given":"Luc Roscelin"},{"family":"Ton","given":"Els"},{"family":"Van Schijndel","given":"Joost"},{"family":"Vergnes","given":"Virginie"},{"family":"Wessling","given":"Erin G."},{"family":"Willie","given":"Jacob"},{"family":"Wittig","given":"Roman M."},{"family":"Yuh","given":"Yisa G."},{"family":"Yurkiw","given":"Kyle"},{"family":"Zuberbuehler","given":"Klaus"},{"family":"Hecht","given":"Jochen"},{"family":"Vigilant","given":"Linda"},{"family":"Boesch","given":"Christophe"},{"family":"Andrés","given":"Aida M."},{"family":"Hughes","given":"David A."},{"family":"Kühl","given":"Hjalmar S."},{"family":"Lizano","given":"Esther"},{"family":"Arandjelovic","given":"Mimi"},{"family":"Marques-Bonet","given":"Tomas"}],"issued":{"date-parts":[["2022",6]]}}}],"schema":"https://github.com/citation-style-language/schema/raw/master/csl-citation.json"}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[27]</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The chromosome 21 total size design is 22.358 Mbp. For the exome capture, we also followed the capture protocol established in chimpanzees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{"citationID":"wrub1cKD","properties":{"formattedCitation":"[32]","plainCitation":"[32]","noteIndex":0},"citationItems":[{"id":65,"uris":["http://zotero.org/users/local/jTutsuih/items/V3SEGAXW"],"itemData":{"id":65,"type":"article-journal","abstract":"Abstract\n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but using a novel capture design for the exome RNA baits, designed by SureSelect Agilent using the panTro6 assembly with 3x tiling density, which fit into three Tier 5 custom arrays. The exome total size design is 35.70 Mbp. </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7" w:name="_Toc234923642"/>
      <w:r w:rsidRPr="00B66F1E">
        <w:rPr>
          <w:rFonts w:ascii="Arial" w:eastAsia="Arial" w:hAnsi="Arial" w:cs="Arial"/>
          <w:sz w:val="32"/>
          <w:szCs w:val="32"/>
          <w:lang w:val="ca" w:eastAsia="ca-ES"/>
        </w:rPr>
        <w:t>1.2 Assessment of the performance of the target capture hybridisation</w:t>
      </w:r>
      <w:bookmarkEnd w:id="7"/>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8" w:name="_Toc234923643"/>
      <w:r w:rsidRPr="00B66F1E">
        <w:rPr>
          <w:rFonts w:ascii="Arial" w:eastAsia="Arial" w:hAnsi="Arial" w:cs="Arial"/>
          <w:color w:val="434343"/>
          <w:sz w:val="28"/>
          <w:szCs w:val="28"/>
          <w:lang w:val="ca" w:eastAsia="ca-ES"/>
        </w:rPr>
        <w:t>Summary metrics</w:t>
      </w:r>
      <w:bookmarkEnd w:id="8"/>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Capture performance was evaluated following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{"citationID":"YS0wC7zQ","properties":{"formattedCitation":"[27]","plainCitation":"[27]","noteIndex":0},"citationItems":[{"id":4,"uris":["http://zotero.org/users/local/jTutsuih/items/6HQ27HWG"],"itemData":{"id":4,"type":"article-journal","abstract":"Knowledge on the population history of endangered species is critical for conservation, but whole-genome data on chimpanzees (Pan troglodytes) is geographically sparse. Here, we produced the ﬁrst non-invasive geolocalized catalog of genomic diversity by capturing chromosome 21 from 828 non-invasive samples collected at 48 sampling sites across Africa. The four recognized subspecies show clear genetic differentiation correlating with known barriers, while previously undescribed genetic exchange suggests that these have been permeable on a local scale. We obtained a detailed reconstruction of population stratiﬁcation and ﬁne-scale patterns of isolation, migration, and connectivity, including a comprehensive picture of admixture with bonobos (Pan paniscus). Unlike humans, chimpanzees did not experience extended episodes of long-distance migrations, which might have limited cultural transmission. Finally, based on local rare variation, we implement a ﬁne-grained geolocalization approach demonstrating improved precision in determining the origin of conﬁscated chimpanzees.","container-title":"Cell Genomics","DOI":"10.1016/j.xgen.2022.100133","ISSN":"2666-979X","issue":"6","language":"en","license":"https://www.elsevier.com/tdm/userlicense/1.0/","page":"100133","publisher":"Elsevier BV","source":"Crossref","title":"Population dynamics and genetic connectivity in recent chimpanzee history","volume":"2","author":[{"family":"Fontsere","given":"Claudia"},{"family":"Kuhlwilm","given":"Martin"},{"family":"Morcillo-Suarez","given":"Carlos"},{"family":"Alvarez-Estape","given":"Marina"},{"family":"Lester","given":"Jack D."},{"family":"Gratton","given":"Paolo"},{"family":"Schmidt","given":"Joshua M."},{"family":"Dieguez","given":"Paula"},{"family":"Aebischer","given":"Thierry"},{"family":"Álvarez-Varona","given":"Paula"},{"family":"Agbor","given":"Anthony"},{"family":"Angedakin","given":"Samuel"},{"family":"Assumang","given":"Alfred K."},{"family":"Ayimisin","given":"Emmanuel A."},{"family":"Bailey","given":"Emma"},{"family":"Barubiyo","given":"Donatienne"},{"family":"Bessone","given":"Mattia"},{"family":"Carretero-Alonso","given":"Andrea"},{"family":"Chancellor","given":"Rebecca"},{"family":"Cohen","given":"Heather"},{"family":"Danquah","given":"Emmanuel"},{"family":"Deschner","given":"Tobias"},{"family":"Dunn","given":"Andrew"},{"family":"Dupain","given":"Jef"},{"family":"Egbe","given":"Villard E."},{"family":"Feliu","given":"Olga"},{"family":"Goedmakers","given":"Annemarie"},{"family":"Granjon","given":"Anne-Céline"},{"family":"Head","given":"Josephine"},{"family":"Hedwig","given":"Daniela"},{"family":"Hermans","given":"Veerle"},{"family":"Hernandez-Aguilar","given":"R. Adriana"},{"family":"Imong","given":"Inaoyom"},{"family":"Jones","given":"Sorrel"},{"family":"Junker","given":"Jessica"},{"family":"Kadam","given":"Parag"},{"family":"Kaiser","given":"Mike"},{"family":"Kambere","given":"Mbangi"},{"family":"Kambale","given":"Magloire V."},{"family":"Kalan","given":"Ammie K."},{"family":"Kienast","given":"Ivonne"},{"family":"Kujirakwinja","given":"Deo"},{"family":"Langergraber","given":"Kevin"},{"family":"Lapuente","given":"Juan"},{"family":"Larson","given":"Bradley"},{"family":"Laudisoit","given":"Anne"},{"family":"Lee","given":"Kevin"},{"family":"Llana","given":"Manuel"},{"family":"Llorente","given":"Miquel"},{"family":"Marrocoli","given":"Sergio"},{"family":"Morgan","given":"David"},{"family":"Mulindahabi","given":"Felix"},{"family":"Murai","given":"Mizuki"},{"family":"Neil","given":"Emily"},{"family":"Nicholl","given":"Sonia"},{"family":"Nixon","given":"Stuart"},{"family":"Normand","given":"Emma"},{"family":"Orbell","given":"Chris"},{"family":"Ormsby","given":"Lucy J."},{"family":"Pacheco","given":"Liliana"},{"family":"Piel","given":"Alex"},{"family":"Riera","given":"Laura"},{"family":"Robbins","given":"Martha M."},{"family":"Rundus","given":"Aaron"},{"family":"Sanz","given":"Crickette"},{"family":"Sciaky","given":"Lilah"},{"family":"Sommer","given":"Volker"},{"family":"Stewart","given":"Fiona A."},{"family":"Tagg","given":"Nikki"},{"family":"Tédonzong","given":"Luc Roscelin"},{"family":"Ton","given":"Els"},{"family":"Van Schijndel","given":"Joost"},{"family":"Vergnes","given":"Virginie"},{"family":"Wessling","given":"Erin G."},{"family":"Willie","given":"Jacob"},{"family":"Wittig","given":"Roman M."},{"family":"Yuh","given":"Yisa G."},{"family":"Yurkiw","given":"Kyle"},{"family":"Zuberbuehler","given":"Klaus"},{"family":"Hecht","given":"Jochen"},{"family":"Vigilant","given":"Linda"},{"family":"Boesch","given":"Christophe"},{"family":"Andrés","given":"Aida M."},{"family":"Hughes","given":"David A."},{"family":"Kühl","given":"Hjalmar S."},{"family":"Lizano","given":"Esther"},{"family":"Arandjelovic","given":"Mimi"},{"family":"Marques-Bonet","given":"Tomas"}],"issued":{"date-parts":[["2022",6]]}}}],"schema":"https://github.com/citation-style-language/schema/raw/master/csl-citation.json"}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[27]</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whereby we assessed the raw reads produced at each capture against the mapped reads (including duplicates), mapped reads without duplicates, reliable reads, and the on-target reads; the following plots are separated by sequencing batch (Figures S4-S9). Downstream analysis will focus on the on-target reads. Reliable reads are the mapped reads without duplicates and filtered by not primary alignments. The on-target reads are the reliable reads which are inside the capture target space.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 see concordance between the summary metrics for chromosome 21 and the exome sequenced for the same sample.</w:t>
      </w: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2B3E6F28" wp14:editId="153B0888">
            <wp:extent cx="5731200" cy="2641600"/>
            <wp:effectExtent l="0" t="0" r="0" b="0"/>
            <wp:docPr id="1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5731200" cy="2641600"/>
                    </a:xfrm>
                    <a:prstGeom prst="rect">
                      <a:avLst/>
                    </a:prstGeom>
                    <a:ln/>
                  </pic:spPr>
                </pic:pic>
              </a:graphicData>
            </a:graphic>
          </wp:inline>
        </w:drawing>
      </w:r>
    </w:p>
    <w:p w:rsidR="00B66F1E" w:rsidRPr="00B66F1E" w:rsidRDefault="00B66F1E" w:rsidP="00B66F1E">
      <w:pPr>
        <w:spacing w:before="200"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S4. Summary metrics subproject batch 1. Summary reads per library are visualised, for chromosome 21 in panel A and for the exome in panel B. Plotted are the raw reads (grey), mapped reads with duplicates (light blue), mapped reads without duplicates (blue), reliable reads (dark blue), and on-target reads (orange). </w:t>
      </w:r>
    </w:p>
    <w:p w:rsidR="00B66F1E" w:rsidRPr="00B66F1E" w:rsidRDefault="00B66F1E" w:rsidP="00B66F1E">
      <w:pPr>
        <w:spacing w:before="200"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14C30953" wp14:editId="1949664F">
            <wp:extent cx="5731200" cy="2641600"/>
            <wp:effectExtent l="0" t="0" r="0" b="0"/>
            <wp:docPr id="10"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9"/>
                    <a:srcRect/>
                    <a:stretch>
                      <a:fillRect/>
                    </a:stretch>
                  </pic:blipFill>
                  <pic:spPr>
                    <a:xfrm>
                      <a:off x="0" y="0"/>
                      <a:ext cx="5731200" cy="26416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S5. Summary metrics subproject batch 2. Summary reads per library are visualised, for chromosome 21 in panel A and for the exome in panel B. Plotted are the raw reads (grey), mapped reads with duplicates (light blue), mapped reads without duplicates (blue), reliable reads (dark blue), and on-target reads (orange). </w:t>
      </w: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2FE69E2C" wp14:editId="3D4EBDAD">
            <wp:extent cx="5731200" cy="2641600"/>
            <wp:effectExtent l="0" t="0" r="0" b="0"/>
            <wp:docPr id="62"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0"/>
                    <a:srcRect/>
                    <a:stretch>
                      <a:fillRect/>
                    </a:stretch>
                  </pic:blipFill>
                  <pic:spPr>
                    <a:xfrm>
                      <a:off x="0" y="0"/>
                      <a:ext cx="5731200" cy="26416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S6. Summary metrics subproject batch 3. Summary reads per library are visualised, for chromosome 21 in panel A and for the exome in panel B. Plotted are the raw reads (grey), mapped reads with duplicates (light blue), mapped reads without duplicates (blue), reliable reads (dark blue), and on-target reads (orange). </w:t>
      </w: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10CF5876" wp14:editId="7D816CB2">
            <wp:extent cx="5731200" cy="2641600"/>
            <wp:effectExtent l="0" t="0" r="0" b="0"/>
            <wp:docPr id="83" name="image79.jpg"/>
            <wp:cNvGraphicFramePr/>
            <a:graphic xmlns:a="http://schemas.openxmlformats.org/drawingml/2006/main">
              <a:graphicData uri="http://schemas.openxmlformats.org/drawingml/2006/picture">
                <pic:pic xmlns:pic="http://schemas.openxmlformats.org/drawingml/2006/picture">
                  <pic:nvPicPr>
                    <pic:cNvPr id="0" name="image79.jpg"/>
                    <pic:cNvPicPr preferRelativeResize="0"/>
                  </pic:nvPicPr>
                  <pic:blipFill>
                    <a:blip r:embed="rId11"/>
                    <a:srcRect/>
                    <a:stretch>
                      <a:fillRect/>
                    </a:stretch>
                  </pic:blipFill>
                  <pic:spPr>
                    <a:xfrm>
                      <a:off x="0" y="0"/>
                      <a:ext cx="5731200" cy="26416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 Summary metrics subproject batch 4. Summary reads per library are visualised, for chromosome 21 in panel A and for the exome in panel B. Plotted are the raw reads (grey), mapped reads with duplicates (light blue), mapped reads without duplicates (blue), reliable reads (dark blue), and on-target reads (orange).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6933F3F4" wp14:editId="0922CB42">
            <wp:extent cx="5731200" cy="2641600"/>
            <wp:effectExtent l="0" t="0" r="0" b="0"/>
            <wp:docPr id="65"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12"/>
                    <a:srcRect/>
                    <a:stretch>
                      <a:fillRect/>
                    </a:stretch>
                  </pic:blipFill>
                  <pic:spPr>
                    <a:xfrm>
                      <a:off x="0" y="0"/>
                      <a:ext cx="5731200" cy="26416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 Summary metrics subproject batch 5. Summary reads per library are visualised, for chromosome 21 in panel A and for the exome in panel B. Plotted are the raw reads (grey), mapped reads with duplicates (light blue), mapped reads without duplicates (blue), reliable reads (dark blue), and on-target reads (orange).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16DC60DF" wp14:editId="1F7CFFD7">
            <wp:extent cx="5731200" cy="2641600"/>
            <wp:effectExtent l="0" t="0" r="0" b="0"/>
            <wp:docPr id="55" name="image57.jpg"/>
            <wp:cNvGraphicFramePr/>
            <a:graphic xmlns:a="http://schemas.openxmlformats.org/drawingml/2006/main">
              <a:graphicData uri="http://schemas.openxmlformats.org/drawingml/2006/picture">
                <pic:pic xmlns:pic="http://schemas.openxmlformats.org/drawingml/2006/picture">
                  <pic:nvPicPr>
                    <pic:cNvPr id="0" name="image57.jpg"/>
                    <pic:cNvPicPr preferRelativeResize="0"/>
                  </pic:nvPicPr>
                  <pic:blipFill>
                    <a:blip r:embed="rId13"/>
                    <a:srcRect/>
                    <a:stretch>
                      <a:fillRect/>
                    </a:stretch>
                  </pic:blipFill>
                  <pic:spPr>
                    <a:xfrm>
                      <a:off x="0" y="0"/>
                      <a:ext cx="5731200" cy="26416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u w:val="single"/>
          <w:lang w:val="ca" w:eastAsia="ca-ES"/>
        </w:rPr>
      </w:pPr>
      <w:r w:rsidRPr="00B66F1E">
        <w:rPr>
          <w:rFonts w:ascii="Arial" w:eastAsia="Arial" w:hAnsi="Arial" w:cs="Arial"/>
          <w:sz w:val="20"/>
          <w:szCs w:val="20"/>
          <w:lang w:val="ca" w:eastAsia="ca-ES"/>
        </w:rPr>
        <w:t xml:space="preserve">Figure S9. Summary metrics subproject batch 7 - hair samples. Summary reads per library are visualised, for chromosome 21 in panel A and for the exome in panel B. Plotted are the raw reads (grey), mapped reads with duplicates (light blue), mapped reads without duplicates (blue), reliable reads (dark blue), and on-target reads (orange). </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 xml:space="preserve">We further assessed the performance of the target capture hybridisation by calculating the enrichment factor, capture specificity, library complexity and capture sensitivity, following the definitions of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{"citationID":"qCYT0tAS","properties":{"formattedCitation":"[32]","plainCitation":"[32]","noteIndex":0},"citationItems":[{"id":65,"uris":["http://zotero.org/users/local/jTutsuih/items/V3SEGAXW"],"itemData":{"id":65,"type":"article-journal","abstract":"Abstract\n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Hernandez-Rodriguez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{"citationID":"B3OqNPVs","properties":{"formattedCitation":"[30]","plainCitation":"[30]","noteIndex":0},"citationItems":[{"id":78,"uris":["http://zotero.org/users/local/jTutsuih/items/88NWS5WF"],"itemData":{"id":78,"type":"article-journal","abstract":"Abstract\n            \n              Target</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capture approach has improved over the past years, proving to be very efficient tool for selectively sequencing genetic regions of interest. These methods have also allowed the use of noninvasive samples such as faeces (characterized by their low quantity and quality of endogenous DNA) to be used in conservation genomic, evolution and population genetic studies. Here we aim to test different protocols and strategies for exome capture using the Roche SeqCap EZ Developer kit (57.5 Mb). First, we captured a complex pool of DNA libraries. Second, we assessed the influence of using more than one faecal sample, extract and/or library from the same individual, to evaluate its effect on the molecular complexity of the experiment. We validated our experiments with 18 chimpanzee faecal samples collected from two field sites as a part of the Pan African Programme: The Cultured Chimpanzee. Those two field sites are in Kibale National Park, Uganda (\n              N\n               = 9) and Loango National Park, Gabon (\n              N\n               = 9). We demonstrate that at least 16 libraries can be pooled, target enriched through hybridization, and sequenced allowing for the genotyping of 951,949 exome markers for population genetic analyses. Further, we observe that molecule richness, and thus, data acquisition, increase when using multiple libraries from the same extract or multiple extracts from the same sample. Finally, repeated captures significantly decrease the proportion of off</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target reads from 34.15% after one capture round to 7.83% after two capture rounds, supporting our conclusion that two rounds of target enrichment are advisable when using complex faecal samples.","container-title":"Molecular Ecology Resources","DOI":"10.1111/1755-0998.12728","ISSN":"1755-098X, 1755-0998","issue":"2","journalAbbreviation":"Molecular Ecology Resources","language":"en","license":"http://creativecommons.org/licenses/by-nc/4.0/","page":"319-333","source":"DOI.org (Crossref)","title":"The impact of endogenous content, replicates and pooling on genome capture from faecal samples","volume":"18","author":[{"family":"Hernandez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Rodriguez","given":"Jessica"},{"family":"Arandjelovic","given":"Mimi"},{"family":"Lester","given":"Jack"},{"family":"De Filippo","given":"Cesare"},{"family":"Weihmann","given":"Antje"},{"family":"Meyer","given":"Matthias"},{"family":"Angedakin","given":"Samuel"},{"family":"Casals","given":"Ferran"},{"family":"Navarro","given":"Arcadi"},{"family":"Vigilant","given":"Linda"},{"family":"Kühl","given":"Hjalmar S."},{"family":"Langergraber","given":"Kevin"},{"family":"Boesch","given":"Christophe"},{"family":"Hughes","given":"David"},{"family":"Marques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Bonet","given":"Tomas"}],"issued":{"date-parts":[["2018",3]]}}}],"schema":"https://github.com/citation-style-language/schema/raw/master/csl-citation.json"}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[30]</w:t>
      </w:r>
      <w:r w:rsidRPr="00B66F1E">
        <w:rPr>
          <w:rFonts w:ascii="Arial" w:eastAsia="Arial" w:hAnsi="Arial" w:cs="Arial"/>
          <w:lang w:val="ca" w:eastAsia="ca-ES"/>
        </w:rPr>
        <w:fldChar w:fldCharType="end"/>
      </w:r>
      <w:r w:rsidRPr="00B66F1E">
        <w:rPr>
          <w:rFonts w:ascii="Arial" w:eastAsia="Arial" w:hAnsi="Arial" w:cs="Arial"/>
          <w:lang w:val="ca" w:eastAsia="ca-ES"/>
        </w:rPr>
        <w:t>.</w:t>
      </w:r>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9" w:name="_Toc234923644"/>
      <w:r w:rsidRPr="00B66F1E">
        <w:rPr>
          <w:rFonts w:ascii="Arial" w:eastAsia="Arial" w:hAnsi="Arial" w:cs="Arial"/>
          <w:color w:val="434343"/>
          <w:sz w:val="28"/>
          <w:szCs w:val="28"/>
          <w:lang w:val="ca" w:eastAsia="ca-ES"/>
        </w:rPr>
        <w:t>Enrichment factor</w:t>
      </w:r>
      <w:bookmarkEnd w:id="9"/>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evaluated the enrichment obtained for chromosome 21 and the exome of the same samples, where the enrichment factor is defined as the ratio of reads inside the capture </w:t>
      </w:r>
      <w:r w:rsidRPr="00B66F1E">
        <w:rPr>
          <w:rFonts w:ascii="Arial" w:eastAsia="Arial" w:hAnsi="Arial" w:cs="Arial"/>
          <w:lang w:val="ca" w:eastAsia="ca-ES"/>
        </w:rPr>
        <w:lastRenderedPageBreak/>
        <w:t xml:space="preserve">target space to the total sequenced reads divided by the ratio of the capture target space to the whole genome size. Endogenous DNA of the sample and the enrichment factor post-capture were positively correlated, as expected from previous studies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{"citationID":"cxzSgxEi","properties":{"formattedCitation":"[32]","plainCitation":"[32]","noteIndex":0},"citationItems":[{"id":65,"uris":["http://zotero.org/users/local/jTutsuih/items/V3SEGAXW"],"itemData":{"id":65,"type":"article-journal","abstract":"Abstract\n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(Figures S10 and S11). The enrichment factor in the chromosome 21 captures was different for faecal and hair samples. Hair samples showed lower values of enrichment factor, even though these samples had higher values of endogenous DNA (Figure S10).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saw higher enrichment of chromosome 21 than the exome (Figure S12A), when using the entire designed exome space to calculate it. The lower enrichment factor in the exome data, compared to the chromosome 21 data, can be explained by the missing chromosomes (see section 2.1 for further details) in the exome capture compared to the design of the exome on-target space, as the space design is considered when calculating the enrichment factor. When calculating the enrichment factor using the real captured exome target space, the values are similar to chromosome 21 (Figure S12B).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196F90C2" wp14:editId="6811180C">
            <wp:extent cx="5731200" cy="2298700"/>
            <wp:effectExtent l="0" t="0" r="0" b="0"/>
            <wp:docPr id="21"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4"/>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S10. Enrichment factor chromosome 21 capture vs endogenous DNA. Each dot represents a library, and the colour is the sample type (green=faeces &amp; blue=hairs).</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72D47FB0" wp14:editId="5D338264">
            <wp:extent cx="5731200" cy="1524000"/>
            <wp:effectExtent l="0" t="0" r="0" b="0"/>
            <wp:docPr id="82" name="image81.jpg"/>
            <wp:cNvGraphicFramePr/>
            <a:graphic xmlns:a="http://schemas.openxmlformats.org/drawingml/2006/main">
              <a:graphicData uri="http://schemas.openxmlformats.org/drawingml/2006/picture">
                <pic:pic xmlns:pic="http://schemas.openxmlformats.org/drawingml/2006/picture">
                  <pic:nvPicPr>
                    <pic:cNvPr id="0" name="image81.jpg"/>
                    <pic:cNvPicPr preferRelativeResize="0"/>
                  </pic:nvPicPr>
                  <pic:blipFill>
                    <a:blip r:embed="rId15"/>
                    <a:srcRect/>
                    <a:stretch>
                      <a:fillRect/>
                    </a:stretch>
                  </pic:blipFill>
                  <pic:spPr>
                    <a:xfrm>
                      <a:off x="0" y="0"/>
                      <a:ext cx="5731200" cy="1524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S11. Enrichment factor of chromosome 21 by capture pool. Each colour represents the sample type (green=faeces, blue=hairs). Pools are ordered by endogenous content value for faecal samples, which were pooled equi-endogenously.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1C1E0F1F" wp14:editId="4836D51A">
            <wp:extent cx="5557838" cy="4490807"/>
            <wp:effectExtent l="0" t="0" r="0" b="0"/>
            <wp:docPr id="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6"/>
                    <a:srcRect l="24916" r="25747"/>
                    <a:stretch>
                      <a:fillRect/>
                    </a:stretch>
                  </pic:blipFill>
                  <pic:spPr>
                    <a:xfrm>
                      <a:off x="0" y="0"/>
                      <a:ext cx="5557838" cy="4490807"/>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color w:val="FF0000"/>
          <w:sz w:val="20"/>
          <w:szCs w:val="20"/>
          <w:lang w:val="ca" w:eastAsia="ca-ES"/>
        </w:rPr>
      </w:pPr>
      <w:r w:rsidRPr="00B66F1E">
        <w:rPr>
          <w:rFonts w:ascii="Arial" w:eastAsia="Arial" w:hAnsi="Arial" w:cs="Arial"/>
          <w:sz w:val="20"/>
          <w:szCs w:val="20"/>
          <w:lang w:val="ca" w:eastAsia="ca-ES"/>
        </w:rPr>
        <w:t xml:space="preserve">Figure S12. Correlation between enrichment after capture obtained for chromosome 21 versus the exome for the same library preparations. A) Enrichment factor using the designed exome target space. B) Enrichment factor using the successfully captured exome target space. </w:t>
      </w:r>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10" w:name="_Toc234923645"/>
      <w:r w:rsidRPr="00B66F1E">
        <w:rPr>
          <w:rFonts w:ascii="Arial" w:eastAsia="Arial" w:hAnsi="Arial" w:cs="Arial"/>
          <w:color w:val="434343"/>
          <w:sz w:val="28"/>
          <w:szCs w:val="28"/>
          <w:lang w:val="ca" w:eastAsia="ca-ES"/>
        </w:rPr>
        <w:t>Library complexity</w:t>
      </w:r>
      <w:bookmarkEnd w:id="10"/>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assessed the complexity of the libraries produced for chromosome 21 and the exome of the same samples, where library complexity is the number of reliable reads divided by the mapped reads, including duplicates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{"citationID":"BrkXmUxj","properties":{"formattedCitation":"[30,32]","plainCitation":"[30,32]","noteIndex":0},"citationItems":[{"id":65,"uris":["http://zotero.org/users/local/jTutsuih/items/V3SEGAXW"],"itemData":{"id":65,"type":"article-journal","abstract":"Abstract\n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Bonet","given":"Tomas"},{"family":"Hughes","given":"David A."},{"family":"Lizano","given":"Esther"}],"issued":{"date-parts":[["2021",4]]}}},{"id":78,"uris":["http://zotero.org/users/local/jTutsuih/items/88NWS5WF"],"itemData":{"id":78,"type":"article-journal","abstract":"Abstract\n            \n              Target</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capture approach has improved over the past years, proving to be very efficient tool for selectively sequencing genetic regions of interest. These methods have also allowed the use of noninvasive samples such as faeces (characterized by their low quantity and quality of endogenous DNA) to be used in conservation genomic, evolution and population genetic studies. Here we aim to test different protocols and strategies for exome capture using the Roche SeqCap EZ Developer kit (57.5 Mb). First, we captured a complex pool of DNA libraries. Second, we assessed the influence of using more than one faecal sample, extract and/or library from the same individual, to evaluate its effect on the molecular complexity of the experiment. We validated our experiments with 18 chimpanzee faecal samples collected from two field sites as a part of the Pan African Programme: The Cultured Chimpanzee. Those two field sites are in Kibale National Park, Uganda (\n              N\n               = 9) and Loango National Park, Gabon (\n              N\n               = 9). We demonstrate that at least 16 libraries can be pooled, target enriched through hybridization, and sequenced allowing for the genotyping of 951,949 exome markers for population genetic analyses. Further, we observe that molecule richness, and thus, data acquisition, increase when using multiple libraries from the same extract or multiple extracts from the same sample. Finally, repeated captures significantly decrease the proportion of off</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target reads from 34.15% after one capture round to 7.83% after two capture rounds, supporting our conclusion that two rounds of target enrichment are advisable when using complex faecal samples.","container-title":"Molecular Ecology Resources","DOI":"10.1111/1755-0998.12728","ISSN":"1755-098X, 1755-0998","issue":"2","journalAbbreviation":"Molecular Ecology Resources","language":"en","license":"http://creativecommons.org/licenses/by-nc/4.0/","page":"319-333","source":"DOI.org (Crossref)","title":"The impact of endogenous content, replicates and pooling on genome capture from faecal samples","volume":"18","author":[{"family":"Hernandez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Rodriguez","given":"Jessica"},{"family":"Arandjelovic","given":"Mimi"},{"family":"Lester","given":"Jack"},{"family":"De Filippo","given":"Cesare"},{"family":"Weihmann","given":"Antje"},{"family":"Meyer","given":"Matthias"},{"family":"Angedakin","given":"Samuel"},{"family":"Casals","given":"Ferran"},{"family":"Navarro","given":"Arcadi"},{"family":"Vigilant","given":"Linda"},{"family":"Kühl","given":"Hjalmar S."},{"family":"Langergraber","given":"Kevin"},{"family":"Boesch","given":"Christophe"},{"family":"Hughes","given":"David"},{"family":"Marques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Bonet","given":"Tomas"}],"issued":{"date-parts":[["2018",3]]}}}],"schema":"https://github.com/citation-style-language/schema/raw/master/csl-citation.json"}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[30,32]</w:t>
      </w:r>
      <w:r w:rsidRPr="00B66F1E">
        <w:rPr>
          <w:rFonts w:ascii="Arial" w:eastAsia="Arial" w:hAnsi="Arial" w:cs="Arial"/>
          <w:lang w:val="ca" w:eastAsia="ca-ES"/>
        </w:rPr>
        <w:fldChar w:fldCharType="end"/>
      </w:r>
      <w:r w:rsidRPr="00B66F1E">
        <w:rPr>
          <w:rFonts w:ascii="Arial" w:eastAsia="Arial" w:hAnsi="Arial" w:cs="Arial"/>
          <w:lang w:val="ca" w:eastAsia="ca-ES"/>
        </w:rPr>
        <w:t>.</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As expected, library complexity was higher for samples which had higher values of endogenous DNA (Figures S13 and S14), except for hair samples, which show the same poorer capture performance as seen in the enrichment factor section.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Library complexity between chromosome 21 and exome data did not differ as much as in the enrichment factor due to the fact that the size of the target space design is not considered in the measure (Figure S15).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7A9A332A" wp14:editId="08A9C19B">
            <wp:extent cx="5731200" cy="2298700"/>
            <wp:effectExtent l="0" t="0" r="0" b="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S13. Library complexity vs endogenous DNA. Each dot represents a unique library, and each colour represents the sample type (green = faeces, blue = hairs).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737507C9" wp14:editId="6BB897DD">
            <wp:extent cx="5731200" cy="1765300"/>
            <wp:effectExtent l="0" t="0" r="0" b="0"/>
            <wp:docPr id="44"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18"/>
                    <a:srcRect/>
                    <a:stretch>
                      <a:fillRect/>
                    </a:stretch>
                  </pic:blipFill>
                  <pic:spPr>
                    <a:xfrm>
                      <a:off x="0" y="0"/>
                      <a:ext cx="5731200" cy="17653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S14. Library complexity for each capture pool. Each colour represents the sample type (green = faeces, blue = hairs). Pools are ordered by endogenous content value for faecal samples, which were pooled equi-endogenously.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23A6DE37" wp14:editId="53A7B13B">
            <wp:extent cx="5731200" cy="2298700"/>
            <wp:effectExtent l="0" t="0" r="0" b="0"/>
            <wp:docPr id="18"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9"/>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S15. Correlation between library complexity for chromosome 21 versus the exome for the same samples (the same library preparations). </w:t>
      </w:r>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11" w:name="_Toc234923646"/>
      <w:r w:rsidRPr="00B66F1E">
        <w:rPr>
          <w:rFonts w:ascii="Arial" w:eastAsia="Arial" w:hAnsi="Arial" w:cs="Arial"/>
          <w:color w:val="434343"/>
          <w:sz w:val="28"/>
          <w:szCs w:val="28"/>
          <w:lang w:val="ca" w:eastAsia="ca-ES"/>
        </w:rPr>
        <w:lastRenderedPageBreak/>
        <w:t>Specificity</w:t>
      </w:r>
      <w:bookmarkEnd w:id="11"/>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Capture specificity is the ratio of on-target reads to reliable reads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{"citationID":"2e5u3GgY","properties":{"formattedCitation":"[30,32]","plainCitation":"[30,32]","noteIndex":0},"citationItems":[{"id":65,"uris":["http://zotero.org/users/local/jTutsuih/items/V3SEGAXW"],"itemData":{"id":65,"type":"article-journal","abstract":"Abstract\n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Bonet","given":"Tomas"},{"family":"Hughes","given":"David A."},{"family":"Lizano","given":"Esther"}],"issued":{"date-parts":[["2021",4]]}}},{"id":78,"uris":["http://zotero.org/users/local/jTutsuih/items/88NWS5WF"],"itemData":{"id":78,"type":"article-journal","abstract":"Abstract\n            \n              Target</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capture approach has improved over the past years, proving to be very efficient tool for selectively sequencing genetic regions of interest. These methods have also allowed the use of noninvasive samples such as faeces (characterized by their low quantity and quality of endogenous DNA) to be used in conservation genomic, evolution and population genetic studies. Here we aim to test different protocols and strategies for exome capture using the Roche SeqCap EZ Developer kit (57.5 Mb). First, we captured a complex pool of DNA libraries. Second, we assessed the influence of using more than one faecal sample, extract and/or library from the same individual, to evaluate its effect on the molecular complexity of the experiment. We validated our experiments with 18 chimpanzee faecal samples collected from two field sites as a part of the Pan African Programme: The Cultured Chimpanzee. Those two field sites are in Kibale National Park, Uganda (\n              N\n               = 9) and Loango National Park, Gabon (\n              N\n               = 9). We demonstrate that at least 16 libraries can be pooled, target enriched through hybridization, and sequenced allowing for the genotyping of 951,949 exome markers for population genetic analyses. Further, we observe that molecule richness, and thus, data acquisition, increase when using multiple libraries from the same extract or multiple extracts from the same sample. Finally, repeated captures significantly decrease the proportion of off</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target reads from 34.15% after one capture round to 7.83% after two capture rounds, supporting our conclusion that two rounds of target enrichment are advisable when using complex faecal samples.","container-title":"Molecular Ecology Resources","DOI":"10.1111/1755-0998.12728","ISSN":"1755-098X, 1755-0998","issue":"2","journalAbbreviation":"Molecular Ecology Resources","language":"en","license":"http://creativecommons.org/licenses/by-nc/4.0/","page":"319-333","source":"DOI.org (Crossref)","title":"The impact of endogenous content, replicates and pooling on genome capture from faecal samples","volume":"18","author":[{"family":"Hernandez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Rodriguez","given":"Jessica"},{"family":"Arandjelovic","given":"Mimi"},{"family":"Lester","given":"Jack"},{"family":"De Filippo","given":"Cesare"},{"family":"Weihmann","given":"Antje"},{"family":"Meyer","given":"Matthias"},{"family":"Angedakin","given":"Samuel"},{"family":"Casals","given":"Ferran"},{"family":"Navarro","given":"Arcadi"},{"family":"Vigilant","given":"Linda"},{"family":"Kühl","given":"Hjalmar S."},{"family":"Langergraber","given":"Kevin"},{"family":"Boesch","given":"Christophe"},{"family":"Hughes","given":"David"},{"family":"Marques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Bonet","given":"Tomas"}],"issued":{"date-parts":[["2018",3]]}}}],"schema":"https://github.com/citation-style-language/schema/raw/master/csl-citation.json"}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[30,32]</w:t>
      </w:r>
      <w:r w:rsidRPr="00B66F1E">
        <w:rPr>
          <w:rFonts w:ascii="Arial" w:eastAsia="Arial" w:hAnsi="Arial" w:cs="Arial"/>
          <w:lang w:val="ca" w:eastAsia="ca-ES"/>
        </w:rPr>
        <w:fldChar w:fldCharType="end"/>
      </w:r>
      <w:r w:rsidRPr="00B66F1E">
        <w:rPr>
          <w:rFonts w:ascii="Arial" w:eastAsia="Arial" w:hAnsi="Arial" w:cs="Arial"/>
          <w:lang w:val="ca" w:eastAsia="ca-ES"/>
        </w:rPr>
        <w:t>.</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The specificity values were higher than 80% for the majority of samples (Figure S16) and capture pools (Figure S17), as expected from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{"citationID":"Vi0YeOIs","properties":{"formattedCitation":"[32]","plainCitation":"[32]","noteIndex":0},"citationItems":[{"id":65,"uris":["http://zotero.org/users/local/jTutsuih/items/V3SEGAXW"],"itemData":{"id":65,"type":"article-journal","abstract":"Abstract\n            \n              Noninvasive samples as a source of DNA are gaining interest in genomic studies of endangered species. However, their complex nature and low endogenous DNA content hamper the recovery of good quality data. Target capture has become a productive method to enrich the endogenous fraction of noninvasive samples, such as faeces, but its sensitivity has not yet been extensively studied. Coping with faecal samples with an endogenous DNA content below 1% is a common problem when prior selection of samples from a large collection is not possible. However, samples classified as unfavourable for target capture sequencing might be the only representatives of unique specific geographical locations, or to answer the question of interest. To explore how library complexity may be increased without repeating DNA extractions and generating new libraries, in this study we captured the exome of 60 chimpanzees (\n              Pan troglodytes\n              ) using faecal samples with very low proportions of endogenous content (&lt;1%). Our results indicate that by performing additional hybridizations of the same libraries, the molecular complexity can be maintained to achieve higher coverage. Also, whenever possible, the starting DNA material for capture should be increased. Finally, we specifically calculated the sequencing effort needed to avoid exhausting the library complexity of enriched faecal samples with low endogenous DNA content. This study provides guidelines, schemes and tools for laboratories facing the challenges of working with noninvasive samples containing extremely low amounts of endogenous DNA.","container-title":"Molecular Ecology Resources","DOI":"10.1111/1755-0998.13300","ISSN":"1755-098X, 1755-0998","issue":"3","journalAbbreviation":"Molecular Ecology Resources","language":"en","page":"745-761","source":"DOI.org (Crossref)","title":"Maximizing the acquisition of unique reads in noninvasive capture sequencing experiments","volume":"21","author":[{"family":"Fontsere","given":"Claudia"},{"family":"Alvarez</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Estape","given":"Marina"},{"family":"Lester","given":"Jack"},{"family":"Arandjelovic","given":"Mimi"},{"family":"Kuhlwilm","given":"Martin"},{"family":"Dieguez","given":"Paula"},{"family":"Agbor","given":"Anthony"},{"family":"Angedakin","given":"Samuel"},{"family":"Ayuk Ayimisin","given":"Emmanuel"},{"family":"Bessone","given":"Mattia"},{"family":"Brazzola","given":"Gregory"},{"family":"Deschner","given":"Tobias"},{"family":"Eno</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Nku","given":"Manasseh"},{"family":"Granjon","given":"Anne</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Céline"},{"family":"Head","given":"Josephine"},{"family":"Kadam","given":"Parag"},{"family":"Kalan","given":"Ammie K."},{"family":"Kambi","given":"Mohamed"},{"family":"Langergraber","given":"Kevin"},{"family":"Lapuente","given":"Juan"},{"family":"Maretti","given":"Giovanna"},{"family":"Jayne Ormsby","given":"Lucy"},{"family":"Piel","given":"Alex"},{"family":"Robbins","given":"Martha M."},{"family":"Stewart","given":"Fiona"},{"family":"Vergnes","given":"Virginie"},{"family":"Wittig","given":"Roman M."},{"family":"Kühl","given":"Hjalmar S."},{"family":"Marques</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Bonet","given":"Tomas"},{"family":"Hughes","given":"David A."},{"family":"Lizano","given":"Esther"}],"issued":{"date-parts":[["2021",4]]}}}],"schema":"https://github.com/citation-style-language/schema/raw/master/csl-citation.json"}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[32]</w:t>
      </w:r>
      <w:r w:rsidRPr="00B66F1E">
        <w:rPr>
          <w:rFonts w:ascii="Arial" w:eastAsia="Arial" w:hAnsi="Arial" w:cs="Arial"/>
          <w:lang w:val="ca" w:eastAsia="ca-ES"/>
        </w:rPr>
        <w:fldChar w:fldCharType="end"/>
      </w:r>
      <w:r w:rsidRPr="00B66F1E">
        <w:rPr>
          <w:rFonts w:ascii="Arial" w:eastAsia="Arial" w:hAnsi="Arial" w:cs="Arial"/>
          <w:lang w:val="ca" w:eastAsia="ca-ES"/>
        </w:rPr>
        <w:t>. Samples with lower endogenous content showed lower specificity values between 80-60%. Hair samples also showed lower levels of specificity, reflecting a possible capture failure of these batches. Capture specificity between chromosome 21 and exome data was similar (Figure S18).</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634708B0" wp14:editId="37252320">
            <wp:extent cx="5731200" cy="2298700"/>
            <wp:effectExtent l="0" t="0" r="0" b="0"/>
            <wp:docPr id="59"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20"/>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S16. Capture specificity vs endogenous DNA. Each dot represents a unique library, and each colour represents the sample type (green = faeces, blue = hairs).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26C15EA4" wp14:editId="63586F26">
            <wp:extent cx="5731200" cy="1765300"/>
            <wp:effectExtent l="0" t="0" r="0" b="0"/>
            <wp:docPr id="74" name="image73.jpg"/>
            <wp:cNvGraphicFramePr/>
            <a:graphic xmlns:a="http://schemas.openxmlformats.org/drawingml/2006/main">
              <a:graphicData uri="http://schemas.openxmlformats.org/drawingml/2006/picture">
                <pic:pic xmlns:pic="http://schemas.openxmlformats.org/drawingml/2006/picture">
                  <pic:nvPicPr>
                    <pic:cNvPr id="0" name="image73.jpg"/>
                    <pic:cNvPicPr preferRelativeResize="0"/>
                  </pic:nvPicPr>
                  <pic:blipFill>
                    <a:blip r:embed="rId21"/>
                    <a:srcRect/>
                    <a:stretch>
                      <a:fillRect/>
                    </a:stretch>
                  </pic:blipFill>
                  <pic:spPr>
                    <a:xfrm>
                      <a:off x="0" y="0"/>
                      <a:ext cx="5731200" cy="17653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S17. Capture specificity for each capture pool. Each colour represents the sample type (green = faeces, blue = hairs). Pools are ordered by endogenous content value for faecal samples, which were pooled equi-endogenously.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52AD0023" wp14:editId="51EB17CE">
            <wp:extent cx="5731200" cy="2298700"/>
            <wp:effectExtent l="0" t="0" r="0" b="0"/>
            <wp:docPr id="86" name="image87.jpg"/>
            <wp:cNvGraphicFramePr/>
            <a:graphic xmlns:a="http://schemas.openxmlformats.org/drawingml/2006/main">
              <a:graphicData uri="http://schemas.openxmlformats.org/drawingml/2006/picture">
                <pic:pic xmlns:pic="http://schemas.openxmlformats.org/drawingml/2006/picture">
                  <pic:nvPicPr>
                    <pic:cNvPr id="0" name="image87.jpg"/>
                    <pic:cNvPicPr preferRelativeResize="0"/>
                  </pic:nvPicPr>
                  <pic:blipFill>
                    <a:blip r:embed="rId22"/>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S18. Capture specificity chromosome 21 captures vs capture specificity exome captures. Each dot represents a library. </w:t>
      </w:r>
    </w:p>
    <w:p w:rsidR="00B66F1E" w:rsidRPr="00B66F1E" w:rsidRDefault="00B66F1E" w:rsidP="00B66F1E">
      <w:pPr>
        <w:keepNext/>
        <w:keepLines/>
        <w:spacing w:before="320" w:after="200" w:line="276" w:lineRule="auto"/>
        <w:jc w:val="both"/>
        <w:outlineLvl w:val="2"/>
        <w:rPr>
          <w:rFonts w:ascii="Arial" w:eastAsia="Arial" w:hAnsi="Arial" w:cs="Arial"/>
          <w:color w:val="434343"/>
          <w:sz w:val="28"/>
          <w:szCs w:val="28"/>
          <w:lang w:val="ca" w:eastAsia="ca-ES"/>
        </w:rPr>
      </w:pPr>
      <w:bookmarkStart w:id="12" w:name="_Toc234923647"/>
      <w:r w:rsidRPr="00B66F1E">
        <w:rPr>
          <w:rFonts w:ascii="Arial" w:eastAsia="Arial" w:hAnsi="Arial" w:cs="Arial"/>
          <w:color w:val="434343"/>
          <w:sz w:val="28"/>
          <w:szCs w:val="28"/>
          <w:lang w:val="ca" w:eastAsia="ca-ES"/>
        </w:rPr>
        <w:t>Sensitivity</w:t>
      </w:r>
      <w:bookmarkEnd w:id="12"/>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 consider capture sensitivity as the number of target regions with average coverage of at least 5 (DP5) or 50 (DP50), divided by the number of target regions (DP5 = Figure S19).</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Capture sensitivity measures were similar when comparing 5X and 50X depth of coverage (Figures S20 and S21). The measures were also affected by the endogenous content of each sample, as expected (Figures S20 and S21).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42FD128D" wp14:editId="01BD8777">
            <wp:extent cx="5731200" cy="1524000"/>
            <wp:effectExtent l="0" t="0" r="0" b="0"/>
            <wp:docPr id="54"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23"/>
                    <a:srcRect/>
                    <a:stretch>
                      <a:fillRect/>
                    </a:stretch>
                  </pic:blipFill>
                  <pic:spPr>
                    <a:xfrm>
                      <a:off x="0" y="0"/>
                      <a:ext cx="5731200" cy="1524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S19. Capture sensitivity at 5DP for each capture pool. Each colour represents the sample type (green = faeces, blue = hairs). Pools are ordered by endogenous content value for faecal samples, which were pooled equi-endogenously.</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5F028458" wp14:editId="7E9C12F0">
            <wp:extent cx="5731200" cy="2298700"/>
            <wp:effectExtent l="0" t="0" r="0" b="0"/>
            <wp:docPr id="40"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24"/>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S20. Capture sensitivity at DP5 of chromosome 21 captures vs endogenous content. Each dot represents a unique library, and each colour represents the sample type (green = faeces, blue = hairs).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448F7267" wp14:editId="4E24C4F1">
            <wp:extent cx="5731200" cy="2298700"/>
            <wp:effectExtent l="0" t="0" r="0" b="0"/>
            <wp:docPr id="89" name="image89.jpg"/>
            <wp:cNvGraphicFramePr/>
            <a:graphic xmlns:a="http://schemas.openxmlformats.org/drawingml/2006/main">
              <a:graphicData uri="http://schemas.openxmlformats.org/drawingml/2006/picture">
                <pic:pic xmlns:pic="http://schemas.openxmlformats.org/drawingml/2006/picture">
                  <pic:nvPicPr>
                    <pic:cNvPr id="0" name="image89.jpg"/>
                    <pic:cNvPicPr preferRelativeResize="0"/>
                  </pic:nvPicPr>
                  <pic:blipFill>
                    <a:blip r:embed="rId25"/>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S21. Capture sensitivity at DP50 of chromosome 21 captures vs endogenous content. Each dot represents a unique library, and each color represents the sample type (green = faeces, blue = hairs).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The comparatively lower performance observed for hair samples likely reflects differences in DNA quality, quantity, and fragmentation profiles between the two substrates, suggesting that further optimisation of the capture protocol specifically for hair-derived DNA could substantially improve results. We therefore recommend that future studies seeking to apply this approach to hair samples consider adapting hybridisation conditions, library preparation parameters, or input DNA thresholds accordingly. </w:t>
      </w:r>
    </w:p>
    <w:p w:rsidR="00B66F1E" w:rsidRPr="00B66F1E" w:rsidRDefault="00B66F1E" w:rsidP="00B66F1E">
      <w:pPr>
        <w:keepNext/>
        <w:keepLines/>
        <w:spacing w:before="400" w:after="200" w:line="360" w:lineRule="auto"/>
        <w:jc w:val="both"/>
        <w:outlineLvl w:val="0"/>
        <w:rPr>
          <w:rFonts w:ascii="Arial" w:eastAsia="Arial" w:hAnsi="Arial" w:cs="Arial"/>
          <w:sz w:val="40"/>
          <w:szCs w:val="40"/>
          <w:lang w:val="ca" w:eastAsia="ca-ES"/>
        </w:rPr>
      </w:pPr>
      <w:bookmarkStart w:id="13" w:name="_Toc234923648"/>
      <w:r w:rsidRPr="00B66F1E">
        <w:rPr>
          <w:rFonts w:ascii="Arial" w:eastAsia="Arial" w:hAnsi="Arial" w:cs="Arial"/>
          <w:sz w:val="40"/>
          <w:szCs w:val="40"/>
          <w:lang w:val="ca" w:eastAsia="ca-ES"/>
        </w:rPr>
        <w:lastRenderedPageBreak/>
        <w:t>2. Quality control</w:t>
      </w:r>
      <w:bookmarkEnd w:id="13"/>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14" w:name="_Toc234923649"/>
      <w:r w:rsidRPr="00B66F1E">
        <w:rPr>
          <w:rFonts w:ascii="Arial" w:eastAsia="Arial" w:hAnsi="Arial" w:cs="Arial"/>
          <w:sz w:val="32"/>
          <w:szCs w:val="32"/>
          <w:lang w:val="ca" w:eastAsia="ca-ES"/>
        </w:rPr>
        <w:t>2.1 Coverage and human contamination</w:t>
      </w:r>
      <w:bookmarkEnd w:id="14"/>
    </w:p>
    <w:p w:rsidR="00B66F1E" w:rsidRPr="00B66F1E" w:rsidRDefault="00B66F1E" w:rsidP="00B66F1E">
      <w:pPr>
        <w:keepNext/>
        <w:keepLines/>
        <w:spacing w:before="320" w:after="200" w:line="276" w:lineRule="auto"/>
        <w:outlineLvl w:val="2"/>
        <w:rPr>
          <w:rFonts w:ascii="Arial" w:eastAsia="Arial" w:hAnsi="Arial" w:cs="Arial"/>
          <w:color w:val="434343"/>
          <w:sz w:val="28"/>
          <w:szCs w:val="28"/>
          <w:lang w:val="ca" w:eastAsia="ca-ES"/>
        </w:rPr>
      </w:pPr>
      <w:bookmarkStart w:id="15" w:name="_Toc234923650"/>
      <w:r w:rsidRPr="00B66F1E">
        <w:rPr>
          <w:rFonts w:ascii="Arial" w:eastAsia="Arial" w:hAnsi="Arial" w:cs="Arial"/>
          <w:color w:val="434343"/>
          <w:sz w:val="28"/>
          <w:szCs w:val="28"/>
          <w:lang w:val="ca" w:eastAsia="ca-ES"/>
        </w:rPr>
        <w:t>Chromosome 21 depth of coverage</w:t>
      </w:r>
      <w:bookmarkEnd w:id="15"/>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 calculated the coverage in the on-target space for each of the newly sequenced non-invasive samples (Figure S22).</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As described in methods, we removed samples with low-coverage (&lt;0.5X coverage) and samples with more than 1% human contamination as estimated using the HuConTest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{"citationID":"VVPpc9JZ","properties":{"formattedCitation":"[33]","plainCitation":"[33]","noteIndex":0},"citationItems":[{"id":101,"uris":["http://zotero.org/users/local/jTutsuih/items/CXRTR5MP"],"itemData":{"id":101,"type":"article-journal","abstract":"Abstract\n            Modern human contamination is a common problem in ancient DNA studies. We provide evidence that this issue is also present in studies in great apes, which are our closest living relatives, for example in noninvasive samples. Here, we present a simple method to detect human contamination in short-read sequencing data from different species: HuConTest. We demonstrate its feasibility using blood and tissue samples from these species. This test is particularly useful for more complex samples (such as museum and noninvasive samples) which have smaller amounts of endogenous DNA, as we show here.","container-title":"Genome Biology and Evolution","DOI":"10.1093/gbe/evab117","ISSN":"1759-6653","issue":"6","language":"en","license":"http://creativecommons.org/licenses/by/4.0/","page":"evab117","source":"DOI.org (Crossref)","title":"HuConTest: Testing Human Contamination in Great Ape Samples","title-short":"HuConTest","volume":"13","author":[{"family":"Kuhlwilm","given":"Martin"},{"family":"Fontsere","given":"Claudia"},{"family":"Han","given":"Sojung"},{"family":"Alvarez-Estape","given":"Marina"},{"family":"Marques-Bonet","given":"Tomas"}],"editor":[{"family":"Enard","given":"David"}],"issued":{"date-parts":[["2021",6,8]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[33]</w:t>
      </w:r>
      <w:r w:rsidRPr="00B66F1E">
        <w:rPr>
          <w:rFonts w:ascii="Arial" w:eastAsia="Arial" w:hAnsi="Arial" w:cs="Arial"/>
          <w:lang w:val="ca" w:eastAsia="ca-ES"/>
        </w:rPr>
        <w:fldChar w:fldCharType="end"/>
      </w:r>
      <w:r w:rsidRPr="00B66F1E">
        <w:rPr>
          <w:rFonts w:ascii="Arial" w:eastAsia="Arial" w:hAnsi="Arial" w:cs="Arial"/>
          <w:lang w:val="ca" w:eastAsia="ca-ES"/>
        </w:rPr>
        <w:t>. Mean coverage in the on-target space varied depending on sample type due to different sequencing depths (publicly available genomes) and whether the samples had been target-captured (faecal and some hair samples) (Figure S22A). As can be seen in Figure S22B, all targeted regions were successfully covered.</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 retained 278 chromosome 21 samples with &gt;=0.5X average coverage and &lt;1% human contamination. Due to its geographic uniqueness, one sample from Ebo forest (mean coverage=1.42X, human contamination=1.537%) was included in PCA, admixture, and admixfrog analysis (the rest were excluded due to low coverage and high human contamination). A total of 13 samples were removed due to low coverage.</w:t>
      </w:r>
    </w:p>
    <w:p w:rsidR="00B66F1E" w:rsidRPr="00B66F1E" w:rsidRDefault="00B66F1E" w:rsidP="00B66F1E">
      <w:pPr>
        <w:spacing w:after="200" w:line="276" w:lineRule="auto"/>
        <w:jc w:val="both"/>
        <w:rPr>
          <w:rFonts w:ascii="Arial" w:eastAsia="Arial" w:hAnsi="Arial" w:cs="Arial"/>
          <w:lang w:val="ca" w:eastAsia="ca-ES"/>
        </w:rPr>
      </w:pP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73A41E20" wp14:editId="7A24A3E3">
            <wp:extent cx="5731200" cy="4279900"/>
            <wp:effectExtent l="0" t="0" r="0" b="0"/>
            <wp:docPr id="43"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26"/>
                    <a:srcRect/>
                    <a:stretch>
                      <a:fillRect/>
                    </a:stretch>
                  </pic:blipFill>
                  <pic:spPr>
                    <a:xfrm>
                      <a:off x="0" y="0"/>
                      <a:ext cx="5731200" cy="42799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S22. Coverage by subspecies and sample type. Each subspecies is represented by one unique colour (Cross River gorillas in red, eastern lowland gorillas in green, western lowland gorillas in yellow and mountain gorillas in blue). A) Coverage for chromosome 21 samples per sampling site, including non-invasive samples for Cross River gorillas from Alvarez-Estape et al.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{"citationID":"Z43JUXm8","properties":{"formattedCitation":"[76]","plainCitation":"[76]","noteIndex":0},"citationItems":[{"id":22,"uris":["http://zotero.org/users/local/jTutsuih/items/LAE9J37X"],"itemData":{"id":22,"type":"article-journal","abstract":"The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[76]</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Box plots are coloured by subspecies (green eastern lowland gorillas, blue mountain gorillas, orange western lowland gorillas, red Cross River gorillas). B) Coverage across chromosome 21 plotted per subspecies. The x-axis represents bases across chromosome 21. Abbreviations: WLG = western lowland gorillas, CRG = Cross River gorillas, ELG = eastern lowland gorillas, MG = mountain gorillas.</w:t>
      </w:r>
    </w:p>
    <w:p w:rsidR="00B66F1E" w:rsidRPr="00B66F1E" w:rsidRDefault="00B66F1E" w:rsidP="00B66F1E">
      <w:pPr>
        <w:keepNext/>
        <w:keepLines/>
        <w:spacing w:before="320" w:after="200" w:line="276" w:lineRule="auto"/>
        <w:outlineLvl w:val="2"/>
        <w:rPr>
          <w:rFonts w:ascii="Arial" w:eastAsia="Arial" w:hAnsi="Arial" w:cs="Arial"/>
          <w:color w:val="434343"/>
          <w:sz w:val="28"/>
          <w:szCs w:val="28"/>
          <w:lang w:val="ca" w:eastAsia="ca-ES"/>
        </w:rPr>
      </w:pPr>
      <w:bookmarkStart w:id="16" w:name="_Toc234923651"/>
      <w:r w:rsidRPr="00B66F1E">
        <w:rPr>
          <w:rFonts w:ascii="Arial" w:eastAsia="Arial" w:hAnsi="Arial" w:cs="Arial"/>
          <w:color w:val="434343"/>
          <w:sz w:val="28"/>
          <w:szCs w:val="28"/>
          <w:lang w:val="ca" w:eastAsia="ca-ES"/>
        </w:rPr>
        <w:t>Human contamination</w:t>
      </w:r>
      <w:bookmarkEnd w:id="16"/>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Human contamination calculated in chromosome 21 data was equally affecting the four subspecies. 41 samples were excluded due to human contamination in chromosome 21 data (samples with less than 0.5X of coverage were previously discarded) (Figure S23).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6AB03BD1" wp14:editId="05F3A09D">
            <wp:extent cx="5734050" cy="2154924"/>
            <wp:effectExtent l="0" t="0" r="0" b="0"/>
            <wp:docPr id="36"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27"/>
                    <a:srcRect b="6124"/>
                    <a:stretch>
                      <a:fillRect/>
                    </a:stretch>
                  </pic:blipFill>
                  <pic:spPr>
                    <a:xfrm>
                      <a:off x="0" y="0"/>
                      <a:ext cx="5734050" cy="2154924"/>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u w:val="single"/>
          <w:lang w:val="ca" w:eastAsia="ca-ES"/>
        </w:rPr>
      </w:pPr>
      <w:r w:rsidRPr="00B66F1E">
        <w:rPr>
          <w:rFonts w:ascii="Arial" w:eastAsia="Arial" w:hAnsi="Arial" w:cs="Arial"/>
          <w:sz w:val="20"/>
          <w:szCs w:val="20"/>
          <w:lang w:val="ca" w:eastAsia="ca-ES"/>
        </w:rPr>
        <w:t>Figure S23. Human contamination by subspecies (samples &gt; 0.5X). Each subspecies is represented by one unique colour (Cross River gorillas in red, eastern lowland gorillas in green, western lowland gorillas in yellow and mountain gorillas in blue).</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17" w:name="_Toc234923652"/>
      <w:r w:rsidRPr="00B66F1E">
        <w:rPr>
          <w:rFonts w:ascii="Arial" w:eastAsia="Arial" w:hAnsi="Arial" w:cs="Arial"/>
          <w:color w:val="434343"/>
          <w:sz w:val="28"/>
          <w:szCs w:val="28"/>
          <w:lang w:val="ca" w:eastAsia="ca-ES"/>
        </w:rPr>
        <w:t>Exome depth of coverage</w:t>
      </w:r>
      <w:bookmarkEnd w:id="17"/>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calculated coverage in the exome on-target space (Figure S24). We observe three coverage distributions (low, medium, high) across chromosomes for the captured exome samples, corresponding to the three sets of baits for each of the custom arrays. Unfortunately, due to a manufacturing error, one of the sets of RNA baits (containing chromosomes 1, 10-16) from the exome design was not produced and so not captured (regions with low coverage), while another set of the baits (containing chromosomes 2-9) was duplicated (regions with high coverage), causing these differences in coverage. </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The exomes of chromosome X and chromosomes 2-9, 17-22 were successfully captured across the on-target exome space of the respective chromosomes. Therefore, we focus our analysis of the gorilla exome to chromosome X to an autosome comparisons (in the main), and to a general characterisation of the partial exome on-target space (representing 60.4% of genes in the exome target space) in the Supplementary.</w:t>
      </w:r>
    </w:p>
    <w:p w:rsidR="00B66F1E" w:rsidRPr="00B66F1E" w:rsidRDefault="00B66F1E" w:rsidP="00B66F1E">
      <w:pPr>
        <w:spacing w:after="200" w:line="276" w:lineRule="auto"/>
        <w:jc w:val="both"/>
        <w:rPr>
          <w:rFonts w:ascii="Arial" w:eastAsia="Arial" w:hAnsi="Arial" w:cs="Arial"/>
          <w:sz w:val="20"/>
          <w:szCs w:val="20"/>
          <w:lang w:val="ca" w:eastAsia="ca-ES"/>
        </w:rPr>
      </w:pP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6E6558C9" wp14:editId="410C083D">
            <wp:extent cx="5731200" cy="3327400"/>
            <wp:effectExtent l="0" t="0" r="0" b="0"/>
            <wp:docPr id="4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8"/>
                    <a:srcRect/>
                    <a:stretch>
                      <a:fillRect/>
                    </a:stretch>
                  </pic:blipFill>
                  <pic:spPr>
                    <a:xfrm>
                      <a:off x="0" y="0"/>
                      <a:ext cx="5731200" cy="33274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S24. Average coverage per chromosome in the autosomal exome on-target space for captured faecal samples of ELG (A), MG (B) and WLG (C) and captured hair samples of MG (D). Also shown is the coverage across the autosomes for previously published CRG WGS samples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{"citationID":"LMu0hCqS","properties":{"formattedCitation":"[76]","plainCitation":"[76]","noteIndex":0},"citationItems":[{"id":22,"uris":["http://zotero.org/users/local/jTutsuih/items/LAE9J37X"],"itemData":{"id":22,"type":"article-journal","abstract":"The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[76]</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subset to the exome on-target space (E). Lines represent different samples, and dots are the average coverage per chromosome per sample.</w:t>
      </w:r>
      <w:r w:rsidRPr="00B66F1E">
        <w:rPr>
          <w:rFonts w:ascii="Arial" w:eastAsia="Arial" w:hAnsi="Arial" w:cs="Arial"/>
          <w:i/>
          <w:iCs/>
          <w:color w:val="0000FF"/>
          <w:sz w:val="20"/>
          <w:szCs w:val="20"/>
          <w:u w:val="single"/>
          <w:lang w:val="ca" w:eastAsia="ca-ES"/>
        </w:rPr>
        <w:t xml:space="preserve"> </w:t>
      </w:r>
    </w:p>
    <w:p w:rsidR="00B66F1E" w:rsidRPr="00B66F1E" w:rsidRDefault="00B66F1E" w:rsidP="00B66F1E">
      <w:pPr>
        <w:spacing w:before="200"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We applied the same filters to the partial exome dataset as for the chromosome 21 dataset (&gt;=0.5X average coverage and &lt; 1% human contamination), retaining 27 eastern lowland gorillas, 45 mountain gorillas, 132 western lowland gorillas and 16 Cross River gorillas.</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18" w:name="_Toc234923653"/>
      <w:r w:rsidRPr="00B66F1E">
        <w:rPr>
          <w:rFonts w:ascii="Arial" w:eastAsia="Arial" w:hAnsi="Arial" w:cs="Arial"/>
          <w:sz w:val="32"/>
          <w:szCs w:val="32"/>
          <w:lang w:val="ca" w:eastAsia="ca-ES"/>
        </w:rPr>
        <w:t>2.2 Damage Patterns</w:t>
      </w:r>
      <w:bookmarkEnd w:id="18"/>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Museum specimens often contain fragmented and chemically altered DNA due to age, environmental exposure, and storage conditions. In order to assess and visualise DNA damage patterns in the 11 museum samples, we applied the MapDamage bioinformatics tool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{"citationID":"kI8Zrpr0","properties":{"formattedCitation":"[78]","plainCitation":"[78]","noteIndex":0},"citationItems":[{"id":237,"uris":["http://zotero.org/users/local/jTutsuih/items/WCNVGRWU"],"itemData":{"id":237,"type":"article-journal","abstract":"Abstract\n            Motivation: Ancient DNA (aDNA) molecules in fossilized bones and teeth, coprolites, sediments, mummified specimens and museum collections represent fantastic sources of information for evolutionary biologists, revealing the agents of past epidemics and the dynamics of past populations. However, the analysis of aDNA generally faces two major issues. Firstly, sequences consist of a mixture of endogenous and various exogenous backgrounds, mostly microbial. Secondly, high nucleotide misincorporation rates can be observed as a result of severe post-mortem DNA damage. Such misincorporation patterns are instrumental to authenticate ancient sequences versus modern contaminants. We recently developed the user-friendly mapDamage package that identifies such patterns from next-generation sequencing (NGS) sequence datasets. The absence of formal statistical modeling of the DNA damage process, however, precluded rigorous quantitative comparisons across samples.\n            Results: Here, we describe mapDamage 2.0 that extends the original features of mapDamage by incorporating a statistical model of DNA damage. Assuming that damage events depend only on sequencing position and post-mortem deamination, our Bayesian statistical framework provides estimates of four key features of aDNA molecules: the average length of overhangs (λ), nick frequency (ν) and cytosine deamination rates in both double-stranded regions () and overhangs (). Our model enables rescaling base quality scores according to their probability of being damaged. mapDamage 2.0 handles NGS datasets with ease and is compatible with a wide range of DNA library protocols.\n            Availability: mapDamage 2.0 is available at ginolhac.github.io/mapDamage/ as a Python package and documentation is maintained at the Centre for GeoGenetics Web site (geogenetics.ku.dk/publications/mapdamage2.0/).\n            Contact:  jonsson.hakon@gmail.com\n            Supplementary information:  Supplementary data are available at Bioinformatics online.","container-title":"Bioinformatics","DOI":"10.1093/bioinformatics/btt193","ISSN":"1367-4803, 1367-4811","issue":"13","language":"en","license":"http://creativecommons.org/licenses/by-nc/3.0/","page":"1682-1684","source":"DOI.org (Crossref)","title":"mapDamage2.0: fast approximate Bayesian estimates of ancient DNA damage parameters","title-short":"mapDamage2.0","volume":"29","author":[{"family":"Jónsson","given":"Hákon"},{"family":"Ginolhac","given":"Aurélien"},{"family":"Schubert","given":"Mikkel"},{"family":"Johnson","given":"Philip L. F."},{"family":"Orlando","given":"Ludovic"}],"issued":{"date-parts":[["2013",7,1]]}}}],"schema":"https://github.com/citation-style-language/schema/raw/master/csl-citation.json"}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[78]</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see (Figures S25 and S26). </w:t>
      </w:r>
    </w:p>
    <w:p w:rsidR="00B66F1E" w:rsidRPr="00B66F1E" w:rsidRDefault="00B66F1E" w:rsidP="00B66F1E">
      <w:pPr>
        <w:spacing w:after="200" w:line="360" w:lineRule="auto"/>
        <w:jc w:val="center"/>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05A4D153" wp14:editId="1EFF035E">
            <wp:extent cx="3217182" cy="6834188"/>
            <wp:effectExtent l="0" t="0" r="0" b="0"/>
            <wp:docPr id="98" name="image97.jpg"/>
            <wp:cNvGraphicFramePr/>
            <a:graphic xmlns:a="http://schemas.openxmlformats.org/drawingml/2006/main">
              <a:graphicData uri="http://schemas.openxmlformats.org/drawingml/2006/picture">
                <pic:pic xmlns:pic="http://schemas.openxmlformats.org/drawingml/2006/picture">
                  <pic:nvPicPr>
                    <pic:cNvPr id="0" name="image97.jpg"/>
                    <pic:cNvPicPr preferRelativeResize="0"/>
                  </pic:nvPicPr>
                  <pic:blipFill>
                    <a:blip r:embed="rId29"/>
                    <a:srcRect l="3986" r="5980" b="4817"/>
                    <a:stretch>
                      <a:fillRect/>
                    </a:stretch>
                  </pic:blipFill>
                  <pic:spPr>
                    <a:xfrm>
                      <a:off x="0" y="0"/>
                      <a:ext cx="3217182" cy="6834188"/>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S25. Damage patterns analysis of ancient DNA extracted from museum specimens using MapDamage for batch 5. The Fragmisincorporation plot visualizes nucleotide misincorporation patterns at the 5′ and 3′ ends of DNA fragments.</w:t>
      </w:r>
    </w:p>
    <w:p w:rsidR="00B66F1E" w:rsidRPr="00B66F1E" w:rsidRDefault="00B66F1E" w:rsidP="00B66F1E">
      <w:pPr>
        <w:spacing w:after="200" w:line="276" w:lineRule="auto"/>
        <w:jc w:val="center"/>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3830F90D" wp14:editId="49CF41A3">
            <wp:extent cx="3473288" cy="4203467"/>
            <wp:effectExtent l="0" t="0" r="0" b="0"/>
            <wp:docPr id="66" name="image85.jpg"/>
            <wp:cNvGraphicFramePr/>
            <a:graphic xmlns:a="http://schemas.openxmlformats.org/drawingml/2006/main">
              <a:graphicData uri="http://schemas.openxmlformats.org/drawingml/2006/picture">
                <pic:pic xmlns:pic="http://schemas.openxmlformats.org/drawingml/2006/picture">
                  <pic:nvPicPr>
                    <pic:cNvPr id="0" name="image85.jpg"/>
                    <pic:cNvPicPr preferRelativeResize="0"/>
                  </pic:nvPicPr>
                  <pic:blipFill>
                    <a:blip r:embed="rId30"/>
                    <a:srcRect l="3521" r="6260" b="45182"/>
                    <a:stretch>
                      <a:fillRect/>
                    </a:stretch>
                  </pic:blipFill>
                  <pic:spPr>
                    <a:xfrm>
                      <a:off x="0" y="0"/>
                      <a:ext cx="3473288" cy="4203467"/>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highlight w:val="yellow"/>
          <w:lang w:val="ca" w:eastAsia="ca-ES"/>
        </w:rPr>
      </w:pPr>
      <w:r w:rsidRPr="00B66F1E">
        <w:rPr>
          <w:rFonts w:ascii="Arial" w:eastAsia="Arial" w:hAnsi="Arial" w:cs="Arial"/>
          <w:sz w:val="20"/>
          <w:szCs w:val="20"/>
          <w:lang w:val="ca" w:eastAsia="ca-ES"/>
        </w:rPr>
        <w:t>Figure S26. Damage patterns analysis of ancient DNA extracted from museum specimens using MapDamage for batch 6. The Fragmisincorporation plot visualizes nucleotide misincorporation patterns at the 5′ and 3′ ends of DNA fragments.</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19" w:name="_Toc234923654"/>
      <w:r w:rsidRPr="00B66F1E">
        <w:rPr>
          <w:rFonts w:ascii="Arial" w:eastAsia="Arial" w:hAnsi="Arial" w:cs="Arial"/>
          <w:sz w:val="32"/>
          <w:szCs w:val="32"/>
          <w:lang w:val="ca" w:eastAsia="ca-ES"/>
        </w:rPr>
        <w:t>2.3 Relatedness</w:t>
      </w:r>
      <w:bookmarkEnd w:id="19"/>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Kinship relations were assessed using ANGSD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{"citationID":"2YJ5KVn0","properties":{"formattedCitation":"[58]","plainCitation":"[58]","noteIndex":0},"citationItems":[{"id":93,"uris":["http://zotero.org/users/local/jTutsuih/items/M3LY3VFM"],"itemData":{"id":93,"type":"article-journal","container-title":"BMC Bioinformatics","DOI":"10.1186/s12859-014-0356-4","ISSN":"1471-2105","issue":"1","journalAbbreviation":"BMC Bioinformatics","language":"en","page":"356","source":"DOI.org (Crossref)","title":"ANGSD: Analysis of Next Generation Sequencing Data","title-short":"ANGSD","volume":"15","author":[{"family":"Korneliussen","given":"Thorfinn Sand"},{"family":"Albrechtsen","given":"Anders"},{"family":"Nielsen","given":"Rasmus"}],"issued":{"date-parts":[["2014",12]]}}}],"schema":"https://github.com/citation-style-language/schema/raw/master/csl-citation.json"}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[58]</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NgsRelate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{"citationID":"UwHvOezm","properties":{"formattedCitation":"[59]","plainCitation":"[59]","noteIndex":0},"citationItems":[{"id":97,"uris":["http://zotero.org/users/local/jTutsuih/items/IWTDLIIL"],"itemData":{"id":97,"type":"article-journal","abstract":"Abstract\n            Motivation: Pairwise relatedness estimation is important in many contexts such as disease mapping and population genetics. However, all existing estimation methods are based on called genotypes, which is not ideal for next-generation sequencing (NGS) data of low depth from which genotypes cannot be called with high certainty.\n            Results: We present a software tool, NgsRelate, for estimating pairwise relatedness from NGS data. It provides maximum likelihood estimates that are based on genotype likelihoods instead of genotypes and thereby takes the inherent uncertainty of the genotypes into account. Using both simulated and real data, we show that NgsRelate provides markedly better estimates for low-depth NGS data than two state-of-the-art genotype-based methods.\n            Availability: NgsRelate is implemented in C++ and is available under the GNU license at www.popgen.dk/software.\n            Contact: ida@binf.ku.dk\n            Supplementary information:  Supplementary data are available at Bioinformatics online.","container-title":"Bioinformatics","DOI":"10.1093/bioinformatics/btv509","ISSN":"1367-4811, 1367-4803","issue":"24","language":"en","license":"http://creativecommons.org/licenses/by/4.0/","page":"4009-4011","source":"DOI.org (Crossref)","title":"NgsRelate: a software tool for estimating pairwise relatedness from next-generation sequencing data","title-short":"NgsRelate","volume":"31","author":[{"family":"Korneliussen","given":"Thorfinn Sand"},{"family":"Moltke","given":"Ida"}],"issued":{"date-parts":[["2015",12,15]]}}}],"schema":"https://github.com/citation-style-language/schema/raw/master/csl-citation.json"}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[59]</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per gorilla sampling site for each pair of individuals that passed our filtering criteria (coverage &gt; 0.5X and human contamination &lt; 1%). This analysis was run per sample site, as population-specific allele frequencies were used.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First-degree relatives, including monozygotic twins and duplicated individuals, were removed to prevent potential bias in population analyses. Coverage and the number of related pairs involved were used as the main criteria to remove individuals from each related pair. In total, 25 samples were removed due to first-degree relatedness or possible duplicates. Relatedness between pairs of individuals is represented in the plots below for all sites containing at least one third-degree relationship (Figures S27-S31 and Tables S7-10). </w:t>
      </w:r>
    </w:p>
    <w:p w:rsidR="00B66F1E" w:rsidRPr="00B66F1E" w:rsidRDefault="00B66F1E" w:rsidP="00B66F1E">
      <w:pPr>
        <w:keepNext/>
        <w:keepLines/>
        <w:spacing w:before="200" w:after="200" w:line="276" w:lineRule="auto"/>
        <w:outlineLvl w:val="2"/>
        <w:rPr>
          <w:rFonts w:ascii="Arial" w:eastAsia="Arial" w:hAnsi="Arial" w:cs="Arial"/>
          <w:color w:val="434343"/>
          <w:sz w:val="28"/>
          <w:szCs w:val="28"/>
          <w:lang w:val="ca" w:eastAsia="ca-ES"/>
        </w:rPr>
      </w:pPr>
      <w:bookmarkStart w:id="20" w:name="_Toc234923655"/>
      <w:r w:rsidRPr="00B66F1E">
        <w:rPr>
          <w:rFonts w:ascii="Arial" w:eastAsia="Arial" w:hAnsi="Arial" w:cs="Arial"/>
          <w:color w:val="434343"/>
          <w:sz w:val="28"/>
          <w:szCs w:val="28"/>
          <w:lang w:val="ca" w:eastAsia="ca-ES"/>
        </w:rPr>
        <w:lastRenderedPageBreak/>
        <w:t>Cross River gorillas</w:t>
      </w:r>
      <w:bookmarkEnd w:id="20"/>
    </w:p>
    <w:p w:rsidR="00B66F1E" w:rsidRPr="00B66F1E" w:rsidRDefault="00B66F1E" w:rsidP="00B66F1E">
      <w:pPr>
        <w:spacing w:after="200" w:line="360" w:lineRule="auto"/>
        <w:jc w:val="both"/>
        <w:rPr>
          <w:rFonts w:ascii="Arial" w:eastAsia="Arial" w:hAnsi="Arial" w:cs="Arial"/>
          <w:b/>
          <w:lang w:val="ca" w:eastAsia="ca-ES"/>
        </w:rPr>
      </w:pPr>
      <w:r w:rsidRPr="00B66F1E">
        <w:rPr>
          <w:rFonts w:ascii="Arial" w:eastAsia="Arial" w:hAnsi="Arial" w:cs="Arial"/>
          <w:lang w:val="ca" w:eastAsia="ca-ES"/>
        </w:rPr>
        <w:t xml:space="preserve">For Cross River gorillas, where we extracted chromosome 21 of the whole genome data generated in Alvarez-Estape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{"citationID":"0V47yjHS","properties":{"formattedCitation":"[76]","plainCitation":"[76]","noteIndex":0},"citationItems":[{"id":22,"uris":["http://zotero.org/users/local/jTutsuih/items/LAE9J37X"],"itemData":{"id":22,"type":"article-journal","abstract":"The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first and second degree relatedness results (Figure S27) were as expected in accordance with the related pairs found in </w:t>
      </w:r>
      <w:hyperlink r:id="rId31">
        <w:r w:rsidRPr="00B66F1E">
          <w:rPr>
            <w:rFonts w:ascii="Arial" w:eastAsia="Arial" w:hAnsi="Arial" w:cs="Arial"/>
            <w:lang w:val="ca" w:eastAsia="ca-ES"/>
          </w:rPr>
          <w:t xml:space="preserve">Alvarez-Estape et al. </w:t>
        </w:r>
      </w:hyperlink>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{"citationID":"8stUjc0q","properties":{"formattedCitation":"[76]","plainCitation":"[76]","noteIndex":0},"citationItems":[{"id":22,"uris":["http://zotero.org/users/local/jTutsuih/items/LAE9J37X"],"itemData":{"id":22,"type":"article-journal","abstract":"The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using the whole genomes, except for one pair. Taking only the chromosome 21 on-target space, Afi20 and Afi17 were found as first-degree related pairs, in contrast with </w:t>
      </w:r>
      <w:hyperlink r:id="rId32">
        <w:r w:rsidRPr="00B66F1E">
          <w:rPr>
            <w:rFonts w:ascii="Arial" w:eastAsia="Arial" w:hAnsi="Arial" w:cs="Arial"/>
            <w:lang w:val="ca" w:eastAsia="ca-ES"/>
          </w:rPr>
          <w:t xml:space="preserve">Alvarez-Estape et al. </w:t>
        </w:r>
      </w:hyperlink>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{"citationID":"RcP1J68g","properties":{"formattedCitation":"[76]","plainCitation":"[76]","noteIndex":0},"citationItems":[{"id":22,"uris":["http://zotero.org/users/local/jTutsuih/items/LAE9J37X"],"itemData":{"id":22,"type":"article-journal","abstract":"The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where they were described as second-degree related.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2F15E2DB" wp14:editId="75ACC0D3">
            <wp:extent cx="5731200" cy="2451100"/>
            <wp:effectExtent l="0" t="0" r="0" b="0"/>
            <wp:docPr id="72"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33"/>
                    <a:srcRect/>
                    <a:stretch>
                      <a:fillRect/>
                    </a:stretch>
                  </pic:blipFill>
                  <pic:spPr>
                    <a:xfrm>
                      <a:off x="0" y="0"/>
                      <a:ext cx="5731200" cy="24511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S27. Relatedness pairs of Cross River gorilla sites. A) Kagwene Gorilla Sanctuary B) Afi Mountain Wildlife Sanctuary. </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Afi Mountain Wildlife Sanctuary samples removed were: Afi17, Afi12, Afi8, Afi15, Afi11. Only one sample from Kagwene Gorilla Sanctuary was removed (Kag5). CRNP-Boshi Extension and Mbe Mountains sites did not show any relatedness between individuals.</w:t>
      </w:r>
    </w:p>
    <w:p w:rsidR="00B66F1E" w:rsidRPr="00B66F1E" w:rsidRDefault="00B66F1E" w:rsidP="00B66F1E">
      <w:pPr>
        <w:keepNext/>
        <w:keepLines/>
        <w:spacing w:before="320" w:after="200" w:line="276" w:lineRule="auto"/>
        <w:outlineLvl w:val="2"/>
        <w:rPr>
          <w:rFonts w:ascii="Arial" w:eastAsia="Arial" w:hAnsi="Arial" w:cs="Arial"/>
          <w:color w:val="434343"/>
          <w:sz w:val="28"/>
          <w:szCs w:val="28"/>
          <w:lang w:val="ca" w:eastAsia="ca-ES"/>
        </w:rPr>
      </w:pPr>
      <w:bookmarkStart w:id="21" w:name="_Toc234923656"/>
      <w:r w:rsidRPr="00B66F1E">
        <w:rPr>
          <w:rFonts w:ascii="Arial" w:eastAsia="Arial" w:hAnsi="Arial" w:cs="Arial"/>
          <w:color w:val="434343"/>
          <w:sz w:val="28"/>
          <w:szCs w:val="28"/>
          <w:lang w:val="ca" w:eastAsia="ca-ES"/>
        </w:rPr>
        <w:t>Eastern lowland gorillas</w:t>
      </w:r>
      <w:bookmarkEnd w:id="21"/>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lang w:val="ca" w:eastAsia="ca-ES"/>
        </w:rPr>
        <w:t>Kahuzi-Biega National Park (KaB)</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One sample from Kahuzi-Biega (KaB) was removed (L1546A1) due to first-degree relatedness (Figure S28). </w:t>
      </w: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7F6E539D" wp14:editId="468A9CB4">
            <wp:extent cx="5167313" cy="3442014"/>
            <wp:effectExtent l="0" t="0" r="0" b="0"/>
            <wp:docPr id="49" name="image51.jpg"/>
            <wp:cNvGraphicFramePr/>
            <a:graphic xmlns:a="http://schemas.openxmlformats.org/drawingml/2006/main">
              <a:graphicData uri="http://schemas.openxmlformats.org/drawingml/2006/picture">
                <pic:pic xmlns:pic="http://schemas.openxmlformats.org/drawingml/2006/picture">
                  <pic:nvPicPr>
                    <pic:cNvPr id="0" name="image51.jpg"/>
                    <pic:cNvPicPr preferRelativeResize="0"/>
                  </pic:nvPicPr>
                  <pic:blipFill>
                    <a:blip r:embed="rId34"/>
                    <a:srcRect/>
                    <a:stretch>
                      <a:fillRect/>
                    </a:stretch>
                  </pic:blipFill>
                  <pic:spPr>
                    <a:xfrm>
                      <a:off x="0" y="0"/>
                      <a:ext cx="5167313" cy="3442014"/>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S28. Relatedness pairs of eastern lowland gorilla sites at Kahuzi-Biega National Park.</w:t>
      </w:r>
    </w:p>
    <w:p w:rsidR="00B66F1E" w:rsidRPr="00B66F1E" w:rsidRDefault="00B66F1E" w:rsidP="00B66F1E">
      <w:pPr>
        <w:spacing w:after="200" w:line="360" w:lineRule="auto"/>
        <w:jc w:val="both"/>
        <w:rPr>
          <w:rFonts w:ascii="Arial" w:eastAsia="Arial" w:hAnsi="Arial" w:cs="Arial"/>
          <w:b/>
          <w:lang w:val="ca" w:eastAsia="ca-ES"/>
        </w:rPr>
      </w:pPr>
      <w:r w:rsidRPr="00B66F1E">
        <w:rPr>
          <w:rFonts w:ascii="Arial" w:eastAsia="Arial" w:hAnsi="Arial" w:cs="Arial"/>
          <w:lang w:val="ca" w:eastAsia="ca-ES"/>
        </w:rPr>
        <w:t xml:space="preserve">The sampling sites, Maiko (Mai) and Nkuba Conservation Area (NCA), did not show any first, second or third-degree relatedness. </w:t>
      </w:r>
    </w:p>
    <w:p w:rsidR="00B66F1E" w:rsidRPr="00B66F1E" w:rsidRDefault="00B66F1E" w:rsidP="00B66F1E">
      <w:pPr>
        <w:keepNext/>
        <w:keepLines/>
        <w:spacing w:before="320" w:after="200" w:line="276" w:lineRule="auto"/>
        <w:outlineLvl w:val="2"/>
        <w:rPr>
          <w:rFonts w:ascii="Arial" w:eastAsia="Arial" w:hAnsi="Arial" w:cs="Arial"/>
          <w:color w:val="434343"/>
          <w:sz w:val="28"/>
          <w:szCs w:val="28"/>
          <w:lang w:val="ca" w:eastAsia="ca-ES"/>
        </w:rPr>
      </w:pPr>
      <w:bookmarkStart w:id="22" w:name="_Toc234923657"/>
      <w:r w:rsidRPr="00B66F1E">
        <w:rPr>
          <w:rFonts w:ascii="Arial" w:eastAsia="Arial" w:hAnsi="Arial" w:cs="Arial"/>
          <w:color w:val="434343"/>
          <w:sz w:val="28"/>
          <w:szCs w:val="28"/>
          <w:lang w:val="ca" w:eastAsia="ca-ES"/>
        </w:rPr>
        <w:t>Mountain gorillas</w:t>
      </w:r>
      <w:bookmarkEnd w:id="22"/>
    </w:p>
    <w:p w:rsidR="00B66F1E" w:rsidRPr="00B66F1E" w:rsidRDefault="00B66F1E" w:rsidP="00B66F1E">
      <w:pPr>
        <w:spacing w:after="200" w:line="360" w:lineRule="auto"/>
        <w:jc w:val="both"/>
        <w:rPr>
          <w:rFonts w:ascii="Arial" w:eastAsia="Arial" w:hAnsi="Arial" w:cs="Arial"/>
          <w:b/>
          <w:lang w:val="ca" w:eastAsia="ca-ES"/>
        </w:rPr>
      </w:pPr>
      <w:r w:rsidRPr="00B66F1E">
        <w:rPr>
          <w:rFonts w:ascii="Arial" w:eastAsia="Arial" w:hAnsi="Arial" w:cs="Arial"/>
          <w:lang w:val="ca" w:eastAsia="ca-ES"/>
        </w:rPr>
        <w:t>From Bwindi, none of the three hair samples were related. For the Virunga site, 2 samples were removed (Figure S29): L2646A1, L2680A1.</w:t>
      </w:r>
    </w:p>
    <w:p w:rsidR="00B66F1E" w:rsidRPr="00B66F1E" w:rsidRDefault="00B66F1E" w:rsidP="00B66F1E">
      <w:pPr>
        <w:spacing w:after="0" w:line="360"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4EAA8A2B" wp14:editId="7F837938">
            <wp:extent cx="5731200" cy="4013200"/>
            <wp:effectExtent l="0" t="0" r="0" b="0"/>
            <wp:docPr id="14"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5"/>
                    <a:srcRect/>
                    <a:stretch>
                      <a:fillRect/>
                    </a:stretch>
                  </pic:blipFill>
                  <pic:spPr>
                    <a:xfrm>
                      <a:off x="0" y="0"/>
                      <a:ext cx="5731200" cy="4013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S29. Relatedness pairs of the Virunga site - mountain gorillas.</w:t>
      </w:r>
    </w:p>
    <w:p w:rsidR="00B66F1E" w:rsidRPr="00B66F1E" w:rsidRDefault="00B66F1E" w:rsidP="00B66F1E">
      <w:pPr>
        <w:spacing w:after="0" w:line="276" w:lineRule="auto"/>
        <w:rPr>
          <w:rFonts w:ascii="Arial" w:eastAsia="Arial" w:hAnsi="Arial" w:cs="Arial"/>
          <w:b/>
          <w:lang w:val="ca" w:eastAsia="ca-ES"/>
        </w:rPr>
      </w:pPr>
    </w:p>
    <w:p w:rsidR="00B66F1E" w:rsidRPr="00B66F1E" w:rsidRDefault="00B66F1E" w:rsidP="00B66F1E">
      <w:pPr>
        <w:keepNext/>
        <w:keepLines/>
        <w:spacing w:before="320" w:after="200" w:line="276" w:lineRule="auto"/>
        <w:outlineLvl w:val="2"/>
        <w:rPr>
          <w:rFonts w:ascii="Arial" w:eastAsia="Arial" w:hAnsi="Arial" w:cs="Arial"/>
          <w:color w:val="434343"/>
          <w:sz w:val="28"/>
          <w:szCs w:val="28"/>
          <w:lang w:val="ca" w:eastAsia="ca-ES"/>
        </w:rPr>
      </w:pPr>
      <w:bookmarkStart w:id="23" w:name="_Toc234923658"/>
      <w:r w:rsidRPr="00B66F1E">
        <w:rPr>
          <w:rFonts w:ascii="Arial" w:eastAsia="Arial" w:hAnsi="Arial" w:cs="Arial"/>
          <w:color w:val="434343"/>
          <w:sz w:val="28"/>
          <w:szCs w:val="28"/>
          <w:lang w:val="ca" w:eastAsia="ca-ES"/>
        </w:rPr>
        <w:t>Western lowland gorillas</w:t>
      </w:r>
      <w:bookmarkEnd w:id="23"/>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For the western lowland gorilla subspecies, just 5 sites presented duplicated individuals or first to third-degree related pairs.</w:t>
      </w: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lang w:val="ca" w:eastAsia="ca-ES"/>
        </w:rPr>
        <w:t>Ngaga Camp, Diba and Dzébé (Nga-Dib-Dze)</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71CE653B" wp14:editId="160E8D6F">
            <wp:extent cx="5731200" cy="4584700"/>
            <wp:effectExtent l="0" t="0" r="0" b="0"/>
            <wp:docPr id="67"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36"/>
                    <a:srcRect/>
                    <a:stretch>
                      <a:fillRect/>
                    </a:stretch>
                  </pic:blipFill>
                  <pic:spPr>
                    <a:xfrm>
                      <a:off x="0" y="0"/>
                      <a:ext cx="5731200" cy="4584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S30. Relatedness pairs Ngaga camp, Diba and Dzébé western lowland gorillas.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For the Nga-Dib-Dze site, 11 samples were removed (Figure S30): L1272A3, L1274A3, L1269A0, L1260A2, L1276A1, L1277A1, L1436A1, Nga50, L1437A1, Nga52, Nga56.</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La Belgique, Lobéké, Lomié and Mambele</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removed one sample from La Belgique (Bel); L1504A1 (Figure S31A). No samples were removed from Lobéké (Lob); 1 second-degree relationship was found (Figure S31B). Three samples from Lomié (Lom) were removed (Figure S31C): L1366A1, L1367A1, L1369A. No samples were removed from Mambele (Mam); 1 third-degree relationship was found (Figure S31D). No other relatedness pairs were found in the rest of the western lowland sites: Dzanga-Ndoki (Dza), Campo (Cam), Deng Deng (Den), Djoum (Djo), Lokoué-Imbalanga (Lok-Imb), Mengamé (Men), Monte Alen (MoA), Messok (Mes), Moukalaba-Doudau (Mou), Nki, Ivindo (Ivi) and Goualougo (Gou).  </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47549EAF" wp14:editId="145884BB">
            <wp:extent cx="4938713" cy="3206144"/>
            <wp:effectExtent l="0" t="0" r="0" b="0"/>
            <wp:docPr id="97" name="image96.jpg"/>
            <wp:cNvGraphicFramePr/>
            <a:graphic xmlns:a="http://schemas.openxmlformats.org/drawingml/2006/main">
              <a:graphicData uri="http://schemas.openxmlformats.org/drawingml/2006/picture">
                <pic:pic xmlns:pic="http://schemas.openxmlformats.org/drawingml/2006/picture">
                  <pic:nvPicPr>
                    <pic:cNvPr id="0" name="image96.jpg"/>
                    <pic:cNvPicPr preferRelativeResize="0"/>
                  </pic:nvPicPr>
                  <pic:blipFill>
                    <a:blip r:embed="rId37"/>
                    <a:srcRect/>
                    <a:stretch>
                      <a:fillRect/>
                    </a:stretch>
                  </pic:blipFill>
                  <pic:spPr>
                    <a:xfrm>
                      <a:off x="0" y="0"/>
                      <a:ext cx="4938713" cy="3206144"/>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S31. Relatedness pairs of western lowland gorilla sites. A) Bel  B) Lob C) Lom D) Mam.</w:t>
      </w:r>
    </w:p>
    <w:p w:rsidR="00B66F1E" w:rsidRPr="00B66F1E" w:rsidRDefault="00B66F1E" w:rsidP="00B66F1E">
      <w:pPr>
        <w:keepNext/>
        <w:keepLines/>
        <w:spacing w:before="360" w:after="200" w:line="276" w:lineRule="auto"/>
        <w:jc w:val="both"/>
        <w:outlineLvl w:val="1"/>
        <w:rPr>
          <w:rFonts w:ascii="Arial" w:eastAsia="Arial" w:hAnsi="Arial" w:cs="Arial"/>
          <w:sz w:val="32"/>
          <w:szCs w:val="32"/>
          <w:lang w:val="ca" w:eastAsia="ca-ES"/>
        </w:rPr>
      </w:pPr>
      <w:bookmarkStart w:id="24" w:name="_Toc234923659"/>
      <w:r w:rsidRPr="00B66F1E">
        <w:rPr>
          <w:rFonts w:ascii="Arial" w:eastAsia="Arial" w:hAnsi="Arial" w:cs="Arial"/>
          <w:sz w:val="32"/>
          <w:szCs w:val="32"/>
          <w:lang w:val="ca" w:eastAsia="ca-ES"/>
        </w:rPr>
        <w:t>2.4 Variant calling metrics</w:t>
      </w:r>
      <w:bookmarkEnd w:id="24"/>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In order to define proper filters for calling genotypes in this dataset, statistics of the called variants were calculated.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Genotype quality was measured for all variants in order to evaluate the overall quality of the variants (Figure S32). Finally, a threshold of a minimum of 20 was applied to filter out variants.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22E8B5A7" wp14:editId="548D9897">
            <wp:extent cx="4433888" cy="2653418"/>
            <wp:effectExtent l="0" t="0" r="0" b="0"/>
            <wp:docPr id="76"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38"/>
                    <a:srcRect/>
                    <a:stretch>
                      <a:fillRect/>
                    </a:stretch>
                  </pic:blipFill>
                  <pic:spPr>
                    <a:xfrm>
                      <a:off x="0" y="0"/>
                      <a:ext cx="4433888" cy="2653418"/>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S32. Genotype quality distribution for all called variants (samples &gt; 5X)</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lastRenderedPageBreak/>
        <w:t xml:space="preserve">Missing data for each sample and each site was calculated from the VCF file using the --missing-indv and --missing-site options of VCFtools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{"citationID":"gO1XNwBi","properties":{"formattedCitation":"[64]","plainCitation":"[64]","noteIndex":0},"citationItems":[{"id":56,"uris":["http://zotero.org/users/local/jTutsuih/items/IKS57NDB"],"itemData":{"id":56,"type":"article-journal","abstract":"Abstract\n            Summary: The variant call format (VCF) is a generic format for storing DNA polymorphism data such as SNPs, insertions, deletions and structural variants, together with rich annotations. VCF is usually stored in a compressed manner and can be indexed for fast data retrieval of variants from a range of positions on the reference genome. The format was developed for the 1000 Genomes Project, and has also been adopted by other projects such as UK10K, dbSNP and the NHLBI Exome Project. VCFtools is a software suite that implements various utilities for processing VCF files, including validation, merging, comparing and also provides a general Perl API.\n            Availability:  http://vcftools.sourceforge.net\n            Contact:  rd@sanger.ac.uk","container-title":"Bioinformatics","DOI":"10.1093/bioinformatics/btr330","ISSN":"1367-4811, 1367-4803","issue":"15","language":"en","license":"http://creativecommons.org/licenses/by-nc/2.5","page":"2156-2158","source":"DOI.org (Crossref)","title":"The variant call format and VCFtools","volume":"27","author":[{"family":"Danecek","given":"Petr"},{"family":"Auton","given":"Adam"},{"family":"Abecasis","given":"Goncalo"},{"family":"Albers","given":"Cornelis A."},{"family":"Banks","given":"Eric"},{"family":"DePristo","given":"Mark A."},{"family":"Handsaker","given":"Robert E."},{"family":"Lunter","given":"Gerton"},{"family":"Marth","given":"Gabor T."},{"family":"Sherry","given":"Stephen T."},{"family":"McVean","given":"Gilean"},{"family":"Durbin","given":"Richard"},{"literal":"1000 Genomes Project Analysis Group"}],"issued":{"date-parts":[["2011",8,1]]}}}],"schema":"https://github.com/citation-style-language/schema/raw/master/csl-citation.json"}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[64]</w:t>
      </w:r>
      <w:r w:rsidRPr="00B66F1E">
        <w:rPr>
          <w:rFonts w:ascii="Arial" w:eastAsia="Arial" w:hAnsi="Arial" w:cs="Arial"/>
          <w:lang w:val="ca" w:eastAsia="ca-ES"/>
        </w:rPr>
        <w:fldChar w:fldCharType="end"/>
      </w:r>
      <w:r w:rsidRPr="00B66F1E">
        <w:rPr>
          <w:rFonts w:ascii="Arial" w:eastAsia="Arial" w:hAnsi="Arial" w:cs="Arial"/>
          <w:lang w:val="ca" w:eastAsia="ca-ES"/>
        </w:rPr>
        <w:t>. Missing data versus coverage per sample was plotted (Figure S33).</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b/>
          <w:noProof/>
          <w:lang w:val="ca" w:eastAsia="ca-ES"/>
        </w:rPr>
        <w:drawing>
          <wp:inline distT="114300" distB="114300" distL="114300" distR="114300" wp14:anchorId="5723B949" wp14:editId="10881CF5">
            <wp:extent cx="5348288" cy="1750187"/>
            <wp:effectExtent l="0" t="0" r="0" b="0"/>
            <wp:docPr id="77"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39"/>
                    <a:srcRect/>
                    <a:stretch>
                      <a:fillRect/>
                    </a:stretch>
                  </pic:blipFill>
                  <pic:spPr>
                    <a:xfrm>
                      <a:off x="0" y="0"/>
                      <a:ext cx="5348288" cy="1750187"/>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S33. Coverage against missingness for the called variants (samples &gt; 5X), per sample type and sequencing batch (CNAG subproject).</w:t>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 xml:space="preserve">Depth of coverage was extracted for all positions using the --site-mean-depth option of VCFtools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{"citationID":"eQTRdeNN","properties":{"formattedCitation":"[64]","plainCitation":"[64]","noteIndex":0},"citationItems":[{"id":56,"uris":["http://zotero.org/users/local/jTutsuih/items/IKS57NDB"],"itemData":{"id":56,"type":"article-journal","abstract":"Abstract\n            Summary: The variant call format (VCF) is a generic format for storing DNA polymorphism data such as SNPs, insertions, deletions and structural variants, together with rich annotations. VCF is usually stored in a compressed manner and can be indexed for fast data retrieval of variants from a range of positions on the reference genome. The format was developed for the 1000 Genomes Project, and has also been adopted by other projects such as UK10K, dbSNP and the NHLBI Exome Project. VCFtools is a software suite that implements various utilities for processing VCF files, including validation, merging, comparing and also provides a general Perl API.\n            Availability:  http://vcftools.sourceforge.net\n            Contact:  rd@sanger.ac.uk","container-title":"Bioinformatics","DOI":"10.1093/bioinformatics/btr330","ISSN":"1367-4811, 1367-4803","issue":"15","language":"en","license":"http://creativecommons.org/licenses/by-nc/2.5","page":"2156-2158","source":"DOI.org (Crossref)","title":"The variant call format and VCFtools","volume":"27","author":[{"family":"Danecek","given":"Petr"},{"family":"Auton","given":"Adam"},{"family":"Abecasis","given":"Goncalo"},{"family":"Albers","given":"Cornelis A."},{"family":"Banks","given":"Eric"},{"family":"DePristo","given":"Mark A."},{"family":"Handsaker","given":"Robert E."},{"family":"Lunter","given":"Gerton"},{"family":"Marth","given":"Gabor T."},{"family":"Sherry","given":"Stephen T."},{"family":"McVean","given":"Gilean"},{"family":"Durbin","given":"Richard"},{"literal":"1000 Genomes Project Analysis Group"}],"issued":{"date-parts":[["2011",8,1]]}}}],"schema":"https://github.com/citation-style-language/schema/raw/master/csl-citation.json"}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[64]</w:t>
      </w:r>
      <w:r w:rsidRPr="00B66F1E">
        <w:rPr>
          <w:rFonts w:ascii="Arial" w:eastAsia="Arial" w:hAnsi="Arial" w:cs="Arial"/>
          <w:lang w:val="ca" w:eastAsia="ca-ES"/>
        </w:rPr>
        <w:fldChar w:fldCharType="end"/>
      </w:r>
      <w:r w:rsidRPr="00B66F1E">
        <w:rPr>
          <w:rFonts w:ascii="Arial" w:eastAsia="Arial" w:hAnsi="Arial" w:cs="Arial"/>
          <w:lang w:val="ca" w:eastAsia="ca-ES"/>
        </w:rPr>
        <w:t>.</w:t>
      </w:r>
    </w:p>
    <w:p w:rsidR="00B66F1E" w:rsidRPr="00B66F1E" w:rsidRDefault="00B66F1E" w:rsidP="00B66F1E">
      <w:pPr>
        <w:keepNext/>
        <w:keepLines/>
        <w:spacing w:before="400" w:after="200" w:line="360" w:lineRule="auto"/>
        <w:jc w:val="both"/>
        <w:outlineLvl w:val="0"/>
        <w:rPr>
          <w:rFonts w:ascii="Arial" w:eastAsia="Arial" w:hAnsi="Arial" w:cs="Arial"/>
          <w:sz w:val="40"/>
          <w:szCs w:val="40"/>
          <w:lang w:val="ca" w:eastAsia="ca-ES"/>
        </w:rPr>
      </w:pPr>
      <w:bookmarkStart w:id="25" w:name="_Toc234923660"/>
      <w:r w:rsidRPr="00B66F1E">
        <w:rPr>
          <w:rFonts w:ascii="Arial" w:eastAsia="Arial" w:hAnsi="Arial" w:cs="Arial"/>
          <w:sz w:val="40"/>
          <w:szCs w:val="40"/>
          <w:lang w:val="ca" w:eastAsia="ca-ES"/>
        </w:rPr>
        <w:t>3. Population structure</w:t>
      </w:r>
      <w:bookmarkEnd w:id="25"/>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Population structure was assessed using ANGSD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{"citationID":"RZHZMblo","properties":{"formattedCitation":"[58]","plainCitation":"[58]","noteIndex":0},"citationItems":[{"id":93,"uris":["http://zotero.org/users/local/jTutsuih/items/M3LY3VFM"],"itemData":{"id":93,"type":"article-journal","container-title":"BMC Bioinformatics","DOI":"10.1186/s12859-014-0356-4","ISSN":"1471-2105","issue":"1","journalAbbreviation":"BMC Bioinformatics","language":"en","page":"356","source":"DOI.org (Crossref)","title":"ANGSD: Analysis of Next Generation Sequencing Data","title-short":"ANGSD","volume":"15","author":[{"family":"Korneliussen","given":"Thorfinn Sand"},{"family":"Albrechtsen","given":"Anders"},{"family":"Nielsen","given":"Rasmus"}],"issued":{"date-parts":[["2014",12]]}}}],"schema":"https://github.com/citation-style-language/schema/raw/master/csl-citation.json"}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[58]</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pcANGSD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{"citationID":"UJvB2Aox","properties":{"formattedCitation":"[60]","plainCitation":"[60]","noteIndex":0},"citationItems":[{"id":112,"uris":["http://zotero.org/users/local/jTutsuih/items/WM38VYPM"],"itemData":{"id":112,"type":"article-journal","abstract":"Abstract\n            Meisner and Albrechtsen present two methods for inferring population structure and admixture proportions in low depth next-generation sequencing (NGS). NGS methods provide large amounts of genetic data but are associated with statistical uncertainty, especially for low-depth...\n            We here present two methods for inferring population structure and admixture proportions in low-depth next-generation sequencing (NGS) data. Inference of population structure is essential in both population genetics and association studies, and is often performed using principal component analysis (PCA) or clustering-based approaches. NGS methods provide large amounts of genetic data but are associated with statistical uncertainty, especially for low-depth sequencing data. Models can account for this uncertainty by working directly on genotype likelihoods of the unobserved genotypes. We propose a method for inferring population structure through PCA in an iterative heuristic approach of estimating individual allele frequencies, where we demonstrate improved accuracy in samples with low and variable sequencing depth for both simulated and real datasets. We also use the estimated individual allele frequencies in a fast non-negative matrix factorization method to estimate admixture proportions. Both methods have been implemented in the PCAngsd framework available at http://www.popgen.dk/software/.","container-title":"Genetics","DOI":"10.1534/genetics.118.301336","ISSN":"1943-2631","issue":"2","language":"en","license":"https://academic.oup.com/journals/pages/open_access/funder_policies/chorus/standard_publication_model","page":"719-731","source":"DOI.org (Crossref)","title":"Inferring Population Structure and Admixture Proportions in Low-Depth NGS Data","volume":"210","author":[{"family":"Meisner","given":"Jonas"},{"family":"Albrechtsen","given":"Anders"}],"issued":{"date-parts":[["2018",10,1]]}}}],"schema":"https://github.com/citation-style-language/schema/raw/master/csl-citation.json"}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[60]</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NGSadmix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{"citationID":"7JhwXzhW","properties":{"formattedCitation":"[61]","plainCitation":"[61]","noteIndex":0},"citationItems":[{"id":163,"uris":["http://zotero.org/users/local/jTutsuih/items/N3ZU3XN2"],"itemData":{"id":163,"type":"article-journal","abstract":"Abstract\n            Inference of population structure and individual ancestry is important both for population genetics and for association studies. With next generation sequencing technologies it is possible to obtain genetic data for all accessible genetic variations in the genome. Existing methods for admixture analysis rely on known genotypes. However, individual genotypes cannot be inferred from low-depth sequencing data without introducing errors. This article presents a new method for inferring an individual’s ancestry that takes the uncertainty introduced in next generation sequencing data into account. This is achieved by working directly with genotype likelihoods that contain all relevant information of the unobserved genotypes. Using simulations as well as publicly available sequencing data, we demonstrate that the presented method has great accuracy even for very low-depth data. At the same time, we demonstrate that applying existing methods to genotypes called from the same data can introduce severe biases. The presented method is implemented in the NGSadmix software available at http://www.popgen.dk/software.","container-title":"Genetics","DOI":"10.1534/genetics.113.154138","ISSN":"1943-2631","issue":"3","language":"en","license":"https://academic.oup.com/journals/pages/open_access/funder_policies/chorus/standard_publication_model","page":"693-702","source":"DOI.org (Crossref)","title":"Estimating Individual Admixture Proportions from Next Generation Sequencing Data","volume":"195","author":[{"family":"Skotte","given":"Line"},{"family":"Korneliussen","given":"Thorfinn Sand"},{"family":"Albrechtsen","given":"Anders"}],"issued":{"date-parts":[["2013",11,1]]}}}],"schema":"https://github.com/citation-style-language/schema/raw/master/csl-citation.json"}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[61]</w:t>
      </w:r>
      <w:r w:rsidRPr="00B66F1E">
        <w:rPr>
          <w:rFonts w:ascii="Arial" w:eastAsia="Arial" w:hAnsi="Arial" w:cs="Arial"/>
          <w:lang w:val="ca" w:eastAsia="ca-ES"/>
        </w:rPr>
        <w:fldChar w:fldCharType="end"/>
      </w:r>
      <w:r w:rsidRPr="00B66F1E">
        <w:rPr>
          <w:rFonts w:ascii="Arial" w:eastAsia="Arial" w:hAnsi="Arial" w:cs="Arial"/>
          <w:lang w:val="ca" w:eastAsia="ca-ES"/>
        </w:rPr>
        <w:t>, which uses as input genotype likelihoods, for both chromosome 21 and exome captures.</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26" w:name="_Toc234923661"/>
      <w:r w:rsidRPr="00B66F1E">
        <w:rPr>
          <w:rFonts w:ascii="Arial" w:eastAsia="Arial" w:hAnsi="Arial" w:cs="Arial"/>
          <w:sz w:val="32"/>
          <w:szCs w:val="32"/>
          <w:lang w:val="ca" w:eastAsia="ca-ES"/>
        </w:rPr>
        <w:t>3.1. Principal component analysis</w:t>
      </w:r>
      <w:bookmarkEnd w:id="26"/>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performed principal component analysis (PCA) of chromosome 21 and the partial exome capture data using PCAngsd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{"citationID":"NUo0cq3z","properties":{"formattedCitation":"[60]","plainCitation":"[60]","noteIndex":0},"citationItems":[{"id":112,"uris":["http://zotero.org/users/local/jTutsuih/items/WM38VYPM"],"itemData":{"id":112,"type":"article-journal","abstract":"Abstract\n            Meisner and Albrechtsen present two methods for inferring population structure and admixture proportions in low depth next-generation sequencing (NGS). NGS methods provide large amounts of genetic data but are associated with statistical uncertainty, especially for low-depth...\n            We here present two methods for inferring population structure and admixture proportions in low-depth next-generation sequencing (NGS) data. Inference of population structure is essential in both population genetics and association studies, and is often performed using principal component analysis (PCA) or clustering-based approaches. NGS methods provide large amounts of genetic data but are associated with statistical uncertainty, especially for low-depth sequencing data. Models can account for this uncertainty by working directly on genotype likelihoods of the unobserved genotypes. We propose a method for inferring population structure through PCA in an iterative heuristic approach of estimating individual allele frequencies, where we demonstrate improved accuracy in samples with low and variable sequencing depth for both simulated and real datasets. We also use the estimated individual allele frequencies in a fast non-negative matrix factorization method to estimate admixture proportions. Both methods have been implemented in the PCAngsd framework available at http://www.popgen.dk/software/.","container-title":"Genetics","DOI":"10.1534/genetics.118.301336","ISSN":"1943-2631","issue":"2","language":"en","license":"https://academic.oup.com/journals/pages/open_access/funder_policies/chorus/standard_publication_model","page":"719-731","source":"DOI.org (Crossref)","title":"Inferring Population Structure and Admixture Proportions in Low-Depth NGS Data","volume":"210","author":[{"family":"Meisner","given":"Jonas"},{"family":"Albrechtsen","given":"Anders"}],"issued":{"date-parts":[["2018",10,1]]}}}],"schema":"https://github.com/citation-style-language/schema/raw/master/csl-citation.json"}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[60]</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(v1.21).</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Chromosome 21:</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performed PCA at different levels: species, subspecies and population level. For this analysis, all samples (&lt; 1% human contamination and &gt;= 0.5X average coverage) were used (faecal, hair, FTA card and museum samples), including chromosome 21 extracted from the publicly available genomes (Figure S34). The Ebo forest sample was included in the following analyses. No sample type bias was seen in any of the principal component analyses performed using chromosome 21 data (Figures S34-S43).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50CBAB02" wp14:editId="306C5AEC">
            <wp:extent cx="5731200" cy="2286000"/>
            <wp:effectExtent l="0" t="0" r="0" b="0"/>
            <wp:docPr id="70"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40"/>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S34. Principal Component Analysis gorilla genus (including all samples which passed the filters and the Ebo sample). 299 samples and 159.260 SNPs were used for this analysis. Each dot represents a unique sample, and each colour represents the subspecies of each sample (eastern lowland gorillas - green, mountain gorillas - blue, western lowland gorillas- yellow and Cross River gorillas - red). Shapes represent the different sample types used (faecal samples, FTA cards, hair samples, museum samples, and publicly available genomes for which chromosome 21 was extracted).</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Western gorilla species: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The principal component analysis of western gorillas clearly differentiated the two subspecies (highlighted in two different colours - yellow and red), as expected. Within the western lowland subspecies, three main clusters can be distinguished, one of them clustering closer to the Cross River gorilla subspecies for the first component (Figure S35).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47E8D87D" wp14:editId="4AC61B8F">
            <wp:extent cx="5734050" cy="2105025"/>
            <wp:effectExtent l="0" t="0" r="0" b="0"/>
            <wp:docPr id="1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1"/>
                    <a:srcRect t="7916"/>
                    <a:stretch>
                      <a:fillRect/>
                    </a:stretch>
                  </pic:blipFill>
                  <pic:spPr>
                    <a:xfrm>
                      <a:off x="0" y="0"/>
                      <a:ext cx="5734050" cy="2105025"/>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S35. Principal Component Analysis of western gorillas (including Ebo forest sample). 205 samples and 181.947 SNPs were used for this analysis. Each dot represents a unique sample, and each colour represents the subspecies of each sample (western lowland gorillas- yellow and Cross River gorillas - red). Shapes represent the different sample types used (faecal samples, FTA cards, hair samples, museum samples, and publicly available genomes for which chromosome 21 was extracted).</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lastRenderedPageBreak/>
        <w:t>When we colour the western gorillas by country of origin, in the first principal component, the Republic of Congo sites (represented in pink) are clustered separately in the three main groups (Figure S35). The Republic of Congo comprises the eastern part of the western lowland distribution, also being the southwest part of the distribution range. We have different sites from this country (</w:t>
      </w:r>
      <w:r w:rsidRPr="00B66F1E">
        <w:rPr>
          <w:rFonts w:ascii="Calibri" w:eastAsia="Calibri" w:hAnsi="Calibri" w:cs="Calibri"/>
          <w:sz w:val="24"/>
          <w:szCs w:val="24"/>
          <w:highlight w:val="white"/>
          <w:lang w:val="ca" w:eastAsia="ca-ES"/>
        </w:rPr>
        <w:t xml:space="preserve">Gou </w:t>
      </w:r>
      <w:r w:rsidRPr="00B66F1E">
        <w:rPr>
          <w:rFonts w:ascii="Arial" w:eastAsia="Arial" w:hAnsi="Arial" w:cs="Arial"/>
          <w:lang w:val="ca" w:eastAsia="ca-ES"/>
        </w:rPr>
        <w:t xml:space="preserve">- northern part of the country, Odzala National Park sites (Nga-Dib-Dze and Lok-Imb) and Conkouati (Con) - southern part of the country). Con site clustered with all southern sites from Gabon. </w:t>
      </w:r>
      <w:r w:rsidRPr="00B66F1E">
        <w:rPr>
          <w:rFonts w:ascii="Calibri" w:eastAsia="Calibri" w:hAnsi="Calibri" w:cs="Calibri"/>
          <w:sz w:val="24"/>
          <w:szCs w:val="24"/>
          <w:highlight w:val="white"/>
          <w:lang w:val="ca" w:eastAsia="ca-ES"/>
        </w:rPr>
        <w:t xml:space="preserve">Gou </w:t>
      </w:r>
      <w:r w:rsidRPr="00B66F1E">
        <w:rPr>
          <w:rFonts w:ascii="Arial" w:eastAsia="Arial" w:hAnsi="Arial" w:cs="Arial"/>
          <w:lang w:val="ca" w:eastAsia="ca-ES"/>
        </w:rPr>
        <w:t xml:space="preserve">site clustered with Dzanga-Ndoki National Park (Dza). The rest of the Republic of Congo sites are from the Odzala National Park (east to Gabon), which clustered together with all northern Gabon sites and Cameroon sites. We identified the L4450A1 sample as an outlier of the Gou sampling site, and therefore was removed from further analyses.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The unique Ebo sample used for this analysis did not cluster with any of the two western subspecies (highlighted with a red arrow) (Figure S36).</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2D1C2939" wp14:editId="2C66353E">
            <wp:extent cx="5118316" cy="3409376"/>
            <wp:effectExtent l="0" t="0" r="0" b="0"/>
            <wp:docPr id="37"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42"/>
                    <a:srcRect/>
                    <a:stretch>
                      <a:fillRect/>
                    </a:stretch>
                  </pic:blipFill>
                  <pic:spPr>
                    <a:xfrm>
                      <a:off x="0" y="0"/>
                      <a:ext cx="5118316" cy="3409376"/>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S36. Principal Component Analysis of western gorillas (including the Ebo forest sample). the red arrow indicates the Ebo forest sample. The purple circle indicates the Cross River gorilla cluster. The green circle indicates the Dzanga-Ndoki and </w:t>
      </w:r>
      <w:r w:rsidRPr="00B66F1E">
        <w:rPr>
          <w:rFonts w:ascii="Calibri" w:eastAsia="Calibri" w:hAnsi="Calibri" w:cs="Calibri"/>
          <w:sz w:val="24"/>
          <w:szCs w:val="24"/>
          <w:highlight w:val="white"/>
          <w:lang w:val="ca" w:eastAsia="ca-ES"/>
        </w:rPr>
        <w:t xml:space="preserve">Gou </w:t>
      </w:r>
      <w:r w:rsidRPr="00B66F1E">
        <w:rPr>
          <w:rFonts w:ascii="Arial" w:eastAsia="Arial" w:hAnsi="Arial" w:cs="Arial"/>
          <w:sz w:val="20"/>
          <w:szCs w:val="20"/>
          <w:lang w:val="ca" w:eastAsia="ca-ES"/>
        </w:rPr>
        <w:t xml:space="preserve">cluster. The blue circle highlights the southern cluster sites. Each dot represents a unique sample, and each colour represents the country origin of each sample. </w:t>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Western lowland gorilla subspecies: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Western lowland gorilla substructure was detected in the principal component analyses of only western lowland gorillas. For this analysis, we also included the unique Ebo </w:t>
      </w:r>
      <w:r w:rsidRPr="00B66F1E">
        <w:rPr>
          <w:rFonts w:ascii="Arial" w:eastAsia="Arial" w:hAnsi="Arial" w:cs="Arial"/>
          <w:lang w:val="ca" w:eastAsia="ca-ES"/>
        </w:rPr>
        <w:lastRenderedPageBreak/>
        <w:t>sample and the 7 museum and 12 FTA card samples with metadata associated as western lowland gorillas. The three main population groups seen above were also detected independently of the sample type (Figure S37). The first component follows geographic order from north-east to south-west: from Dzanga-Ndoki National Park and the Republic of Congo (</w:t>
      </w:r>
      <w:r w:rsidRPr="00B66F1E">
        <w:rPr>
          <w:rFonts w:ascii="Calibri" w:eastAsia="Calibri" w:hAnsi="Calibri" w:cs="Calibri"/>
          <w:sz w:val="24"/>
          <w:szCs w:val="24"/>
          <w:highlight w:val="white"/>
          <w:lang w:val="ca" w:eastAsia="ca-ES"/>
        </w:rPr>
        <w:t>Gou</w:t>
      </w:r>
      <w:r w:rsidRPr="00B66F1E">
        <w:rPr>
          <w:rFonts w:ascii="Arial" w:eastAsia="Arial" w:hAnsi="Arial" w:cs="Arial"/>
          <w:lang w:val="ca" w:eastAsia="ca-ES"/>
        </w:rPr>
        <w:t xml:space="preserve">) to the south of Gabon and the Republic of Congo (Conkouati), passing through Cameroon, Equatorial Guinea and the rest of Gabon in order. The second component divides the main group of western lowland gorilla sites from Gabon, Cameroon, Equatorial Guinea and part of the Republic of Congo from the other two clusters of sites from south of Gabon and the Republic of Congo (Con) and from Dzanga-Ndoki National Park and the Republic of Congo (Gou).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Previous work by Fünfstück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{"citationID":"8ZYbMSMt","properties":{"formattedCitation":"[79]","plainCitation":"[79]","noteIndex":0},"citationItems":[{"id":83,"uris":["http://zotero.org/users/local/jTutsuih/items/P9KJ5QAW"],"itemData":{"id":83,"type":"article-journal","abstract":"To understand the evolutionary histories and conservation potential of wild animal species it is useful to assess whether taxa are genetically structured into different populations and identify the underlying factors responsible for any clustering. Landscape features such as rivers may influence genetic population structure, and analysis of structure by sex can further reveal effects of sex</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specific dispersal. Using microsatellite genotypes obtained from noninvasively collected fecal samples we investigated the population structure of 261 western lowland gorillas (WLGs) (\n                Gorilla gorilla gorilla\n                ) from seven locations spanning an approximately 37,000 km\n                2\n                region of mainly continuous rain forest within Central African Republic (CAR), Republic of Congo and Cameroon. We found our sample to consist of two or three significantly differentiated clusters. The boundaries of the clusters coincided with courses of major rivers. Moreover, geographic distance detoured around rivers better</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explained variation in genetic distance than straight line distance. Together these results suggest that major rivers in our study area play an important role in directing WLG gene flow. The number of clusters did not change when males and females were analyzed separately, indicating a lack of greater philopatry in WLG females than males at this scale. Am. J. Primatol. 76:868–878, 2014. © 2014 Wiley Periodicals, Inc.","container-title":"American Journal of Primatology","DOI":"10.1002/ajp.22274","ISSN":"0275-2565, 1098-2345","issue":"9","journalAbbreviation":"American J Primatol","language":"en","license":"http://onlinelibrary.wiley.com/termsAndConditions#vor","page":"868-878","source":"DOI.org (Crossref)","title":"The genetic population structure of wild western lowland gorillas ( &lt;i&gt;Gorilla gorilla gorilla&lt;/i&gt; ) living in continuous rain forest","volume":"76","author":[{"family":"Fünfstück","given":"Tillmann"},{"family":"Arandjelovic","given":"Mimi"},{"family":"Morgan","given":"David B."},{"family":"Sanz","given":"Crickette"},{"family":"Breuer","given":"Thomas"},{"family":"Stokes","given":"Emma J."},{"family":"Reed","given":"Patricia"},{"family":"Olson","given":"Sarah H."},{"family":"Cameron","given":"Ken"},{"family":"Ondzie","given":"Alain"},{"family":"Peeters","given":"Martine"},{"family":"Kühl","given":"Hjalmar S."},{"family":"Cipolletta","given":"Chloe"},{"family":"Todd","given":"Angelique"},{"family":"Masi","given":"Shelly"},{"family":"Doran</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Sheehy","given":"Diane M."},{"family":"Bradley","given":"Brenda J."},{"family":"Vigilant","given":"Linda"}],"issued":{"date-parts":[["2014",9]]}}}],"schema":"https://github.com/citation-style-language/schema/raw/master/csl-citation.json"}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[79]</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identified three main clusters within western lowland gorillas, using microsatellites; the clusters they identified were between Lob, Odzala National Park area and Dzanga-Ndoki National Park. Using our denser sampling dataset on chromosome 21 data, the PCA clusters (Figure S37) separate southern Gabon (not present in Fünfstück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{"citationID":"QMrYZIyr","properties":{"formattedCitation":"[79]","plainCitation":"[79]","noteIndex":0},"citationItems":[{"id":83,"uris":["http://zotero.org/users/local/jTutsuih/items/P9KJ5QAW"],"itemData":{"id":83,"type":"article-journal","abstract":"To understand the evolutionary histories and conservation potential of wild animal species it is useful to assess whether taxa are genetically structured into different populations and identify the underlying factors responsible for any clustering. Landscape features such as rivers may influence genetic population structure, and analysis of structure by sex can further reveal effects of sex</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specific dispersal. Using microsatellite genotypes obtained from noninvasively collected fecal samples we investigated the population structure of 261 western lowland gorillas (WLGs) (\n                Gorilla gorilla gorilla\n                ) from seven locations spanning an approximately 37,000 km\n                2\n                region of mainly continuous rain forest within Central African Republic (CAR), Republic of Congo and Cameroon. We found our sample to consist of two or three significantly differentiated clusters. The boundaries of the clusters coincided with courses of major rivers. Moreover, geographic distance detoured around rivers better</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explained variation in genetic distance than straight line distance. Together these results suggest that major rivers in our study area play an important role in directing WLG gene flow. The number of clusters did not change when males and females were analyzed separately, indicating a lack of greater philopatry in WLG females than males at this scale. Am. J. Primatol. 76:868–878, 2014. © 2014 Wiley Periodicals, Inc.","container-title":"American Journal of Primatology","DOI":"10.1002/ajp.22274","ISSN":"0275-2565, 1098-2345","issue":"9","journalAbbreviation":"American J Primatol","language":"en","license":"http://onlinelibrary.wiley.com/termsAndConditions#vor","page":"868-878","source":"DOI.org (Crossref)","title":"The genetic population structure of wild western lowland gorillas ( &lt;i&gt;Gorilla gorilla gorilla&lt;/i&gt; ) living in continuous rain forest","volume":"76","author":[{"family":"Fünfstück","given":"Tillmann"},{"family":"Arandjelovic","given":"Mimi"},{"family":"Morgan","given":"David B."},{"family":"Sanz","given":"Crickette"},{"family":"Breuer","given":"Thomas"},{"family":"Stokes","given":"Emma J."},{"family":"Reed","given":"Patricia"},{"family":"Olson","given":"Sarah H."},{"family":"Cameron","given":"Ken"},{"family":"Ondzie","given":"Alain"},{"family":"Peeters","given":"Martine"},{"family":"Kühl","given":"Hjalmar S."},{"family":"Cipolletta","given":"Chloe"},{"family":"Todd","given":"Angelique"},{"family":"Masi","given":"Shelly"},{"family":"Doran</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Sheehy","given":"Diane M."},{"family":"Bradley","given":"Brenda J."},{"family":"Vigilant","given":"Linda"}],"issued":{"date-parts":[["2014",9]]}}}],"schema":"https://github.com/citation-style-language/schema/raw/master/csl-citation.json"}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[79]</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Dza-Gou (present in Fünfstück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{"citationID":"FwCPYau4","properties":{"formattedCitation":"[79]","plainCitation":"[79]","noteIndex":0},"citationItems":[{"id":83,"uris":["http://zotero.org/users/local/jTutsuih/items/P9KJ5QAW"],"itemData":{"id":83,"type":"article-journal","abstract":"To understand the evolutionary histories and conservation potential of wild animal species it is useful to assess whether taxa are genetically structured into different populations and identify the underlying factors responsible for any clustering. Landscape features such as rivers may influence genetic population structure, and analysis of structure by sex can further reveal effects of sex</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specific dispersal. Using microsatellite genotypes obtained from noninvasively collected fecal samples we investigated the population structure of 261 western lowland gorillas (WLGs) (\n                Gorilla gorilla gorilla\n                ) from seven locations spanning an approximately 37,000 km\n                2\n                region of mainly continuous rain forest within Central African Republic (CAR), Republic of Congo and Cameroon. We found our sample to consist of two or three significantly differentiated clusters. The boundaries of the clusters coincided with courses of major rivers. Moreover, geographic distance detoured around rivers better</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explained variation in genetic distance than straight line distance. Together these results suggest that major rivers in our study area play an important role in directing WLG gene flow. The number of clusters did not change when males and females were analyzed separately, indicating a lack of greater philopatry in WLG females than males at this scale. Am. J. Primatol. 76:868–878, 2014. © 2014 Wiley Periodicals, Inc.","container-title":"American Journal of Primatology","DOI":"10.1002/ajp.22274","ISSN":"0275-2565, 1098-2345","issue":"9","journalAbbreviation":"American J Primatol","language":"en","license":"http://onlinelibrary.wiley.com/termsAndConditions#vor","page":"868-878","source":"DOI.org (Crossref)","title":"The genetic population structure of wild western lowland gorillas ( &lt;i&gt;Gorilla gorilla gorilla&lt;/i&gt; ) living in continuous rain forest","volume":"76","author":[{"family":"Fünfstück","given":"Tillmann"},{"family":"Arandjelovic","given":"Mimi"},{"family":"Morgan","given":"David B."},{"family":"Sanz","given":"Crickette"},{"family":"Breuer","given":"Thomas"},{"family":"Stokes","given":"Emma J."},{"family":"Reed","given":"Patricia"},{"family":"Olson","given":"Sarah H."},{"family":"Cameron","given":"Ken"},{"family":"Ondzie","given":"Alain"},{"family":"Peeters","given":"Martine"},{"family":"Kühl","given":"Hjalmar S."},{"family":"Cipolletta","given":"Chloe"},{"family":"Todd","given":"Angelique"},{"family":"Masi","given":"Shelly"},{"family":"Doran</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Sheehy","given":"Diane M."},{"family":"Bradley","given":"Brenda J."},{"family":"Vigilant","given":"Linda"}],"issued":{"date-parts":[["2014",9]]}}}],"schema":"https://github.com/citation-style-language/schema/raw/master/csl-citation.json"}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[79]</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the rest of the western lowland gorilla populations (including both Odzala and Lobeke, which were also present in Fünfstück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{"citationID":"3CVKqCvr","properties":{"formattedCitation":"[79]","plainCitation":"[79]","noteIndex":0},"citationItems":[{"id":83,"uris":["http://zotero.org/users/local/jTutsuih/items/P9KJ5QAW"],"itemData":{"id":83,"type":"article-journal","abstract":"To understand the evolutionary histories and conservation potential of wild animal species it is useful to assess whether taxa are genetically structured into different populations and identify the underlying factors responsible for any clustering. Landscape features such as rivers may influence genetic population structure, and analysis of structure by sex can further reveal effects of sex</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specific dispersal. Using microsatellite genotypes obtained from noninvasively collected fecal samples we investigated the population structure of 261 western lowland gorillas (WLGs) (\n                Gorilla gorilla gorilla\n                ) from seven locations spanning an approximately 37,000 km\n                2\n                region of mainly continuous rain forest within Central African Republic (CAR), Republic of Congo and Cameroon. We found our sample to consist of two or three significantly differentiated clusters. The boundaries of the clusters coincided with courses of major rivers. Moreover, geographic distance detoured around rivers better</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explained variation in genetic distance than straight line distance. Together these results suggest that major rivers in our study area play an important role in directing WLG gene flow. The number of clusters did not change when males and females were analyzed separately, indicating a lack of greater philopatry in WLG females than males at this scale. Am. J. Primatol. 76:868–878, 2014. © 2014 Wiley Periodicals, Inc.","container-title":"American Journal of Primatology","DOI":"10.1002/ajp.22274","ISSN":"0275-2565, 1098-2345","issue":"9","journalAbbreviation":"American J Primatol","language":"en","license":"http://onlinelibrary.wiley.com/termsAndConditions#vor","page":"868-878","source":"DOI.org (Crossref)","title":"The genetic population structure of wild western lowland gorillas ( &lt;i&gt;Gorilla gorilla gorilla&lt;/i&gt; ) living in continuous rain forest","volume":"76","author":[{"family":"Fünfstück","given":"Tillmann"},{"family":"Arandjelovic","given":"Mimi"},{"family":"Morgan","given":"David B."},{"family":"Sanz","given":"Crickette"},{"family":"Breuer","given":"Thomas"},{"family":"Stokes","given":"Emma J."},{"family":"Reed","given":"Patricia"},{"family":"Olson","given":"Sarah H."},{"family":"Cameron","given":"Ken"},{"family":"Ondzie","given":"Alain"},{"family":"Peeters","given":"Martine"},{"family":"Kühl","given":"Hjalmar S."},{"family":"Cipolletta","given":"Chloe"},{"family":"Todd","given":"Angelique"},{"family":"Masi","given":"Shelly"},{"family":"Doran</w:instrText>
      </w:r>
      <w:r w:rsidRPr="00B66F1E">
        <w:rPr>
          <w:rFonts w:ascii="Cambria Math" w:eastAsia="Arial" w:hAnsi="Cambria Math" w:cs="Cambria Math"/>
          <w:lang w:val="ca" w:eastAsia="ca-ES"/>
        </w:rPr>
        <w:instrText>‐</w:instrText>
      </w:r>
      <w:r w:rsidRPr="00B66F1E">
        <w:rPr>
          <w:rFonts w:ascii="Arial" w:eastAsia="Arial" w:hAnsi="Arial" w:cs="Arial"/>
          <w:lang w:val="ca" w:eastAsia="ca-ES"/>
        </w:rPr>
        <w:instrText xml:space="preserve">Sheehy","given":"Diane M."},{"family":"Bradley","given":"Brenda J."},{"family":"Vigilant","given":"Linda"}],"issued":{"date-parts":[["2014",9]]}}}],"schema":"https://github.com/citation-style-language/schema/raw/master/csl-citation.json"}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[79]</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68155494" wp14:editId="155A8F6E">
            <wp:extent cx="5731200" cy="2298700"/>
            <wp:effectExtent l="0" t="0" r="0" b="0"/>
            <wp:docPr id="64"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43"/>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S37. Principal Component Analysis of western lowland gorillas (including the Ebo forest sample - highlighted with a red arrow). Each dot represents a unique sample, and each colour represents the country of origin of each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For the FTA and museum samples from the western lowland gorilla subspecies, sample origin or rescued area information was available for the majority of them. The first and second principal components verified the origin information obtained from these samples at the country level, as each sample clustered near samples from the same country (Figure S38). </w:t>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4E3D2462" wp14:editId="1AA9B100">
            <wp:extent cx="4107549" cy="2463165"/>
            <wp:effectExtent l="0" t="0" r="0" b="0"/>
            <wp:docPr id="41"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44"/>
                    <a:srcRect/>
                    <a:stretch>
                      <a:fillRect/>
                    </a:stretch>
                  </pic:blipFill>
                  <pic:spPr>
                    <a:xfrm>
                      <a:off x="0" y="0"/>
                      <a:ext cx="4107549" cy="2463165"/>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S38. Principal Component Analysis of western lowland gorillas (including Ebo forest sample), including labels for FTA and museum samples. Each dot represents a unique sample and each colour represents the site of the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Each western lowland gorilla cluster detected in the subspecies principal components analysis was deeper analysed independently. Cameroon-Gabon-R.Congo showed a clear geographic distribution, not showing any clear independent cluster (Figure S39A). Dza and Gou sites showed differences between the two sampling sites; the first component separates Mongambe from Bai Hokou gorilla social groups within the Dza site (Figure S39B). Finally, the samples from the south of Gabon did not show a specific pattern of clustering related to geography; first and second components separated samples from Mou (Figure S39C). In this case, the majority of samples were from the same site (Mou) or were FTA cards for which geographic coordinates were not available (just origin information).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7AF807F7" wp14:editId="18568D10">
            <wp:extent cx="5731200" cy="1346200"/>
            <wp:effectExtent l="0" t="0" r="0" b="0"/>
            <wp:docPr id="78"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45"/>
                    <a:srcRect/>
                    <a:stretch>
                      <a:fillRect/>
                    </a:stretch>
                  </pic:blipFill>
                  <pic:spPr>
                    <a:xfrm>
                      <a:off x="0" y="0"/>
                      <a:ext cx="5731200" cy="1346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highlight w:val="yellow"/>
          <w:lang w:val="ca" w:eastAsia="ca-ES"/>
        </w:rPr>
      </w:pPr>
      <w:r w:rsidRPr="00B66F1E">
        <w:rPr>
          <w:rFonts w:ascii="Arial" w:eastAsia="Arial" w:hAnsi="Arial" w:cs="Arial"/>
          <w:sz w:val="20"/>
          <w:szCs w:val="20"/>
          <w:lang w:val="ca" w:eastAsia="ca-ES"/>
        </w:rPr>
        <w:t>Figure S39. Principal Component Analysis of western lowland gorilla groups ( including FTA and museum samples). Each dot represents a unique sample, and each colour represents the site of the sample or the country of origin</w:t>
      </w:r>
      <w:r w:rsidRPr="00B66F1E">
        <w:rPr>
          <w:rFonts w:ascii="Arial" w:eastAsia="Arial" w:hAnsi="Arial" w:cs="Arial"/>
          <w:lang w:val="ca" w:eastAsia="ca-ES"/>
        </w:rPr>
        <w:t xml:space="preserv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Cross River gorilla subspecies: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Principal component analysis of Cross River gorillas (Figure S40) was performed using chromosome 21 of previously published data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{"citationID":"0OqkzUWb","properties":{"formattedCitation":"[18,27,76]","plainCitation":"[18,27,76]","noteIndex":0},"citationItems":[{"id":22,"uris":["http://zotero.org/users/local/jTutsuih/items/LAE9J37X"],"itemData":{"id":22,"type":"article-journal","abstract":"The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A."},{"family":"Lizano","given":"Esther"},{"family":"Marques-Bonet","given":"Tomas"}],"issued":{"date-parts":[["2023",3,18]]}}},{"id":4,"uris":["http://zotero.org/users/local/jTutsuih/items/6HQ27HWG"],"itemData":{"id":4,"type":"article-journal","abstract":"Knowledge on the population history of endangered species is critical for conservation, but whole-genome data on chimpanzees (Pan troglodytes) is geographically sparse. Here, we produced the ﬁrst non-invasive geolocalized catalog of genomic diversity by capturing chromosome 21 from 828 non-invasive samples collected at 48 sampling sites across Africa. The four recognized subspecies show clear genetic differentiation correlating with known barriers, while previously undescribed genetic exchange suggests that these have been permeable on a local scale. We obtained a detailed reconstruction of population stratiﬁcation and ﬁne-scale patterns of isolation, migration, and connectivity, including a comprehensive picture of admixture with bonobos (Pan paniscus). Unlike humans, chimpanzees did not experience extended episodes of long-distance migrations, which might have limited cultural transmission. Finally, based on local rare variation, we implement a ﬁne-grained geolocalization approach demonstrating improved precision in determining the origin of conﬁscated chimpanzees.","container-title":"Cell Genomics","DOI":"10.1016/j.xgen.2022.100133","ISSN":"2666-979X","issue":"6","language":"en","license":"https://www.elsevier.com/tdm/userlicense/1.0/","page":"100133","publisher":"Elsevier BV","source":"Crossref","title":"Population dynamics and genetic connectivity in recent chimpanzee history","volume":"2","author":[{"family":"Fontsere","given":"Claudia"},{"family":"Kuhlwilm","given":"Martin"},{"family":"Morcillo-Suarez","given":"Carlos"},{"family":"Alvarez-Estape","given":"Marina"},{"family":"Lester","given":"Jack D."},{"family":"Gratton","given":"Paolo"},{"family":"Schmidt","given":"Joshua M."},{"family":"Dieguez","given":"Paula"},{"family":"Aebischer","given":"Thierry"},{"family":"Álvarez-Varona","given":"Paula"},{"family":"Agbor","given":"Anthony"},{"family":"Angedakin","given":"Samuel"},{"family":"Assumang","given":"Alfred K."},{"family":"Ayimisin","given":"Emmanuel A."},{"family":"Bailey","given":"Emma"},{"family":"Barubiyo","given":"Donatienne"},{"family":"Bessone","given":"Mattia"},{"family":"Carretero-Alonso","given":"Andrea"},{"family":"Chancellor","given":"Rebecca"},{"family":"Cohen","given":"Heather"},{"family":"Danquah","given":"Emmanuel"},{"family":"Deschner","given":"Tobias"},{"family":"Dunn","given":"Andrew"},{"family":"Dupain","given":"Jef"},{"family":"Egbe","given":"Villard E."},{"family":"Feliu","given":"Olga"},{"family":"Goedmakers","given":"Annemarie"},{"family":"Granjon","given":"Anne-Céline"},{"family":"Head","given":"Josephine"},{"family":"Hedwig","given":"Daniela"},{"family":"Hermans","given":"Veerle"},{"family":"Hernandez-Aguilar","given":"R. Adriana"},{"family":"Imong","given":"Inaoyom"},{"family":"Jones","given":"Sorrel"},{"family":"Junker","given":"Jessica"},{"family":"Kadam","given":"Parag"},{"family":"Kaiser","given":"Mike"},{"family":"Kambere","given":"Mbangi"},{"family":"Kambale","given":"Magloire V."},{"family":"Kalan","given":"Ammie K."},{"family":"Kienast","given":"Ivonne"},{"family":"Kujirakwinja","given":"Deo"},{"family":"Langergraber","given":"Kevin"},{"family":"Lapuente","given":"Juan"},{"family":"Larson","given":"Bradley"},{"family":"Laudisoit","given":"Anne"},{"family":"Lee","given":"Kevin"},{"family":"Llana","given":"Manuel"},{"family":"Llorente","given":"Miquel"},{"family":"Marrocoli","given":"Sergio"},{"family":"Morgan","given":"David"},{"family":"Mulindahabi","given":"Felix"},{"family":"Murai","given":"Mizuki"},{"family":"Neil","given":"Emily"},{"family":"Nicholl","given":"Sonia"},{"family":"Nixon","given":"Stuart"},{"family":"Normand","given":"Emma"},{"family":"Orbell","given":"Chris"},{"family":"Ormsby","given":"Lucy J."},{"family":"Pacheco","given":"Liliana"},{"family":"Piel","given":"Alex"},{"family":"Riera","given":"Laura"},{"family":"Robbins","given":"Martha M."},{"family":"Rundus","given":"Aaron"},{"family":"Sanz","given":"Crickette"},{"family":"Sciaky","given":"Lilah"},{"family":"Sommer","given":"Volker"},{"family":"Stewart","given":"Fiona A."},{"family":"Tagg","given":"Nikki"},{"family":"Tédonzong","given":"Luc Roscelin"},{"family":"Ton","given":"Els"},{"family":"Van Schijndel","given":"Joost"},{"family":"Vergnes","given":"Virginie"},{"family":"Wessling","given":"Erin G."},{"family":"Willie","given":"Jacob"},{"family":"Wittig","given":"Roman M."},{"family":"Yuh","given":"Yisa G."},{"family":"Yurkiw","given":"Kyle"},{"family":"Zuberbuehler","given":"Klaus"},{"family":"Hecht","given":"Jochen"},{"family":"Vigilant","given":"Linda"},{"family":"Boesch","given":"Christophe"},{"family":"Andrés","given":"Aida M."},{"family":"Hughes","given":"David A."},{"family":"Kühl","given":"Hjalmar S."},{"family":"Lizano","given":"Esther"},{"family":"Arandjelovic","given":"Mimi"},{"family":"Marques-Bonet","given":"Tomas"}],"issued":{"date-parts":[["2022",6]]}}},{"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[18,27,76]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the newly sequenced </w:t>
      </w:r>
      <w:r w:rsidRPr="00B66F1E">
        <w:rPr>
          <w:rFonts w:ascii="Arial" w:eastAsia="Arial" w:hAnsi="Arial" w:cs="Arial"/>
          <w:lang w:val="ca" w:eastAsia="ca-ES"/>
        </w:rPr>
        <w:lastRenderedPageBreak/>
        <w:t xml:space="preserve">sample from Ebo forest and one museum sample labelled to be from the Mamfe sampling site, from which genomic data had not been previously sampled (blue cross sign). The population clusters were consistent with those described in </w:t>
      </w:r>
      <w:hyperlink r:id="rId46">
        <w:r w:rsidRPr="00B66F1E">
          <w:rPr>
            <w:rFonts w:ascii="Arial" w:eastAsia="Arial" w:hAnsi="Arial" w:cs="Arial"/>
            <w:lang w:val="ca" w:eastAsia="ca-ES"/>
          </w:rPr>
          <w:t xml:space="preserve">Alvarez-Estape et al. </w:t>
        </w:r>
      </w:hyperlink>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{"citationID":"HlYwEu5r","properties":{"formattedCitation":"[76]","plainCitation":"[76]","noteIndex":0},"citationItems":[{"id":22,"uris":["http://zotero.org/users/local/jTutsuih/items/LAE9J37X"],"itemData":{"id":22,"type":"article-journal","abstract":"The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the newly sequenced museum specimen from Mamfe separated from Kag in the first component, and in the second component between gorillas at Afi and those in Bos-Mbe. We recommend further sampling of Cross River gorillas at Mamfe to refine our understanding of the genetics of the gorillas at this sampling site, which is relatively far from the other populations of Cross River gorillas.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4B6E5BE1" wp14:editId="63C7A200">
            <wp:extent cx="3529846" cy="2359574"/>
            <wp:effectExtent l="0" t="0" r="0" b="0"/>
            <wp:docPr id="6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47"/>
                    <a:srcRect/>
                    <a:stretch>
                      <a:fillRect/>
                    </a:stretch>
                  </pic:blipFill>
                  <pic:spPr>
                    <a:xfrm>
                      <a:off x="0" y="0"/>
                      <a:ext cx="3529846" cy="2359574"/>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S40. Principal Component Analysis Cross River gorillas (including Ebo forest sample). Each dot represents a unique sample, and each colour represents the site of the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Eastern gorilla species:</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 xml:space="preserve">The principal component analysis of eastern gorillas clearly differentiated the two subspecies (highlighted in two different colours - green and blue), as expected. The second component differentiates the two isolated mountain gorilla populations, Bwindi and Virunga, highlighted in dashed circles. The orange circle for the Bwindi population, and the purple circle for the Virunga population. The third component explains genetic differences among the eastern lowland gorillas (Figure S41).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7C9EBCFA" wp14:editId="70C4C0FF">
            <wp:extent cx="5731200" cy="2286000"/>
            <wp:effectExtent l="0" t="0" r="0" b="0"/>
            <wp:docPr id="50"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48"/>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S41. Principal Component Analysis Eastern gorilla species. The purple circle highlights the Virunga population, and the orange circle highlights the Bwindi population.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Eastern lowland gorilla subspecies: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Principal component analysis for eastern lowland gorillas showed geographic clustering in the first component, separating samples from the Kahuzi-Biega National Park from the rest of the sites, except for the publicly available whole genome from Kahuzi-Biega (Figure S42). Geographic coordinates were available for all faecal samples, but only region of origin information was available for the majority of eastern public genomes. For example, for the Itebero sample (red square), the metadata information indicated origin from Kahuzi-Biega National Park, but specific geographic coordinates are not provided. Kahuzi-Biega National Park has an extension of 6000 km2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{"citationID":"8SQt4Ee1","properties":{"formattedCitation":"[66]","plainCitation":"[66]","noteIndex":0},"citationItems":[{"id":212,"uris":["http://zotero.org/users/local/jTutsuih/items/NWB2TCFI"],"itemData":{"id":212,"type":"dataset","language":"en","publisher":"The IUCN Red List of Threatened Species. Version 2025-1 [1]","title":"Gorilla gorilla (spatial data)","URL":"https://www.iucnredlist.org [1]","author":[{"family":"UNEP-WCMC","given":""},{"family":"International Union for Conservation of Nature","given":""}],"issued":{"date-parts":[["2016"]]}}}],"schema":"https://github.com/citation-style-language/schema/raw/master/csl-citation.json"}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[66]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meaning that this sample could be from a very distinct region of the National Park compared to the rest of the faecal samples from this site, and this is what is suggested from PCA. The second component separates Maiko, Nkuba Conservation Area, Tulakwa, and the public sample from Kahuzi-Biega from the rest of the public genomes from unknown precedence, Walikale area and Mount Tshiaberimu (Figure S42). Three samples from Walikale have been added to this PCA, showing different patterns of clustering in the second component. More samples from different regions will be needed to clarify the possible population structure inside the eastern lowland gorillas, which have the second largest distribution range of the gorilla subspecies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{"citationID":"OnyDwHFm","properties":{"formattedCitation":"[80]","plainCitation":"[80]","noteIndex":0},"citationItems":[{"id":12,"uris":["http://zotero.org/users/local/jTutsuih/items/PS6II3CP"],"itemData":{"id":12,"type":"article-journal","abstract":"Grauer’s gorilla (Gorilla beringei graueri), the World’s largest primate, is confined to eastern Democratic Republic of Congo (DRC) and is threatened by civil war and insecurity. During the war, armed groups in mining camps relied on hunting bushmeat, including gorillas. Insecurity and the presence of several militia groups across Grauer’s gorilla’s range made it very difficult to assess their population size. Here we use a novel method that enables rigorous assessment of local community and ranger-collected data on gorilla occupancy to evaluate the impacts of civil war on Grauer’s gorilla, which prior to the war was estimated to number 16,900 individuals. We show that gorilla numbers in their stronghold of KahuziBiega National Park have declined by 87%. Encounter rate data of gorilla nests at 10 sites across its range indicate declines of 82–100% at six of these sites. Spatial occupancy analysis identifies three key areas as the most critical sites for the remaining populations of this ape and that the range of this taxon is around 19,700 km2. We estimate that only 3,800 Grauer’s gorillas remain in the wild, a 77% decline in one generation, justifying its elevation to Critically Endangered status on the IUCN Red List of Threatened Species.","container-title":"PLOS ONE","DOI":"10.1371/journal.pone.0162697","ISSN":"1932-6203","issue":"10","journalAbbreviation":"PLoS ONE","language":"en","license":"http://creativecommons.org/licenses/by/4.0/","page":"e0162697","publisher":"Public Library of Science (PLoS)","source":"Crossref","title":"Catastrophic Decline of World's Largest Primate: 80% Loss of Grauer's Gorilla (Gorilla beringei graueri) Population Justifies Critically Endangered Status","title-short":"Catastrophic Decline of World's Largest Primate","volume":"11","author":[{"family":"Plumptre","given":"Andrew J."},{"family":"Nixon","given":"Stuart"},{"family":"Kujirakwinja","given":"Deo K."},{"family":"Vieilledent","given":"Ghislain"},{"family":"Critchlow","given":"Rob"},{"family":"Williamson","given":"Elizabeth A."},{"family":"Nishuli","given":"Radar"},{"family":"Kirkby","given":"Andrew E."},{"family":"Hall","given":"Jefferson S."}],"editor":[{"family":"Margalida","given":"Antoni"}],"issued":{"date-parts":[["2016",10,19]]}}}],"schema":"https://github.com/citation-style-language/schema/raw/master/csl-citation.json"}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[80]</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472CF258" wp14:editId="2259EF9D">
            <wp:extent cx="4155339" cy="2767013"/>
            <wp:effectExtent l="0" t="0" r="0" b="0"/>
            <wp:docPr id="32"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49"/>
                    <a:srcRect/>
                    <a:stretch>
                      <a:fillRect/>
                    </a:stretch>
                  </pic:blipFill>
                  <pic:spPr>
                    <a:xfrm>
                      <a:off x="0" y="0"/>
                      <a:ext cx="4155339" cy="2767013"/>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u w:val="single"/>
          <w:lang w:val="ca" w:eastAsia="ca-ES"/>
        </w:rPr>
      </w:pPr>
      <w:r w:rsidRPr="00B66F1E">
        <w:rPr>
          <w:rFonts w:ascii="Arial" w:eastAsia="Arial" w:hAnsi="Arial" w:cs="Arial"/>
          <w:sz w:val="20"/>
          <w:szCs w:val="20"/>
          <w:lang w:val="ca" w:eastAsia="ca-ES"/>
        </w:rPr>
        <w:t xml:space="preserve">Figure S42. Principal Component Analysis eastern lowland gorilla species, including publicly available genomes (sample IDs indicated in the plot).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Mountain gorilla subspecies:</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 xml:space="preserve">Mountain gorillas were divided into the two well-known isolated populations in the first component of the PCA, Virunga and Bwindi, as expected. The second component showed differences inside the Bwindi and Virunga populations (Figure S43).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6F4A251C" wp14:editId="0A7EA387">
            <wp:extent cx="4081463" cy="2720975"/>
            <wp:effectExtent l="0" t="0" r="0" b="0"/>
            <wp:docPr id="93" name="image92.jpg"/>
            <wp:cNvGraphicFramePr/>
            <a:graphic xmlns:a="http://schemas.openxmlformats.org/drawingml/2006/main">
              <a:graphicData uri="http://schemas.openxmlformats.org/drawingml/2006/picture">
                <pic:pic xmlns:pic="http://schemas.openxmlformats.org/drawingml/2006/picture">
                  <pic:nvPicPr>
                    <pic:cNvPr id="0" name="image92.jpg"/>
                    <pic:cNvPicPr preferRelativeResize="0"/>
                  </pic:nvPicPr>
                  <pic:blipFill>
                    <a:blip r:embed="rId50"/>
                    <a:srcRect/>
                    <a:stretch>
                      <a:fillRect/>
                    </a:stretch>
                  </pic:blipFill>
                  <pic:spPr>
                    <a:xfrm>
                      <a:off x="0" y="0"/>
                      <a:ext cx="4081463" cy="2720975"/>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S43. Principal Component Analysis mountain gorilla species, including publicly available genomes (sample IDs indicated in the plot).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Partial exome:</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The partial exome was also used to study possible population structure within the gorilla genus following the same approach as used for chromosome 21, requiring 25% of </w:t>
      </w:r>
      <w:r w:rsidRPr="00B66F1E">
        <w:rPr>
          <w:rFonts w:ascii="Arial" w:eastAsia="Arial" w:hAnsi="Arial" w:cs="Arial"/>
          <w:lang w:val="ca" w:eastAsia="ca-ES"/>
        </w:rPr>
        <w:lastRenderedPageBreak/>
        <w:t>individuals to be covered per nucleotide site. We also performed PCA for each subspecies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 also performed PCA using post QC filtering by &lt; 1% human contamination, &gt;= 0.5X average coverage and no self or first-degree relatives (237 samples, 232 faecal samples, 5 hair samples). In PCA for the western lowland gorilla subspecies, we also identified one sample, L4450A1, which falls outside its population cluster (for the Gou sampling site) and was removed from the downstream analyses.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In PCA of the partial exome on-target space, the newly sequenced gorilla samples clearly separate by subspecies, as expected (Figure S44) and in accordance with chromosome 21 data.</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37542B5D" wp14:editId="331066E7">
            <wp:extent cx="4331156" cy="3856312"/>
            <wp:effectExtent l="0" t="0" r="0" b="0"/>
            <wp:docPr id="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1"/>
                    <a:srcRect/>
                    <a:stretch>
                      <a:fillRect/>
                    </a:stretch>
                  </pic:blipFill>
                  <pic:spPr>
                    <a:xfrm>
                      <a:off x="0" y="0"/>
                      <a:ext cx="4331156" cy="3856312"/>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S44. Comparison of the partial exome and chromosome X for the newly sequenced non-invasive gorilla samples. PCA of the partial exome (A and B) and the exome of chromosome X (C and D) of retained post-QC samples (&lt; 1% human contamination, &gt;=0.5X average coverage, no self or first-degree relatives) n=204.</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PCA within each subspecies indicates subpopulation clusters within Cross River gorillas and mountain gorillas (Figures S45A, S45B and S46C, S46D), in agreement with previous literature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{"citationID":"aRbgfkza","properties":{"formattedCitation":"[17,76]","plainCitation":"[17,76]","noteIndex":0},"citationItems":[{"id":22,"uris":["http://zotero.org/users/local/jTutsuih/items/LAE9J37X"],"itemData":{"id":22,"type":"article-journal","abstract":"The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[17,76]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observations in the georeferenced chromosome 21 data for the same gorillas. No clear genetic structure is observed within eastern lowland gorillas (Figures S46A and S46B).</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174876C6" wp14:editId="52014F03">
            <wp:extent cx="4997421" cy="4491038"/>
            <wp:effectExtent l="0" t="0" r="0" b="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2"/>
                    <a:srcRect/>
                    <a:stretch>
                      <a:fillRect/>
                    </a:stretch>
                  </pic:blipFill>
                  <pic:spPr>
                    <a:xfrm>
                      <a:off x="0" y="0"/>
                      <a:ext cx="4997421" cy="4491038"/>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color w:val="171717"/>
          <w:sz w:val="20"/>
          <w:szCs w:val="20"/>
          <w:lang w:val="ca" w:eastAsia="ca-ES"/>
        </w:rPr>
      </w:pPr>
      <w:r w:rsidRPr="00B66F1E">
        <w:rPr>
          <w:rFonts w:ascii="Arial" w:eastAsia="Arial" w:hAnsi="Arial" w:cs="Arial"/>
          <w:color w:val="171717"/>
          <w:sz w:val="20"/>
          <w:szCs w:val="20"/>
          <w:lang w:val="ca" w:eastAsia="ca-ES"/>
        </w:rPr>
        <w:t xml:space="preserve">Figure S45. Comparison of the partial exome and chromosome X for the western gorilla species. A) Partial exome of CRG. B) Chromosome X exome of CRG. C) Partial exome of WLG. D) Chromosome X exome of WLG.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17411210" wp14:editId="365EBFD6">
            <wp:extent cx="3852863" cy="3675612"/>
            <wp:effectExtent l="0" t="0" r="0" b="0"/>
            <wp:docPr id="69"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53"/>
                    <a:srcRect/>
                    <a:stretch>
                      <a:fillRect/>
                    </a:stretch>
                  </pic:blipFill>
                  <pic:spPr>
                    <a:xfrm>
                      <a:off x="0" y="0"/>
                      <a:ext cx="3852863" cy="3675612"/>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b/>
          <w:lang w:val="ca" w:eastAsia="ca-ES"/>
        </w:rPr>
      </w:pPr>
      <w:r w:rsidRPr="00B66F1E">
        <w:rPr>
          <w:rFonts w:ascii="Arial" w:eastAsia="Arial" w:hAnsi="Arial" w:cs="Arial"/>
          <w:color w:val="171717"/>
          <w:sz w:val="20"/>
          <w:szCs w:val="20"/>
          <w:lang w:val="ca" w:eastAsia="ca-ES"/>
        </w:rPr>
        <w:lastRenderedPageBreak/>
        <w:t>Figure S46</w:t>
      </w:r>
      <w:r w:rsidRPr="00B66F1E">
        <w:rPr>
          <w:rFonts w:ascii="Arial" w:eastAsia="Arial" w:hAnsi="Arial" w:cs="Arial"/>
          <w:sz w:val="20"/>
          <w:szCs w:val="20"/>
          <w:lang w:val="ca" w:eastAsia="ca-ES"/>
        </w:rPr>
        <w:t xml:space="preserve">. </w:t>
      </w:r>
      <w:r w:rsidRPr="00B66F1E">
        <w:rPr>
          <w:rFonts w:ascii="Arial" w:eastAsia="Arial" w:hAnsi="Arial" w:cs="Arial"/>
          <w:color w:val="171717"/>
          <w:sz w:val="20"/>
          <w:szCs w:val="20"/>
          <w:lang w:val="ca" w:eastAsia="ca-ES"/>
        </w:rPr>
        <w:t xml:space="preserve">Comparison of the partial exome and chromosome X for the eastern gorilla species. A) Partial exome of ELG. B) Chromosome X exome of ELG. C) Partial exome of MG. D) Chromosome X exome of MG. </w:t>
      </w:r>
    </w:p>
    <w:p w:rsidR="00B66F1E" w:rsidRPr="00B66F1E" w:rsidRDefault="00B66F1E" w:rsidP="00B66F1E">
      <w:pPr>
        <w:keepNext/>
        <w:keepLines/>
        <w:spacing w:before="360" w:after="200" w:line="276" w:lineRule="auto"/>
        <w:jc w:val="both"/>
        <w:outlineLvl w:val="1"/>
        <w:rPr>
          <w:rFonts w:ascii="Arial" w:eastAsia="Arial" w:hAnsi="Arial" w:cs="Arial"/>
          <w:sz w:val="32"/>
          <w:szCs w:val="32"/>
          <w:lang w:val="ca" w:eastAsia="ca-ES"/>
        </w:rPr>
      </w:pPr>
      <w:bookmarkStart w:id="27" w:name="_Toc234923662"/>
      <w:r w:rsidRPr="00B66F1E">
        <w:rPr>
          <w:rFonts w:ascii="Arial" w:eastAsia="Arial" w:hAnsi="Arial" w:cs="Arial"/>
          <w:sz w:val="32"/>
          <w:szCs w:val="32"/>
          <w:lang w:val="ca" w:eastAsia="ca-ES"/>
        </w:rPr>
        <w:t>3.2. Admixture</w:t>
      </w:r>
      <w:bookmarkEnd w:id="27"/>
    </w:p>
    <w:p w:rsidR="00B66F1E" w:rsidRPr="00B66F1E" w:rsidRDefault="00B66F1E" w:rsidP="00B66F1E">
      <w:pPr>
        <w:spacing w:after="200" w:line="360" w:lineRule="auto"/>
        <w:jc w:val="both"/>
        <w:rPr>
          <w:rFonts w:ascii="Arial" w:eastAsia="Arial" w:hAnsi="Arial" w:cs="Arial"/>
          <w:b/>
          <w:lang w:val="ca" w:eastAsia="ca-ES"/>
        </w:rPr>
      </w:pPr>
      <w:r w:rsidRPr="00B66F1E">
        <w:rPr>
          <w:rFonts w:ascii="Arial" w:eastAsia="Arial" w:hAnsi="Arial" w:cs="Arial"/>
          <w:lang w:val="ca" w:eastAsia="ca-ES"/>
        </w:rPr>
        <w:t xml:space="preserve">For both chromosome 21 and exome data, clear genetic differentiation between the two gorilla species is observed in PCA (Figures S33 and S43) and structure analysis (Figures S47 and S55), where </w:t>
      </w:r>
      <w:r w:rsidRPr="00B66F1E">
        <w:rPr>
          <w:rFonts w:ascii="Arial" w:eastAsia="Arial" w:hAnsi="Arial" w:cs="Arial"/>
          <w:i/>
          <w:lang w:val="ca" w:eastAsia="ca-ES"/>
        </w:rPr>
        <w:t>K</w:t>
      </w:r>
      <w:r w:rsidRPr="00B66F1E">
        <w:rPr>
          <w:rFonts w:ascii="Arial" w:eastAsia="Arial" w:hAnsi="Arial" w:cs="Arial"/>
          <w:lang w:val="ca" w:eastAsia="ca-ES"/>
        </w:rPr>
        <w:t xml:space="preserve">=2 is the best inferred </w:t>
      </w:r>
      <w:r w:rsidRPr="00B66F1E">
        <w:rPr>
          <w:rFonts w:ascii="Arial" w:eastAsia="Arial" w:hAnsi="Arial" w:cs="Arial"/>
          <w:i/>
          <w:lang w:val="ca" w:eastAsia="ca-ES"/>
        </w:rPr>
        <w:t>K</w:t>
      </w:r>
      <w:r w:rsidRPr="00B66F1E">
        <w:rPr>
          <w:rFonts w:ascii="Arial" w:eastAsia="Arial" w:hAnsi="Arial" w:cs="Arial"/>
          <w:lang w:val="ca" w:eastAsia="ca-ES"/>
        </w:rPr>
        <w:t xml:space="preserve">. This agrees with previous findings of a deep divergence between the eastern and western gorilla species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N6Bf7hQv","properties":{"formattedCitation":"[20,21]","plainCitation":"[20,21]","dontUpdate":true,"noteIndex":0},"citationItems":[{"id":11,"uris":["http://zotero.org/users/local/jTutsuih/items/AB8QXFF3"],"itemData":{"id":11,"type":"article-journal","abstract":"Genome sequencing is a powerful tool to understand species evolutionary history, uncover genes under selection, which could be informative of local adaptation, and infer measures of genetic diversity, inbreeding and mutational load that could be used to inform conservation efforts. Gorillas, critically endangered primates, have received considerable attention and with the recently sequenced Bwindi mountain gorilla population, genomic data is now available from all gorilla subspecies and both mountain gorilla populations. Here, we reanalysed this rich dataset with a focus on evolutionary history, local adaptation and genomic parameters relevant for conservation. We estimate a recent split between western and eastern gorillas of 150,000–180,000 years ago, with gene flow around 20,000 years ago, primarily between the Cross River and Grauer’s gorilla subspecies. This gene flow event likely obscures evolutionary relationships within eastern gorillas: after excluding putatively introgressed genomic regions, we uncover a sister relationship between Virunga mountain gorillas and Grauer’s gorillas to the exclusion of Bwindi mountain gorillas. This makes mountain gorillas paraphyletic. Eastern gorillas are less genetically diverse and more inbred than western gorillas, yet we detected lower genetic load in the eastern species. Analyses of indels fit remarkably well with differences in genetic diversity across gorilla taxa as recovered with nucleotide diversity measures. We also identified genes under selection and unique gene variants specific for each gorilla subspecies, encoding, among others, traits involved in immunity, diet, muscular development, hair morphology and behavior. The presence of this functional variation suggests that the subspecies may be locally adapted. In conclusion, using extensive genomic resources we provide a comprehensive overview of gorilla genomic diversity, including a so-far understudied Bwindi mountain gorilla population, identify putative genes involved in local adaptation, and detect population-specific gene flow across gorilla species.","container-title":"BMC Ecology and Evolution","DOI":"10.1186/s12862-023-02195-x","ISSN":"2730-7182","issue":"1","journalAbbreviation":"BMC Ecol Evo","language":"en","license":"https://creativecommons.org/licenses/by/4.0","publisher":"Springer Science and Business Media LLC","source":"Crossref","title":"Comparative genomic analyses provide new insights into evolutionary history and conservation genomics of gorillas","URL":"https://bmcevolbiol.biomedcentral.com/articles/10.1186/s12862-023-02195-x","volume":"24","author":[{"family":"Van Der Valk","given":"Tom"},{"family":"Jensen","given":"Axel"},{"family":"Caillaud","given":"Damien"},{"family":"Guschanski","given":"Katerina"}],"accessed":{"date-parts":[["2025",7,17]]},"issued":{"date-parts":[["2024",1,26]]}}},{"id":171,"uris":["http://zotero.org/users/local/jTutsuih/items/2GH6Z7N2"],"itemData":{"id":171,"type":"article-journal","container-title":"Molecular Biology and Evolution","DOI":"10.1093/molbev/msl160","ISSN":"0737-4038, 1537-1719","issue":"1","journalAbbreviation":"Molecular Biology and Evolution","language":"en","page":"146-158","source":"DOI.org (Crossref)","title":"The Complex Evolutionary History of Gorillas: Insights from Genomic Data","title-short":"The Complex Evolutionary History of Gorillas","volume":"24","author":[{"family":"Thalmann","given":"O"},{"family":"Fischer","given":"A"},{"family":"Lankester","given":"F"},{"family":"Paabo","given":"S"},{"family":"Vigilant","given":"L"}],"issued":{"date-parts":[["2006",10,16]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 xml:space="preserve"> [20,21]</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t>
      </w:r>
    </w:p>
    <w:p w:rsidR="00B66F1E" w:rsidRPr="00B66F1E" w:rsidRDefault="00B66F1E" w:rsidP="00B66F1E">
      <w:pPr>
        <w:spacing w:after="0" w:line="360" w:lineRule="auto"/>
        <w:jc w:val="both"/>
        <w:rPr>
          <w:rFonts w:ascii="Arial" w:eastAsia="Arial" w:hAnsi="Arial" w:cs="Arial"/>
          <w:lang w:val="ca" w:eastAsia="ca-ES"/>
        </w:rPr>
      </w:pPr>
      <w:r w:rsidRPr="00B66F1E">
        <w:rPr>
          <w:rFonts w:ascii="Arial" w:eastAsia="Arial" w:hAnsi="Arial" w:cs="Arial"/>
          <w:lang w:val="ca" w:eastAsia="ca-ES"/>
        </w:rPr>
        <w:t>Chromosome 21:</w:t>
      </w:r>
    </w:p>
    <w:p w:rsidR="00B66F1E" w:rsidRPr="00B66F1E" w:rsidRDefault="00B66F1E" w:rsidP="00B66F1E">
      <w:pPr>
        <w:spacing w:after="0" w:line="360" w:lineRule="auto"/>
        <w:jc w:val="both"/>
        <w:rPr>
          <w:rFonts w:ascii="Arial" w:eastAsia="Arial" w:hAnsi="Arial" w:cs="Arial"/>
          <w:lang w:val="ca" w:eastAsia="ca-ES"/>
        </w:rPr>
      </w:pPr>
      <w:r w:rsidRPr="00B66F1E">
        <w:rPr>
          <w:rFonts w:ascii="Arial" w:eastAsia="Arial" w:hAnsi="Arial" w:cs="Arial"/>
          <w:lang w:val="ca" w:eastAsia="ca-ES"/>
        </w:rPr>
        <w:t xml:space="preserve">Using chromosome 21 data, at </w:t>
      </w:r>
      <w:r w:rsidRPr="00B66F1E">
        <w:rPr>
          <w:rFonts w:ascii="Arial" w:eastAsia="Arial" w:hAnsi="Arial" w:cs="Arial"/>
          <w:i/>
          <w:lang w:val="ca" w:eastAsia="ca-ES"/>
        </w:rPr>
        <w:t>K</w:t>
      </w:r>
      <w:r w:rsidRPr="00B66F1E">
        <w:rPr>
          <w:rFonts w:ascii="Arial" w:eastAsia="Arial" w:hAnsi="Arial" w:cs="Arial"/>
          <w:lang w:val="ca" w:eastAsia="ca-ES"/>
        </w:rPr>
        <w:t xml:space="preserve">=4 the Cross River gorillas component appeared. Some western lowland populations showed part of this component, distinguishing three different scenarios: not having Cross River component, having some part of Cross River component and having ~40% of Cross River component. At </w:t>
      </w:r>
      <w:r w:rsidRPr="00B66F1E">
        <w:rPr>
          <w:rFonts w:ascii="Arial" w:eastAsia="Arial" w:hAnsi="Arial" w:cs="Arial"/>
          <w:i/>
          <w:lang w:val="ca" w:eastAsia="ca-ES"/>
        </w:rPr>
        <w:t>K</w:t>
      </w:r>
      <w:r w:rsidRPr="00B66F1E">
        <w:rPr>
          <w:rFonts w:ascii="Arial" w:eastAsia="Arial" w:hAnsi="Arial" w:cs="Arial"/>
          <w:lang w:val="ca" w:eastAsia="ca-ES"/>
        </w:rPr>
        <w:t xml:space="preserve">=5, we observe a degree of allele sharing between eastern lowland gorillas and mountain gorillas from Bwindi. In addition, at </w:t>
      </w:r>
      <w:r w:rsidRPr="00B66F1E">
        <w:rPr>
          <w:rFonts w:ascii="Arial" w:eastAsia="Arial" w:hAnsi="Arial" w:cs="Arial"/>
          <w:i/>
          <w:lang w:val="ca" w:eastAsia="ca-ES"/>
        </w:rPr>
        <w:t>K</w:t>
      </w:r>
      <w:r w:rsidRPr="00B66F1E">
        <w:rPr>
          <w:rFonts w:ascii="Arial" w:eastAsia="Arial" w:hAnsi="Arial" w:cs="Arial"/>
          <w:lang w:val="ca" w:eastAsia="ca-ES"/>
        </w:rPr>
        <w:t xml:space="preserve">=5, another western lowland gorilla component appeared and was spread to almost all western lowland populations, except for the samples from south of Gabon. At </w:t>
      </w:r>
      <w:r w:rsidRPr="00B66F1E">
        <w:rPr>
          <w:rFonts w:ascii="Arial" w:eastAsia="Arial" w:hAnsi="Arial" w:cs="Arial"/>
          <w:i/>
          <w:lang w:val="ca" w:eastAsia="ca-ES"/>
        </w:rPr>
        <w:t>K</w:t>
      </w:r>
      <w:r w:rsidRPr="00B66F1E">
        <w:rPr>
          <w:rFonts w:ascii="Arial" w:eastAsia="Arial" w:hAnsi="Arial" w:cs="Arial"/>
          <w:lang w:val="ca" w:eastAsia="ca-ES"/>
        </w:rPr>
        <w:t xml:space="preserve">=6, Virunga and Bwindi were differentiated, showing different ancestry components. At </w:t>
      </w:r>
      <w:r w:rsidRPr="00B66F1E">
        <w:rPr>
          <w:rFonts w:ascii="Arial" w:eastAsia="Arial" w:hAnsi="Arial" w:cs="Arial"/>
          <w:i/>
          <w:lang w:val="ca" w:eastAsia="ca-ES"/>
        </w:rPr>
        <w:t>K</w:t>
      </w:r>
      <w:r w:rsidRPr="00B66F1E">
        <w:rPr>
          <w:rFonts w:ascii="Arial" w:eastAsia="Arial" w:hAnsi="Arial" w:cs="Arial"/>
          <w:lang w:val="ca" w:eastAsia="ca-ES"/>
        </w:rPr>
        <w:t xml:space="preserve">=7, a unique ancestry component separated samples from Dza and Gou from the rest of the western lowland gorillas.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6BF24E47" wp14:editId="49B1FC51">
            <wp:extent cx="5731200" cy="3644900"/>
            <wp:effectExtent l="0" t="0" r="0" b="0"/>
            <wp:docPr id="20"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54"/>
                    <a:srcRect/>
                    <a:stretch>
                      <a:fillRect/>
                    </a:stretch>
                  </pic:blipFill>
                  <pic:spPr>
                    <a:xfrm>
                      <a:off x="0" y="0"/>
                      <a:ext cx="5731200" cy="36449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Figure S47. ADMIXTURE PLOT ALL DATASET</w:t>
      </w:r>
    </w:p>
    <w:p w:rsidR="00B66F1E" w:rsidRPr="00B66F1E" w:rsidRDefault="00B66F1E" w:rsidP="00B66F1E">
      <w:pPr>
        <w:spacing w:after="0" w:line="360" w:lineRule="auto"/>
        <w:jc w:val="both"/>
        <w:rPr>
          <w:rFonts w:ascii="Arial" w:eastAsia="Arial" w:hAnsi="Arial" w:cs="Arial"/>
          <w:lang w:val="ca" w:eastAsia="ca-ES"/>
        </w:rPr>
      </w:pPr>
      <w:r w:rsidRPr="00B66F1E">
        <w:rPr>
          <w:rFonts w:ascii="Arial" w:eastAsia="Arial" w:hAnsi="Arial" w:cs="Arial"/>
          <w:lang w:val="ca" w:eastAsia="ca-ES"/>
        </w:rPr>
        <w:lastRenderedPageBreak/>
        <w:t xml:space="preserve">Plotting </w:t>
      </w:r>
      <w:r w:rsidRPr="00B66F1E">
        <w:rPr>
          <w:rFonts w:ascii="Arial" w:eastAsia="Arial" w:hAnsi="Arial" w:cs="Arial"/>
          <w:i/>
          <w:lang w:val="ca" w:eastAsia="ca-ES"/>
        </w:rPr>
        <w:t>K</w:t>
      </w:r>
      <w:r w:rsidRPr="00B66F1E">
        <w:rPr>
          <w:rFonts w:ascii="Arial" w:eastAsia="Arial" w:hAnsi="Arial" w:cs="Arial"/>
          <w:lang w:val="ca" w:eastAsia="ca-ES"/>
        </w:rPr>
        <w:t xml:space="preserve">=7 for each sample in the geographic coordinates provided showed the clear geographic structure also seen in the different principal component analyses (Figure S48). The unique sample from Ebo forest showed admixed components from Cross River gorillas and western lowland gorillas, in concordance with western gorilla principal component analyses (Figures S35 and S36). Samples from the central and eastern part of Cameroon showed more allele sharing with Dza and Gou than the rest of the western lowland populations (Figure S48). </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4C299973" wp14:editId="72F0AB70">
            <wp:extent cx="5734050" cy="3286125"/>
            <wp:effectExtent l="0" t="0" r="0" b="0"/>
            <wp:docPr id="68"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55"/>
                    <a:srcRect t="18302" b="24292"/>
                    <a:stretch>
                      <a:fillRect/>
                    </a:stretch>
                  </pic:blipFill>
                  <pic:spPr>
                    <a:xfrm>
                      <a:off x="0" y="0"/>
                      <a:ext cx="5734050" cy="3286125"/>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sz w:val="20"/>
          <w:szCs w:val="20"/>
          <w:lang w:val="ca" w:eastAsia="ca-ES"/>
        </w:rPr>
        <w:t xml:space="preserve">Figure S48. ADMIXTURE PLOT ALL DATASET showing </w:t>
      </w:r>
      <w:r w:rsidRPr="00B66F1E">
        <w:rPr>
          <w:rFonts w:ascii="Arial" w:eastAsia="Arial" w:hAnsi="Arial" w:cs="Arial"/>
          <w:i/>
          <w:sz w:val="20"/>
          <w:szCs w:val="20"/>
          <w:lang w:val="ca" w:eastAsia="ca-ES"/>
        </w:rPr>
        <w:t>K</w:t>
      </w:r>
      <w:r w:rsidRPr="00B66F1E">
        <w:rPr>
          <w:rFonts w:ascii="Arial" w:eastAsia="Arial" w:hAnsi="Arial" w:cs="Arial"/>
          <w:sz w:val="20"/>
          <w:szCs w:val="20"/>
          <w:lang w:val="ca" w:eastAsia="ca-ES"/>
        </w:rPr>
        <w:t xml:space="preserve"> = 7. Each bar is plotted in the geographic coordinates provided.</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Eastern gorillas admixture analysis showed a clear separation between eastern lowland and mountain gorillas at </w:t>
      </w:r>
      <w:r w:rsidRPr="00B66F1E">
        <w:rPr>
          <w:rFonts w:ascii="Arial" w:eastAsia="Arial" w:hAnsi="Arial" w:cs="Arial"/>
          <w:i/>
          <w:lang w:val="ca" w:eastAsia="ca-ES"/>
        </w:rPr>
        <w:t>K</w:t>
      </w:r>
      <w:r w:rsidRPr="00B66F1E">
        <w:rPr>
          <w:rFonts w:ascii="Arial" w:eastAsia="Arial" w:hAnsi="Arial" w:cs="Arial"/>
          <w:lang w:val="ca" w:eastAsia="ca-ES"/>
        </w:rPr>
        <w:t xml:space="preserve">=2 (best </w:t>
      </w:r>
      <w:r w:rsidRPr="00B66F1E">
        <w:rPr>
          <w:rFonts w:ascii="Arial" w:eastAsia="Arial" w:hAnsi="Arial" w:cs="Arial"/>
          <w:i/>
          <w:lang w:val="ca" w:eastAsia="ca-ES"/>
        </w:rPr>
        <w:t>K</w:t>
      </w:r>
      <w:r w:rsidRPr="00B66F1E">
        <w:rPr>
          <w:rFonts w:ascii="Arial" w:eastAsia="Arial" w:hAnsi="Arial" w:cs="Arial"/>
          <w:lang w:val="ca" w:eastAsia="ca-ES"/>
        </w:rPr>
        <w:t xml:space="preserve">) (Figure S49). It was also possible to see some allele sharing between the Bwindi population and eastern lowland gorillas, when compared to Virunga population. At </w:t>
      </w:r>
      <w:r w:rsidRPr="00B66F1E">
        <w:rPr>
          <w:rFonts w:ascii="Arial" w:eastAsia="Arial" w:hAnsi="Arial" w:cs="Arial"/>
          <w:i/>
          <w:lang w:val="ca" w:eastAsia="ca-ES"/>
        </w:rPr>
        <w:t>K</w:t>
      </w:r>
      <w:r w:rsidRPr="00B66F1E">
        <w:rPr>
          <w:rFonts w:ascii="Arial" w:eastAsia="Arial" w:hAnsi="Arial" w:cs="Arial"/>
          <w:lang w:val="ca" w:eastAsia="ca-ES"/>
        </w:rPr>
        <w:t xml:space="preserve">=3 Virunga and Bwindi were distinguished, seeing the same patterns of admixture components for the three types of data (faecal with geographic coordinates, public genomes, and museum samples, both with origin information). At </w:t>
      </w:r>
      <w:r w:rsidRPr="00B66F1E">
        <w:rPr>
          <w:rFonts w:ascii="Arial" w:eastAsia="Arial" w:hAnsi="Arial" w:cs="Arial"/>
          <w:i/>
          <w:lang w:val="ca" w:eastAsia="ca-ES"/>
        </w:rPr>
        <w:t>K</w:t>
      </w:r>
      <w:r w:rsidRPr="00B66F1E">
        <w:rPr>
          <w:rFonts w:ascii="Arial" w:eastAsia="Arial" w:hAnsi="Arial" w:cs="Arial"/>
          <w:lang w:val="ca" w:eastAsia="ca-ES"/>
        </w:rPr>
        <w:t xml:space="preserve">=4 and </w:t>
      </w:r>
      <w:r w:rsidRPr="00B66F1E">
        <w:rPr>
          <w:rFonts w:ascii="Arial" w:eastAsia="Arial" w:hAnsi="Arial" w:cs="Arial"/>
          <w:i/>
          <w:lang w:val="ca" w:eastAsia="ca-ES"/>
        </w:rPr>
        <w:t>K</w:t>
      </w:r>
      <w:r w:rsidRPr="00B66F1E">
        <w:rPr>
          <w:rFonts w:ascii="Arial" w:eastAsia="Arial" w:hAnsi="Arial" w:cs="Arial"/>
          <w:lang w:val="ca" w:eastAsia="ca-ES"/>
        </w:rPr>
        <w:t xml:space="preserve">=5 different patterns in the faecal samples were observed.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 distinct cluster inside the eastern lowland gorillas admixture analysis at </w:t>
      </w:r>
      <w:r w:rsidRPr="00B66F1E">
        <w:rPr>
          <w:rFonts w:ascii="Arial" w:eastAsia="Arial" w:hAnsi="Arial" w:cs="Arial"/>
          <w:i/>
          <w:lang w:val="ca" w:eastAsia="ca-ES"/>
        </w:rPr>
        <w:t>K</w:t>
      </w:r>
      <w:r w:rsidRPr="00B66F1E">
        <w:rPr>
          <w:rFonts w:ascii="Arial" w:eastAsia="Arial" w:hAnsi="Arial" w:cs="Arial"/>
          <w:lang w:val="ca" w:eastAsia="ca-ES"/>
        </w:rPr>
        <w:t xml:space="preserve">=2 appeared, showing differences between samples from Maiko and Nkuba Conservation Area and samples from Kahuzi-Biega National Park (Figure S50), as seen in the first component of the eastern lowland principal component analysis (Figure S41). We include the hair sample Bai10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{"citationID":"MfQMwBpK","properties":{"formattedCitation":"[76]","plainCitation":"[76]","noteIndex":0},"citationItems":[{"id":22,"uris":["http://zotero.org/users/local/jTutsuih/items/LAE9J37X"],"itemData":{"id":22,"type":"article-journal","abstract":"The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in this analysis and confirm their findings that this sample is an eastern lowland gorilla, and we find that it has similar ancestry to Maiko and Nkuba Conservation Area samples. In the following </w:t>
      </w:r>
      <w:r w:rsidRPr="00B66F1E">
        <w:rPr>
          <w:rFonts w:ascii="Arial" w:eastAsia="Arial" w:hAnsi="Arial" w:cs="Arial"/>
          <w:i/>
          <w:lang w:val="ca" w:eastAsia="ca-ES"/>
        </w:rPr>
        <w:t>K</w:t>
      </w:r>
      <w:r w:rsidRPr="00B66F1E">
        <w:rPr>
          <w:rFonts w:ascii="Arial" w:eastAsia="Arial" w:hAnsi="Arial" w:cs="Arial"/>
          <w:lang w:val="ca" w:eastAsia="ca-ES"/>
        </w:rPr>
        <w:t>s (</w:t>
      </w:r>
      <w:r w:rsidRPr="00B66F1E">
        <w:rPr>
          <w:rFonts w:ascii="Arial" w:eastAsia="Arial" w:hAnsi="Arial" w:cs="Arial"/>
          <w:i/>
          <w:lang w:val="ca" w:eastAsia="ca-ES"/>
        </w:rPr>
        <w:t>K</w:t>
      </w:r>
      <w:r w:rsidRPr="00B66F1E">
        <w:rPr>
          <w:rFonts w:ascii="Arial" w:eastAsia="Arial" w:hAnsi="Arial" w:cs="Arial"/>
          <w:lang w:val="ca" w:eastAsia="ca-ES"/>
        </w:rPr>
        <w:t xml:space="preserve">=3-4) for the eastern lowland gorillas admixture </w:t>
      </w:r>
      <w:r w:rsidRPr="00B66F1E">
        <w:rPr>
          <w:rFonts w:ascii="Arial" w:eastAsia="Arial" w:hAnsi="Arial" w:cs="Arial"/>
          <w:lang w:val="ca" w:eastAsia="ca-ES"/>
        </w:rPr>
        <w:lastRenderedPageBreak/>
        <w:t xml:space="preserve">analysis, we can not distinguish a clear pattern of admixture separation (Figure S50). More samples will be needed to better assess possible population structure inside the eastern lowland subspecies.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Mountain gorillas showed no clear structure after Bwindi and Virunga separation at </w:t>
      </w:r>
      <w:r w:rsidRPr="00B66F1E">
        <w:rPr>
          <w:rFonts w:ascii="Arial" w:eastAsia="Arial" w:hAnsi="Arial" w:cs="Arial"/>
          <w:i/>
          <w:lang w:val="ca" w:eastAsia="ca-ES"/>
        </w:rPr>
        <w:t>K</w:t>
      </w:r>
      <w:r w:rsidRPr="00B66F1E">
        <w:rPr>
          <w:rFonts w:ascii="Arial" w:eastAsia="Arial" w:hAnsi="Arial" w:cs="Arial"/>
          <w:lang w:val="ca" w:eastAsia="ca-ES"/>
        </w:rPr>
        <w:t xml:space="preserve">=2 (Figure S51). Inconsistent clustering appeared in </w:t>
      </w:r>
      <w:r w:rsidRPr="00B66F1E">
        <w:rPr>
          <w:rFonts w:ascii="Arial" w:eastAsia="Arial" w:hAnsi="Arial" w:cs="Arial"/>
          <w:i/>
          <w:lang w:val="ca" w:eastAsia="ca-ES"/>
        </w:rPr>
        <w:t>K</w:t>
      </w:r>
      <w:r w:rsidRPr="00B66F1E">
        <w:rPr>
          <w:rFonts w:ascii="Arial" w:eastAsia="Arial" w:hAnsi="Arial" w:cs="Arial"/>
          <w:lang w:val="ca" w:eastAsia="ca-ES"/>
        </w:rPr>
        <w:t xml:space="preserve">=3 and </w:t>
      </w:r>
      <w:r w:rsidRPr="00B66F1E">
        <w:rPr>
          <w:rFonts w:ascii="Arial" w:eastAsia="Arial" w:hAnsi="Arial" w:cs="Arial"/>
          <w:i/>
          <w:lang w:val="ca" w:eastAsia="ca-ES"/>
        </w:rPr>
        <w:t>K</w:t>
      </w:r>
      <w:r w:rsidRPr="00B66F1E">
        <w:rPr>
          <w:rFonts w:ascii="Arial" w:eastAsia="Arial" w:hAnsi="Arial" w:cs="Arial"/>
          <w:lang w:val="ca" w:eastAsia="ca-ES"/>
        </w:rPr>
        <w:t xml:space="preserve">=4 inside Virunga and Bwindi populations, also seen in the eastern admixture at </w:t>
      </w:r>
      <w:r w:rsidRPr="00B66F1E">
        <w:rPr>
          <w:rFonts w:ascii="Arial" w:eastAsia="Arial" w:hAnsi="Arial" w:cs="Arial"/>
          <w:i/>
          <w:lang w:val="ca" w:eastAsia="ca-ES"/>
        </w:rPr>
        <w:t>K</w:t>
      </w:r>
      <w:r w:rsidRPr="00B66F1E">
        <w:rPr>
          <w:rFonts w:ascii="Arial" w:eastAsia="Arial" w:hAnsi="Arial" w:cs="Arial"/>
          <w:lang w:val="ca" w:eastAsia="ca-ES"/>
        </w:rPr>
        <w:t xml:space="preserve">=5 (Figure S49). </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15EDDFA7" wp14:editId="61A9B5CD">
            <wp:extent cx="5731200" cy="2603500"/>
            <wp:effectExtent l="0" t="0" r="0" b="0"/>
            <wp:docPr id="91" name="image91.jpg"/>
            <wp:cNvGraphicFramePr/>
            <a:graphic xmlns:a="http://schemas.openxmlformats.org/drawingml/2006/main">
              <a:graphicData uri="http://schemas.openxmlformats.org/drawingml/2006/picture">
                <pic:pic xmlns:pic="http://schemas.openxmlformats.org/drawingml/2006/picture">
                  <pic:nvPicPr>
                    <pic:cNvPr id="0" name="image91.jpg"/>
                    <pic:cNvPicPr preferRelativeResize="0"/>
                  </pic:nvPicPr>
                  <pic:blipFill>
                    <a:blip r:embed="rId56"/>
                    <a:srcRect/>
                    <a:stretch>
                      <a:fillRect/>
                    </a:stretch>
                  </pic:blipFill>
                  <pic:spPr>
                    <a:xfrm>
                      <a:off x="0" y="0"/>
                      <a:ext cx="5731200" cy="26035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Figure S49. ADMIXTURE PLOT EASTERN GORILLAS</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46B052C9" wp14:editId="7564D6A3">
            <wp:extent cx="5731200" cy="2603500"/>
            <wp:effectExtent l="0" t="0" r="0" b="0"/>
            <wp:docPr id="63" name="image60.jpg"/>
            <wp:cNvGraphicFramePr/>
            <a:graphic xmlns:a="http://schemas.openxmlformats.org/drawingml/2006/main">
              <a:graphicData uri="http://schemas.openxmlformats.org/drawingml/2006/picture">
                <pic:pic xmlns:pic="http://schemas.openxmlformats.org/drawingml/2006/picture">
                  <pic:nvPicPr>
                    <pic:cNvPr id="0" name="image60.jpg"/>
                    <pic:cNvPicPr preferRelativeResize="0"/>
                  </pic:nvPicPr>
                  <pic:blipFill>
                    <a:blip r:embed="rId57"/>
                    <a:srcRect/>
                    <a:stretch>
                      <a:fillRect/>
                    </a:stretch>
                  </pic:blipFill>
                  <pic:spPr>
                    <a:xfrm>
                      <a:off x="0" y="0"/>
                      <a:ext cx="5731200" cy="26035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Figure S50. ADMIXTURE PLOT EASTERN LOWLAND GORILLAS</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388B2174" wp14:editId="4C8F2AE5">
            <wp:extent cx="5731200" cy="2603500"/>
            <wp:effectExtent l="0" t="0" r="0" b="0"/>
            <wp:docPr id="42"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58"/>
                    <a:srcRect/>
                    <a:stretch>
                      <a:fillRect/>
                    </a:stretch>
                  </pic:blipFill>
                  <pic:spPr>
                    <a:xfrm>
                      <a:off x="0" y="0"/>
                      <a:ext cx="5731200" cy="26035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Figure S51. ADMIXTURE PLOT MOUNTAIN GORILLAS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Western admixture analysis showed similar patterns to those seen in the general admixture using all genus individuals (eastern and western gorillas) (Figure S52). Allele sharing with Cross River gorillas and Dza and Gou populations appeared in </w:t>
      </w:r>
      <w:r w:rsidRPr="00B66F1E">
        <w:rPr>
          <w:rFonts w:ascii="Arial" w:eastAsia="Arial" w:hAnsi="Arial" w:cs="Arial"/>
          <w:i/>
          <w:lang w:val="ca" w:eastAsia="ca-ES"/>
        </w:rPr>
        <w:t>K</w:t>
      </w:r>
      <w:r w:rsidRPr="00B66F1E">
        <w:rPr>
          <w:rFonts w:ascii="Arial" w:eastAsia="Arial" w:hAnsi="Arial" w:cs="Arial"/>
          <w:lang w:val="ca" w:eastAsia="ca-ES"/>
        </w:rPr>
        <w:t xml:space="preserve">=3. When just analysing western lowland gorillas, similar patterns are observed between the subspecies populations (Figure S53). Cross River gorilla admixture analysis using chromosome 21 data (Figure S54) is consistent with previous results using whole genomes of the same individuals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{"citationID":"VYaCxfhE","properties":{"formattedCitation":"[76]","plainCitation":"[76]","noteIndex":0},"citationItems":[{"id":22,"uris":["http://zotero.org/users/local/jTutsuih/items/LAE9J37X"],"itemData":{"id":22,"type":"article-journal","abstract":"The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and clusters seen in the principal component analysis (Figure S39).</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2B6D5F2C" wp14:editId="1DE8D581">
            <wp:extent cx="5731200" cy="2603500"/>
            <wp:effectExtent l="0" t="0" r="0" b="0"/>
            <wp:docPr id="27"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59"/>
                    <a:srcRect/>
                    <a:stretch>
                      <a:fillRect/>
                    </a:stretch>
                  </pic:blipFill>
                  <pic:spPr>
                    <a:xfrm>
                      <a:off x="0" y="0"/>
                      <a:ext cx="5731200" cy="2603500"/>
                    </a:xfrm>
                    <a:prstGeom prst="rect">
                      <a:avLst/>
                    </a:prstGeom>
                    <a:ln/>
                  </pic:spPr>
                </pic:pic>
              </a:graphicData>
            </a:graphic>
          </wp:inline>
        </w:drawing>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Figure S52. ADMIXTURE PLOT WESTERN GORILLAS</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08538A63" wp14:editId="07F0A740">
            <wp:extent cx="5731200" cy="2603500"/>
            <wp:effectExtent l="0" t="0" r="0" b="0"/>
            <wp:docPr id="80" name="image83.jpg"/>
            <wp:cNvGraphicFramePr/>
            <a:graphic xmlns:a="http://schemas.openxmlformats.org/drawingml/2006/main">
              <a:graphicData uri="http://schemas.openxmlformats.org/drawingml/2006/picture">
                <pic:pic xmlns:pic="http://schemas.openxmlformats.org/drawingml/2006/picture">
                  <pic:nvPicPr>
                    <pic:cNvPr id="0" name="image83.jpg"/>
                    <pic:cNvPicPr preferRelativeResize="0"/>
                  </pic:nvPicPr>
                  <pic:blipFill>
                    <a:blip r:embed="rId60"/>
                    <a:srcRect/>
                    <a:stretch>
                      <a:fillRect/>
                    </a:stretch>
                  </pic:blipFill>
                  <pic:spPr>
                    <a:xfrm>
                      <a:off x="0" y="0"/>
                      <a:ext cx="5731200" cy="2603500"/>
                    </a:xfrm>
                    <a:prstGeom prst="rect">
                      <a:avLst/>
                    </a:prstGeom>
                    <a:ln/>
                  </pic:spPr>
                </pic:pic>
              </a:graphicData>
            </a:graphic>
          </wp:inline>
        </w:drawing>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Figure S53. ADMIXTURE PLOT WESTERN LOWLAND GORILLAS</w:t>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364CE6F7" wp14:editId="3F456BB8">
            <wp:extent cx="5731200" cy="2603500"/>
            <wp:effectExtent l="0" t="0" r="0" b="0"/>
            <wp:docPr id="85"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61"/>
                    <a:srcRect/>
                    <a:stretch>
                      <a:fillRect/>
                    </a:stretch>
                  </pic:blipFill>
                  <pic:spPr>
                    <a:xfrm>
                      <a:off x="0" y="0"/>
                      <a:ext cx="5731200" cy="26035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sz w:val="20"/>
          <w:szCs w:val="20"/>
          <w:lang w:val="ca" w:eastAsia="ca-ES"/>
        </w:rPr>
        <w:t>Figure S54. ADMIXTURE PLOT CROSS RIVER GORILLAS</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28" w:name="_Toc234923663"/>
      <w:r w:rsidRPr="00B66F1E">
        <w:rPr>
          <w:rFonts w:ascii="Arial" w:eastAsia="Arial" w:hAnsi="Arial" w:cs="Arial"/>
          <w:sz w:val="32"/>
          <w:szCs w:val="32"/>
          <w:lang w:val="ca" w:eastAsia="ca-ES"/>
        </w:rPr>
        <w:t>3.3. Heterozygosity</w:t>
      </w:r>
      <w:bookmarkEnd w:id="28"/>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lang w:val="ca" w:eastAsia="ca-ES"/>
        </w:rPr>
        <w:t>Chromosome 21:</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Genetic diversity was assessed by calculating heterozygosity values. In order to include the maximum number of gorilla populations, genotype likelihoods were used for all available samples. All samples with more than 1.5 X of coverage were downsampled to avoid differences due to coverage.</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Capture bias was observed when comparing different sample types (Figure S56). FTA cards and hair samples showed an increased heterozygosity value when compared to faecal samples inside the western lowland subspecies. For the rest of the subspecies, it was not possible to compare as different sample types were not available. FTA cards and hair samples were removed from further heterozygosity analysis to avoid capture </w:t>
      </w:r>
      <w:r w:rsidRPr="00B66F1E">
        <w:rPr>
          <w:rFonts w:ascii="Arial" w:eastAsia="Arial" w:hAnsi="Arial" w:cs="Arial"/>
          <w:lang w:val="ca" w:eastAsia="ca-ES"/>
        </w:rPr>
        <w:lastRenderedPageBreak/>
        <w:t xml:space="preserve">bias and compare between subspecies and populations. As a consequence, no Cross River gorillas samples remained in genetic diversity analysis. </w:t>
      </w:r>
    </w:p>
    <w:p w:rsidR="00B66F1E" w:rsidRPr="00B66F1E" w:rsidRDefault="00B66F1E" w:rsidP="00B66F1E">
      <w:pPr>
        <w:spacing w:after="0" w:line="276" w:lineRule="auto"/>
        <w:jc w:val="center"/>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65425173" wp14:editId="3C3BA04A">
            <wp:extent cx="5731200" cy="2286000"/>
            <wp:effectExtent l="0" t="0" r="0" b="0"/>
            <wp:docPr id="48"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62"/>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S55. Heterozygosity samples at 1.5X (downsampled) by subspecies and coloured by sample type. </w:t>
      </w:r>
    </w:p>
    <w:p w:rsidR="00B66F1E" w:rsidRPr="00B66F1E" w:rsidRDefault="00B66F1E" w:rsidP="00B66F1E">
      <w:pPr>
        <w:spacing w:before="200" w:after="200" w:line="360" w:lineRule="auto"/>
        <w:jc w:val="both"/>
        <w:rPr>
          <w:rFonts w:ascii="Arial" w:eastAsia="Arial" w:hAnsi="Arial" w:cs="Arial"/>
          <w:lang w:val="ca" w:eastAsia="ca-ES"/>
        </w:rPr>
      </w:pPr>
      <w:r w:rsidRPr="00B66F1E">
        <w:rPr>
          <w:rFonts w:ascii="Arial" w:eastAsia="Arial" w:hAnsi="Arial" w:cs="Arial"/>
          <w:lang w:val="ca" w:eastAsia="ca-ES"/>
        </w:rPr>
        <w:t xml:space="preserve">After removing different sample types, captured faecal samples chromosome 21 data showed similar patterns of genetic diversity seen in previous studies between subspecies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{"citationID":"N8LxFZQE","properties":{"formattedCitation":"[17,18,76]","plainCitation":"[17,18,76]","noteIndex":0},"citationItems":[{"id":22,"uris":["http://zotero.org/users/local/jTutsuih/items/LAE9J37X"],"itemData":{"id":22,"type":"article-journal","abstract":"The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[17,18,76]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Western lowland gorillas showed an increased value of heterozygosity when compared to the two eastern gorilla subspecies (Figure S56). The difference between species was lower than observed previously due to allelic dropout caused by capture methodology. </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568105DB" wp14:editId="2ECA8DA2">
            <wp:extent cx="5731200" cy="2286000"/>
            <wp:effectExtent l="0" t="0" r="0" b="0"/>
            <wp:docPr id="58"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63"/>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S56. Heterozygosity samples at 1.5X (downsampled) by subspecies. Gorilla subspecies are represented by colours (western lowland gorillas-yellow, mountain gorillas-blue and eastern lowland gorillas-green).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Heterozygosity values within western lowland gorillas by sampling site showed differences between them. These differences did not correspond to PCA or admixture clusters detected, represented in the colours of each box-plot (Figure S57). Ivi and Gou </w:t>
      </w:r>
      <w:r w:rsidRPr="00B66F1E">
        <w:rPr>
          <w:rFonts w:ascii="Arial" w:eastAsia="Arial" w:hAnsi="Arial" w:cs="Arial"/>
          <w:lang w:val="ca" w:eastAsia="ca-ES"/>
        </w:rPr>
        <w:lastRenderedPageBreak/>
        <w:t xml:space="preserve">are the sites with higher values of heterozygosity. In contrast, Lob-Imb and Men showed the lowest values. </w:t>
      </w:r>
    </w:p>
    <w:p w:rsidR="00B66F1E" w:rsidRPr="00B66F1E" w:rsidRDefault="00B66F1E" w:rsidP="00B66F1E">
      <w:pPr>
        <w:spacing w:after="0" w:line="276" w:lineRule="auto"/>
        <w:jc w:val="center"/>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2BA848FC" wp14:editId="7204A9CF">
            <wp:extent cx="5731200" cy="4013200"/>
            <wp:effectExtent l="0" t="0" r="0" b="0"/>
            <wp:docPr id="47" name="image50.jpg"/>
            <wp:cNvGraphicFramePr/>
            <a:graphic xmlns:a="http://schemas.openxmlformats.org/drawingml/2006/main">
              <a:graphicData uri="http://schemas.openxmlformats.org/drawingml/2006/picture">
                <pic:pic xmlns:pic="http://schemas.openxmlformats.org/drawingml/2006/picture">
                  <pic:nvPicPr>
                    <pic:cNvPr id="0" name="image50.jpg"/>
                    <pic:cNvPicPr preferRelativeResize="0"/>
                  </pic:nvPicPr>
                  <pic:blipFill>
                    <a:blip r:embed="rId64"/>
                    <a:srcRect/>
                    <a:stretch>
                      <a:fillRect/>
                    </a:stretch>
                  </pic:blipFill>
                  <pic:spPr>
                    <a:xfrm>
                      <a:off x="0" y="0"/>
                      <a:ext cx="5731200" cy="4013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S57. Heterozygosity samples of western lowland gorillas at 1.5X (downsampled) by sampling site. Box-plot colours represent the three main PCA clusters: Dza and Gou in pink, south of Gabon in dark red and the rest in yellow.</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Heterozygosity values between eastern gorilla sites showed similar mean values between them (Figure S58). Eastern lowland sites (Maiko, Nkuba Conservation Area and Kahuzi-Biega) had similar low mean heterozygosity values. In contrast to other sites, Kahuzi-Biega samples showed high variability between samples, containing samples with higher values of heterozygosity compared to the rest of the eastern sites. More samples from these same sites and new ones will be needed to better capture the current genetic diversity inside the eastern lowland subspecies. Regarding mountain gorillas, the Virunga population showed lower values of heterozygosity compared to the rest of eastern lowland populations, as expected from results in van der Valk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{"citationID":"vGMy6Xtz","properties":{"formattedCitation":"[19]","plainCitation":"[19]","noteIndex":0},"citationItems":[{"id":11,"uris":["http://zotero.org/users/local/jTutsuih/items/AB8QXFF3"],"itemData":{"id":11,"type":"article-journal","abstract":"Genome sequencing is a powerful tool to understand species evolutionary history, uncover genes under selection, which could be informative of local adaptation, and infer measures of genetic diversity, inbreeding and mutational load that could be used to inform conservation efforts. Gorillas, critically endangered primates, have received considerable attention and with the recently sequenced Bwindi mountain gorilla population, genomic data is now available from all gorilla subspecies and both mountain gorilla populations. Here, we reanalysed this rich dataset with a focus on evolutionary history, local adaptation and genomic parameters relevant for conservation. We estimate a recent split between western and eastern gorillas of 150,000–180,000 years ago, with gene flow around 20,000 years ago, primarily between the Cross River and Grauer’s gorilla subspecies. This gene flow event likely obscures evolutionary relationships within eastern gorillas: after excluding putatively introgressed genomic regions, we uncover a sister relationship between Virunga mountain gorillas and Grauer’s gorillas to the exclusion of Bwindi mountain gorillas. This makes mountain gorillas paraphyletic. Eastern gorillas are less genetically diverse and more inbred than western gorillas, yet we detected lower genetic load in the eastern species. Analyses of indels fit remarkably well with differences in genetic diversity across gorilla taxa as recovered with nucleotide diversity measures. We also identified genes under selection and unique gene variants specific for each gorilla subspecies, encoding, among others, traits involved in immunity, diet, muscular development, hair morphology and behavior. The presence of this functional variation suggests that the subspecies may be locally adapted. In conclusion, using extensive genomic resources we provide a comprehensive overview of gorilla genomic diversity, including a so-far understudied Bwindi mountain gorilla population, identify putative genes involved in local adaptation, and detect population-specific gene flow across gorilla species.","container-title":"BMC Ecology and Evolution","DOI":"10.1186/s12862-023-02195-x","ISSN":"2730-7182","issue":"1","journalAbbreviation":"BMC Ecol Evo","language":"en","license":"https://creativecommons.org/licenses/by/4.0","publisher":"Springer Science and Business Media LLC","source":"Crossref","title":"Comparative genomic analyses provide new insights into evolutionary history and conservation genomics of gorillas","URL":"https://bmcevolbiol.biomedcentral.com/articles/10.1186/s12862-023-02195-x","volume":"24","author":[{"family":"Van Der Valk","given":"Tom"},{"family":"Jensen","given":"Axel"},{"family":"Caillaud","given":"Damien"},{"family":"Guschanski","given":"Katerina"}],"accessed":{"date-parts":[["2025",7,17]]},"issued":{"date-parts":[["2024",1,26]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[19]</w:t>
      </w:r>
      <w:r w:rsidRPr="00B66F1E">
        <w:rPr>
          <w:rFonts w:ascii="Arial" w:eastAsia="Arial" w:hAnsi="Arial" w:cs="Arial"/>
          <w:lang w:val="ca" w:eastAsia="ca-ES"/>
        </w:rPr>
        <w:fldChar w:fldCharType="end"/>
      </w:r>
      <w:r w:rsidRPr="00B66F1E">
        <w:rPr>
          <w:rFonts w:ascii="Arial" w:eastAsia="Arial" w:hAnsi="Arial" w:cs="Arial"/>
          <w:lang w:val="ca" w:eastAsia="ca-ES"/>
        </w:rPr>
        <w:t>.</w:t>
      </w:r>
    </w:p>
    <w:p w:rsidR="00B66F1E" w:rsidRPr="00B66F1E" w:rsidRDefault="00B66F1E" w:rsidP="00B66F1E">
      <w:pPr>
        <w:spacing w:after="0" w:line="276" w:lineRule="auto"/>
        <w:jc w:val="center"/>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37F3683B" wp14:editId="0FF266FE">
            <wp:extent cx="5731200" cy="2298700"/>
            <wp:effectExtent l="0" t="0" r="0" b="0"/>
            <wp:docPr id="2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65"/>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S58. Heterozygosity of eastern gorilla samples at 1.5X (downsampled) by sampling site. Blue colours show mountain gorilla sites, and green colours show eastern lowland sites. </w:t>
      </w:r>
    </w:p>
    <w:p w:rsidR="00B66F1E" w:rsidRPr="00B66F1E" w:rsidRDefault="00B66F1E" w:rsidP="00B66F1E">
      <w:pPr>
        <w:spacing w:after="200" w:line="360" w:lineRule="auto"/>
        <w:jc w:val="both"/>
        <w:rPr>
          <w:rFonts w:ascii="Arial" w:eastAsia="Arial" w:hAnsi="Arial" w:cs="Arial"/>
          <w:highlight w:val="yellow"/>
          <w:lang w:val="ca" w:eastAsia="ca-ES"/>
        </w:rPr>
      </w:pPr>
      <w:r w:rsidRPr="00B66F1E">
        <w:rPr>
          <w:rFonts w:ascii="Arial" w:eastAsia="Arial" w:hAnsi="Arial" w:cs="Arial"/>
          <w:lang w:val="ca" w:eastAsia="ca-ES"/>
        </w:rPr>
        <w:t>Information about social groups was available for eastern lowland and Virunga mountain gorillas. Comparisons between the different sampled social groups were performed in order to assess the genetic diversity variability inside each population (Figures S59 and S60). In the case of eastern lowland gorillas (Figure S59), the Kahuzi-Biega site was represented by 7 different social groups: Chimanuka, Ganywamulme, Langa, Mankoto, Mufanzala2, Mugaruka and Namadiriri, and NCA was represented by two different social groups: Membe and Bansamba. Maiko is represented by the same sampling site name. The social groups Membe, Maiko and Bansamba had values within a similar range. The different social groups inside Kahuzi-Biega National Park showed different patterns of heterozygosity between them. Ganywamulme, Langa and Mankoto showed the highest values of heterozygosity. In contrast, Mufanzala2 and Mugaruka showed the lowest values. These differences between social groups could be explained by drift experienced in small populations, inbreeding, gene flow between some social groups, among others. In addition, inbreeding could be affecting the chromosome 21 region; genome-wide heterozygosity and inbreeding levels for each social group will need to be assessed.</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Mountain gorillas from Virunga are represented by 21 social groups (More info in Table S3). As described for social groups inside Kahuzi-Biega National Park, there were clear differences in heterozygosity among social groups in Virunga (Figure S60). </w:t>
      </w:r>
    </w:p>
    <w:p w:rsidR="00B66F1E" w:rsidRPr="00B66F1E" w:rsidRDefault="00B66F1E" w:rsidP="00B66F1E">
      <w:pPr>
        <w:spacing w:after="0" w:line="276" w:lineRule="auto"/>
        <w:jc w:val="center"/>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6165E3A8" wp14:editId="1CDB8584">
            <wp:extent cx="5731200" cy="4013200"/>
            <wp:effectExtent l="0" t="0" r="0" b="0"/>
            <wp:docPr id="96" name="image95.jpg"/>
            <wp:cNvGraphicFramePr/>
            <a:graphic xmlns:a="http://schemas.openxmlformats.org/drawingml/2006/main">
              <a:graphicData uri="http://schemas.openxmlformats.org/drawingml/2006/picture">
                <pic:pic xmlns:pic="http://schemas.openxmlformats.org/drawingml/2006/picture">
                  <pic:nvPicPr>
                    <pic:cNvPr id="0" name="image95.jpg"/>
                    <pic:cNvPicPr preferRelativeResize="0"/>
                  </pic:nvPicPr>
                  <pic:blipFill>
                    <a:blip r:embed="rId66"/>
                    <a:srcRect/>
                    <a:stretch>
                      <a:fillRect/>
                    </a:stretch>
                  </pic:blipFill>
                  <pic:spPr>
                    <a:xfrm>
                      <a:off x="0" y="0"/>
                      <a:ext cx="5731200" cy="4013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S59. Heterozygosity samples of eastern lowland gorillas at 1.5X (downsampled) by social groups. Different social groups are coloured in different shades of green (social groups from KaB National Park are colored in dark green, Nkuba Conservation Area (NCA) social groups in bluish-green, and Membe social groups in light green).</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2C9DD87E" wp14:editId="3E8734D0">
            <wp:extent cx="5734050" cy="2276475"/>
            <wp:effectExtent l="0" t="0" r="0" b="0"/>
            <wp:docPr id="24"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67"/>
                    <a:srcRect t="43230"/>
                    <a:stretch>
                      <a:fillRect/>
                    </a:stretch>
                  </pic:blipFill>
                  <pic:spPr>
                    <a:xfrm>
                      <a:off x="0" y="0"/>
                      <a:ext cx="5734050" cy="2276475"/>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S60. Heterozygosity samples of mountain gorillas at 1.5X (downsampled) by social groups. All Virunga social groups are colored in dark blue.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In addition, we calculated the heterozygosity in higher coverage samples, as the ability to detect heterozygous positions depends on the coverage of the sample. Samples were downsampled to 6, 10 and 20 X of coverage in order to obtain comparable heterozygosity values. For each downsampled group of samples, variants were called using GATK software as described in the methods section.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lastRenderedPageBreak/>
        <w:t xml:space="preserve">First, we checked how coverage influences the ability to detect heterozygous positions (Figure S61). As coverage increased, heterozygosity values between the two eastern gorilla subspecies became more distinguishable. Eastern lowland gorillas had higher values of heterozygosity than mountain gorillas, as expected and described in previous studies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6tUXJ4Yt","properties":{"formattedCitation":"[17\\uc0\\u8211{}19]","plainCitation":"[17–19]","noteIndex":0},"citationItems":[{"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E."},{"family":"Marques-Bonet","given":"Tomas"}],"issued":{"date-parts":[["2013",7]]}}},{"id":11,"uris":["http://zotero.org/users/local/jTutsuih/items/AB8QXFF3"],"itemData":{"id":11,"type":"article-journal","abstract":"Genome sequencing is a powerful tool to understand species evolutionary history, uncover genes under selection, which could be informative of local adaptation, and infer measures of genetic diversity, inbreeding and mutational load that could be used to inform conservation efforts. Gorillas, critically endangered primates, have received considerable attention and with the recently sequenced Bwindi mountain gorilla population, genomic data is now available from all gorilla subspecies and both mountain gorilla populations. Here, we reanalysed this rich dataset with a focus on evolutionary history, local adaptation and genomic parameters relevant for conservation. We estimate a recent split between western and eastern gorillas of 150,000–180,000 years ago, with gene flow around 20,000 years ago, primarily between the Cross River and Grauer’s gorilla subspecies. This gene flow event likely obscures evolutionary relationships within eastern gorillas: after excluding putatively introgressed genomic regions, we uncover a sister relationship between Virunga mountain gorillas and Grauer’s gorillas to the exclusion of Bwindi mountain gorillas. This makes mountain gorillas paraphyletic. Eastern gorillas are less genetically diverse and more inbred than western gorillas, yet we detected lower genetic load in the eastern species. Analyses of indels fit remarkably well with differences in genetic diversity across gorilla taxa as recovered with nucleotide diversity measures. We also identified genes under selection and unique gene variants specific for each gorilla subspecies, encoding, among others, traits involved in immunity, diet, muscular development, hair morphology and behavior. The presence of this functional variation suggests that the subspecies may be locally adapted. In conclusion, using extensive genomic resources we provide a comprehensive overview of gorilla genomic diversity, including a so-far understudied Bwindi mountain gorilla population, identify putative genes involved in local adaptation, and detect population-specific gene flow across gorilla species.","container-title":"BMC Ecology and Evolution","DOI":"10.1186/s12862-023-02195-x","ISSN":"2730-7182","issue":"1","journalAbbreviation":"BMC Ecol Evo","language":"en","license":"https://creativecommons.org/licenses/by/4.0","publisher":"Springer Science and Business Media LLC","source":"Crossref","title":"Comparative genomic analyses provide new insights into evolutionary history and conservation genomics of gorillas","URL":"https://bmcevolbiol.biomedcentral.com/articles/10.1186/s12862-023-02195-x","volume":"24","author":[{"family":"Van Der Valk","given":"Tom"},{"family":"Jensen","given":"Axel"},{"family":"Caillaud","given":"Damien"},{"family":"Guschanski","given":"Katerina"}],"accessed":{"date-parts":[["2025",7,17]]},"issued":{"date-parts":[["2024",1,26]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szCs w:val="24"/>
          <w:lang w:val="ca" w:eastAsia="ca-ES"/>
        </w:rPr>
        <w:t>[17–19]</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Using genotype likelihoods or low-coverage data (around 6X), these differences were not detected (Figures S56 and S61). Western lowland gorillas showed higher heterozygosity levels than the rest of the subspecies, as it has been previously described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{"citationID":"OWIsq9K5","properties":{"formattedCitation":"[17,18]","plainCitation":"[17,18]","noteIndex":0},"citationItems":[{"id":18,"uris":["http://zotero.org/users/local/jTutsuih/items/NFZVD9TD"],"itemData":{"id":18,"type":"article-journal","abstract":"Genomes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[17,18]</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This difference, as seen using genotype likelihoods, was not as high as expected, mainly due to possible allelic dropout when using capture data (Figure S61). Cross River gorillas were not added in this comparison as all genomes from this subspecies were generated from hair samples, extracting a posteriori the chromosome 21. This technical difference can produce a bias when detecting heterozygous positions in comparison with capture data, as seen when using genotype likelihoods (Figure S55). </w:t>
      </w:r>
    </w:p>
    <w:p w:rsidR="00B66F1E" w:rsidRPr="00B66F1E" w:rsidRDefault="00B66F1E" w:rsidP="00B66F1E">
      <w:pPr>
        <w:spacing w:after="0" w:line="276" w:lineRule="auto"/>
        <w:jc w:val="center"/>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6401DDA3" wp14:editId="36A09A65">
            <wp:extent cx="5731200" cy="2286000"/>
            <wp:effectExtent l="0" t="0" r="0" b="0"/>
            <wp:docPr id="90" name="image88.jpg"/>
            <wp:cNvGraphicFramePr/>
            <a:graphic xmlns:a="http://schemas.openxmlformats.org/drawingml/2006/main">
              <a:graphicData uri="http://schemas.openxmlformats.org/drawingml/2006/picture">
                <pic:pic xmlns:pic="http://schemas.openxmlformats.org/drawingml/2006/picture">
                  <pic:nvPicPr>
                    <pic:cNvPr id="0" name="image88.jpg"/>
                    <pic:cNvPicPr preferRelativeResize="0"/>
                  </pic:nvPicPr>
                  <pic:blipFill>
                    <a:blip r:embed="rId68"/>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S61. Heterozygosity values at different downsampled coverages (6-10-20X) by subspecies using faecal samples. Each subspecies is represented by different colours (eastern lowland gorillas in green, western lowland gorillas in yellow and mountain gorillas in blue).</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focused on high-coverage samples downsampled to 20X in order to evaluate the maximum detected heterozygous positions (Figure S62). The patterns of heterozygosity coincide with the results commented previously using genotype likelihoods and lower levels of coverage.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4A4FE8E9" wp14:editId="76A712C6">
            <wp:extent cx="5731200" cy="2286000"/>
            <wp:effectExtent l="0" t="0" r="0" b="0"/>
            <wp:docPr id="84" name="image84.jpg"/>
            <wp:cNvGraphicFramePr/>
            <a:graphic xmlns:a="http://schemas.openxmlformats.org/drawingml/2006/main">
              <a:graphicData uri="http://schemas.openxmlformats.org/drawingml/2006/picture">
                <pic:pic xmlns:pic="http://schemas.openxmlformats.org/drawingml/2006/picture">
                  <pic:nvPicPr>
                    <pic:cNvPr id="0" name="image84.jpg"/>
                    <pic:cNvPicPr preferRelativeResize="0"/>
                  </pic:nvPicPr>
                  <pic:blipFill>
                    <a:blip r:embed="rId69"/>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S62. Heterozygosity samples at 20X (downsampled) by subspecies using faecal samples. Each subspecies is represented by different colours (eastern lowland gorillas in green, western lowland gorillas in yellow and mountain gorillas in blue).</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Fewer sampling sites are represented when using samples at 20X coverage. The patterns observed using genotype likelihoods were maintained when calculating heterozygosity at 20X for western lowland gorillas. Differences between principal PCA clusters inside western lowland gorillas were not seen either using high-coverage data (Figure S63). In contrast, eastern gorilla subspecies heterozygosity values were more differentiated (Figure S64). Eastern lowland gorillas showed higher values compared to mountain gorillas, except for the Maiko eastern lowland site, which showed values similar to Virunga mountain gorilla populations (Figure S65). </w:t>
      </w:r>
    </w:p>
    <w:p w:rsidR="00B66F1E" w:rsidRPr="00B66F1E" w:rsidRDefault="00B66F1E" w:rsidP="00B66F1E">
      <w:pPr>
        <w:spacing w:after="0" w:line="276" w:lineRule="auto"/>
        <w:jc w:val="both"/>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028837DC" wp14:editId="3ED3A533">
            <wp:extent cx="5731200" cy="4013200"/>
            <wp:effectExtent l="0" t="0" r="0" b="0"/>
            <wp:docPr id="52"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70"/>
                    <a:srcRect/>
                    <a:stretch>
                      <a:fillRect/>
                    </a:stretch>
                  </pic:blipFill>
                  <pic:spPr>
                    <a:xfrm>
                      <a:off x="0" y="0"/>
                      <a:ext cx="5731200" cy="4013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Figure S63. Heterozygosity samples of western lowland gorillas at 20X (downsampled) by sampling site. Box-plot colours represent the three main PCA clusters: Dzain in pink, south of Gabon in dark red and the rest in yellow.</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58756ACC" wp14:editId="2B8EF9B7">
            <wp:extent cx="5731200" cy="2298700"/>
            <wp:effectExtent l="0" t="0" r="0" b="0"/>
            <wp:docPr id="26"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71"/>
                    <a:srcRect/>
                    <a:stretch>
                      <a:fillRect/>
                    </a:stretch>
                  </pic:blipFill>
                  <pic:spPr>
                    <a:xfrm>
                      <a:off x="0" y="0"/>
                      <a:ext cx="5731200" cy="22987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S64. Heterozygosity samples of eastern gorillas at 20X (downsampled) by sampling site. Blue colours showed mountain gorilla sites, and green colours showed eastern lowland sites.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Fewer individuals per social group were retained after filtering by high coverage (minimum 20X). The dispersion of mean values inside the KaB site was again observed, with Ganywamulme and Mankoto showing the highest heterozygosity values, and Mugarukathe the lowest (Figure S65). Mountain gorillas also showed similar patterns of what was observed using genotype likelihoods (Figure S66).</w:t>
      </w:r>
    </w:p>
    <w:p w:rsidR="00B66F1E" w:rsidRPr="00B66F1E" w:rsidRDefault="00B66F1E" w:rsidP="00B66F1E">
      <w:pPr>
        <w:spacing w:after="0" w:line="276" w:lineRule="auto"/>
        <w:rPr>
          <w:rFonts w:ascii="Arial" w:eastAsia="Arial" w:hAnsi="Arial" w:cs="Arial"/>
          <w:b/>
          <w:lang w:val="ca" w:eastAsia="ca-ES"/>
        </w:rPr>
      </w:pPr>
      <w:r w:rsidRPr="00B66F1E">
        <w:rPr>
          <w:rFonts w:ascii="Arial" w:eastAsia="Arial" w:hAnsi="Arial" w:cs="Arial"/>
          <w:b/>
          <w:noProof/>
          <w:lang w:val="ca" w:eastAsia="ca-ES"/>
        </w:rPr>
        <w:lastRenderedPageBreak/>
        <w:drawing>
          <wp:inline distT="114300" distB="114300" distL="114300" distR="114300" wp14:anchorId="270EA0A6" wp14:editId="7735B87F">
            <wp:extent cx="5731200" cy="4013200"/>
            <wp:effectExtent l="0" t="0" r="0" b="0"/>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2"/>
                    <a:srcRect/>
                    <a:stretch>
                      <a:fillRect/>
                    </a:stretch>
                  </pic:blipFill>
                  <pic:spPr>
                    <a:xfrm>
                      <a:off x="0" y="0"/>
                      <a:ext cx="5731200" cy="4013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b/>
          <w:sz w:val="20"/>
          <w:szCs w:val="20"/>
          <w:lang w:val="ca" w:eastAsia="ca-ES"/>
        </w:rPr>
      </w:pPr>
      <w:r w:rsidRPr="00B66F1E">
        <w:rPr>
          <w:rFonts w:ascii="Arial" w:eastAsia="Arial" w:hAnsi="Arial" w:cs="Arial"/>
          <w:sz w:val="20"/>
          <w:szCs w:val="20"/>
          <w:lang w:val="ca" w:eastAsia="ca-ES"/>
        </w:rPr>
        <w:t>Figure S65. Heterozygosity samples of eastern lowland gorillas at 20X (downsampled) by social groups. Different social groups are coloured in different shades of green (social groups from KaB National Park are colored in dark green, Nkuba Conservation Area (NCA) social groups in bluish-green, and Membe social groups in light green).</w:t>
      </w:r>
    </w:p>
    <w:p w:rsidR="00B66F1E" w:rsidRPr="00B66F1E" w:rsidRDefault="00B66F1E" w:rsidP="00B66F1E">
      <w:pPr>
        <w:spacing w:after="0" w:line="276" w:lineRule="auto"/>
        <w:rPr>
          <w:rFonts w:ascii="Arial" w:eastAsia="Arial" w:hAnsi="Arial" w:cs="Arial"/>
          <w:b/>
          <w:lang w:val="ca" w:eastAsia="ca-ES"/>
        </w:rPr>
      </w:pPr>
      <w:r w:rsidRPr="00B66F1E">
        <w:rPr>
          <w:rFonts w:ascii="Arial" w:eastAsia="Arial" w:hAnsi="Arial" w:cs="Arial"/>
          <w:b/>
          <w:noProof/>
          <w:lang w:val="ca" w:eastAsia="ca-ES"/>
        </w:rPr>
        <w:drawing>
          <wp:inline distT="114300" distB="114300" distL="114300" distR="114300" wp14:anchorId="62F3E92E" wp14:editId="42456C18">
            <wp:extent cx="5734050" cy="1967865"/>
            <wp:effectExtent l="0" t="0" r="0" b="0"/>
            <wp:docPr id="9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73"/>
                    <a:srcRect t="50926"/>
                    <a:stretch>
                      <a:fillRect/>
                    </a:stretch>
                  </pic:blipFill>
                  <pic:spPr>
                    <a:xfrm>
                      <a:off x="0" y="0"/>
                      <a:ext cx="5734050" cy="1967865"/>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4"/>
          <w:szCs w:val="24"/>
          <w:lang w:val="ca" w:eastAsia="ca-ES"/>
        </w:rPr>
      </w:pPr>
      <w:r w:rsidRPr="00B66F1E">
        <w:rPr>
          <w:rFonts w:ascii="Arial" w:eastAsia="Arial" w:hAnsi="Arial" w:cs="Arial"/>
          <w:sz w:val="20"/>
          <w:szCs w:val="20"/>
          <w:lang w:val="ca" w:eastAsia="ca-ES"/>
        </w:rPr>
        <w:t xml:space="preserve">Figure S66. Heterozygosity samples of the Virunga population (mountain gorillas) at 20X (downsampled) by social groups. </w:t>
      </w:r>
    </w:p>
    <w:p w:rsidR="00B66F1E" w:rsidRPr="00B66F1E" w:rsidRDefault="00B66F1E" w:rsidP="00B66F1E">
      <w:pPr>
        <w:keepNext/>
        <w:keepLines/>
        <w:spacing w:before="360" w:after="200" w:line="276" w:lineRule="auto"/>
        <w:outlineLvl w:val="1"/>
        <w:rPr>
          <w:rFonts w:ascii="Arial" w:eastAsia="Arial" w:hAnsi="Arial" w:cs="Arial"/>
          <w:sz w:val="32"/>
          <w:szCs w:val="32"/>
          <w:lang w:val="ca" w:eastAsia="ca-ES"/>
        </w:rPr>
      </w:pPr>
      <w:bookmarkStart w:id="29" w:name="_Toc234923664"/>
      <w:r w:rsidRPr="00B66F1E">
        <w:rPr>
          <w:rFonts w:ascii="Arial" w:eastAsia="Arial" w:hAnsi="Arial" w:cs="Arial"/>
          <w:sz w:val="32"/>
          <w:szCs w:val="32"/>
          <w:lang w:val="ca" w:eastAsia="ca-ES"/>
        </w:rPr>
        <w:t xml:space="preserve">3.4 </w:t>
      </w:r>
      <w:r w:rsidRPr="00B66F1E">
        <w:rPr>
          <w:rFonts w:ascii="Arial" w:eastAsia="Arial" w:hAnsi="Arial" w:cs="Arial"/>
          <w:i/>
          <w:sz w:val="32"/>
          <w:szCs w:val="32"/>
          <w:lang w:val="ca" w:eastAsia="ca-ES"/>
        </w:rPr>
        <w:t>F</w:t>
      </w:r>
      <w:r w:rsidRPr="00B66F1E">
        <w:rPr>
          <w:rFonts w:ascii="Arial" w:eastAsia="Arial" w:hAnsi="Arial" w:cs="Arial"/>
          <w:sz w:val="32"/>
          <w:szCs w:val="32"/>
          <w:lang w:val="ca" w:eastAsia="ca-ES"/>
        </w:rPr>
        <w:t>ST</w:t>
      </w:r>
      <w:bookmarkEnd w:id="29"/>
    </w:p>
    <w:p w:rsidR="00B66F1E" w:rsidRPr="00B66F1E" w:rsidRDefault="00B66F1E" w:rsidP="00B66F1E">
      <w:pPr>
        <w:spacing w:after="200" w:line="360" w:lineRule="auto"/>
        <w:jc w:val="both"/>
        <w:rPr>
          <w:rFonts w:ascii="Arial" w:eastAsia="Arial" w:hAnsi="Arial" w:cs="Arial"/>
          <w:b/>
          <w:lang w:val="ca" w:eastAsia="ca-ES"/>
        </w:rPr>
      </w:pPr>
      <w:r w:rsidRPr="00B66F1E">
        <w:rPr>
          <w:rFonts w:ascii="Arial" w:eastAsia="Arial" w:hAnsi="Arial" w:cs="Arial"/>
          <w:lang w:val="ca" w:eastAsia="ca-ES"/>
        </w:rPr>
        <w:t xml:space="preserve">Genetic population differentiation was tested through </w:t>
      </w:r>
      <w:r w:rsidRPr="00B66F1E">
        <w:rPr>
          <w:rFonts w:ascii="Arial" w:eastAsia="Arial" w:hAnsi="Arial" w:cs="Arial"/>
          <w:i/>
          <w:lang w:val="ca" w:eastAsia="ca-ES"/>
        </w:rPr>
        <w:t>F</w:t>
      </w:r>
      <w:r w:rsidRPr="00B66F1E">
        <w:rPr>
          <w:rFonts w:ascii="Arial" w:eastAsia="Arial" w:hAnsi="Arial" w:cs="Arial"/>
          <w:lang w:val="ca" w:eastAsia="ca-ES"/>
        </w:rPr>
        <w:t xml:space="preserve">ST values using chromosome 21 and exome data separately. For both cases, 1D-SFS was calculated for the subspecies (CRG, ELG, MG, WLG) using ANGSD v.0.935 and realSFS. We estimated the 2D-SFS for each subspecies comparison using realSFS with the site allele frequency files as </w:t>
      </w:r>
      <w:r w:rsidRPr="00B66F1E">
        <w:rPr>
          <w:rFonts w:ascii="Arial" w:eastAsia="Arial" w:hAnsi="Arial" w:cs="Arial"/>
          <w:lang w:val="ca" w:eastAsia="ca-ES"/>
        </w:rPr>
        <w:lastRenderedPageBreak/>
        <w:t xml:space="preserve">input. To calculate pairwise </w:t>
      </w:r>
      <w:r w:rsidRPr="00B66F1E">
        <w:rPr>
          <w:rFonts w:ascii="Arial" w:eastAsia="Arial" w:hAnsi="Arial" w:cs="Arial"/>
          <w:i/>
          <w:lang w:val="ca" w:eastAsia="ca-ES"/>
        </w:rPr>
        <w:t>F</w:t>
      </w:r>
      <w:r w:rsidRPr="00B66F1E">
        <w:rPr>
          <w:rFonts w:ascii="Arial" w:eastAsia="Arial" w:hAnsi="Arial" w:cs="Arial"/>
          <w:lang w:val="ca" w:eastAsia="ca-ES"/>
        </w:rPr>
        <w:t xml:space="preserve">ST, the 2D-SFS were used as priors, and the site allele frequency files were input to realSFS with the command ‘fst index’ to generate </w:t>
      </w:r>
      <w:r w:rsidRPr="00B66F1E">
        <w:rPr>
          <w:rFonts w:ascii="Arial" w:eastAsia="Arial" w:hAnsi="Arial" w:cs="Arial"/>
          <w:i/>
          <w:lang w:val="ca" w:eastAsia="ca-ES"/>
        </w:rPr>
        <w:t>F</w:t>
      </w:r>
      <w:r w:rsidRPr="00B66F1E">
        <w:rPr>
          <w:rFonts w:ascii="Arial" w:eastAsia="Arial" w:hAnsi="Arial" w:cs="Arial"/>
          <w:lang w:val="ca" w:eastAsia="ca-ES"/>
        </w:rPr>
        <w:t xml:space="preserve">ST binary files. We specified the flag ‘-whichFst 1’ to calculate Bhatia’s estimator of </w:t>
      </w:r>
      <w:r w:rsidRPr="00B66F1E">
        <w:rPr>
          <w:rFonts w:ascii="Arial" w:eastAsia="Arial" w:hAnsi="Arial" w:cs="Arial"/>
          <w:i/>
          <w:lang w:val="ca" w:eastAsia="ca-ES"/>
        </w:rPr>
        <w:t>F</w:t>
      </w:r>
      <w:r w:rsidRPr="00B66F1E">
        <w:rPr>
          <w:rFonts w:ascii="Arial" w:eastAsia="Arial" w:hAnsi="Arial" w:cs="Arial"/>
          <w:lang w:val="ca" w:eastAsia="ca-ES"/>
        </w:rPr>
        <w:t xml:space="preserve">ST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{"citationID":"QU98GgXR","properties":{"formattedCitation":"[81]","plainCitation":"[81]","noteIndex":0},"citationItems":[{"id":241,"uris":["http://zotero.org/users/local/jTutsuih/items/PDY3DQ9U"],"itemData":{"id":241,"type":"article-journal","abstract":"In a pair of seminal papers, Sewall Wright and Gustave Malécot introduced\n              F\n              ST\n              as a measure of structure in natural populations. In the decades that followed, a number of papers provided differing definitions, estimation methods, and interpretations beyond Wright's. While this diversity in methods has enabled many studies in genetics, it has also introduced confusion regarding how to estimate\n              F\n              ST\n              from available data. Considering this confusion, wide variation in published estimates of\n              F\n              ST\n              for pairs of HapMap populations is a cause for concern. These estimates changed—in some cases more than twofold—when comparing estimates from genotyping arrays to those from sequence data. Indeed, changes in\n              F\n              ST\n              from sequencing data might be expected due to population genetic factors affecting rare variants. While rare variants do influence the result, we show that this is largely through differences in estimation methods. Correcting for this yields estimates of\n              F\n              ST\n              that are much more concordant between sequence and genotype data. These differences relate to three specific issues: (1) estimating\n              F\n              ST\n              for a single SNP, (2) combining estimates of\n              F\n              ST\n              across multiple SNPs, and (3) selecting the set of SNPs used in the computation. Changes in each of these aspects of estimation may result in\n              F\n              ST\n              estimates that are highly divergent from one another. Here, we clarify these issues and propose solutions.","container-title":"Genome Research","DOI":"10.1101/gr.154831.113","ISSN":"1088-9051","issue":"9","journalAbbreviation":"Genome Res.","language":"en","page":"1514-1521","source":"DOI.org (Crossref)","title":"Estimating and interpreting &lt;i&gt;F&lt;/i&gt;&lt;sub&gt;ST&lt;/sub&gt; : The impact of rare variants","title-short":"Estimating and interpreting &lt;i&gt;F&lt;/i&gt;&lt;sub&gt;ST&lt;/sub&gt;","volume":"23","author":[{"family":"Bhatia","given":"Gaurav"},{"family":"Patterson","given":"Nick"},{"family":"Sankararaman","given":"Sriram"},{"family":"Price","given":"Alkes L."}],"issued":{"date-parts":[["2013",9]]}}}],"schema":"https://github.com/citation-style-language/schema/raw/master/csl-citation.json"}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[81]</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t>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lang w:val="ca" w:eastAsia="ca-ES"/>
        </w:rPr>
        <w:t>Chromosome 21:</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i/>
          <w:lang w:val="ca" w:eastAsia="ca-ES"/>
        </w:rPr>
        <w:t>F</w:t>
      </w:r>
      <w:r w:rsidRPr="00B66F1E">
        <w:rPr>
          <w:rFonts w:ascii="Arial" w:eastAsia="Arial" w:hAnsi="Arial" w:cs="Arial"/>
          <w:lang w:val="ca" w:eastAsia="ca-ES"/>
        </w:rPr>
        <w:t xml:space="preserve">ST values using chromosome 21 data were calculated between subspecies, using PCA clusters as groups for western lowland gorillas and between sites. In order to avoid sample bias, all groups were downsampled to the same number of individuals as the group having the lowest value.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i/>
          <w:lang w:val="ca" w:eastAsia="ca-ES"/>
        </w:rPr>
        <w:t>F</w:t>
      </w:r>
      <w:r w:rsidRPr="00B66F1E">
        <w:rPr>
          <w:rFonts w:ascii="Arial" w:eastAsia="Arial" w:hAnsi="Arial" w:cs="Arial"/>
          <w:lang w:val="ca" w:eastAsia="ca-ES"/>
        </w:rPr>
        <w:t>ST values between subspecies showed lower genetic distance between the western subspecies than the eastern subspecies (Figure S67A). When comparing between PCA clusters, the Virunga population showed lower genetic distance to eastern lowland gorillas than the Bwindi population. Cross River gorillas showed the highest genetic distance to the eastern species in comparison to western lowland gorillas of different groups (Figure S67B). PCA cluster separated western lowland individuals into 3 different groups (Figure S36): samples from the south of Gabon (GabonS), samples from Dza and Gou (CAR-RC), samples from Cameroon (Cameroon) and from the rest of Gabon (Gabon N). The samples from the south of Gabon were the ones most genetically distant to the Cross River gorillas. The Dza and Gou (CAR-RC) group was the group most genetically distant to the rest of the western lowland groups (Figure S68).</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7C509B26" wp14:editId="3B5CF71E">
            <wp:extent cx="5731200" cy="2552700"/>
            <wp:effectExtent l="0" t="0" r="0" b="0"/>
            <wp:docPr id="71"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74"/>
                    <a:srcRect/>
                    <a:stretch>
                      <a:fillRect/>
                    </a:stretch>
                  </pic:blipFill>
                  <pic:spPr>
                    <a:xfrm>
                      <a:off x="0" y="0"/>
                      <a:ext cx="5731200" cy="2552700"/>
                    </a:xfrm>
                    <a:prstGeom prst="rect">
                      <a:avLst/>
                    </a:prstGeom>
                    <a:ln/>
                  </pic:spPr>
                </pic:pic>
              </a:graphicData>
            </a:graphic>
          </wp:inline>
        </w:drawing>
      </w:r>
    </w:p>
    <w:p w:rsidR="00B66F1E" w:rsidRPr="00B66F1E" w:rsidRDefault="00B66F1E" w:rsidP="00B66F1E">
      <w:pPr>
        <w:spacing w:after="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S67. </w:t>
      </w:r>
      <w:r w:rsidRPr="00B66F1E">
        <w:rPr>
          <w:rFonts w:ascii="Arial" w:eastAsia="Arial" w:hAnsi="Arial" w:cs="Arial"/>
          <w:i/>
          <w:sz w:val="20"/>
          <w:szCs w:val="20"/>
          <w:lang w:val="ca" w:eastAsia="ca-ES"/>
        </w:rPr>
        <w:t>F</w:t>
      </w:r>
      <w:r w:rsidRPr="00B66F1E">
        <w:rPr>
          <w:rFonts w:ascii="Arial" w:eastAsia="Arial" w:hAnsi="Arial" w:cs="Arial"/>
          <w:sz w:val="20"/>
          <w:szCs w:val="20"/>
          <w:lang w:val="ca" w:eastAsia="ca-ES"/>
        </w:rPr>
        <w:t>ST per subspecies (A) and per PCA cluster (B) downsampled to 18 individuals.</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78810C8B" wp14:editId="09CB17C0">
            <wp:extent cx="2928938" cy="2328819"/>
            <wp:effectExtent l="0" t="0" r="0" b="0"/>
            <wp:docPr id="5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75"/>
                    <a:srcRect/>
                    <a:stretch>
                      <a:fillRect/>
                    </a:stretch>
                  </pic:blipFill>
                  <pic:spPr>
                    <a:xfrm>
                      <a:off x="0" y="0"/>
                      <a:ext cx="2928938" cy="2328819"/>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S68. </w:t>
      </w:r>
      <w:r w:rsidRPr="00B66F1E">
        <w:rPr>
          <w:rFonts w:ascii="Arial" w:eastAsia="Arial" w:hAnsi="Arial" w:cs="Arial"/>
          <w:i/>
          <w:sz w:val="20"/>
          <w:szCs w:val="20"/>
          <w:lang w:val="ca" w:eastAsia="ca-ES"/>
        </w:rPr>
        <w:t>F</w:t>
      </w:r>
      <w:r w:rsidRPr="00B66F1E">
        <w:rPr>
          <w:rFonts w:ascii="Arial" w:eastAsia="Arial" w:hAnsi="Arial" w:cs="Arial"/>
          <w:sz w:val="20"/>
          <w:szCs w:val="20"/>
          <w:lang w:val="ca" w:eastAsia="ca-ES"/>
        </w:rPr>
        <w:t>ST per PCA cluster for western gorillas downsampled to 18 individuals.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i/>
          <w:lang w:val="ca" w:eastAsia="ca-ES"/>
        </w:rPr>
        <w:t>F</w:t>
      </w:r>
      <w:r w:rsidRPr="00B66F1E">
        <w:rPr>
          <w:rFonts w:ascii="Arial" w:eastAsia="Arial" w:hAnsi="Arial" w:cs="Arial"/>
          <w:lang w:val="ca" w:eastAsia="ca-ES"/>
        </w:rPr>
        <w:t xml:space="preserve">ST was also performed by sampling site. The minimum number of individuals used per site was 8 to better represent allele frequencies of each population. Sampling sites closer than 25 kilometers and no clear geographic barrier present between them, were merged and studied as a unified population.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i/>
          <w:lang w:val="ca" w:eastAsia="ca-ES"/>
        </w:rPr>
        <w:t>F</w:t>
      </w:r>
      <w:r w:rsidRPr="00B66F1E">
        <w:rPr>
          <w:rFonts w:ascii="Arial" w:eastAsia="Arial" w:hAnsi="Arial" w:cs="Arial"/>
          <w:lang w:val="ca" w:eastAsia="ca-ES"/>
        </w:rPr>
        <w:t xml:space="preserve">ST per sampling site showed similar results obtained for subspecies and PCA clusters at the genus level (Figure S69). Increasing the resolution at the population level, it was possible to better detect genetic distances inside and between specific regions of gorilla subspecies. Nga-Dib-Dze, Lok-Imb, Mou, and Nki-Mes (ordered from highest to lowest values of </w:t>
      </w:r>
      <w:r w:rsidRPr="00B66F1E">
        <w:rPr>
          <w:rFonts w:ascii="Arial" w:eastAsia="Arial" w:hAnsi="Arial" w:cs="Arial"/>
          <w:i/>
          <w:lang w:val="ca" w:eastAsia="ca-ES"/>
        </w:rPr>
        <w:t>F</w:t>
      </w:r>
      <w:r w:rsidRPr="00B66F1E">
        <w:rPr>
          <w:rFonts w:ascii="Arial" w:eastAsia="Arial" w:hAnsi="Arial" w:cs="Arial"/>
          <w:lang w:val="ca" w:eastAsia="ca-ES"/>
        </w:rPr>
        <w:t xml:space="preserve">ST) were the sites with higher genetic distance to the Cross River gorillas. All the rest of the western lowland gorilla populations with Cross River subspecies had lower values of </w:t>
      </w:r>
      <w:r w:rsidRPr="00B66F1E">
        <w:rPr>
          <w:rFonts w:ascii="Arial" w:eastAsia="Arial" w:hAnsi="Arial" w:cs="Arial"/>
          <w:i/>
          <w:lang w:val="ca" w:eastAsia="ca-ES"/>
        </w:rPr>
        <w:t>F</w:t>
      </w:r>
      <w:r w:rsidRPr="00B66F1E">
        <w:rPr>
          <w:rFonts w:ascii="Arial" w:eastAsia="Arial" w:hAnsi="Arial" w:cs="Arial"/>
          <w:lang w:val="ca" w:eastAsia="ca-ES"/>
        </w:rPr>
        <w:t xml:space="preserve">ST, lower than Bwindi and Virunga populations from the same subspecies (Figure S70).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Inside western lowland populations, lower values of genetic distance were found between Lob-Mam, Nki-Mes, Bel and Den (Figure S71).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For eastern lowland gorillas, only one site had at least 8 individuals to be included in the analyses (KaB). Between the eastern gorilla populations, KaB had lower values of </w:t>
      </w:r>
      <w:r w:rsidRPr="00B66F1E">
        <w:rPr>
          <w:rFonts w:ascii="Arial" w:eastAsia="Arial" w:hAnsi="Arial" w:cs="Arial"/>
          <w:i/>
          <w:lang w:val="ca" w:eastAsia="ca-ES"/>
        </w:rPr>
        <w:t>F</w:t>
      </w:r>
      <w:r w:rsidRPr="00B66F1E">
        <w:rPr>
          <w:rFonts w:ascii="Arial" w:eastAsia="Arial" w:hAnsi="Arial" w:cs="Arial"/>
          <w:lang w:val="ca" w:eastAsia="ca-ES"/>
        </w:rPr>
        <w:t xml:space="preserve">ST with Bwindi than Virunga (Figure S72). Notably, KaB and Virunga </w:t>
      </w:r>
      <w:r w:rsidRPr="00B66F1E">
        <w:rPr>
          <w:rFonts w:ascii="Arial" w:eastAsia="Arial" w:hAnsi="Arial" w:cs="Arial"/>
          <w:i/>
          <w:lang w:val="ca" w:eastAsia="ca-ES"/>
        </w:rPr>
        <w:t>F</w:t>
      </w:r>
      <w:r w:rsidRPr="00B66F1E">
        <w:rPr>
          <w:rFonts w:ascii="Arial" w:eastAsia="Arial" w:hAnsi="Arial" w:cs="Arial"/>
          <w:lang w:val="ca" w:eastAsia="ca-ES"/>
        </w:rPr>
        <w:t xml:space="preserve">ST values exceeded 0.5, resulting in the highest values detected between two populations from the same gorilla species and similar to values found between populations from the two different species. No previous values between these two populations were reported, making this the first genetic differentiation estimate between Kahuzi-Biega and the Virunga population of eastern lowland and mountain gorillas, respectively. Remarkably, all </w:t>
      </w:r>
      <w:r w:rsidRPr="00B66F1E">
        <w:rPr>
          <w:rFonts w:ascii="Arial" w:eastAsia="Arial" w:hAnsi="Arial" w:cs="Arial"/>
          <w:i/>
          <w:lang w:val="ca" w:eastAsia="ca-ES"/>
        </w:rPr>
        <w:t>F</w:t>
      </w:r>
      <w:r w:rsidRPr="00B66F1E">
        <w:rPr>
          <w:rFonts w:ascii="Arial" w:eastAsia="Arial" w:hAnsi="Arial" w:cs="Arial"/>
          <w:lang w:val="ca" w:eastAsia="ca-ES"/>
        </w:rPr>
        <w:t xml:space="preserve">ST values which included the KaB sampling site are high, with 0.459618 being the lowest one (KaB-Biw). Lower genetic diversity can inflate </w:t>
      </w:r>
      <w:r w:rsidRPr="00B66F1E">
        <w:rPr>
          <w:rFonts w:ascii="Arial" w:eastAsia="Arial" w:hAnsi="Arial" w:cs="Arial"/>
          <w:i/>
          <w:lang w:val="ca" w:eastAsia="ca-ES"/>
        </w:rPr>
        <w:t>F</w:t>
      </w:r>
      <w:r w:rsidRPr="00B66F1E">
        <w:rPr>
          <w:rFonts w:ascii="Arial" w:eastAsia="Arial" w:hAnsi="Arial" w:cs="Arial"/>
          <w:lang w:val="ca" w:eastAsia="ca-ES"/>
        </w:rPr>
        <w:t xml:space="preserve">ST values, or another possible </w:t>
      </w:r>
      <w:r w:rsidRPr="00B66F1E">
        <w:rPr>
          <w:rFonts w:ascii="Arial" w:eastAsia="Arial" w:hAnsi="Arial" w:cs="Arial"/>
          <w:lang w:val="ca" w:eastAsia="ca-ES"/>
        </w:rPr>
        <w:lastRenderedPageBreak/>
        <w:t xml:space="preserve">artefact can influence the </w:t>
      </w:r>
      <w:r w:rsidRPr="00B66F1E">
        <w:rPr>
          <w:rFonts w:ascii="Arial" w:eastAsia="Arial" w:hAnsi="Arial" w:cs="Arial"/>
          <w:i/>
          <w:lang w:val="ca" w:eastAsia="ca-ES"/>
        </w:rPr>
        <w:t>F</w:t>
      </w:r>
      <w:r w:rsidRPr="00B66F1E">
        <w:rPr>
          <w:rFonts w:ascii="Arial" w:eastAsia="Arial" w:hAnsi="Arial" w:cs="Arial"/>
          <w:lang w:val="ca" w:eastAsia="ca-ES"/>
        </w:rPr>
        <w:t xml:space="preserve">ST calculations when including this population. More ELG populations would need to be included to evaluate the nature of these higher </w:t>
      </w:r>
      <w:r w:rsidRPr="00B66F1E">
        <w:rPr>
          <w:rFonts w:ascii="Arial" w:eastAsia="Arial" w:hAnsi="Arial" w:cs="Arial"/>
          <w:i/>
          <w:lang w:val="ca" w:eastAsia="ca-ES"/>
        </w:rPr>
        <w:t>F</w:t>
      </w:r>
      <w:r w:rsidRPr="00B66F1E">
        <w:rPr>
          <w:rFonts w:ascii="Arial" w:eastAsia="Arial" w:hAnsi="Arial" w:cs="Arial"/>
          <w:lang w:val="ca" w:eastAsia="ca-ES"/>
        </w:rPr>
        <w:t xml:space="preserve">ST values, as KaB is the only ELG population included in the </w:t>
      </w:r>
      <w:r w:rsidRPr="00B66F1E">
        <w:rPr>
          <w:rFonts w:ascii="Arial" w:eastAsia="Arial" w:hAnsi="Arial" w:cs="Arial"/>
          <w:i/>
          <w:lang w:val="ca" w:eastAsia="ca-ES"/>
        </w:rPr>
        <w:t>F</w:t>
      </w:r>
      <w:r w:rsidRPr="00B66F1E">
        <w:rPr>
          <w:rFonts w:ascii="Arial" w:eastAsia="Arial" w:hAnsi="Arial" w:cs="Arial"/>
          <w:lang w:val="ca" w:eastAsia="ca-ES"/>
        </w:rPr>
        <w:t xml:space="preserve">ST analysis. </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4F5ADFEA" wp14:editId="6C4CF291">
            <wp:extent cx="4557713" cy="3644325"/>
            <wp:effectExtent l="0" t="0" r="0" b="0"/>
            <wp:docPr id="8"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76"/>
                    <a:srcRect/>
                    <a:stretch>
                      <a:fillRect/>
                    </a:stretch>
                  </pic:blipFill>
                  <pic:spPr>
                    <a:xfrm>
                      <a:off x="0" y="0"/>
                      <a:ext cx="4557713" cy="3644325"/>
                    </a:xfrm>
                    <a:prstGeom prst="rect">
                      <a:avLst/>
                    </a:prstGeom>
                    <a:ln/>
                  </pic:spPr>
                </pic:pic>
              </a:graphicData>
            </a:graphic>
          </wp:inline>
        </w:drawing>
      </w:r>
    </w:p>
    <w:p w:rsidR="00B66F1E" w:rsidRPr="00B66F1E" w:rsidRDefault="00B66F1E" w:rsidP="00B66F1E">
      <w:pPr>
        <w:spacing w:after="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S69. </w:t>
      </w:r>
      <w:r w:rsidRPr="00B66F1E">
        <w:rPr>
          <w:rFonts w:ascii="Arial" w:eastAsia="Arial" w:hAnsi="Arial" w:cs="Arial"/>
          <w:i/>
          <w:sz w:val="20"/>
          <w:szCs w:val="20"/>
          <w:lang w:val="ca" w:eastAsia="ca-ES"/>
        </w:rPr>
        <w:t>F</w:t>
      </w:r>
      <w:r w:rsidRPr="00B66F1E">
        <w:rPr>
          <w:rFonts w:ascii="Arial" w:eastAsia="Arial" w:hAnsi="Arial" w:cs="Arial"/>
          <w:sz w:val="20"/>
          <w:szCs w:val="20"/>
          <w:lang w:val="ca" w:eastAsia="ca-ES"/>
        </w:rPr>
        <w:t>ST using all gorilla sites &gt;  8 individuals (Afi-Mbe, Nki-Mes, Nga-Dib-Dze, Mou, Lok-Imb, Lob-Mam, Bel, Den, Dza, Vir, Bwi and KaB).</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5F02875B" wp14:editId="7F0F9070">
            <wp:extent cx="4224338" cy="3375260"/>
            <wp:effectExtent l="0" t="0" r="0" b="0"/>
            <wp:docPr id="88" name="image90.jpg"/>
            <wp:cNvGraphicFramePr/>
            <a:graphic xmlns:a="http://schemas.openxmlformats.org/drawingml/2006/main">
              <a:graphicData uri="http://schemas.openxmlformats.org/drawingml/2006/picture">
                <pic:pic xmlns:pic="http://schemas.openxmlformats.org/drawingml/2006/picture">
                  <pic:nvPicPr>
                    <pic:cNvPr id="0" name="image90.jpg"/>
                    <pic:cNvPicPr preferRelativeResize="0"/>
                  </pic:nvPicPr>
                  <pic:blipFill>
                    <a:blip r:embed="rId77"/>
                    <a:srcRect/>
                    <a:stretch>
                      <a:fillRect/>
                    </a:stretch>
                  </pic:blipFill>
                  <pic:spPr>
                    <a:xfrm>
                      <a:off x="0" y="0"/>
                      <a:ext cx="4224338" cy="3375260"/>
                    </a:xfrm>
                    <a:prstGeom prst="rect">
                      <a:avLst/>
                    </a:prstGeom>
                    <a:ln/>
                  </pic:spPr>
                </pic:pic>
              </a:graphicData>
            </a:graphic>
          </wp:inline>
        </w:drawing>
      </w:r>
    </w:p>
    <w:p w:rsidR="00B66F1E" w:rsidRPr="00B66F1E" w:rsidRDefault="00B66F1E" w:rsidP="00B66F1E">
      <w:pPr>
        <w:spacing w:after="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S70. </w:t>
      </w:r>
      <w:r w:rsidRPr="00B66F1E">
        <w:rPr>
          <w:rFonts w:ascii="Arial" w:eastAsia="Arial" w:hAnsi="Arial" w:cs="Arial"/>
          <w:i/>
          <w:sz w:val="20"/>
          <w:szCs w:val="20"/>
          <w:lang w:val="ca" w:eastAsia="ca-ES"/>
        </w:rPr>
        <w:t>F</w:t>
      </w:r>
      <w:r w:rsidRPr="00B66F1E">
        <w:rPr>
          <w:rFonts w:ascii="Arial" w:eastAsia="Arial" w:hAnsi="Arial" w:cs="Arial"/>
          <w:sz w:val="20"/>
          <w:szCs w:val="20"/>
          <w:lang w:val="ca" w:eastAsia="ca-ES"/>
        </w:rPr>
        <w:t>ST using western gorilla sites &gt; 8 individuals (Afi-Mbe, Nki-Mes, Nga-Dib-Dze, Mou, Lok-Imb, Lob-Mam, Bel, Den and Dza)</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1325057D" wp14:editId="0E503600">
            <wp:extent cx="3948113" cy="3146013"/>
            <wp:effectExtent l="0" t="0" r="0" b="0"/>
            <wp:docPr id="95" name="image94.jpg"/>
            <wp:cNvGraphicFramePr/>
            <a:graphic xmlns:a="http://schemas.openxmlformats.org/drawingml/2006/main">
              <a:graphicData uri="http://schemas.openxmlformats.org/drawingml/2006/picture">
                <pic:pic xmlns:pic="http://schemas.openxmlformats.org/drawingml/2006/picture">
                  <pic:nvPicPr>
                    <pic:cNvPr id="0" name="image94.jpg"/>
                    <pic:cNvPicPr preferRelativeResize="0"/>
                  </pic:nvPicPr>
                  <pic:blipFill>
                    <a:blip r:embed="rId78"/>
                    <a:srcRect/>
                    <a:stretch>
                      <a:fillRect/>
                    </a:stretch>
                  </pic:blipFill>
                  <pic:spPr>
                    <a:xfrm>
                      <a:off x="0" y="0"/>
                      <a:ext cx="3948113" cy="3146013"/>
                    </a:xfrm>
                    <a:prstGeom prst="rect">
                      <a:avLst/>
                    </a:prstGeom>
                    <a:ln/>
                  </pic:spPr>
                </pic:pic>
              </a:graphicData>
            </a:graphic>
          </wp:inline>
        </w:drawing>
      </w:r>
    </w:p>
    <w:p w:rsidR="00B66F1E" w:rsidRPr="00B66F1E" w:rsidRDefault="00B66F1E" w:rsidP="00B66F1E">
      <w:pPr>
        <w:spacing w:after="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S71. </w:t>
      </w:r>
      <w:r w:rsidRPr="00B66F1E">
        <w:rPr>
          <w:rFonts w:ascii="Arial" w:eastAsia="Arial" w:hAnsi="Arial" w:cs="Arial"/>
          <w:i/>
          <w:sz w:val="20"/>
          <w:szCs w:val="20"/>
          <w:lang w:val="ca" w:eastAsia="ca-ES"/>
        </w:rPr>
        <w:t>F</w:t>
      </w:r>
      <w:r w:rsidRPr="00B66F1E">
        <w:rPr>
          <w:rFonts w:ascii="Arial" w:eastAsia="Arial" w:hAnsi="Arial" w:cs="Arial"/>
          <w:sz w:val="20"/>
          <w:szCs w:val="20"/>
          <w:lang w:val="ca" w:eastAsia="ca-ES"/>
        </w:rPr>
        <w:t>ST using western lowland gorilla sites &gt; 8 individuals (Nki-Mes, Nga-Dib-Dze, Mou, Lok-Imb, Lob-Mam, Bel, Den and Dza).</w:t>
      </w:r>
    </w:p>
    <w:p w:rsidR="00B66F1E" w:rsidRPr="00B66F1E" w:rsidRDefault="00B66F1E" w:rsidP="00B66F1E">
      <w:pPr>
        <w:spacing w:after="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36344A35" wp14:editId="0F0FB38A">
            <wp:extent cx="3443288" cy="2876279"/>
            <wp:effectExtent l="0" t="0" r="0" b="0"/>
            <wp:docPr id="38" name="image45.jpg"/>
            <wp:cNvGraphicFramePr/>
            <a:graphic xmlns:a="http://schemas.openxmlformats.org/drawingml/2006/main">
              <a:graphicData uri="http://schemas.openxmlformats.org/drawingml/2006/picture">
                <pic:pic xmlns:pic="http://schemas.openxmlformats.org/drawingml/2006/picture">
                  <pic:nvPicPr>
                    <pic:cNvPr id="0" name="image45.jpg"/>
                    <pic:cNvPicPr preferRelativeResize="0"/>
                  </pic:nvPicPr>
                  <pic:blipFill>
                    <a:blip r:embed="rId79"/>
                    <a:srcRect/>
                    <a:stretch>
                      <a:fillRect/>
                    </a:stretch>
                  </pic:blipFill>
                  <pic:spPr>
                    <a:xfrm>
                      <a:off x="0" y="0"/>
                      <a:ext cx="3443288" cy="2876279"/>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S72. </w:t>
      </w:r>
      <w:r w:rsidRPr="00B66F1E">
        <w:rPr>
          <w:rFonts w:ascii="Arial" w:eastAsia="Arial" w:hAnsi="Arial" w:cs="Arial"/>
          <w:i/>
          <w:sz w:val="20"/>
          <w:szCs w:val="20"/>
          <w:lang w:val="ca" w:eastAsia="ca-ES"/>
        </w:rPr>
        <w:t>F</w:t>
      </w:r>
      <w:r w:rsidRPr="00B66F1E">
        <w:rPr>
          <w:rFonts w:ascii="Arial" w:eastAsia="Arial" w:hAnsi="Arial" w:cs="Arial"/>
          <w:sz w:val="20"/>
          <w:szCs w:val="20"/>
          <w:lang w:val="ca" w:eastAsia="ca-ES"/>
        </w:rPr>
        <w:t>ST using eastern gorilla sites &gt; 8 individuals (Virunga, Bwindi and Kahuzi-Biega)</w:t>
      </w:r>
    </w:p>
    <w:p w:rsidR="00B66F1E" w:rsidRPr="00B66F1E" w:rsidRDefault="00B66F1E" w:rsidP="00B66F1E">
      <w:pPr>
        <w:keepNext/>
        <w:keepLines/>
        <w:spacing w:before="400" w:after="200" w:line="360" w:lineRule="auto"/>
        <w:jc w:val="both"/>
        <w:outlineLvl w:val="0"/>
        <w:rPr>
          <w:rFonts w:ascii="Arial" w:eastAsia="Arial" w:hAnsi="Arial" w:cs="Arial"/>
          <w:sz w:val="40"/>
          <w:szCs w:val="40"/>
          <w:lang w:val="ca" w:eastAsia="ca-ES"/>
        </w:rPr>
      </w:pPr>
      <w:bookmarkStart w:id="30" w:name="_Toc234923665"/>
      <w:r w:rsidRPr="00B66F1E">
        <w:rPr>
          <w:rFonts w:ascii="Arial" w:eastAsia="Arial" w:hAnsi="Arial" w:cs="Arial"/>
          <w:sz w:val="40"/>
          <w:szCs w:val="40"/>
          <w:lang w:val="ca" w:eastAsia="ca-ES"/>
        </w:rPr>
        <w:t>4. Population connectivity and gene flow</w:t>
      </w:r>
      <w:bookmarkEnd w:id="30"/>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Population connectivity and dynamics, and possible gene flow were assessed using D-statistic analysis and admixfrog, based on genotype likelihoods, and EEMS, using called variants.</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31" w:name="_Toc234923666"/>
      <w:r w:rsidRPr="00B66F1E">
        <w:rPr>
          <w:rFonts w:ascii="Arial" w:eastAsia="Arial" w:hAnsi="Arial" w:cs="Arial"/>
          <w:sz w:val="32"/>
          <w:szCs w:val="32"/>
          <w:lang w:val="ca" w:eastAsia="ca-ES"/>
        </w:rPr>
        <w:lastRenderedPageBreak/>
        <w:t>4.1 D statistics</w:t>
      </w:r>
      <w:bookmarkEnd w:id="31"/>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 minimum of 8 individuals per population were used in this analysis; a few sites were merged based on proximity in order to have enough individuals to better represent the population (same as used for </w:t>
      </w:r>
      <w:r w:rsidRPr="00B66F1E">
        <w:rPr>
          <w:rFonts w:ascii="Arial" w:eastAsia="Arial" w:hAnsi="Arial" w:cs="Arial"/>
          <w:i/>
          <w:lang w:val="ca" w:eastAsia="ca-ES"/>
        </w:rPr>
        <w:t>F</w:t>
      </w:r>
      <w:r w:rsidRPr="00B66F1E">
        <w:rPr>
          <w:rFonts w:ascii="Arial" w:eastAsia="Arial" w:hAnsi="Arial" w:cs="Arial"/>
          <w:lang w:val="ca" w:eastAsia="ca-ES"/>
        </w:rPr>
        <w:t xml:space="preserve">ST analysis).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The highest value of allele sharing between Cross River gorillas and other western lowland populations was found for Dza, followed by a cline of positive values for Lob-Mam, Nki-Mes, Bel, and Den (Figure S73). The sites that did not show a positive signal of an access of allele sharing with Cross River gorillas were Nga-Dib-Dze, Mou, and Lok-Imb.</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68677844" wp14:editId="647DBF50">
            <wp:extent cx="3952515" cy="3952515"/>
            <wp:effectExtent l="0" t="0" r="0" b="0"/>
            <wp:docPr id="99"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80"/>
                    <a:srcRect/>
                    <a:stretch>
                      <a:fillRect/>
                    </a:stretch>
                  </pic:blipFill>
                  <pic:spPr>
                    <a:xfrm>
                      <a:off x="0" y="0"/>
                      <a:ext cx="3952515" cy="3952515"/>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b/>
          <w:lang w:val="ca" w:eastAsia="ca-ES"/>
        </w:rPr>
      </w:pPr>
      <w:r w:rsidRPr="00B66F1E">
        <w:rPr>
          <w:rFonts w:ascii="Arial" w:eastAsia="Arial" w:hAnsi="Arial" w:cs="Arial"/>
          <w:sz w:val="20"/>
          <w:szCs w:val="20"/>
          <w:lang w:val="ca" w:eastAsia="ca-ES"/>
        </w:rPr>
        <w:t xml:space="preserve">Figure S73. D-STATS (ABBA-BABA) using ANGSD between Cross River populations and WLG populations. Sites having more than 8 individuals were used. Geographically close sites were merged and used as a unique site for this analysis. </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32" w:name="_Toc234923667"/>
      <w:r w:rsidRPr="00B66F1E">
        <w:rPr>
          <w:rFonts w:ascii="Arial" w:eastAsia="Arial" w:hAnsi="Arial" w:cs="Arial"/>
          <w:sz w:val="32"/>
          <w:szCs w:val="32"/>
          <w:lang w:val="ca" w:eastAsia="ca-ES"/>
        </w:rPr>
        <w:t>4.2 Fragments of shared ancestry</w:t>
      </w:r>
      <w:bookmarkEnd w:id="32"/>
    </w:p>
    <w:p w:rsidR="00B66F1E" w:rsidRPr="00B66F1E" w:rsidRDefault="00B66F1E" w:rsidP="00B66F1E">
      <w:pPr>
        <w:spacing w:after="200" w:line="360" w:lineRule="auto"/>
        <w:jc w:val="both"/>
        <w:rPr>
          <w:rFonts w:ascii="Arial" w:eastAsia="Arial" w:hAnsi="Arial" w:cs="Arial"/>
          <w:b/>
          <w:sz w:val="16"/>
          <w:szCs w:val="16"/>
          <w:u w:val="single"/>
          <w:lang w:val="ca" w:eastAsia="ca-ES"/>
        </w:rPr>
      </w:pPr>
      <w:r w:rsidRPr="00B66F1E">
        <w:rPr>
          <w:rFonts w:ascii="Arial" w:eastAsia="Arial" w:hAnsi="Arial" w:cs="Arial"/>
          <w:lang w:val="ca" w:eastAsia="ca-ES"/>
        </w:rPr>
        <w:t xml:space="preserve">Fragments of shared ancestry were inferred using admixfrog software on chromosome 21 data. This program uses an HMM to infer ancestry fragments from low-coverage and contaminated data. The ancestral states used were: CRG, WLG, ELG, MNG, and HUM. Each genome was divided into 35bp size bins, and then these bins were assigned to one </w:t>
      </w:r>
      <w:r w:rsidRPr="00B66F1E">
        <w:rPr>
          <w:rFonts w:ascii="Arial" w:eastAsia="Arial" w:hAnsi="Arial" w:cs="Arial"/>
          <w:lang w:val="ca" w:eastAsia="ca-ES"/>
        </w:rPr>
        <w:lastRenderedPageBreak/>
        <w:t xml:space="preserve">of the ancestral states previously defined. The number of SNPs and the posterior probabilities (Figure S74) of each studied bin were used to filter them out (&gt; 0.9 posterior probability).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47214E82" wp14:editId="63CDA106">
            <wp:extent cx="5731200" cy="5156200"/>
            <wp:effectExtent l="0" t="0" r="0" b="0"/>
            <wp:docPr id="92" name="image93.jpg"/>
            <wp:cNvGraphicFramePr/>
            <a:graphic xmlns:a="http://schemas.openxmlformats.org/drawingml/2006/main">
              <a:graphicData uri="http://schemas.openxmlformats.org/drawingml/2006/picture">
                <pic:pic xmlns:pic="http://schemas.openxmlformats.org/drawingml/2006/picture">
                  <pic:nvPicPr>
                    <pic:cNvPr id="0" name="image93.jpg"/>
                    <pic:cNvPicPr preferRelativeResize="0"/>
                  </pic:nvPicPr>
                  <pic:blipFill>
                    <a:blip r:embed="rId81"/>
                    <a:srcRect/>
                    <a:stretch>
                      <a:fillRect/>
                    </a:stretch>
                  </pic:blipFill>
                  <pic:spPr>
                    <a:xfrm>
                      <a:off x="0" y="0"/>
                      <a:ext cx="5731200" cy="5156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S74. Distribution plots of the number of priors used per bin(A) and the number of SNPs used per bin(B) represented by subspecies. These are the number of SNPs used for each bin when assigning the ancestral states, and the posterior probabilities obtained. </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 xml:space="preserve">The total number of bins for each ancestral state and each sample were counted after filtering in order to compare between subspecies and populations (Figure S75). The total amount of bins for each sample varies due to the filtering applied. For each subspecies the majority of bins were assigned to the same subspecies ancestral state. Some variation was seen inside western lowland populations.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62A74E2D" wp14:editId="476EFCDF">
            <wp:extent cx="5731200" cy="2235200"/>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2"/>
                    <a:srcRect/>
                    <a:stretch>
                      <a:fillRect/>
                    </a:stretch>
                  </pic:blipFill>
                  <pic:spPr>
                    <a:xfrm>
                      <a:off x="0" y="0"/>
                      <a:ext cx="5731200" cy="2235200"/>
                    </a:xfrm>
                    <a:prstGeom prst="rect">
                      <a:avLst/>
                    </a:prstGeom>
                    <a:ln/>
                  </pic:spPr>
                </pic:pic>
              </a:graphicData>
            </a:graphic>
          </wp:inline>
        </w:drawing>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S75. Number of bins assigned to each ancestral state. Each bar represents a unique sample. Samples are divided by subspecies: Cross River gorillas, eastern lowland gorillas, mountain gorillas and western lowland gorillas (from left to right). Each ancestral state is distinguished by different colours as indicated in the legend (western lowland gorilla in yellow, Cross River gorilla in red, mountain gorilla in blue, and eastern lowland gorilla in green). </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 xml:space="preserve">Ancestry state-specific tracts were inferred for each sample. The sum of all ancestry tracts for each ancestral state was calculated and plotted by subspecies for each possible ancestral state (Figure S76). As expected, for each subspecies, the highest number of ancestry tracts detected belonged to their subspecies. The total length of tracts detected for the WLGCRG ancestral state was higher for CRG samples than for the WLG.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07E7DFC4" wp14:editId="65801321">
            <wp:extent cx="5731200" cy="1143000"/>
            <wp:effectExtent l="0" t="0" r="0" b="0"/>
            <wp:docPr id="35"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83"/>
                    <a:srcRect/>
                    <a:stretch>
                      <a:fillRect/>
                    </a:stretch>
                  </pic:blipFill>
                  <pic:spPr>
                    <a:xfrm>
                      <a:off x="0" y="0"/>
                      <a:ext cx="5731200" cy="1143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S76. Ancestry tracts by subspecies. Each ancestry tract is represented by a unique colour (western lowland gorilla in yellow, Cross River gorilla in red, mountain gorilla in blue, and eastern lowland gorilla in green). The ancestry tracts are represented as the sum of all ancestry tracts found in each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When checking the amount (sum of all CRG ancestry tracts) of ancestry tracts detected, which belong to the CRG ancestry for the different western lowland gorilla groups, differences were detected between them (Figures S77 and S78). Samples from Dza and Gou were the ones with the most  CRG ancestry tracts. On the contrary, inside the “Central” group, samples from Odzala National Park (Nga-Dib-Dze and Lok-Imb) were the ones having lower values of CRG ancestry tracts (Figure S78). In addition, the </w:t>
      </w:r>
      <w:r w:rsidRPr="00B66F1E">
        <w:rPr>
          <w:rFonts w:ascii="Arial" w:eastAsia="Arial" w:hAnsi="Arial" w:cs="Arial"/>
          <w:lang w:val="ca" w:eastAsia="ca-ES"/>
        </w:rPr>
        <w:lastRenderedPageBreak/>
        <w:t xml:space="preserve">WLGCRG ancestry was more detected in samples also having a higher value of CRG ancestry tracts (Figure S77).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7D6ACA47" wp14:editId="04DEF836">
            <wp:extent cx="5731200" cy="2235200"/>
            <wp:effectExtent l="0" t="0" r="0" b="0"/>
            <wp:docPr id="1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4"/>
                    <a:srcRect/>
                    <a:stretch>
                      <a:fillRect/>
                    </a:stretch>
                  </pic:blipFill>
                  <pic:spPr>
                    <a:xfrm>
                      <a:off x="0" y="0"/>
                      <a:ext cx="5731200" cy="2235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S77. Ancestry tracts for western lowland gorillas by PCA clustering. Each ancestry tract is represented by a unique colour (western lowland gorilla in yellow, Cross River gorilla in red, mountain gorilla in blue, and eastern lowland gorilla in green). The ancestry tracts are represented as the sum of all ancestry tracts found in each sample.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78E4F12D" wp14:editId="02054915">
            <wp:extent cx="4348163" cy="2896367"/>
            <wp:effectExtent l="0" t="0" r="0" b="0"/>
            <wp:docPr id="31"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85"/>
                    <a:srcRect/>
                    <a:stretch>
                      <a:fillRect/>
                    </a:stretch>
                  </pic:blipFill>
                  <pic:spPr>
                    <a:xfrm>
                      <a:off x="0" y="0"/>
                      <a:ext cx="4348163" cy="2896367"/>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S78. CRG ancestry tracts for western lowland gorillas by groups, including Ebo Forest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We also checked the distribution across chromosome 21 of the detected Cross River tracts in western lowland individuals (Figures S79 and S80).</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1FD15650" wp14:editId="3CE910EF">
            <wp:extent cx="5534025" cy="2466975"/>
            <wp:effectExtent l="0" t="0" r="0" b="0"/>
            <wp:docPr id="56"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86"/>
                    <a:srcRect l="3488"/>
                    <a:stretch>
                      <a:fillRect/>
                    </a:stretch>
                  </pic:blipFill>
                  <pic:spPr>
                    <a:xfrm>
                      <a:off x="0" y="0"/>
                      <a:ext cx="5534025" cy="2466975"/>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u w:val="single"/>
          <w:lang w:val="ca" w:eastAsia="ca-ES"/>
        </w:rPr>
      </w:pPr>
      <w:r w:rsidRPr="00B66F1E">
        <w:rPr>
          <w:rFonts w:ascii="Arial" w:eastAsia="Arial" w:hAnsi="Arial" w:cs="Arial"/>
          <w:sz w:val="20"/>
          <w:szCs w:val="20"/>
          <w:lang w:val="ca" w:eastAsia="ca-ES"/>
        </w:rPr>
        <w:t xml:space="preserve">Figure S79. Cross River ancestry tracts across chromosome 21 for Dzanga-Ndoki and Goualougo sites.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543B7172" wp14:editId="077C0D57">
            <wp:extent cx="5731200" cy="2095500"/>
            <wp:effectExtent l="0" t="0" r="0" b="0"/>
            <wp:docPr id="1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7"/>
                    <a:srcRect/>
                    <a:stretch>
                      <a:fillRect/>
                    </a:stretch>
                  </pic:blipFill>
                  <pic:spPr>
                    <a:xfrm>
                      <a:off x="0" y="0"/>
                      <a:ext cx="5731200" cy="20955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S80. Cross River ancestry tracts across chromosome 21 for the Nga-Dib-Dze site. </w:t>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 xml:space="preserve">Inside Cross River gorilla samples, no specific differences were detected between sampling sites (Figure S81).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3D187DCD" wp14:editId="6F9EE7FA">
            <wp:extent cx="5731200" cy="22352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8"/>
                    <a:srcRect/>
                    <a:stretch>
                      <a:fillRect/>
                    </a:stretch>
                  </pic:blipFill>
                  <pic:spPr>
                    <a:xfrm>
                      <a:off x="0" y="0"/>
                      <a:ext cx="5731200" cy="2235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lastRenderedPageBreak/>
        <w:t xml:space="preserve">Figure S81. Ancestry tracts for Cross River gorillas by site. Each ancestry tract is represented by a unique colour (western lowland gorilla in yellow, Cross River gorilla in red, mountain gorilla in blue, and eastern lowland gorilla in green). The ancestry tracts are represented as the sum of all ancestry tracts found in each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Virunga and Bwindi showed differences when comparing the number of ELG ancestry tracts detected. The Bwindi population had higher values of ELG ancestry tracts (Figures S82 and S83). As seen for the western species, samples having higher amounts of ELG ancestral tracts also showed higher values of ELGMNG ancestral tracts. </w:t>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3E365F1A" wp14:editId="46EB36E5">
            <wp:extent cx="5731200" cy="2235200"/>
            <wp:effectExtent l="0" t="0" r="0" b="0"/>
            <wp:docPr id="87" name="image86.jpg"/>
            <wp:cNvGraphicFramePr/>
            <a:graphic xmlns:a="http://schemas.openxmlformats.org/drawingml/2006/main">
              <a:graphicData uri="http://schemas.openxmlformats.org/drawingml/2006/picture">
                <pic:pic xmlns:pic="http://schemas.openxmlformats.org/drawingml/2006/picture">
                  <pic:nvPicPr>
                    <pic:cNvPr id="0" name="image86.jpg"/>
                    <pic:cNvPicPr preferRelativeResize="0"/>
                  </pic:nvPicPr>
                  <pic:blipFill>
                    <a:blip r:embed="rId89"/>
                    <a:srcRect/>
                    <a:stretch>
                      <a:fillRect/>
                    </a:stretch>
                  </pic:blipFill>
                  <pic:spPr>
                    <a:xfrm>
                      <a:off x="0" y="0"/>
                      <a:ext cx="5731200" cy="22352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S82. Ancestry tracts for mountain gorillas by site (Virunga and Bwindi). Each ancestry tract is represented by a unique color (western lowland gorilla in yellow, Cross River gorilla in red, mountain gorilla in blue, and eastern lowland gorilla in green). The ancestry tracts are represented as the sum of all ancestry tracts found in each sample. </w:t>
      </w:r>
    </w:p>
    <w:p w:rsidR="00B66F1E" w:rsidRPr="00B66F1E" w:rsidRDefault="00B66F1E" w:rsidP="00B66F1E">
      <w:pPr>
        <w:spacing w:after="200" w:line="276" w:lineRule="auto"/>
        <w:jc w:val="both"/>
        <w:rPr>
          <w:rFonts w:ascii="Arial" w:eastAsia="Arial" w:hAnsi="Arial" w:cs="Arial"/>
          <w:sz w:val="20"/>
          <w:szCs w:val="20"/>
          <w:lang w:val="ca" w:eastAsia="ca-ES"/>
        </w:rPr>
      </w:pPr>
    </w:p>
    <w:p w:rsidR="00B66F1E" w:rsidRPr="00B66F1E" w:rsidRDefault="00B66F1E" w:rsidP="00B66F1E">
      <w:pPr>
        <w:spacing w:after="200" w:line="276" w:lineRule="auto"/>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48A5CFD9" wp14:editId="1C239DD0">
            <wp:extent cx="3309397" cy="2206264"/>
            <wp:effectExtent l="0" t="0" r="0" b="0"/>
            <wp:docPr id="75" name="image68.jpg"/>
            <wp:cNvGraphicFramePr/>
            <a:graphic xmlns:a="http://schemas.openxmlformats.org/drawingml/2006/main">
              <a:graphicData uri="http://schemas.openxmlformats.org/drawingml/2006/picture">
                <pic:pic xmlns:pic="http://schemas.openxmlformats.org/drawingml/2006/picture">
                  <pic:nvPicPr>
                    <pic:cNvPr id="0" name="image68.jpg"/>
                    <pic:cNvPicPr preferRelativeResize="0"/>
                  </pic:nvPicPr>
                  <pic:blipFill>
                    <a:blip r:embed="rId90"/>
                    <a:srcRect/>
                    <a:stretch>
                      <a:fillRect/>
                    </a:stretch>
                  </pic:blipFill>
                  <pic:spPr>
                    <a:xfrm>
                      <a:off x="0" y="0"/>
                      <a:ext cx="3309397" cy="2206264"/>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S83. ELG ancestry tracts for mountain gorillas by site (Virunga and Bwindi). </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1D69F035" wp14:editId="0430EB36">
            <wp:extent cx="5708650" cy="3633868"/>
            <wp:effectExtent l="0" t="0" r="0" b="0"/>
            <wp:docPr id="53"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91"/>
                    <a:srcRect l="5596" r="15227"/>
                    <a:stretch>
                      <a:fillRect/>
                    </a:stretch>
                  </pic:blipFill>
                  <pic:spPr>
                    <a:xfrm>
                      <a:off x="0" y="0"/>
                      <a:ext cx="5708650" cy="3633868"/>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S84. Tract length per sampling site and ancestry STATE (A-CRG; B-WLGCRG; C-WLG).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Tract lengths can be shorter than 35 bp because the bin size represents the resolution of the input data, not the resolution of the inferred output. Posterior probabilities are estimated for each bin, and tract boundaries are derived from the point at which these probabilities transition between ancestry states. This output can be more precise than the input grid, because the boundary is interpolated from a continuous probability surface rather than read off at a fixed bin edge.</w:t>
      </w:r>
    </w:p>
    <w:p w:rsidR="00B66F1E" w:rsidRPr="00B66F1E" w:rsidRDefault="00B66F1E" w:rsidP="00B66F1E">
      <w:pPr>
        <w:keepNext/>
        <w:keepLines/>
        <w:spacing w:before="360" w:after="200" w:line="360" w:lineRule="auto"/>
        <w:jc w:val="both"/>
        <w:outlineLvl w:val="1"/>
        <w:rPr>
          <w:rFonts w:ascii="Arial" w:eastAsia="Arial" w:hAnsi="Arial" w:cs="Arial"/>
          <w:sz w:val="32"/>
          <w:szCs w:val="32"/>
          <w:lang w:val="ca" w:eastAsia="ca-ES"/>
        </w:rPr>
      </w:pPr>
      <w:bookmarkStart w:id="33" w:name="_Toc234923668"/>
      <w:r w:rsidRPr="00B66F1E">
        <w:rPr>
          <w:rFonts w:ascii="Arial" w:eastAsia="Arial" w:hAnsi="Arial" w:cs="Arial"/>
          <w:sz w:val="32"/>
          <w:szCs w:val="32"/>
          <w:lang w:val="ca" w:eastAsia="ca-ES"/>
        </w:rPr>
        <w:t>4.3 EEMS</w:t>
      </w:r>
      <w:bookmarkEnd w:id="33"/>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Population dynamics and connectivity was studied through EEMS (Estimated Effective Migration Surfaces). Deviations from isolation-by-distance were assessed using EEMS, based on samples with specific geographic coordinates, more than 5X of coverage, and less than 40% of missing data. The analysis was performed at genus and species level.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At the genus level, it was possible to observe a reduction of the migration rates between species and to a lesser extent between subspecies (Figure S85). When applying EEMS at subspecies level it was possible to better detect the reduction in the migration rates between species and inside the western lowland gorillas between some populations. </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63BC34CE" wp14:editId="4642B9E6">
            <wp:extent cx="5731200" cy="2882900"/>
            <wp:effectExtent l="0" t="0" r="0" b="0"/>
            <wp:docPr id="1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2"/>
                    <a:srcRect/>
                    <a:stretch>
                      <a:fillRect/>
                    </a:stretch>
                  </pic:blipFill>
                  <pic:spPr>
                    <a:xfrm>
                      <a:off x="0" y="0"/>
                      <a:ext cx="5731200" cy="28829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S85. Effective Migration plots for chromosome 21 data of all gorilla samples above 5X of coverage and less than 40% of missing data. A. Posterior mean migration rates. B. Posterior probabilities. For both plots, the dot size corresponds to the number of samples used in the analysis.  </w:t>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 xml:space="preserve">For mountain gorillas, it was possible to see the reduced migration rates between the two isolated populations, Virunga and Bwindi (Figure S86). Inside the eastern lowland gorilla subspecies, no pattern was observed as few sampling sites were retained after filtering the dataset for this analysis. More samples with more quality and at higher coverage will be needed in order to assess deviation from the isolation-by-distance inside this subspecies. </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08E27816" wp14:editId="73259B10">
            <wp:extent cx="5731200" cy="2882900"/>
            <wp:effectExtent l="0" t="0" r="0" b="0"/>
            <wp:docPr id="3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93"/>
                    <a:srcRect/>
                    <a:stretch>
                      <a:fillRect/>
                    </a:stretch>
                  </pic:blipFill>
                  <pic:spPr>
                    <a:xfrm>
                      <a:off x="0" y="0"/>
                      <a:ext cx="5731200" cy="2882900"/>
                    </a:xfrm>
                    <a:prstGeom prst="rect">
                      <a:avLst/>
                    </a:prstGeom>
                    <a:ln/>
                  </pic:spPr>
                </pic:pic>
              </a:graphicData>
            </a:graphic>
          </wp:inline>
        </w:drawing>
      </w:r>
    </w:p>
    <w:p w:rsidR="00B66F1E" w:rsidRPr="00B66F1E" w:rsidRDefault="00B66F1E" w:rsidP="00B66F1E">
      <w:pPr>
        <w:spacing w:after="200" w:line="276" w:lineRule="auto"/>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S86. Effective Migration plots for eastern gorilla species (eastern lowland gorillas and mountain gorillas)  above 5X of coverage and less than 40% missing data. A. Posterior mean </w:t>
      </w:r>
      <w:r w:rsidRPr="00B66F1E">
        <w:rPr>
          <w:rFonts w:ascii="Arial" w:eastAsia="Arial" w:hAnsi="Arial" w:cs="Arial"/>
          <w:sz w:val="20"/>
          <w:szCs w:val="20"/>
          <w:lang w:val="ca" w:eastAsia="ca-ES"/>
        </w:rPr>
        <w:lastRenderedPageBreak/>
        <w:t xml:space="preserve">migration rates. B. Posterior probabilities. For both plots, the dot size corresponds to the number of samples used in the analysis. </w:t>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 xml:space="preserve">The Sanaga river which acts as a geographic barrier was detected in EEMS analysis as a reduction in the migration rate between the two western gorilla subspecies (Figure S87). Within the western lowland subspecies different deviations from the isolation-by-distance model were also observed. The Sangha river and its affluents (Kadei and Ngoko rivers) were detected as genetic barriers between Gou and Dza sampling sites and the rest of the western lowland gorilla populations. In addition, Dja river also was detected as a barrier decreasing the migration rate between the sampling sites from Cameroon located above (Lob, Mam, Bel, Den, Nki, Mes, Lom) and below (Djo and Men) the Dja river. The Ogoué river was also detected acting as a barrier, but it was not significant as shown in the posterior probabilities plot (Figure S87B). A unique sampling site (Mongambe) from the south of Gabon was retained after filtering. More samples from different populations from this area are needed in order to better detect possible deviations from the isolation-by-distance model. Finally, three different areas were detected with increased migration rates. The first one was detected in the border of the Republic of Congo and Gabon, between sampling sites from Nga-Dib-Dze in the Odzala National Park and one sampling site from Gabon (Ivi). In the east part of Cameroon distribution range was detected another possible genetic corridor between Den, Bel, Lob, Mam, and Lom. Finally, an inter-subspecies possible genetic corridor was detected between </w:t>
      </w:r>
      <w:r w:rsidRPr="00B66F1E">
        <w:rPr>
          <w:rFonts w:ascii="Calibri" w:eastAsia="Calibri" w:hAnsi="Calibri" w:cs="Calibri"/>
          <w:sz w:val="24"/>
          <w:szCs w:val="24"/>
          <w:highlight w:val="white"/>
          <w:lang w:val="ca" w:eastAsia="ca-ES"/>
        </w:rPr>
        <w:t>Gou and Dza</w:t>
      </w:r>
      <w:r w:rsidRPr="00B66F1E">
        <w:rPr>
          <w:rFonts w:ascii="Arial" w:eastAsia="Arial" w:hAnsi="Arial" w:cs="Arial"/>
          <w:lang w:val="ca" w:eastAsia="ca-ES"/>
        </w:rPr>
        <w:t xml:space="preserve"> sampling sites and Cross River gorilla populations. </w:t>
      </w:r>
    </w:p>
    <w:p w:rsidR="00B66F1E" w:rsidRPr="00B66F1E" w:rsidRDefault="00B66F1E" w:rsidP="00B66F1E">
      <w:pPr>
        <w:spacing w:after="20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0" distB="0" distL="0" distR="0" wp14:anchorId="04BAA210" wp14:editId="06E7ED00">
            <wp:extent cx="5733415" cy="2877906"/>
            <wp:effectExtent l="0" t="0" r="635" b="0"/>
            <wp:docPr id="100" name="Imatge 100" descr="C:\Users\u97559\AppData\Local\Microsoft\Windows\INetCache\Content.MSO\BF510E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97559\AppData\Local\Microsoft\Windows\INetCache\Content.MSO\BF510E64.tmp"/>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33415" cy="2877906"/>
                    </a:xfrm>
                    <a:prstGeom prst="rect">
                      <a:avLst/>
                    </a:prstGeom>
                    <a:noFill/>
                    <a:ln>
                      <a:noFill/>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S87 . Effective Migration plots for western gorilla species (western lowland gorillas and Cross River gorillas) samples above 5X of coverage and less than 40% missing data. A. Posterior mean migration rates. B. Posterior probabilities. For both plots, the dot size corresponds to the number of samples used in the analysis. </w:t>
      </w:r>
    </w:p>
    <w:p w:rsidR="00B66F1E" w:rsidRPr="00B66F1E" w:rsidRDefault="00B66F1E" w:rsidP="00B66F1E">
      <w:pPr>
        <w:spacing w:after="0" w:line="276" w:lineRule="auto"/>
        <w:rPr>
          <w:rFonts w:ascii="Arial" w:eastAsia="Arial" w:hAnsi="Arial" w:cs="Arial"/>
          <w:u w:val="single"/>
          <w:lang w:val="ca" w:eastAsia="ca-ES"/>
        </w:rPr>
      </w:pPr>
    </w:p>
    <w:p w:rsidR="00B66F1E" w:rsidRPr="00B66F1E" w:rsidRDefault="00B66F1E" w:rsidP="00B66F1E">
      <w:pPr>
        <w:keepNext/>
        <w:keepLines/>
        <w:spacing w:before="400" w:after="200" w:line="360" w:lineRule="auto"/>
        <w:jc w:val="both"/>
        <w:outlineLvl w:val="0"/>
        <w:rPr>
          <w:rFonts w:ascii="Arial" w:eastAsia="Arial" w:hAnsi="Arial" w:cs="Arial"/>
          <w:sz w:val="40"/>
          <w:szCs w:val="40"/>
          <w:lang w:val="ca" w:eastAsia="ca-ES"/>
        </w:rPr>
      </w:pPr>
      <w:bookmarkStart w:id="34" w:name="_Toc234923669"/>
      <w:r w:rsidRPr="00B66F1E">
        <w:rPr>
          <w:rFonts w:ascii="Arial" w:eastAsia="Arial" w:hAnsi="Arial" w:cs="Arial"/>
          <w:sz w:val="40"/>
          <w:szCs w:val="40"/>
          <w:lang w:val="ca" w:eastAsia="ca-ES"/>
        </w:rPr>
        <w:t>5. Geolocalisation</w:t>
      </w:r>
      <w:bookmarkEnd w:id="34"/>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tested two different methodologies to predict the geographic coordinates using our chromosome 21 data. Once the comparison was done, we also predicted geographic coordinates of public wild-born gorilla genomes for which sample origin information was not available. In addition, we also predicted geographic coordinates for the newly sequenced FTA cards and museum samples. </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35" w:name="_Toc234923670"/>
      <w:r w:rsidRPr="00B66F1E">
        <w:rPr>
          <w:rFonts w:ascii="Arial" w:eastAsia="Arial" w:hAnsi="Arial" w:cs="Arial"/>
          <w:color w:val="434343"/>
          <w:sz w:val="28"/>
          <w:szCs w:val="28"/>
          <w:lang w:val="ca" w:eastAsia="ca-ES"/>
        </w:rPr>
        <w:t>Locator</w:t>
      </w:r>
      <w:bookmarkEnd w:id="35"/>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First, we applied the method Locator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{"citationID":"yOZDCvsn","properties":{"formattedCitation":"[82]","plainCitation":"[82]","noteIndex":0},"citationItems":[{"id":239,"uris":["http://zotero.org/users/local/jTutsuih/items/6VR9QEEL"],"itemData":{"id":239,"type":"article-journal","abstract":"Most organisms are more closely related to nearby than distant members of their species, creating spatial autocorrelations in genetic data. This allows us to predict the location of origin of a genetic sample by comparing it to a set of samples of known geographic origin. Here, we describe a deep learning method, which we call Locator, to accomplish this task faster and more accurately than existing approaches. In simulations, Locator infers sample location to within 4.1 generations of dispersal and runs at least an order of magnitude faster than a recent model-based approach. We leverage Locator’s computational efficiency to predict locations separately in windows across the genome, which allows us to both quantify uncertainty and describe the mosaic ancestry and patterns of geographic mixing that characterize many populations. Applied to whole-genome sequence data from Plasmodium parasites, Anopheles mosquitoes, and global human populations, this approach yields median test errors of 16.9km, 5.7km, and 85km, respectively.","container-title":"eLife","DOI":"10.7554/eLife.54507","ISSN":"2050-084X","language":"en","page":"e54507","source":"DOI.org (Crossref)","title":"Predicting geographic location from genetic variation with deep neural networks","volume":"9","author":[{"family":"Battey","given":"Cj"},{"family":"Ralph","given":"Peter L"},{"family":"Kern","given":"Andrew D"}],"issued":{"date-parts":[["2020",6,8]]}}}],"schema":"https://github.com/citation-style-language/schema/raw/master/csl-citation.json"}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[82]</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a machine learning method developed to predict geographic coordinates, which has been applied to a range of species, including humans and mosquitoes. We used it to the georeferenced dataset of gorilla non-invasive samples (taking samples with coverage &gt;5X). We applied Locator to predict geographic coordinates for the 169 georeferenced non-invasive samples (157 faecal samples (including 3 faecal samples from Fontsere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{"citationID":"1zDY7iH2","properties":{"formattedCitation":"[27]","plainCitation":"[27]","noteIndex":0},"citationItems":[{"id":4,"uris":["http://zotero.org/users/local/jTutsuih/items/6HQ27HWG"],"itemData":{"id":4,"type":"article-journal","abstract":"Knowledge on the population history of endangered species is critical for conservation, but whole-genome data on chimpanzees (Pan troglodytes) is geographically sparse. Here, we produced the ﬁrst non-invasive geolocalized catalog of genomic diversity by capturing chromosome 21 from 828 non-invasive samples collected at 48 sampling sites across Africa. The four recognized subspecies show clear genetic differentiation correlating with known barriers, while previously undescribed genetic exchange suggests that these have been permeable on a local scale. We obtained a detailed reconstruction of population stratiﬁcation and ﬁne-scale patterns of isolation, migration, and connectivity, including a comprehensive picture of admixture with bonobos (Pan paniscus). Unlike humans, chimpanzees did not experience extended episodes of long-distance migrations, which might have limited cultural transmission. Finally, based on local rare variation, we implement a ﬁne-grained geolocalization approach demonstrating improved precision in determining the origin of conﬁscated chimpanzees.","container-title":"Cell Genomics","DOI":"10.1016/j.xgen.2022.100133","ISSN":"2666-979X","issue":"6","language":"en","license":"https://www.elsevier.com/tdm/userlicense/1.0/","page":"100133","publisher":"Elsevier BV","source":"Crossref","title":"Population dynamics and genetic connectivity in recent chimpanzee history","volume":"2","author":[{"family":"Fontsere","given":"Claudia"},{"family":"Kuhlwilm","given":"Martin"},{"family":"Morcillo-Suarez","given":"Carlos"},{"family":"Alvarez-Estape","given":"Marina"},{"family":"Lester","given":"Jack D."},{"family":"Gratton","given":"Paolo"},{"family":"Schmidt","given":"Joshua M."},{"family":"Dieguez","given":"Paula"},{"family":"Aebischer","given":"Thierry"},{"family":"Álvarez-Varona","given":"Paula"},{"family":"Agbor","given":"Anthony"},{"family":"Angedakin","given":"Samuel"},{"family":"Assumang","given":"Alfred K."},{"family":"Ayimisin","given":"Emmanuel A."},{"family":"Bailey","given":"Emma"},{"family":"Barubiyo","given":"Donatienne"},{"family":"Bessone","given":"Mattia"},{"family":"Carretero-Alonso","given":"Andrea"},{"family":"Chancellor","given":"Rebecca"},{"family":"Cohen","given":"Heather"},{"family":"Danquah","given":"Emmanuel"},{"family":"Deschner","given":"Tobias"},{"family":"Dunn","given":"Andrew"},{"family":"Dupain","given":"Jef"},{"family":"Egbe","given":"Villard E."},{"family":"Feliu","given":"Olga"},{"family":"Goedmakers","given":"Annemarie"},{"family":"Granjon","given":"Anne-Céline"},{"family":"Head","given":"Josephine"},{"family":"Hedwig","given":"Daniela"},{"family":"Hermans","given":"Veerle"},{"family":"Hernandez-Aguilar","given":"R. Adriana"},{"family":"Imong","given":"Inaoyom"},{"family":"Jones","given":"Sorrel"},{"family":"Junker","given":"Jessica"},{"family":"Kadam","given":"Parag"},{"family":"Kaiser","given":"Mike"},{"family":"Kambere","given":"Mbangi"},{"family":"Kambale","given":"Magloire V."},{"family":"Kalan","given":"Ammie K."},{"family":"Kienast","given":"Ivonne"},{"family":"Kujirakwinja","given":"Deo"},{"family":"Langergraber","given":"Kevin"},{"family":"Lapuente","given":"Juan"},{"family":"Larson","given":"Bradley"},{"family":"Laudisoit","given":"Anne"},{"family":"Lee","given":"Kevin"},{"family":"Llana","given":"Manuel"},{"family":"Llorente","given":"Miquel"},{"family":"Marrocoli","given":"Sergio"},{"family":"Morgan","given":"David"},{"family":"Mulindahabi","given":"Felix"},{"family":"Murai","given":"Mizuki"},{"family":"Neil","given":"Emily"},{"family":"Nicholl","given":"Sonia"},{"family":"Nixon","given":"Stuart"},{"family":"Normand","given":"Emma"},{"family":"Orbell","given":"Chris"},{"family":"Ormsby","given":"Lucy J."},{"family":"Pacheco","given":"Liliana"},{"family":"Piel","given":"Alex"},{"family":"Riera","given":"Laura"},{"family":"Robbins","given":"Martha M."},{"family":"Rundus","given":"Aaron"},{"family":"Sanz","given":"Crickette"},{"family":"Sciaky","given":"Lilah"},{"family":"Sommer","given":"Volker"},{"family":"Stewart","given":"Fiona A."},{"family":"Tagg","given":"Nikki"},{"family":"Tédonzong","given":"Luc Roscelin"},{"family":"Ton","given":"Els"},{"family":"Van Schijndel","given":"Joost"},{"family":"Vergnes","given":"Virginie"},{"family":"Wessling","given":"Erin G."},{"family":"Willie","given":"Jacob"},{"family":"Wittig","given":"Roman M."},{"family":"Yuh","given":"Yisa G."},{"family":"Yurkiw","given":"Kyle"},{"family":"Zuberbuehler","given":"Klaus"},{"family":"Hecht","given":"Jochen"},{"family":"Vigilant","given":"Linda"},{"family":"Boesch","given":"Christophe"},{"family":"Andrés","given":"Aida M."},{"family":"Hughes","given":"David A."},{"family":"Kühl","given":"Hjalmar S."},{"family":"Lizano","given":"Esther"},{"family":"Arandjelovic","given":"Mimi"},{"family":"Marques-Bonet","given":"Tomas"}],"issued":{"date-parts":[["2022",6]]}}}],"schema":"https://github.com/citation-style-language/schema/raw/master/csl-citation.json"}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[27]</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12 hair samples (including hair samples from Alvarez-Estape et al.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{"citationID":"yQrb12vH","properties":{"formattedCitation":"[76]","plainCitation":"[76]","noteIndex":0},"citationItems":[{"id":22,"uris":["http://zotero.org/users/local/jTutsuih/items/LAE9J37X"],"itemData":{"id":22,"type":"article-journal","abstract":"The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consisting of 70 eastern gorillas and 99 western gorillas). Note that we applied the method separately for eastern and western gorillas. In the input file, we assigned the coordinates of the test sample to NA (missing) in a leave-one-out process. This approach was applied to all the samples in the dataset one by one. We calculated the difference between the predicted and geographic location for each sample. We visualised this using distribution plots to evaluate the overall prediction of all samples for each sampling site. We assessed uncertainty in the predictions using bootstrapping [--bootstrap --nboots 50] which generates 50 replicates. We calculated the correlation between the difference in predicted and geographic location (in kilometres) and the number of samples per sampling site. We also calculated the correlation between the difference in predicted and geographic location (in kilometres) and levels of missingness per sample.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assessed the impact of the number of samples at a sampling site on the geographic predictions made by Locator, as well as the impact of missing genotypes (Figure S88). The number of samples per site, as expected, influenced the kilometres of error when predicting the geographic coordinates (no significant correlation). On the other hand, the amount of missing data in the test samples had a highly significant correlation in the kilometres of error in the predicted geographic coordinates. This significant correlation </w:t>
      </w:r>
      <w:r w:rsidRPr="00B66F1E">
        <w:rPr>
          <w:rFonts w:ascii="Arial" w:eastAsia="Arial" w:hAnsi="Arial" w:cs="Arial"/>
          <w:lang w:val="ca" w:eastAsia="ca-ES"/>
        </w:rPr>
        <w:lastRenderedPageBreak/>
        <w:t>highlighted the importance of good-quality DNA in the tested genome. The Nga-Dib-Dze sampling site showed high differences between samples in kilometres of error due to the high amount of missing data found in some of the samples. For Nga-Dib-Dze samples having missing data, their mean difference between true and predicted location was 427.65 km, versus Nga-Dib-Dze samples without missing data, for which the mean difference between true and predicted location was 22.48 km (Figure S88B).</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lang w:val="ca" w:eastAsia="ca-ES"/>
        </w:rPr>
        <w:t>Differences between subspecies in the predictions were detected (Figure S88). Cross River gorilla sampling sites showed low numbers of individuals per site and high missing data after filtering, negatively affecting the final geographic predictions in comparison to the rest of subspecies.</w:t>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noProof/>
          <w:sz w:val="20"/>
          <w:szCs w:val="20"/>
          <w:lang w:val="ca" w:eastAsia="ca-ES"/>
        </w:rPr>
        <w:drawing>
          <wp:inline distT="114300" distB="114300" distL="114300" distR="114300" wp14:anchorId="0A7BBA6C" wp14:editId="47AB7529">
            <wp:extent cx="5731200" cy="2286000"/>
            <wp:effectExtent l="0" t="0" r="0" b="0"/>
            <wp:docPr id="29"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95"/>
                    <a:srcRect/>
                    <a:stretch>
                      <a:fillRect/>
                    </a:stretch>
                  </pic:blipFill>
                  <pic:spPr>
                    <a:xfrm>
                      <a:off x="0" y="0"/>
                      <a:ext cx="5731200" cy="22860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S88. Assessment of the impact of missingness and number of samples per site on the performance of the Locator method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{"citationID":"fOFTHPdk","properties":{"formattedCitation":"[82]","plainCitation":"[82]","noteIndex":0},"citationItems":[{"id":239,"uris":["http://zotero.org/users/local/jTutsuih/items/6VR9QEEL"],"itemData":{"id":239,"type":"article-journal","abstract":"Most organisms are more closely related to nearby than distant members of their species, creating spatial autocorrelations in genetic data. This allows us to predict the location of origin of a genetic sample by comparing it to a set of samples of known geographic origin. Here, we describe a deep learning method, which we call Locator, to accomplish this task faster and more accurately than existing approaches. In simulations, Locator infers sample location to within 4.1 generations of dispersal and runs at least an order of magnitude faster than a recent model-based approach. We leverage Locator’s computational efficiency to predict locations separately in windows across the genome, which allows us to both quantify uncertainty and describe the mosaic ancestry and patterns of geographic mixing that characterize many populations. Applied to whole-genome sequence data from Plasmodium parasites, Anopheles mosquitoes, and global human populations, this approach yields median test errors of 16.9km, 5.7km, and 85km, respectively.","container-title":"eLife","DOI":"10.7554/eLife.54507","ISSN":"2050-084X","language":"en","page":"e54507","source":"DOI.org (Crossref)","title":"Predicting geographic location from genetic variation with deep neural networks","volume":"9","author":[{"family":"Battey","given":"Cj"},{"family":"Ralph","given":"Peter L"},{"family":"Kern","given":"Andrew D"}],"issued":{"date-parts":[["2020",6,8]]}}}],"schema":"https://github.com/citation-style-language/schema/raw/master/csl-citation.json"}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[82]</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xml:space="preserve"> for gorilla samples. A) Correlation plot indicating the mean kilometres of error and number of samples per site. The number of samples per site counted was the one used in this analysis. B) Correlation plot indicating the kilometres of error and missing data for each sample used in this analysis.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As mentioned, geographic predictions were also influenced by genetic differentiation and population structure. An example was found for the Den western lowland gorilla population. Despite the high geographic distance to other western lowland populations (~240-430 km), this sampling site had low values of </w:t>
      </w:r>
      <w:r w:rsidRPr="00B66F1E">
        <w:rPr>
          <w:rFonts w:ascii="Arial" w:eastAsia="Arial" w:hAnsi="Arial" w:cs="Arial"/>
          <w:i/>
          <w:lang w:val="ca" w:eastAsia="ca-ES"/>
        </w:rPr>
        <w:t>F</w:t>
      </w:r>
      <w:r w:rsidRPr="00B66F1E">
        <w:rPr>
          <w:rFonts w:ascii="Arial" w:eastAsia="Arial" w:hAnsi="Arial" w:cs="Arial"/>
          <w:lang w:val="ca" w:eastAsia="ca-ES"/>
        </w:rPr>
        <w:t xml:space="preserve">ST with those western lowland populations: Lob, Mam, Bel and Cam.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The number of individuals representing each sampling site also influenced the accuracy of the geographic predictions. To assess performance in the absence of local reference samples, Locator was additionally run under a leave-one-site-out approach, in which all samples from the target sampling site were excluded from the reference panel. For most sites, prediction accuracy was worse when excluding all samples from the target site, as expected. For some sites, the decrease in accuracy was more pronounced, likely due to </w:t>
      </w:r>
      <w:r w:rsidRPr="00B66F1E">
        <w:rPr>
          <w:rFonts w:ascii="Arial" w:eastAsia="Arial" w:hAnsi="Arial" w:cs="Arial"/>
          <w:lang w:val="ca" w:eastAsia="ca-ES"/>
        </w:rPr>
        <w:lastRenderedPageBreak/>
        <w:t>the absence of neighbouring reference populations and/or the high genetic differentiation between the target population and the closest ones. Notably, one exception was observed for the NCA sampling site, where prediction accuracy improved when all samples from the target site were excluded. This fact could be explained by the lack of representation for the eastern lowland gorilla populations included in this analysis.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noProof/>
          <w:lang w:val="ca" w:eastAsia="ca-ES"/>
        </w:rPr>
        <w:drawing>
          <wp:inline distT="0" distB="0" distL="0" distR="0" wp14:anchorId="17BA7B04" wp14:editId="680E091D">
            <wp:extent cx="5733415" cy="918242"/>
            <wp:effectExtent l="0" t="0" r="635" b="0"/>
            <wp:docPr id="101" name="Imatge 101" descr="C:\Users\u97559\AppData\Local\Microsoft\Windows\INetCache\Content.MSO\12930A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97559\AppData\Local\Microsoft\Windows\INetCache\Content.MSO\12930AEB.tmp"/>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33415" cy="918242"/>
                    </a:xfrm>
                    <a:prstGeom prst="rect">
                      <a:avLst/>
                    </a:prstGeom>
                    <a:noFill/>
                    <a:ln>
                      <a:noFill/>
                    </a:ln>
                  </pic:spPr>
                </pic:pic>
              </a:graphicData>
            </a:graphic>
          </wp:inline>
        </w:drawing>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S89. Effect of leave-one-population-out on the reference panel. Each boxplot corresponds to a sampling site within the geographic distribution of the gorilla genus. Prediction error, measured as the geographic distance (km) between the true and predicted location of each sample, is shown for two conditions: green boxplots indicate results when at least one sample from the target population is included in the reference panel, and blue boxplots indicate results when all samples from the target population are excluded.</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36" w:name="_Toc234923671"/>
      <w:r w:rsidRPr="00B66F1E">
        <w:rPr>
          <w:rFonts w:ascii="Arial" w:eastAsia="Arial" w:hAnsi="Arial" w:cs="Arial"/>
          <w:color w:val="434343"/>
          <w:sz w:val="28"/>
          <w:szCs w:val="28"/>
          <w:lang w:val="ca" w:eastAsia="ca-ES"/>
        </w:rPr>
        <w:t>PCA point distances:</w:t>
      </w:r>
      <w:bookmarkEnd w:id="36"/>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Second, subspecies-specific PCA were used in order to predict geographic coordinates from the nearest points for which GPS coordinates were available. Specifically, we used the point distances of PC1 and PC2 of each PCA (Figures S37A, S40, S42 and S43). The four nearest neighbour points of the tested sample were used to predict the geographic coordinates, applying a mean weighted by the Euclidean distances of each point to the tested sample point and the amount of difference explained in each of the two first components used. </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37" w:name="_Toc234923672"/>
      <w:r w:rsidRPr="00B66F1E">
        <w:rPr>
          <w:rFonts w:ascii="Arial" w:eastAsia="Arial" w:hAnsi="Arial" w:cs="Arial"/>
          <w:color w:val="434343"/>
          <w:sz w:val="28"/>
          <w:szCs w:val="28"/>
          <w:lang w:val="ca" w:eastAsia="ca-ES"/>
        </w:rPr>
        <w:t>Comparison between methods:</w:t>
      </w:r>
      <w:bookmarkEnd w:id="37"/>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We compared the performance per site of both methods to determine which one of the two methods performed better using our chromosome 21 dataset. We used the prediction error (kilometres of difference between the real and the predicted location) to compare both methodologies (Figure S90).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Within the western lowland gorilla sites, similar trends between both methods were found for the majority of sites. Sampling sites for which the prediction errors were low (Dza, Nga-Dib-Dze, Mou, Gou), the accuracy of prediction were higher when applying Locator for  Dza and Nga-Dib-Dze camp (Figure S90), in contrast to Mou and Gou, for which the </w:t>
      </w:r>
      <w:r w:rsidRPr="00B66F1E">
        <w:rPr>
          <w:rFonts w:ascii="Arial" w:eastAsia="Arial" w:hAnsi="Arial" w:cs="Arial"/>
          <w:lang w:val="ca" w:eastAsia="ca-ES"/>
        </w:rPr>
        <w:lastRenderedPageBreak/>
        <w:t>predictions were better when using PCA point proximity or equal between the two methods, respectively. On the other hand, regarding the sampling sites which had the highest values of prediction errors, the performance was improved when using PCA point distances (Cam, Den, Ivi, Bel and Djo). Lob, Mam, Nki and Mes were the only four sites for which the performance was better when using Locator. Remarkably, when using Locator, only samples above 5X of coverage and low missing data were used, losing all samples from Mont Allen (the unique site from Equatorial Guinea). For other sites, the number of samples used was also reduced due to the filtering when using Locator.</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7D80945E" wp14:editId="48C8DD7F">
            <wp:extent cx="5734050" cy="2175622"/>
            <wp:effectExtent l="0" t="0" r="0" b="0"/>
            <wp:docPr id="2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97"/>
                    <a:srcRect b="4828"/>
                    <a:stretch>
                      <a:fillRect/>
                    </a:stretch>
                  </pic:blipFill>
                  <pic:spPr>
                    <a:xfrm>
                      <a:off x="0" y="0"/>
                      <a:ext cx="5734050" cy="2175622"/>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S90. Comparison between two geolocalization methods (Locator and PCA point proximity) using western lowland gorilla chromosome 21 data. Each box-plot represents a unique site of the western lowland distribution. The green box-plot shows Locator prediction errors, and the blue box-plots show prediction errors when applying PCA point distances. Prediction errors are calculated using the kilometres of distance between the true and the predicted location of each sample for each sampling site.  </w:t>
      </w:r>
    </w:p>
    <w:p w:rsidR="00B66F1E" w:rsidRPr="00B66F1E" w:rsidRDefault="00B66F1E" w:rsidP="00B66F1E">
      <w:pPr>
        <w:spacing w:after="200" w:line="360" w:lineRule="auto"/>
        <w:jc w:val="both"/>
        <w:rPr>
          <w:rFonts w:ascii="Arial" w:eastAsia="Arial" w:hAnsi="Arial" w:cs="Arial"/>
          <w:sz w:val="20"/>
          <w:szCs w:val="20"/>
          <w:lang w:val="ca" w:eastAsia="ca-ES"/>
        </w:rPr>
      </w:pPr>
      <w:r w:rsidRPr="00B66F1E">
        <w:rPr>
          <w:rFonts w:ascii="Arial" w:eastAsia="Arial" w:hAnsi="Arial" w:cs="Arial"/>
          <w:lang w:val="ca" w:eastAsia="ca-ES"/>
        </w:rPr>
        <w:t>When comparing methods between the Cross River and the eastern lowland gorilla subspecies, higher differences were found (Figures S91A and S91C). The accuracy when using Locator for these two subspecies was low due to the fact of missing sampling sites, a low number of samples per site and high missing data. For mountain gorillas, the numbers were similar between both methods (Figure S91B).</w:t>
      </w:r>
    </w:p>
    <w:p w:rsidR="00B66F1E" w:rsidRPr="00B66F1E" w:rsidRDefault="00B66F1E" w:rsidP="00B66F1E">
      <w:pPr>
        <w:spacing w:after="0" w:line="360" w:lineRule="auto"/>
        <w:jc w:val="both"/>
        <w:rPr>
          <w:rFonts w:ascii="Arial" w:eastAsia="Arial" w:hAnsi="Arial" w:cs="Arial"/>
          <w:lang w:val="ca" w:eastAsia="ca-ES"/>
        </w:rPr>
      </w:pPr>
      <w:r w:rsidRPr="00B66F1E">
        <w:rPr>
          <w:rFonts w:ascii="Arial" w:eastAsia="Arial" w:hAnsi="Arial" w:cs="Arial"/>
          <w:noProof/>
          <w:lang w:val="ca" w:eastAsia="ca-ES"/>
        </w:rPr>
        <w:drawing>
          <wp:inline distT="114300" distB="114300" distL="114300" distR="114300" wp14:anchorId="5CE63B02" wp14:editId="0772AED2">
            <wp:extent cx="5731200" cy="1384300"/>
            <wp:effectExtent l="0" t="0" r="0" b="0"/>
            <wp:docPr id="2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98"/>
                    <a:srcRect/>
                    <a:stretch>
                      <a:fillRect/>
                    </a:stretch>
                  </pic:blipFill>
                  <pic:spPr>
                    <a:xfrm>
                      <a:off x="0" y="0"/>
                      <a:ext cx="5731200" cy="1384300"/>
                    </a:xfrm>
                    <a:prstGeom prst="rect">
                      <a:avLst/>
                    </a:prstGeom>
                    <a:ln/>
                  </pic:spPr>
                </pic:pic>
              </a:graphicData>
            </a:graphic>
          </wp:inline>
        </w:drawing>
      </w:r>
    </w:p>
    <w:p w:rsidR="00B66F1E" w:rsidRPr="00B66F1E" w:rsidRDefault="00B66F1E" w:rsidP="00B66F1E">
      <w:pPr>
        <w:spacing w:after="200" w:line="276" w:lineRule="auto"/>
        <w:jc w:val="both"/>
        <w:rPr>
          <w:rFonts w:ascii="Arial" w:eastAsia="Arial" w:hAnsi="Arial" w:cs="Arial"/>
          <w:lang w:val="ca" w:eastAsia="ca-ES"/>
        </w:rPr>
      </w:pPr>
      <w:r w:rsidRPr="00B66F1E">
        <w:rPr>
          <w:rFonts w:ascii="Arial" w:eastAsia="Arial" w:hAnsi="Arial" w:cs="Arial"/>
          <w:sz w:val="20"/>
          <w:szCs w:val="20"/>
          <w:lang w:val="ca" w:eastAsia="ca-ES"/>
        </w:rPr>
        <w:t xml:space="preserve">Figure S91. Comparison between two geolocalization methods (Locator and PCA point proximity) using chromosome 21 data. A) Comparison of eastern lowland gorilla sites. B) Comparison of mountain gorilla sites. C) Comparison of Cross River gorilla sites. The green box-plot showed </w:t>
      </w:r>
      <w:r w:rsidRPr="00B66F1E">
        <w:rPr>
          <w:rFonts w:ascii="Arial" w:eastAsia="Arial" w:hAnsi="Arial" w:cs="Arial"/>
          <w:sz w:val="20"/>
          <w:szCs w:val="20"/>
          <w:lang w:val="ca" w:eastAsia="ca-ES"/>
        </w:rPr>
        <w:lastRenderedPageBreak/>
        <w:t xml:space="preserve">Locator prediction errors, and the blue box-plots showed prediction errors when applying PCA point distances. Prediction errors are calculated using the kilometres of distance between the true and the predicted location of each sample for each sampling site.  </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38" w:name="_Toc234923673"/>
      <w:r w:rsidRPr="00B66F1E">
        <w:rPr>
          <w:rFonts w:ascii="Arial" w:eastAsia="Arial" w:hAnsi="Arial" w:cs="Arial"/>
          <w:color w:val="434343"/>
          <w:sz w:val="28"/>
          <w:szCs w:val="28"/>
          <w:lang w:val="ca" w:eastAsia="ca-ES"/>
        </w:rPr>
        <w:t>Public genomes, FTA and museum samples geographic predictions</w:t>
      </w:r>
      <w:bookmarkEnd w:id="38"/>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As more sampling sites and the number of samples per site were higher, we decided to apply the PCA point proximity method on previously published wild-born gorilla genomes for which the origin information was not available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ivdu1TJZ","properties":{"formattedCitation":"[13,17,18,25,34]","plainCitation":"[13,17,18,25,34]","noteIndex":0},"citationItems":[{"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24,"uris":["http://zotero.org/users/local/jTutsuih/items/JWVFIGH3"],"itemData":{"id":24,"type":"article-journal","abstract":"AbstractArchaic admixture has had a substantial impact on human evolution with multiple events across different clades, including from extinct hominins such as Neanderthals and Denisovans into modern humans. In great apes, archaic admixture has been identified in chimpanzees and bonobos but the possibility of such events has not been explored in other species. Here, we address this question using high-coverage whole-genome sequences from all four extant gorilla subspecies, including six newly sequenced eastern gorillas from previously unsampled geographic regions. Using approximate Bayesian computation with neural networks to model the demographic history of gorillas, we find a signature of admixture from an archaic ‘ghost’ lineage into the common ancestor of eastern gorillas but not western gorillas. We infer that up to 3% of the genome of these individuals is introgressed from an archaic lineage that diverged more than 3 million years ago from the common ancestor of all extant gorillas. This introgression event took place before the split of mountain and eastern lowland gorillas, probably more than 40 thousand years ago and may have influenced perception of bitter taste in eastern gorillas. When comparing the introgression landscapes of gorillas, humans and bonobos, we find a consistent depletion of introgressed fragments on the X chromosome across these species. However, depletion in protein-coding content is not detectable in eastern gorillas, possibly as a consequence of stronger genetic drift in this species.","container-title":"Nature Ecology &amp; Evolution","DOI":"10.1038/s41559-023-02145-2","ISSN":"2397-334X","issue":"9","journalAbbreviation":"Nat Ecol Evol","language":"en","license":"https://creativecommons.org/licenses/by/4.0","page":"1503-1514","publisher":"Springer Science and Business Media LLC","source":"Crossref","title":"Ghost admixture in eastern gorillas","volume":"7","author":[{"family":"Pawar","given":"Harvinder"},{"family":"Rymbekova","given":"Aigerim"},{"family":"Cuadros-Espinoza","given":"Sebastian"},{"family":"Huang","given":"Xin"},{"family":"De Manuel","given":"Marc"},{"family":"Van Der Valk","given":"Tom"},{"family":"Lobon","given":"Irene"},{"family":"Alvarez-Estape","given":"Marina"},{"family":"Haber","given":"Marc"},{"family":"Dolgova","given":"Olga"},{"family":"Han","given":"Sojung"},{"family":"Esteller-Cucala","given":"Paula"},{"family":"Juan","given":"David"},{"family":"Ayub","given":"Qasim"},{"family":"Bautista","given":"Ruben"},{"family":"Kelley","given":"Joanna L."},{"family":"Cornejo","given":"Omar E."},{"family":"Lao","given":"Oscar"},{"family":"Andrés","given":"Aida M."},{"family":"Guschanski","given":"Katerina"},{"family":"Ssebide","given":"Benard"},{"family":"Cranfield","given":"Mike"},{"family":"Tyler-Smith","given":"Chris"},{"family":"Xue","given":"Yali"},{"family":"Prado-Martinez","given":"Javier"},{"family":"Marques-Bonet","given":"Tomas"},{"family":"Kuhlwilm","given":"Martin"}],"issued":{"date-parts":[["2023",7,27]]}}},{"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E."},{"family":"Marques-Bonet","given":"Tomas"}],"issued":{"date-parts":[["2013",7]]}}},{"id":26,"uris":["http://zotero.org/users/local/jTutsuih/items/D56NLSEW"],"itemData":{"id":26,"type":"article-journal","abstract":"Background: The only known albino gorilla, named Snowflake, was a male wild born individual from Equatorial Guinea who lived at the Barcelona Zoo for almost 40 years. He was diagnosed with non-syndromic oculocutaneous albinism, i.e. white hair, light eyes, pink skin, photophobia and reduced visual acuity. Despite previous efforts to explain the genetic cause, this is still unknown. Here, we study the genetic cause of his albinism and making use of whole genome sequencing data we find a higher inbreeding coefficient compared to other gorillas.\nResults: We successfully identified the causal genetic variant for Snowflake’s albinism, a non-synonymous single nucleotide variant located in a transmembrane region of SLC45A2. This transporter is known to be involved in oculocutaneous albinism type 4 (OCA4) in humans. We provide experimental evidence that shows that this amino acid replacement alters the membrane spanning capability of this transmembrane region. Finally, we provide a comprehensive study of genome-wide patterns of autozygogosity revealing that Snowflake’s parents were related, being this the first report of inbreeding in a wild born Western lowland gorilla.\nConclusions: In this study we demonstrate how the use of whole genome sequencing can be extended to link genotype and phenotype in non-model organisms and it can be a powerful tool in conservation genetics (e.g., inbreeding and genetic diversity) with the expected decrease in sequencing cost.","container-title":"BMC Genomics","DOI":"10.1186/1471-2164-14-363","ISSN":"1471-2164","issue":"1","language":"en","publisher":"Springer Science and Business Media LLC","source":"Crossref","title":"The genome sequencing of an albino Western lowland gorilla reveals inbreeding in the wild","URL":"https://bmcgenomics.biomedcentral.com/articles/10.1186/1471-2164-14-363","volume":"14","author":[{"family":"Prado-Martinez","given":"Javier"},{"family":"Hernando-Herraez","given":"Irene"},{"family":"Lorente-Galdos","given":"Belen"},{"family":"Dabad","given":"Marc"},{"family":"Ramirez","given":"Oscar"},{"family":"Baeza-Delgado","given":"Carlos"},{"family":"Morcillo-Suarez","given":"Carlos"},{"family":"Alkan","given":"Can"},{"family":"Hormozdiari","given":"Fereydoun"},{"family":"Raineri","given":"Emanuele"},{"family":"Estellé","given":"Jordi"},{"family":"Fernandez-Callejo","given":"Marcos"},{"family":"Valles","given":"Mònica"},{"family":"Ritscher","given":"Lars"},{"family":"Schöneberg","given":"Torsten"},{"family":"De La Calle-Mustienes","given":"Elisa"},{"family":"Casillas","given":"Sònia"},{"family":"Rubio-Acero","given":"Raquel"},{"family":"Melé","given":"Marta"},{"family":"Engelken","given":"Johannes"},{"family":"Caceres","given":"Mario"},{"family":"Gomez-Skarmeta","given":"Jose Luis"},{"family":"Gut","given":"Marta"},{"family":"Bertranpetit","given":"Jaume"},{"family":"Gut","given":"Ivo G"},{"family":"Abello","given":"Teresa"},{"family":"Eichler","given":"Evan E"},{"family":"Mingarro","given":"Ismael"},{"family":"Lalueza-Fox","given":"Carles"},{"family":"Navarro","given":"Arcadi"},{"family":"Marques-Bonet","given":"Tomas"}],"accessed":{"date-parts":[["2025",7,17]]},"issued":{"date-parts":[["2013",12]]}}},{"id":99,"uris":["http://zotero.org/users/local/jTutsuih/items/EKC3INFC"],"itemData":{"id":99,"type":"article-journal","abstract":"The rich diversity of morphology and behavior displayed across primate species provides an informative context in which to study the impact of genomic diversity on fundamental biological processes. Analysis of that diversity provides insight into long-standing questions in evolutionary and conservation biology and is urgent given severe threats these species are facing. Here, we present high-coverage whole-genome data from 233 primate species representing 86% of genera and all 16 families. This dataset was used, together with fossil calibration, to create a nuclear DNA phylogeny and to reassess evolutionary divergence times among primate clades. We found within-species genetic diversity across families and geographic regions to be associated with climate and sociality, but not with extinction risk. Furthermore, mutation rates differ across species, potentially influenced by effective population sizes. Lastly, we identified extensive recurrence of missense mutations previously thought to be human specific. This study will open a wide range of research avenues for future primate genomic research.","container-title":"Science","DOI":"10.1126/science.abn7829","ISSN":"0036-8075, 1095-9203","issue":"6648","journalAbbreviation":"Science","language":"en","page":"906-913","source":"DOI.org (Crossref)","title":"A global catalog of whole-genome diversity from 233 primate species","volume":"380","author":[{"family":"Kuderna","given":"Lukas F. K."},{"family":"Gao","given":"Hong"},{"family":"Janiak","given":"Mareike C."},{"family":"Kuhlwilm","given":"Martin"},{"family":"Orkin","given":"Joseph D."},{"family":"Bataillon","given":"Thomas"},{"family":"Manu","given":"Shivakumara"},{"family":"Valenzuela","given":"Alejandro"},{"family":"Bergman","given":"Juraj"},{"family":"Rousselle","given":"Marjolaine"},{"family":"Silva","given":"Felipe Ennes"},{"family":"Agueda","given":"Lidia"},{"family":"Blanc","given":"Julie"},{"family":"Gut","given":"Marta"},{"family":"De Vries","given":"Dorien"},{"family":"Goodhead","given":"Ian"},{"family":"Harris","given":"R. Alan"},{"family":"Raveendran","given":"Muthuswamy"},{"family":"Jensen","given":"Axel"},{"family":"Chuma","given":"Idrissa S."},{"family":"Horvath","given":"Julie E."},{"family":"Hvilsom","given":"Christina"},{"family":"Juan","given":"David"},{"family":"Frandsen","given":"Peter"},{"family":"Schraiber","given":"Joshua G."},{"family":"De Melo","given":"Fabiano R."},{"family":"Bertuol","given":"Fabrício"},{"family":"Byrne","given":"Hazel"},{"family":"Sampaio","given":"Iracilda"},{"family":"Farias","given":"Izeni"},{"family":"Valsecchi","given":"João"},{"family":"Messias","given":"Malu"},{"family":"Da Silva","given":"Maria N. F."},{"family":"Trivedi","given":"Mihir"},{"family":"Rossi","given":"Rogerio"},{"family":"Hrbek","given":"Tomas"},{"family":"Andriaholinirina","given":"Nicole"},{"family":"Rabarivola","given":"Clément J."},{"family":"Zaramody","given":"Alphonse"},{"family":"Jolly","given":"Clifford J."},{"family":"Phillips-Conroy","given":"Jane"},{"family":"Wilkerson","given":"Gregory"},{"family":"Abee","given":"Christian"},{"family":"Simmons","given":"Joe H."},{"family":"Fernandez-Duque","given":"Eduardo"},{"family":"Kanthaswamy","given":"Sree"},{"family":"Shiferaw","given":"Fekadu"},{"family":"Wu","given":"Dongdong"},{"family":"Zhou","given":"Long"},{"family":"Shao","given":"Yong"},{"family":"Zhang","given":"Guojie"},{"family":"Keyyu","given":"Julius D."},{"family":"Knauf","given":"Sascha"},{"family":"Le","given":"Minh D."},{"family":"Lizano","given":"Esther"},{"family":"Merker","given":"Stefan"},{"family":"Navarro","given":"Arcadi"},{"family":"Nadler","given":"Tilo"},{"family":"Khor","given":"Chiea Chuen"},{"family":"Lee","given":"Jessica"},{"family":"Tan","given":"Patrick"},{"family":"Lim","given":"Weng Khong"},{"family":"Kitchener","given":"Andrew C."},{"family":"Zinner","given":"Dietmar"},{"family":"Gut","given":"Ivo"},{"family":"Melin","given":"Amanda D."},{"family":"Guschanski","given":"Katerina"},{"family":"Schierup","given":"Mikkel Heide"},{"family":"Beck","given":"Robin M. D."},{"family":"Umapathy","given":"Govindhaswamy"},{"family":"Roos","given":"Christian"},{"family":"Boubli","given":"Jean P."},{"family":"Rogers","given":"Jeffrey"},{"family":"Farh","given":"Kyle Kai-How"},{"family":"Marques Bonet","given":"Tomas"}],"issued":{"date-parts":[["2023",6,2]]}}}],"schema":"https://github.com/citation-style-language/schema/raw/master/csl-citation.json"}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[13,17,18,25,34]</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Regarding the eastern lowland gorillas, geographic coordinates were predicted for individuals for which the origin information was unknown (Figure S92A). Gbg-Itebero geographic coordinates were predicted near the Nkuba Conservation Area. The other three individual geographic coordinates were predicted near the Walikale site, with Gbg-Serufuli being the closest one. The rest of the eastern lowland public genomes (Table S3) with known origin were also used as a reference dataset in the PCA to predict geographic coordinates.</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Public mountain gorilla samples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{"citationID":"kOLcpT5a","properties":{"formattedCitation":"[13,17]","plainCitation":"[13,17]","noteIndex":0},"citationItems":[{"id":18,"uris":["http://zotero.org/users/local/jTutsuih/items/NFZVD9TD"],"itemData":{"id":18,"type":"article-journal","abstract":"Genomes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24,"uris":["http://zotero.org/users/local/jTutsuih/items/JWVFIGH3"],"itemData":{"id":24,"type":"article-journal","abstract":"AbstractArchaic admixture has had a substantial impact on human evolution with multiple events across different clades, including from extinct hominins such as Neanderthals and Denisovans into modern humans. In great apes, archaic admixture has been identified in chimpanzees and bonobos but the possibility of such events has not been explored in other species. Here, we address this question using high-coverage whole-genome sequences from all four extant gorilla subspecies, including six newly sequenced eastern gorillas from previously unsampled geographic regions. Using approximate Bayesian computation with neural networks to model the demographic history of gorillas, we find a signature of admixture from an archaic ‘ghost’ lineage into the common ancestor of eastern gorillas but not western gorillas. We infer that up to 3% of the genome of these individuals is introgressed from an archaic lineage that diverged more than 3 million years ago from the common ancestor of all extant gorillas. This introgression event took place before the split of mountain and eastern lowland gorillas, probably more than 40 thousand years ago and may have influenced perception of bitter taste in eastern gorillas. When comparing the introgression landscapes of gorillas, humans and bonobos, we find a consistent depletion of introgressed fragments on the X chromosome across these species. However, depletion in protein-coding content is not detectable in eastern gorillas, possibly as a consequence of stronger genetic drift in this species.","container-title":"Nature Ecology &amp; Evolution","DOI":"10.1038/s41559-023-02145-2","ISSN":"2397-334X","issue":"9","journalAbbreviation":"Nat Ecol Evol","language":"en","license":"https://creativecommons.org/licenses/by/4.0","page":"1503-1514","publisher":"Springer Science and Business Media LLC","source":"Crossref","title":"Ghost admixture in eastern gorillas","volume":"7","author":[{"family":"Pawar","given":"Harvinder"},{"family":"Rymbekova","given":"Aigerim"},{"family":"Cuadros-Espinoza","given":"Sebastian"},{"family":"Huang","given":"Xin"},{"family":"De Manuel","given":"Marc"},{"family":"Van Der Valk","given":"Tom"},{"family":"Lobon","given":"Irene"},{"family":"Alvarez-Estape","given":"Marina"},{"family":"Haber","given":"Marc"},{"family":"Dolgova","given":"Olga"},{"family":"Han","given":"Sojung"},{"family":"Esteller-Cucala","given":"Paula"},{"family":"Juan","given":"David"},{"family":"Ayub","given":"Qasim"},{"family":"Bautista","given":"Ruben"},{"family":"Kelley","given":"Joanna L."},{"family":"Cornejo","given":"Omar E."},{"family":"Lao","given":"Oscar"},{"family":"Andrés","given":"Aida M."},{"family":"Guschanski","given":"Katerina"},{"family":"Ssebide","given":"Benard"},{"family":"Cranfield","given":"Mike"},{"family":"Tyler-Smith","given":"Chris"},{"family":"Xue","given":"Yali"},{"family":"Prado-Martinez","given":"Javier"},{"family":"Marques-Bonet","given":"Tomas"},{"family":"Kuhlwilm","given":"Martin"}],"issued":{"date-parts":[["2023",7,27]]}}}],"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[13,17]</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had population origin information available. Using this information, we checked the predicted geographic coordinates for these samples using PCA point distances in our new chromosome 21 dataset. All samples were correctly assigned to the corresponding population (Bwindi or Virunga) (Figure S92B). Population structure and high genetic differentiation characteristic of this subspecies could help the accuracy and precision of the predictions.</w:t>
      </w:r>
    </w:p>
    <w:p w:rsidR="00B66F1E" w:rsidRPr="00B66F1E" w:rsidRDefault="00B66F1E" w:rsidP="00B66F1E">
      <w:pPr>
        <w:spacing w:after="0" w:line="288" w:lineRule="auto"/>
        <w:rPr>
          <w:rFonts w:ascii="Courier New" w:eastAsia="Courier New" w:hAnsi="Courier New" w:cs="Courier New"/>
          <w:sz w:val="20"/>
          <w:szCs w:val="20"/>
          <w:highlight w:val="white"/>
          <w:u w:val="single"/>
          <w:lang w:val="ca" w:eastAsia="ca-ES"/>
        </w:rPr>
      </w:pPr>
      <w:r w:rsidRPr="00B66F1E">
        <w:rPr>
          <w:rFonts w:ascii="Courier New" w:eastAsia="Courier New" w:hAnsi="Courier New" w:cs="Courier New"/>
          <w:noProof/>
          <w:sz w:val="20"/>
          <w:szCs w:val="20"/>
          <w:highlight w:val="white"/>
          <w:lang w:val="ca" w:eastAsia="ca-ES"/>
        </w:rPr>
        <w:drawing>
          <wp:inline distT="114300" distB="114300" distL="114300" distR="114300" wp14:anchorId="55A961C4" wp14:editId="5E186DE0">
            <wp:extent cx="5731200" cy="2832100"/>
            <wp:effectExtent l="0" t="0" r="0" b="0"/>
            <wp:docPr id="61" name="image63.jpg"/>
            <wp:cNvGraphicFramePr/>
            <a:graphic xmlns:a="http://schemas.openxmlformats.org/drawingml/2006/main">
              <a:graphicData uri="http://schemas.openxmlformats.org/drawingml/2006/picture">
                <pic:pic xmlns:pic="http://schemas.openxmlformats.org/drawingml/2006/picture">
                  <pic:nvPicPr>
                    <pic:cNvPr id="0" name="image63.jpg"/>
                    <pic:cNvPicPr preferRelativeResize="0"/>
                  </pic:nvPicPr>
                  <pic:blipFill>
                    <a:blip r:embed="rId99"/>
                    <a:srcRect/>
                    <a:stretch>
                      <a:fillRect/>
                    </a:stretch>
                  </pic:blipFill>
                  <pic:spPr>
                    <a:xfrm>
                      <a:off x="0" y="0"/>
                      <a:ext cx="5731200" cy="2832100"/>
                    </a:xfrm>
                    <a:prstGeom prst="rect">
                      <a:avLst/>
                    </a:prstGeom>
                    <a:ln/>
                  </pic:spPr>
                </pic:pic>
              </a:graphicData>
            </a:graphic>
          </wp:inline>
        </w:drawing>
      </w:r>
    </w:p>
    <w:p w:rsidR="00B66F1E" w:rsidRPr="00B66F1E" w:rsidRDefault="00B66F1E" w:rsidP="00B66F1E">
      <w:pPr>
        <w:spacing w:after="200" w:line="288"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S92. Geolocalization of eastern lowland (A) and mountain gorilla (B) public genomes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{"citationID":"cSPGWrNw","properties":{"formattedCitation":"[13,17,18]","plainCitation":"[13,17,18]","noteIndex":0},"citationItems":[{"id":18,"uris":["http://zotero.org/users/local/jTutsuih/items/NFZVD9TD"],"itemData":{"id":18,"type":"article-journal","abstract":"Genomes in the mist                      The mountain gorilla is an iconic species that is at high risk of extinction. Xue            et al.            have sequenced 13 gorillas from two different populations to probe their genetic diversity. The genomes show large tracts of homozygosity and the loss of highly deleterious genetic variants, indicating population bottlenecks and inbreeding. This loss of genetic diversity appears to have started over 20,000 years ago and may have been caused by changes in climate and human-associated effects.                                Science            , this issue p.            242","container-title":"Science","DOI":"10.1126/science.aaa3952","ISSN":"0036-8075, 1095-9203","issue":"6231","language":"en","license":"http://www.sciencemag.org/about/science-licenses-journal-article-reuse","page":"242-245","publisher":"American Association for the Advancement of Science (AAAS)","source":"Crossref","title":"Mountain gorilla genomes reveal the impact of long-term population decline and inbreeding","volume":"348","author":[{"family":"Xue","given":"Yali"},{"family":"Prado-Martinez","given":"Javier"},{"family":"Sudmant","given":"Peter H."},{"family":"Narasimhan","given":"Vagheesh"},{"family":"Ayub","given":"Qasim"},{"family":"Szpak","given":"Michal"},{"family":"Frandsen","given":"Peter"},{"family":"Chen","given":"Yuan"},{"family":"Yngvadottir","given":"Bryndis"},{"family":"Cooper","given":"David N."},{"family":"De Manuel","given":"Marc"},{"family":"Hernandez-Rodriguez","given":"Jessica"},{"family":"Lobon","given":"Irene"},{"family":"Siegismund","given":"Hans R."},{"family":"Pagani","given":"Luca"},{"family":"Quail","given":"Michael A."},{"family":"Hvilsom","given":"Christina"},{"family":"Mudakikwa","given":"Antoine"},{"family":"Eichler","given":"Evan E."},{"family":"Cranfield","given":"Michael R."},{"family":"Marques-Bonet","given":"Tomas"},{"family":"Tyler-Smith","given":"Chris"},{"family":"Scally","given":"Aylwyn"}],"issued":{"date-parts":[["2015",4,10]]}}},{"id":24,"uris":["http://zotero.org/users/local/jTutsuih/items/JWVFIGH3"],"itemData":{"id":24,"type":"article-journal","abstract":"AbstractArchaic admixture has had a substantial impact on human evolution with multiple events across different clades, including from extinct hominins such as Neanderthals and Denisovans into modern humans. In great apes, archaic admixture has been identified in chimpanzees and bonobos but the possibility of such events has not been explored in other species. Here, we address this question using high-coverage whole-genome sequences from all four extant gorilla subspecies, including six newly sequenced eastern gorillas from previously unsampled geographic regions. Using approximate Bayesian computation with neural networks to model the demographic history of gorillas, we find a signature of admixture from an archaic ‘ghost’ lineage into the common ancestor of eastern gorillas but not western gorillas. We infer that up to 3% of the genome of these individuals is introgressed from an archaic lineage that diverged more than 3 million years ago from the common ancestor of all extant gorillas. This introgression event took place before the split of mountain and eastern lowland gorillas, probably more than 40 thousand years ago and may have influenced perception of bitter taste in eastern gorillas. When comparing the introgression landscapes of gorillas, humans and bonobos, we find a consistent depletion of introgressed fragments on the X chromosome across these species. However, depletion in protein-coding content is not detectable in eastern gorillas, possibly as a consequence of stronger genetic drift in this species.","container-title":"Nature Ecology &amp; Evolution","DOI":"10.1038/s41559-023-02145-2","ISSN":"2397-334X","issue":"9","journalAbbreviation":"Nat Ecol Evol","language":"en","license":"https://creativecommons.org/licenses/by/4.0","page":"1503-1514","publisher":"Springer Science and Business Media LLC","source":"Crossref","title":"Ghost admixture in eastern gorillas","volume":"7","author":[{"family":"Pawar","given":"Harvinder"},{"family":"Rymbekova","given":"Aigerim"},{"family":"Cuadros-Espinoza","given":"Sebastian"},{"family":"Huang","given":"Xin"},{"family":"De Manuel","given":"Marc"},{"family":"Van Der Valk","given":"Tom"},{"family":"Lobon","given":"Irene"},{"family":"Alvarez-Estape","given":"Marina"},{"family":"Haber","given":"Marc"},{"family":"Dolgova","given":"Olga"},{"family":"Han","given":"Sojung"},{"family":"Esteller-Cucala","given":"Paula"},{"family":"Juan","given":"David"},{"family":"Ayub","given":"Qasim"},{"family":"Bautista","given":"Ruben"},{"family":"Kelley","given":"Joanna L."},{"family":"Cornejo","given":"Omar E."},{"family":"Lao","given":"Oscar"},{"family":"Andrés","given":"Aida M."},{"family":"Guschanski","given":"Katerina"},{"family":"Ssebide","given":"Benard"},{"family":"Cranfield","given":"Mike"},{"family":"Tyler-Smith","given":"Chris"},{"family":"Xue","given":"Yali"},{"family":"Prado-Martinez","given":"Javier"},{"family":"Marques-Bonet","given":"Tomas"},{"family":"Kuhlwilm","given":"Martin"}],"issued":{"date-parts":[["2023",7,27]]}}},{"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[13,17,18]</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Black points represent the locations used for predicting locations, and in red are the locations predicted.</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lastRenderedPageBreak/>
        <w:t xml:space="preserve">Western lowland gorilla origin information was not available for the majority of public genomes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iWcNtc7V","properties":{"formattedCitation":"[18,25,34]","plainCitation":"[18,25,34]","noteIndex":0},"citationItems":[{"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E."},{"family":"Marques-Bonet","given":"Tomas"}],"issued":{"date-parts":[["2013",7]]}}},{"id":26,"uris":["http://zotero.org/users/local/jTutsuih/items/D56NLSEW"],"itemData":{"id":26,"type":"article-journal","abstract":"Background: The only known albino gorilla, named Snowflake, was a male wild born individual from Equatorial Guinea who lived at the Barcelona Zoo for almost 40 years. He was diagnosed with non-syndromic oculocutaneous albinism, i.e. white hair, light eyes, pink skin, photophobia and reduced visual acuity. Despite previous efforts to explain the genetic cause, this is still unknown. Here, we study the genetic cause of his albinism and making use of whole genome sequencing data we find a higher inbreeding coefficient compared to other gorillas.\nResults: We successfully identified the causal genetic variant for Snowflake’s albinism, a non-synonymous single nucleotide variant located in a transmembrane region of SLC45A2. This transporter is known to be involved in oculocutaneous albinism type 4 (OCA4) in humans. We provide experimental evidence that shows that this amino acid replacement alters the membrane spanning capability of this transmembrane region. Finally, we provide a comprehensive study of genome-wide patterns of autozygogosity revealing that Snowflake’s parents were related, being this the first report of inbreeding in a wild born Western lowland gorilla.\nConclusions: In this study we demonstrate how the use of whole genome sequencing can be extended to link genotype and phenotype in non-model organisms and it can be a powerful tool in conservation genetics (e.g., inbreeding and genetic diversity) with the expected decrease in sequencing cost.","container-title":"BMC Genomics","DOI":"10.1186/1471-2164-14-363","ISSN":"1471-2164","issue":"1","language":"en","publisher":"Springer Science and Business Media LLC","source":"Crossref","title":"The genome sequencing of an albino Western lowland gorilla reveals inbreeding in the wild","URL":"https://bmcgenomics.biomedcentral.com/articles/10.1186/1471-2164-14-363","volume":"14","author":[{"family":"Prado-Martinez","given":"Javier"},{"family":"Hernando-Herraez","given":"Irene"},{"family":"Lorente-Galdos","given":"Belen"},{"family":"Dabad","given":"Marc"},{"family":"Ramirez","given":"Oscar"},{"family":"Baeza-Delgado","given":"Carlos"},{"family":"Morcillo-Suarez","given":"Carlos"},{"family":"Alkan","given":"Can"},{"family":"Hormozdiari","given":"Fereydoun"},{"family":"Raineri","given":"Emanuele"},{"family":"Estellé","given":"Jordi"},{"family":"Fernandez-Callejo","given":"Marcos"},{"family":"Valles","given":"Mònica"},{"family":"Ritscher","given":"Lars"},{"family":"Schöneberg","given":"Torsten"},{"family":"De La Calle-Mustienes","given":"Elisa"},{"family":"Casillas","given":"Sònia"},{"family":"Rubio-Acero","given":"Raquel"},{"family":"Melé","given":"Marta"},{"family":"Engelken","given":"Johannes"},{"family":"Caceres","given":"Mario"},{"family":"Gomez-Skarmeta","given":"Jose Luis"},{"family":"Gut","given":"Marta"},{"family":"Bertranpetit","given":"Jaume"},{"family":"Gut","given":"Ivo G"},{"family":"Abello","given":"Teresa"},{"family":"Eichler","given":"Evan E"},{"family":"Mingarro","given":"Ismael"},{"family":"Lalueza-Fox","given":"Carles"},{"family":"Navarro","given":"Arcadi"},{"family":"Marques-Bonet","given":"Tomas"}],"accessed":{"date-parts":[["2025",7,17]]},"issued":{"date-parts":[["2013",12]]}}},{"id":99,"uris":["http://zotero.org/users/local/jTutsuih/items/EKC3INFC"],"itemData":{"id":99,"type":"article-journal","abstract":"The rich diversity of morphology and behavior displayed across primate species provides an informative context in which to study the impact of genomic diversity on fundamental biological processes. Analysis of that diversity provides insight into long-standing questions in evolutionary and conservation biology and is urgent given severe threats these species are facing. Here, we present high-coverage whole-genome data from 233 primate species representing 86% of genera and all 16 families. This dataset was used, together with fossil calibration, to create a nuclear DNA phylogeny and to reassess evolutionary divergence times among primate clades. We found within-species genetic diversity across families and geographic regions to be associated with climate and sociality, but not with extinction risk. Furthermore, mutation rates differ across species, potentially influenced by effective population sizes. Lastly, we identified extensive recurrence of missense mutations previously thought to be human specific. This study will open a wide range of research avenues for future primate genomic research.","container-title":"Science","DOI":"10.1126/science.abn7829","ISSN":"0036-8075, 1095-9203","issue":"6648","journalAbbreviation":"Science","language":"en","page":"906-913","source":"DOI.org (Crossref)","title":"A global catalog of whole-genome diversity from 233 primate species","volume":"380","author":[{"family":"Kuderna","given":"Lukas F. K."},{"family":"Gao","given":"Hong"},{"family":"Janiak","given":"Mareike C."},{"family":"Kuhlwilm","given":"Martin"},{"family":"Orkin","given":"Joseph D."},{"family":"Bataillon","given":"Thomas"},{"family":"Manu","given":"Shivakumara"},{"family":"Valenzuela","given":"Alejandro"},{"family":"Bergman","given":"Juraj"},{"family":"Rousselle","given":"Marjolaine"},{"family":"Silva","given":"Felipe Ennes"},{"family":"Agueda","given":"Lidia"},{"family":"Blanc","given":"Julie"},{"family":"Gut","given":"Marta"},{"family":"De Vries","given":"Dorien"},{"family":"Goodhead","given":"Ian"},{"family":"Harris","given":"R. Alan"},{"family":"Raveendran","given":"Muthuswamy"},{"family":"Jensen","given":"Axel"},{"family":"Chuma","given":"Idrissa S."},{"family":"Horvath","given":"Julie E."},{"family":"Hvilsom","given":"Christina"},{"family":"Juan","given":"David"},{"family":"Frandsen","given":"Peter"},{"family":"Schraiber","given":"Joshua G."},{"family":"De Melo","given":"Fabiano R."},{"family":"Bertuol","given":"Fabrício"},{"family":"Byrne","given":"Hazel"},{"family":"Sampaio","given":"Iracilda"},{"family":"Farias","given":"Izeni"},{"family":"Valsecchi","given":"João"},{"family":"Messias","given":"Malu"},{"family":"Da Silva","given":"Maria N. F."},{"family":"Trivedi","given":"Mihir"},{"family":"Rossi","given":"Rogerio"},{"family":"Hrbek","given":"Tomas"},{"family":"Andriaholinirina","given":"Nicole"},{"family":"Rabarivola","given":"Clément J."},{"family":"Zaramody","given":"Alphonse"},{"family":"Jolly","given":"Clifford J."},{"family":"Phillips-Conroy","given":"Jane"},{"family":"Wilkerson","given":"Gregory"},{"family":"Abee","given":"Christian"},{"family":"Simmons","given":"Joe H."},{"family":"Fernandez-Duque","given":"Eduardo"},{"family":"Kanthaswamy","given":"Sree"},{"family":"Shiferaw","given":"Fekadu"},{"family":"Wu","given":"Dongdong"},{"family":"Zhou","given":"Long"},{"family":"Shao","given":"Yong"},{"family":"Zhang","given":"Guojie"},{"family":"Keyyu","given":"Julius D."},{"family":"Knauf","given":"Sascha"},{"family":"Le","given":"Minh D."},{"family":"Lizano","given":"Esther"},{"family":"Merker","given":"Stefan"},{"family":"Navarro","given":"Arcadi"},{"family":"Nadler","given":"Tilo"},{"family":"Khor","given":"Chiea Chuen"},{"family":"Lee","given":"Jessica"},{"family":"Tan","given":"Patrick"},{"family":"Lim","given":"Weng Khong"},{"family":"Kitchener","given":"Andrew C."},{"family":"Zinner","given":"Dietmar"},{"family":"Gut","given":"Ivo"},{"family":"Melin","given":"Amanda D."},{"family":"Guschanski","given":"Katerina"},{"family":"Schierup","given":"Mikkel Heide"},{"family":"Beck","given":"Robin M. D."},{"family":"Umapathy","given":"Govindhaswamy"},{"family":"Roos","given":"Christian"},{"family":"Boubli","given":"Jean P."},{"family":"Rogers","given":"Jeffrey"},{"family":"Farh","given":"Kyle Kai-How"},{"family":"Marques Bonet","given":"Tomas"}],"issued":{"date-parts":[["2023",6,2]]}}}],"schema":"https://github.com/citation-style-language/schema/raw/master/csl-citation.json"}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[18,25,34]</w:t>
      </w:r>
      <w:r w:rsidRPr="00B66F1E">
        <w:rPr>
          <w:rFonts w:ascii="Arial" w:eastAsia="Arial" w:hAnsi="Arial" w:cs="Arial"/>
          <w:lang w:val="ca" w:eastAsia="ca-ES"/>
        </w:rPr>
        <w:fldChar w:fldCharType="end"/>
      </w:r>
      <w:r w:rsidRPr="00B66F1E">
        <w:rPr>
          <w:rFonts w:ascii="Arial" w:eastAsia="Arial" w:hAnsi="Arial" w:cs="Arial"/>
          <w:lang w:val="ca" w:eastAsia="ca-ES"/>
        </w:rPr>
        <w:t xml:space="preserve">. In order to evaluate the geographic coordinates predicted from these samples, the available country information in the zoo records was used. More detailed information is in the results and discussion section of the main manuscript and Figures S93 and S94. </w:t>
      </w:r>
    </w:p>
    <w:p w:rsidR="00B66F1E" w:rsidRPr="00B66F1E" w:rsidRDefault="00B66F1E" w:rsidP="00B66F1E">
      <w:pPr>
        <w:spacing w:after="0" w:line="360" w:lineRule="auto"/>
        <w:jc w:val="both"/>
        <w:rPr>
          <w:rFonts w:ascii="Arial" w:eastAsia="Arial" w:hAnsi="Arial" w:cs="Arial"/>
          <w:lang w:val="ca" w:eastAsia="ca-ES"/>
        </w:rPr>
      </w:pPr>
    </w:p>
    <w:p w:rsidR="00B66F1E" w:rsidRPr="00B66F1E" w:rsidRDefault="00B66F1E" w:rsidP="00B66F1E">
      <w:pPr>
        <w:spacing w:after="200" w:line="276" w:lineRule="auto"/>
        <w:rPr>
          <w:rFonts w:ascii="Arial" w:eastAsia="Arial" w:hAnsi="Arial" w:cs="Arial"/>
          <w:highlight w:val="yellow"/>
          <w:lang w:val="ca" w:eastAsia="ca-ES"/>
        </w:rPr>
      </w:pPr>
      <w:r w:rsidRPr="00B66F1E">
        <w:rPr>
          <w:rFonts w:ascii="Arial" w:eastAsia="Arial" w:hAnsi="Arial" w:cs="Arial"/>
          <w:noProof/>
          <w:lang w:val="ca" w:eastAsia="ca-ES"/>
        </w:rPr>
        <w:drawing>
          <wp:inline distT="114300" distB="114300" distL="114300" distR="114300" wp14:anchorId="6A3C03C3" wp14:editId="1B69446E">
            <wp:extent cx="5731200" cy="4660900"/>
            <wp:effectExtent l="0" t="0" r="0" b="0"/>
            <wp:docPr id="57"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100"/>
                    <a:srcRect/>
                    <a:stretch>
                      <a:fillRect/>
                    </a:stretch>
                  </pic:blipFill>
                  <pic:spPr>
                    <a:xfrm>
                      <a:off x="0" y="0"/>
                      <a:ext cx="5731200" cy="4660900"/>
                    </a:xfrm>
                    <a:prstGeom prst="rect">
                      <a:avLst/>
                    </a:prstGeom>
                    <a:ln/>
                  </pic:spPr>
                </pic:pic>
              </a:graphicData>
            </a:graphic>
          </wp:inline>
        </w:drawing>
      </w:r>
    </w:p>
    <w:p w:rsidR="00B66F1E" w:rsidRPr="00B66F1E" w:rsidRDefault="00B66F1E" w:rsidP="00B66F1E">
      <w:pPr>
        <w:spacing w:after="0" w:line="288"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S93. Geolocalization of western lowland gorilla public genomes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We6oMCRx","properties":{"formattedCitation":"[18,34]","plainCitation":"[18,34]","noteIndex":0},"citationItems":[{"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E."},{"family":"Marques-Bonet","given":"Tomas"}],"issued":{"date-parts":[["2013",7]]}}},{"id":26,"uris":["http://zotero.org/users/local/jTutsuih/items/D56NLSEW"],"itemData":{"id":26,"type":"article-journal","abstract":"Background: The only known albino gorilla, named Snowflake, was a male wild born individual from Equatorial Guinea who lived at the Barcelona Zoo for almost 40 years. He was diagnosed with non-syndromic oculocutaneous albinism, i.e. white hair, light eyes, pink skin, photophobia and reduced visual acuity. Despite previous efforts to explain the genetic cause, this is still unknown. Here, we study the genetic cause of his albinism and making use of whole genome sequencing data we find a higher inbreeding coefficient compared to other gorillas.\nResults: We successfully identified the causal genetic variant for Snowflake’s albinism, a non-synonymous single nucleotide variant located in a transmembrane region of SLC45A2. This transporter is known to be involved in oculocutaneous albinism type 4 (OCA4) in humans. We provide experimental evidence that shows that this amino acid replacement alters the membrane spanning capability of this transmembrane region. Finally, we provide a comprehensive study of genome-wide patterns of autozygogosity revealing that Snowflake’s parents were related, being this the first report of inbreeding in a wild born Western lowland gorilla.\nConclusions: In this study we demonstrate how the use of whole genome sequencing can be extended to link genotype and phenotype in non-model organisms and it can be a powerful tool in conservation genetics (e.g., inbreeding and genetic diversity) with the expected decrease in sequencing cost.","container-title":"BMC Genomics","DOI":"10.1186/1471-2164-14-363","ISSN":"1471-2164","issue":"1","language":"en","publisher":"Springer Science and Business Media LLC","source":"Crossref","title":"The genome sequencing of an albino Western lowland gorilla reveals inbreeding in the wild","URL":"https://bmcgenomics.biomedcentral.com/articles/10.1186/1471-2164-14-363","volume":"14","author":[{"family":"Prado-Martinez","given":"Javier"},{"family":"Hernando-Herraez","given":"Irene"},{"family":"Lorente-Galdos","given":"Belen"},{"family":"Dabad","given":"Marc"},{"family":"Ramirez","given":"Oscar"},{"family":"Baeza-Delgado","given":"Carlos"},{"family":"Morcillo-Suarez","given":"Carlos"},{"family":"Alkan","given":"Can"},{"family":"Hormozdiari","given":"Fereydoun"},{"family":"Raineri","given":"Emanuele"},{"family":"Estellé","given":"Jordi"},{"family":"Fernandez-Callejo","given":"Marcos"},{"family":"Valles","given":"Mònica"},{"family":"Ritscher","given":"Lars"},{"family":"Schöneberg","given":"Torsten"},{"family":"De La Calle-Mustienes","given":"Elisa"},{"family":"Casillas","given":"Sònia"},{"family":"Rubio-Acero","given":"Raquel"},{"family":"Melé","given":"Marta"},{"family":"Engelken","given":"Johannes"},{"family":"Caceres","given":"Mario"},{"family":"Gomez-Skarmeta","given":"Jose Luis"},{"family":"Gut","given":"Marta"},{"family":"Bertranpetit","given":"Jaume"},{"family":"Gut","given":"Ivo G"},{"family":"Abello","given":"Teresa"},{"family":"Eichler","given":"Evan E"},{"family":"Mingarro","given":"Ismael"},{"family":"Lalueza-Fox","given":"Carles"},{"family":"Navarro","given":"Arcadi"},{"family":"Marques-Bonet","given":"Tomas"}],"accessed":{"date-parts":[["2025",7,17]]},"issued":{"date-parts":[["2013",12]]}}}],"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[18,34]</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Black points represent the locations used for predicting locations, and in red are the locations predicted.</w:t>
      </w:r>
    </w:p>
    <w:p w:rsidR="00B66F1E" w:rsidRPr="00B66F1E" w:rsidRDefault="00B66F1E" w:rsidP="00B66F1E">
      <w:pPr>
        <w:spacing w:after="0" w:line="288" w:lineRule="auto"/>
        <w:rPr>
          <w:rFonts w:ascii="Arial" w:eastAsia="Arial" w:hAnsi="Arial" w:cs="Arial"/>
          <w:sz w:val="20"/>
          <w:szCs w:val="20"/>
          <w:lang w:val="ca" w:eastAsia="ca-ES"/>
        </w:rPr>
      </w:pPr>
      <w:r w:rsidRPr="00B66F1E">
        <w:rPr>
          <w:rFonts w:ascii="Arial" w:eastAsia="Arial" w:hAnsi="Arial" w:cs="Arial"/>
          <w:noProof/>
          <w:sz w:val="20"/>
          <w:szCs w:val="20"/>
          <w:lang w:val="ca" w:eastAsia="ca-ES"/>
        </w:rPr>
        <w:lastRenderedPageBreak/>
        <w:drawing>
          <wp:inline distT="114300" distB="114300" distL="114300" distR="114300" wp14:anchorId="3072FBB7" wp14:editId="462F6775">
            <wp:extent cx="5731200" cy="2451100"/>
            <wp:effectExtent l="0" t="0" r="0" b="0"/>
            <wp:docPr id="45" name="image48.jpg"/>
            <wp:cNvGraphicFramePr/>
            <a:graphic xmlns:a="http://schemas.openxmlformats.org/drawingml/2006/main">
              <a:graphicData uri="http://schemas.openxmlformats.org/drawingml/2006/picture">
                <pic:pic xmlns:pic="http://schemas.openxmlformats.org/drawingml/2006/picture">
                  <pic:nvPicPr>
                    <pic:cNvPr id="0" name="image48.jpg"/>
                    <pic:cNvPicPr preferRelativeResize="0"/>
                  </pic:nvPicPr>
                  <pic:blipFill>
                    <a:blip r:embed="rId101"/>
                    <a:srcRect/>
                    <a:stretch>
                      <a:fillRect/>
                    </a:stretch>
                  </pic:blipFill>
                  <pic:spPr>
                    <a:xfrm>
                      <a:off x="0" y="0"/>
                      <a:ext cx="5731200" cy="2451100"/>
                    </a:xfrm>
                    <a:prstGeom prst="rect">
                      <a:avLst/>
                    </a:prstGeom>
                    <a:ln/>
                  </pic:spPr>
                </pic:pic>
              </a:graphicData>
            </a:graphic>
          </wp:inline>
        </w:drawing>
      </w:r>
      <w:r w:rsidRPr="00B66F1E">
        <w:rPr>
          <w:rFonts w:ascii="Arial" w:eastAsia="Arial" w:hAnsi="Arial" w:cs="Arial"/>
          <w:sz w:val="20"/>
          <w:szCs w:val="20"/>
          <w:lang w:val="ca" w:eastAsia="ca-ES"/>
        </w:rPr>
        <w:t xml:space="preserve"> </w:t>
      </w:r>
    </w:p>
    <w:p w:rsidR="00B66F1E" w:rsidRPr="00B66F1E" w:rsidRDefault="00B66F1E" w:rsidP="00B66F1E">
      <w:pPr>
        <w:spacing w:after="200" w:line="288" w:lineRule="auto"/>
        <w:jc w:val="both"/>
        <w:rPr>
          <w:rFonts w:ascii="Roboto" w:eastAsia="Roboto" w:hAnsi="Roboto" w:cs="Roboto"/>
          <w:color w:val="444746"/>
          <w:sz w:val="21"/>
          <w:szCs w:val="21"/>
          <w:lang w:val="ca" w:eastAsia="ca-ES"/>
        </w:rPr>
      </w:pPr>
      <w:r w:rsidRPr="00B66F1E">
        <w:rPr>
          <w:rFonts w:ascii="Arial" w:eastAsia="Arial" w:hAnsi="Arial" w:cs="Arial"/>
          <w:sz w:val="20"/>
          <w:szCs w:val="20"/>
          <w:lang w:val="ca" w:eastAsia="ca-ES"/>
        </w:rPr>
        <w:t xml:space="preserve">Figure S94. Principal Component Analysis western lowland gorillas, including Ebo forest sample and public genomes of the subspecies indicated with sample id labels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lCccTANj","properties":{"formattedCitation":"[18,34]","plainCitation":"[18,34]","noteIndex":0},"citationItems":[{"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E."},{"family":"Marques-Bonet","given":"Tomas"}],"issued":{"date-parts":[["2013",7]]}}},{"id":26,"uris":["http://zotero.org/users/local/jTutsuih/items/D56NLSEW"],"itemData":{"id":26,"type":"article-journal","abstract":"Background: The only known albino gorilla, named Snowflake, was a male wild born individual from Equatorial Guinea who lived at the Barcelona Zoo for almost 40 years. He was diagnosed with non-syndromic oculocutaneous albinism, i.e. white hair, light eyes, pink skin, photophobia and reduced visual acuity. Despite previous efforts to explain the genetic cause, this is still unknown. Here, we study the genetic cause of his albinism and making use of whole genome sequencing data we find a higher inbreeding coefficient compared to other gorillas.\nResults: We successfully identified the causal genetic variant for Snowflake’s albinism, a non-synonymous single nucleotide variant located in a transmembrane region of SLC45A2. This transporter is known to be involved in oculocutaneous albinism type 4 (OCA4) in humans. We provide experimental evidence that shows that this amino acid replacement alters the membrane spanning capability of this transmembrane region. Finally, we provide a comprehensive study of genome-wide patterns of autozygogosity revealing that Snowflake’s parents were related, being this the first report of inbreeding in a wild born Western lowland gorilla.\nConclusions: In this study we demonstrate how the use of whole genome sequencing can be extended to link genotype and phenotype in non-model organisms and it can be a powerful tool in conservation genetics (e.g., inbreeding and genetic diversity) with the expected decrease in sequencing cost.","container-title":"BMC Genomics","DOI":"10.1186/1471-2164-14-363","ISSN":"1471-2164","issue":"1","language":"en","publisher":"Springer Science and Business Media LLC","source":"Crossref","title":"The genome sequencing of an albino Western lowland gorilla reveals inbreeding in the wild","URL":"https://bmcgenomics.biomedcentral.com/articles/10.1186/1471-2164-14-363","volume":"14","author":[{"family":"Prado-Martinez","given":"Javier"},{"family":"Hernando-Herraez","given":"Irene"},{"family":"Lorente-Galdos","given":"Belen"},{"family":"Dabad","given":"Marc"},{"family":"Ramirez","given":"Oscar"},{"family":"Baeza-Delgado","given":"Carlos"},{"family":"Morcillo-Suarez","given":"Carlos"},{"family":"Alkan","given":"Can"},{"family":"Hormozdiari","given":"Fereydoun"},{"family":"Raineri","given":"Emanuele"},{"family":"Estellé","given":"Jordi"},{"family":"Fernandez-Callejo","given":"Marcos"},{"family":"Valles","given":"Mònica"},{"family":"Ritscher","given":"Lars"},{"family":"Schöneberg","given":"Torsten"},{"family":"De La Calle-Mustienes","given":"Elisa"},{"family":"Casillas","given":"Sònia"},{"family":"Rubio-Acero","given":"Raquel"},{"family":"Melé","given":"Marta"},{"family":"Engelken","given":"Johannes"},{"family":"Caceres","given":"Mario"},{"family":"Gomez-Skarmeta","given":"Jose Luis"},{"family":"Gut","given":"Marta"},{"family":"Bertranpetit","given":"Jaume"},{"family":"Gut","given":"Ivo G"},{"family":"Abello","given":"Teresa"},{"family":"Eichler","given":"Evan E"},{"family":"Mingarro","given":"Ismael"},{"family":"Lalueza-Fox","given":"Carles"},{"family":"Navarro","given":"Arcadi"},{"family":"Marques-Bonet","given":"Tomas"}],"accessed":{"date-parts":[["2025",7,17]]},"issued":{"date-parts":[["2013",12]]}}}],"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[18,34]</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xml:space="preserve">. </w:t>
      </w:r>
    </w:p>
    <w:p w:rsidR="00B66F1E" w:rsidRPr="00B66F1E" w:rsidRDefault="00B66F1E" w:rsidP="00B66F1E">
      <w:pPr>
        <w:spacing w:after="0" w:line="360" w:lineRule="auto"/>
        <w:jc w:val="both"/>
        <w:rPr>
          <w:rFonts w:ascii="Arial" w:eastAsia="Arial" w:hAnsi="Arial" w:cs="Arial"/>
          <w:lang w:val="ca" w:eastAsia="ca-ES"/>
        </w:rPr>
      </w:pPr>
      <w:r w:rsidRPr="00B66F1E">
        <w:rPr>
          <w:rFonts w:ascii="Arial" w:eastAsia="Arial" w:hAnsi="Arial" w:cs="Arial"/>
          <w:lang w:val="ca" w:eastAsia="ca-ES"/>
        </w:rPr>
        <w:t xml:space="preserve">Finally, geographic coordinates for the Cross River gorilla Nyango were predicted between the Boshi and Mbe areas, being closer to Boshi (Figure S95). This fact agrees with the previously published PCA using the same Cross River gorilla dataset </w:t>
      </w:r>
      <w:r w:rsidRPr="00B66F1E">
        <w:rPr>
          <w:rFonts w:ascii="Arial" w:eastAsia="Arial" w:hAnsi="Arial" w:cs="Arial"/>
          <w:lang w:val="ca" w:eastAsia="ca-ES"/>
        </w:rPr>
        <w:fldChar w:fldCharType="begin"/>
      </w:r>
      <w:r w:rsidRPr="00B66F1E">
        <w:rPr>
          <w:rFonts w:ascii="Arial" w:eastAsia="Arial" w:hAnsi="Arial" w:cs="Arial"/>
          <w:lang w:val="ca" w:eastAsia="ca-ES"/>
        </w:rPr>
        <w:instrText xml:space="preserve"> ADDIN ZOTERO_ITEM CSL_CITATION {"citationID":"dWaNX4vG","properties":{"formattedCitation":"[76]","plainCitation":"[76]","noteIndex":0},"citationItems":[{"id":22,"uris":["http://zotero.org/users/local/jTutsuih/items/LAE9J37X"],"itemData":{"id":22,"type":"article-journal","abstract":"The critically endangered western gorillas (Gorilla gorilla) are divided into two subspecies: the western lowland (G. g. gorilla) and the Cross River (G. g. diehli) gorilla. Given the difﬁculty in sampling wild great ape populations and the small estimated size of the Cross River gorilla population, only one whole genome of a Cross River gorilla has been sequenced to date, hindering the study of this subspecies at the population level. In this study, we expand the number of whole genomes available for wild western gorillas, generating 41 new genomes (25 belonging to Cross River gorillas) using single shed hairs collected from gorilla nests. By combining these genomes with publicly available wild gorilla genomes, we conﬁrm that Cross River gorillas form three population clusters. We also found little variation in genome-wide heterozygosity among them. Our analyses reveal long runs of homozygosity (&gt;10 Mb), indicating recent inbreeding in Cross River gorillas. This is similar to that seen in mountain gorillas but with a much more recent bottleneck. We also detect past gene ﬂow between two Cross River sites, Aﬁ Mountain Wildlife Sanctuary and the Mbe Mountains. Furthermore, we observe past allele sharing between Cross River gorillas and the northern western lowland gorilla sites, as well as with the eastern gorilla species. This is the ﬁrst study using single shed hairs from a wild species for whole genome sequencing to date. Taken together, our results highlight the importance of implementing conservation measures to increase connectivity among Cross River gorilla sites.","container-title":"Genes","DOI":"10.3390/genes14030743","ISSN":"2073-4425","issue":"3","language":"en","license":"https://creativecommons.org/licenses/by/4.0/","page":"743","publisher":"MDPI AG","source":"Crossref","title":"Past Connectivity but Recent Inbreeding in Cross River Gorillas Determined Using Whole Genomes from Single Hairs","volume":"14","author":[{"family":"Alvarez-Estape","given":"Marina"},{"family":"Pawar","given":"Harvinder"},{"family":"Fontsere","given":"Claudia"},{"family":"Trujillo","given":"Amber E."},{"family":"Gunson","given":"Jessica L."},{"family":"Bergl","given":"Richard A."},{"family":"Bermejo","given":"Magdalena"},{"family":"Linder","given":"Joshua M."},{"family":"McFarland","given":"Kelley"},{"family":"Oates","given":"John F."},{"family":"Sunderland-Groves","given":"Jacqueline L."},{"family":"Orkin","given":"Joseph"},{"family":"Higham","given":"James P."},{"family":"Viaud-Martinez","given":"Karine A."},{"family":"Lizano","given":"Esther"},{"family":"Marques-Bonet","given":"Tomas"}],"issued":{"date-parts":[["2023",3,18]]}}}],"schema":"https://github.com/citation-style-language/schema/raw/master/csl-citation.json"} </w:instrText>
      </w:r>
      <w:r w:rsidRPr="00B66F1E">
        <w:rPr>
          <w:rFonts w:ascii="Arial" w:eastAsia="Arial" w:hAnsi="Arial" w:cs="Arial"/>
          <w:lang w:val="ca" w:eastAsia="ca-ES"/>
        </w:rPr>
        <w:fldChar w:fldCharType="separate"/>
      </w:r>
      <w:r w:rsidRPr="00B66F1E">
        <w:rPr>
          <w:rFonts w:ascii="Arial" w:eastAsia="Arial" w:hAnsi="Arial" w:cs="Arial"/>
          <w:lang w:val="ca" w:eastAsia="ca-ES"/>
        </w:rPr>
        <w:t>[76]</w:t>
      </w:r>
      <w:r w:rsidRPr="00B66F1E">
        <w:rPr>
          <w:rFonts w:ascii="Arial" w:eastAsia="Arial" w:hAnsi="Arial" w:cs="Arial"/>
          <w:lang w:val="ca" w:eastAsia="ca-ES"/>
        </w:rPr>
        <w:fldChar w:fldCharType="end"/>
      </w:r>
      <w:r w:rsidRPr="00B66F1E">
        <w:rPr>
          <w:rFonts w:ascii="Arial" w:eastAsia="Arial" w:hAnsi="Arial" w:cs="Arial"/>
          <w:lang w:val="ca" w:eastAsia="ca-ES"/>
        </w:rPr>
        <w:t>.</w:t>
      </w:r>
    </w:p>
    <w:p w:rsidR="00B66F1E" w:rsidRPr="00B66F1E" w:rsidRDefault="00B66F1E" w:rsidP="00B66F1E">
      <w:pPr>
        <w:spacing w:after="0" w:line="276" w:lineRule="auto"/>
        <w:rPr>
          <w:rFonts w:ascii="Arial" w:eastAsia="Arial" w:hAnsi="Arial" w:cs="Arial"/>
          <w:u w:val="single"/>
          <w:lang w:val="ca" w:eastAsia="ca-ES"/>
        </w:rPr>
      </w:pPr>
      <w:r w:rsidRPr="00B66F1E">
        <w:rPr>
          <w:rFonts w:ascii="Arial" w:eastAsia="Arial" w:hAnsi="Arial" w:cs="Arial"/>
          <w:noProof/>
          <w:lang w:val="ca" w:eastAsia="ca-ES"/>
        </w:rPr>
        <w:drawing>
          <wp:inline distT="114300" distB="114300" distL="114300" distR="114300" wp14:anchorId="23A0D463" wp14:editId="6C00AE7B">
            <wp:extent cx="5731200" cy="4013200"/>
            <wp:effectExtent l="0" t="0" r="0" b="0"/>
            <wp:docPr id="79" name="image80.jpg"/>
            <wp:cNvGraphicFramePr/>
            <a:graphic xmlns:a="http://schemas.openxmlformats.org/drawingml/2006/main">
              <a:graphicData uri="http://schemas.openxmlformats.org/drawingml/2006/picture">
                <pic:pic xmlns:pic="http://schemas.openxmlformats.org/drawingml/2006/picture">
                  <pic:nvPicPr>
                    <pic:cNvPr id="0" name="image80.jpg"/>
                    <pic:cNvPicPr preferRelativeResize="0"/>
                  </pic:nvPicPr>
                  <pic:blipFill>
                    <a:blip r:embed="rId102"/>
                    <a:srcRect/>
                    <a:stretch>
                      <a:fillRect/>
                    </a:stretch>
                  </pic:blipFill>
                  <pic:spPr>
                    <a:xfrm>
                      <a:off x="0" y="0"/>
                      <a:ext cx="5731200" cy="4013200"/>
                    </a:xfrm>
                    <a:prstGeom prst="rect">
                      <a:avLst/>
                    </a:prstGeom>
                    <a:ln/>
                  </pic:spPr>
                </pic:pic>
              </a:graphicData>
            </a:graphic>
          </wp:inline>
        </w:drawing>
      </w:r>
    </w:p>
    <w:p w:rsidR="00B66F1E" w:rsidRPr="00B66F1E" w:rsidRDefault="00B66F1E" w:rsidP="00B66F1E">
      <w:pPr>
        <w:spacing w:after="0" w:line="288"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 xml:space="preserve">Figure S95. Geolocalization of Nyango (Cross River gorilla public genome) </w:t>
      </w:r>
      <w:r w:rsidRPr="00B66F1E">
        <w:rPr>
          <w:rFonts w:ascii="Arial" w:eastAsia="Arial" w:hAnsi="Arial" w:cs="Arial"/>
          <w:sz w:val="20"/>
          <w:szCs w:val="20"/>
          <w:lang w:val="ca" w:eastAsia="ca-ES"/>
        </w:rPr>
        <w:fldChar w:fldCharType="begin"/>
      </w:r>
      <w:r w:rsidRPr="00B66F1E">
        <w:rPr>
          <w:rFonts w:ascii="Arial" w:eastAsia="Arial" w:hAnsi="Arial" w:cs="Arial"/>
          <w:sz w:val="20"/>
          <w:szCs w:val="20"/>
          <w:lang w:val="ca" w:eastAsia="ca-ES"/>
        </w:rPr>
        <w:instrText xml:space="preserve"> ADDIN ZOTERO_ITEM CSL_CITATION {"citationID":"i91MWUKy","properties":{"formattedCitation":"[18]","plainCitation":"[18]","noteIndex":0},"citationItems":[{"id":28,"uris":["http://zotero.org/users/local/jTutsuih/items/GK27PQYT"],"itemData":{"id":28,"type":"article-journal","container-title":"Nature","DOI":"10.1038/nature12228","ISSN":"0028-0836, 1476-4687","issue":"7459","language":"en","license":"https://creativecommons.org/licenses/by-nc-sa/3.0/","page":"471-475","publisher":"Springer Science and Business Media LLC","source":"Crossref","title":"Great ape genetic diversity and population history","volume":"499","author":[{"family":"Prado-Martinez","given":"Javier"},{"family":"Sudmant","given":"Peter H."},{"family":"Kidd","given":"Jeffrey M."},{"family":"Li","given":"Heng"},{"family":"Kelley","given":"Joanna L."},{"family":"Lorente-Galdos","given":"Belen"},{"family":"Veeramah","given":"Krishna R."},{"family":"Woerner","given":"August E."},{"family":"O’Connor","given":"Timothy D."},{"family":"Santpere","given":"Gabriel"},{"family":"Cagan","given":"Alexander"},{"family":"Theunert","given":"Christoph"},{"family":"Casals","given":"Ferran"},{"family":"Laayouni","given":"Hafid"},{"family":"Munch","given":"Kasper"},{"family":"Hobolth","given":"Asger"},{"family":"Halager","given":"Anders E."},{"family":"Malig","given":"Maika"},{"family":"Hernandez-Rodriguez","given":"Jessica"},{"family":"Hernando-Herraez","given":"Irene"},{"family":"Prüfer","given":"Kay"},{"family":"Pybus","given":"Marc"},{"family":"Johnstone","given":"Laurel"},{"family":"Lachmann","given":"Michael"},{"family":"Alkan","given":"Can"},{"family":"Twigg","given":"Dorina"},{"family":"Petit","given":"Natalia"},{"family":"Baker","given":"Carl"},{"family":"Hormozdiari","given":"Fereydoun"},{"family":"Fernandez-Callejo","given":"Marcos"},{"family":"Dabad","given":"Marc"},{"family":"Wilson","given":"Michael L."},{"family":"Stevison","given":"Laurie"},{"family":"Camprubí","given":"Cristina"},{"family":"Carvalho","given":"Tiago"},{"family":"Ruiz-Herrera","given":"Aurora"},{"family":"Vives","given":"Laura"},{"family":"Mele","given":"Marta"},{"family":"Abello","given":"Teresa"},{"family":"Kondova","given":"Ivanela"},{"family":"Bontrop","given":"Ronald E."},{"family":"Pusey","given":"Anne"},{"family":"Lankester","given":"Felix"},{"family":"Kiyang","given":"John A."},{"family":"Bergl","given":"Richard A."},{"family":"Lonsdorf","given":"Elizabeth"},{"family":"Myers","given":"Simon"},{"family":"Ventura","given":"Mario"},{"family":"Gagneux","given":"Pascal"},{"family":"Comas","given":"David"},{"family":"Siegismund","given":"Hans"},{"family":"Blanc","given":"Julie"},{"family":"Agueda-Calpena","given":"Lidia"},{"family":"Gut","given":"Marta"},{"family":"Fulton","given":"Lucinda"},{"family":"Tishkoff","given":"Sarah A."},{"family":"Mullikin","given":"James C."},{"family":"Wilson","given":"Richard K."},{"family":"Gut","given":"Ivo G."},{"family":"Gonder","given":"Mary Katherine"},{"family":"Ryder","given":"Oliver A."},{"family":"Hahn","given":"Beatrice H."},{"family":"Navarro","given":"Arcadi"},{"family":"Akey","given":"Joshua M."},{"family":"Bertranpetit","given":"Jaume"},{"family":"Reich","given":"David"},{"family":"Mailund","given":"Thomas"},{"family":"Schierup","given":"Mikkel H."},{"family":"Hvilsom","given":"Christina"},{"family":"Andrés","given":"Aida M."},{"family":"Wall","given":"Jeffrey D."},{"family":"Bustamante","given":"Carlos D."},{"family":"Hammer","given":"Michael F."},{"family":"Eichler","given":"Evan E."},{"family":"Marques-Bonet","given":"Tomas"}],"issued":{"date-parts":[["2013",7]]}}}],"schema":"https://github.com/citation-style-language/schema/raw/master/csl-citation.json"} </w:instrText>
      </w:r>
      <w:r w:rsidRPr="00B66F1E">
        <w:rPr>
          <w:rFonts w:ascii="Arial" w:eastAsia="Arial" w:hAnsi="Arial" w:cs="Arial"/>
          <w:sz w:val="20"/>
          <w:szCs w:val="20"/>
          <w:lang w:val="ca" w:eastAsia="ca-ES"/>
        </w:rPr>
        <w:fldChar w:fldCharType="separate"/>
      </w:r>
      <w:r w:rsidRPr="00B66F1E">
        <w:rPr>
          <w:rFonts w:ascii="Arial" w:eastAsia="Arial" w:hAnsi="Arial" w:cs="Arial"/>
          <w:sz w:val="20"/>
          <w:lang w:val="ca" w:eastAsia="ca-ES"/>
        </w:rPr>
        <w:t>[18]</w:t>
      </w:r>
      <w:r w:rsidRPr="00B66F1E">
        <w:rPr>
          <w:rFonts w:ascii="Arial" w:eastAsia="Arial" w:hAnsi="Arial" w:cs="Arial"/>
          <w:sz w:val="20"/>
          <w:szCs w:val="20"/>
          <w:lang w:val="ca" w:eastAsia="ca-ES"/>
        </w:rPr>
        <w:fldChar w:fldCharType="end"/>
      </w:r>
      <w:r w:rsidRPr="00B66F1E">
        <w:rPr>
          <w:rFonts w:ascii="Arial" w:eastAsia="Arial" w:hAnsi="Arial" w:cs="Arial"/>
          <w:sz w:val="20"/>
          <w:szCs w:val="20"/>
          <w:lang w:val="ca" w:eastAsia="ca-ES"/>
        </w:rPr>
        <w:t>. Black points represent the locations used for predicting locations, and in red are the locations predicted.</w:t>
      </w:r>
    </w:p>
    <w:p w:rsidR="00B66F1E" w:rsidRPr="00B66F1E" w:rsidRDefault="00B66F1E" w:rsidP="00B66F1E">
      <w:pPr>
        <w:spacing w:before="200" w:after="200" w:line="360" w:lineRule="auto"/>
        <w:jc w:val="both"/>
        <w:rPr>
          <w:rFonts w:ascii="Arial" w:eastAsia="Arial" w:hAnsi="Arial" w:cs="Arial"/>
          <w:lang w:val="ca" w:eastAsia="ca-ES"/>
        </w:rPr>
      </w:pPr>
      <w:r w:rsidRPr="00B66F1E">
        <w:rPr>
          <w:rFonts w:ascii="Arial" w:eastAsia="Arial" w:hAnsi="Arial" w:cs="Arial"/>
          <w:lang w:val="ca" w:eastAsia="ca-ES"/>
        </w:rPr>
        <w:t xml:space="preserve">FTA cards and Museum sample geographic coordinates for the four subspecies were also predicted following the same approach. FTA card samples were obtained from rescued gorillas from illegal trafficking. The geographic coordinates were compared to </w:t>
      </w:r>
      <w:r w:rsidRPr="00B66F1E">
        <w:rPr>
          <w:rFonts w:ascii="Arial" w:eastAsia="Arial" w:hAnsi="Arial" w:cs="Arial"/>
          <w:lang w:val="ca" w:eastAsia="ca-ES"/>
        </w:rPr>
        <w:lastRenderedPageBreak/>
        <w:t>the reported origin from where each individual was found. For some museum samples, the country of origin information was available for the majority of them, and was used to compare with our predicted geographic coordinates.</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39" w:name="_Toc234923674"/>
      <w:r w:rsidRPr="00B66F1E">
        <w:rPr>
          <w:rFonts w:ascii="Arial" w:eastAsia="Arial" w:hAnsi="Arial" w:cs="Arial"/>
          <w:color w:val="434343"/>
          <w:sz w:val="28"/>
          <w:szCs w:val="28"/>
          <w:lang w:val="ca" w:eastAsia="ca-ES"/>
        </w:rPr>
        <w:t>WLG FTA and Museum samples:</w:t>
      </w:r>
      <w:bookmarkEnd w:id="39"/>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The country of origin for all FTA card samples was Gabon, in contrast to principal component analysis (Figure S37) and geographic coordinate prediction results (Figure S96B). Three individuals (L4221A, L4222A and L4223A), which were reported to be rescued in the Port-Gentil area in Gabon, clustered in different groups in the PCA, resulting in different coordinate predictions. L4223A geographic coordinates were predicted in Equatorial Guinea. In contrast, for the L4221A sample, the geographic coordinates were predicted in the south of Gabon and for the L4222A sample in the Odzala National Park. Two other FTA cards were also predicted to be from the Odzala National Park (L4220A and L4219A), but their rescued locations were Okondja and Mekambo, respectively. The rest of the rescued individuals were predicted to be from the South of Gabon. These individuals were rescued in Bakoumba (L4212A and L4213A), Gamba (L4214A), Haut-Ogooue (L4215A), Lambarene (L4217A) and Libreville (L4218A). Of these, two (L4218A and L4214A) were predicted to be close to Moukalaba-Doudau National Park and the others (L4212A, L4213A, L4217A and L4221A) from a southern area of the Republic of Congo, closer to Conkouati.</w:t>
      </w:r>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 xml:space="preserve">For 5 of the 6 western lowland gorilla museum samples, country origin information was available and was used to compare with our predicted geographic coordinates (Figure S96A). The sample with unknown origin was labelled as a captive individual from 1965 (Frankfurt museum - AY4626), possibly captured from wild populations. For AY4643 and AY4642 country of origin was Equatorial Guinea. The predicted location of AY4642 was inside the same country, but for AY4643, the coordinates were in the same Cameroon area close to Equatorial Guinea, where Floquet’s geographic coordinates were also predicted. AY4640 sample information origin (Gabon) also matched with the predicted location, south of Gabon, near Moukalaba-Doudau National Park. For the other four museum samples, the geographic coordinates were predicted within Cameroon. Of these, two were labelled to be from Cameroon (AY4629 and AY4765). The unique museum sample from the Republic of Congo (AY4618) was also grouped with all samples from Cameroon, indicating a mismatch with the origin information. For internal and original IDs of the museum samples, see Table S3. </w:t>
      </w:r>
    </w:p>
    <w:p w:rsidR="00B66F1E" w:rsidRPr="00B66F1E" w:rsidRDefault="00B66F1E" w:rsidP="00B66F1E">
      <w:pPr>
        <w:spacing w:after="0" w:line="360" w:lineRule="auto"/>
        <w:jc w:val="both"/>
        <w:rPr>
          <w:rFonts w:ascii="Arial" w:eastAsia="Arial" w:hAnsi="Arial" w:cs="Arial"/>
          <w:lang w:val="ca" w:eastAsia="ca-ES"/>
        </w:rPr>
      </w:pPr>
      <w:r w:rsidRPr="00B66F1E">
        <w:rPr>
          <w:rFonts w:ascii="Arial" w:eastAsia="Arial" w:hAnsi="Arial" w:cs="Arial"/>
          <w:noProof/>
          <w:lang w:val="ca" w:eastAsia="ca-ES"/>
        </w:rPr>
        <w:lastRenderedPageBreak/>
        <w:drawing>
          <wp:inline distT="114300" distB="114300" distL="114300" distR="114300" wp14:anchorId="7132A0B0" wp14:editId="3E4B7174">
            <wp:extent cx="5731200" cy="2362200"/>
            <wp:effectExtent l="0" t="0" r="0" b="0"/>
            <wp:docPr id="81"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03"/>
                    <a:srcRect/>
                    <a:stretch>
                      <a:fillRect/>
                    </a:stretch>
                  </pic:blipFill>
                  <pic:spPr>
                    <a:xfrm>
                      <a:off x="0" y="0"/>
                      <a:ext cx="5731200" cy="2362200"/>
                    </a:xfrm>
                    <a:prstGeom prst="rect">
                      <a:avLst/>
                    </a:prstGeom>
                    <a:ln/>
                  </pic:spPr>
                </pic:pic>
              </a:graphicData>
            </a:graphic>
          </wp:inline>
        </w:drawing>
      </w:r>
    </w:p>
    <w:p w:rsidR="00B66F1E" w:rsidRPr="00B66F1E" w:rsidRDefault="00B66F1E" w:rsidP="00B66F1E">
      <w:pPr>
        <w:spacing w:after="200" w:line="288"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S96. Geolocalization of newly sequenced western lowland gorilla museum (A) and FTA card samples (B). Black points represent the locations used for predicting locations, and in red are the locations predicted.</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40" w:name="_Toc234923675"/>
      <w:r w:rsidRPr="00B66F1E">
        <w:rPr>
          <w:rFonts w:ascii="Arial" w:eastAsia="Arial" w:hAnsi="Arial" w:cs="Arial"/>
          <w:color w:val="434343"/>
          <w:sz w:val="28"/>
          <w:szCs w:val="28"/>
          <w:lang w:val="ca" w:eastAsia="ca-ES"/>
        </w:rPr>
        <w:t>ELG Museum samples:</w:t>
      </w:r>
      <w:bookmarkEnd w:id="40"/>
    </w:p>
    <w:p w:rsidR="00B66F1E" w:rsidRPr="00B66F1E" w:rsidRDefault="00B66F1E" w:rsidP="00B66F1E">
      <w:pPr>
        <w:spacing w:after="200" w:line="360" w:lineRule="auto"/>
        <w:jc w:val="both"/>
        <w:rPr>
          <w:rFonts w:ascii="Arial" w:eastAsia="Arial" w:hAnsi="Arial" w:cs="Arial"/>
          <w:color w:val="171717"/>
          <w:sz w:val="20"/>
          <w:szCs w:val="20"/>
          <w:lang w:val="ca" w:eastAsia="ca-ES"/>
        </w:rPr>
      </w:pPr>
      <w:r w:rsidRPr="00B66F1E">
        <w:rPr>
          <w:rFonts w:ascii="Arial" w:eastAsia="Arial" w:hAnsi="Arial" w:cs="Arial"/>
          <w:lang w:val="ca" w:eastAsia="ca-ES"/>
        </w:rPr>
        <w:t xml:space="preserve">Three eastern lowland museum samples were collected and used in this geolocalization analysis (Figure S97A). The geographic coordinates for the AY4638 sample were predicted within the Nkuba Conservation Area. The geographic coordinates of AY4771 were closer to the Membe area, while AY4767’s geographic coordinates were predicted at a midpoint between Membele and Wallikale. This could be explained by missing samples representing sites from the true origin area. </w:t>
      </w:r>
    </w:p>
    <w:p w:rsidR="00B66F1E" w:rsidRPr="00B66F1E" w:rsidRDefault="00B66F1E" w:rsidP="00B66F1E">
      <w:pPr>
        <w:keepNext/>
        <w:keepLines/>
        <w:spacing w:before="320" w:after="200" w:line="360" w:lineRule="auto"/>
        <w:jc w:val="both"/>
        <w:outlineLvl w:val="2"/>
        <w:rPr>
          <w:rFonts w:ascii="Arial" w:eastAsia="Arial" w:hAnsi="Arial" w:cs="Arial"/>
          <w:color w:val="434343"/>
          <w:sz w:val="28"/>
          <w:szCs w:val="28"/>
          <w:lang w:val="ca" w:eastAsia="ca-ES"/>
        </w:rPr>
      </w:pPr>
      <w:bookmarkStart w:id="41" w:name="_Toc234923676"/>
      <w:r w:rsidRPr="00B66F1E">
        <w:rPr>
          <w:rFonts w:ascii="Arial" w:eastAsia="Arial" w:hAnsi="Arial" w:cs="Arial"/>
          <w:color w:val="434343"/>
          <w:sz w:val="28"/>
          <w:szCs w:val="28"/>
          <w:lang w:val="ca" w:eastAsia="ca-ES"/>
        </w:rPr>
        <w:t>CRG Museum sample:</w:t>
      </w:r>
      <w:bookmarkEnd w:id="41"/>
    </w:p>
    <w:p w:rsidR="00B66F1E" w:rsidRPr="00B66F1E" w:rsidRDefault="00B66F1E" w:rsidP="00B66F1E">
      <w:pPr>
        <w:spacing w:after="200" w:line="360" w:lineRule="auto"/>
        <w:jc w:val="both"/>
        <w:rPr>
          <w:rFonts w:ascii="Arial" w:eastAsia="Arial" w:hAnsi="Arial" w:cs="Arial"/>
          <w:lang w:val="ca" w:eastAsia="ca-ES"/>
        </w:rPr>
      </w:pPr>
      <w:r w:rsidRPr="00B66F1E">
        <w:rPr>
          <w:rFonts w:ascii="Arial" w:eastAsia="Arial" w:hAnsi="Arial" w:cs="Arial"/>
          <w:lang w:val="ca" w:eastAsia="ca-ES"/>
        </w:rPr>
        <w:t>The unique Cross River museum sample was predicted to be between the Afi, Boshi and Mbe areas (Figure S97B). However, the museum metadata indicated Mamfe as the origin area, which is an isolated area within the Cross River distribution range. More samples from different missing Cross River populations will be needed to better represent the genetic differences and population dynamics, which will allow us to better predict geographic coordinates from populations for which genetic information is not available.</w:t>
      </w:r>
    </w:p>
    <w:p w:rsidR="00B66F1E" w:rsidRPr="00B66F1E" w:rsidRDefault="00B66F1E" w:rsidP="00B66F1E">
      <w:pPr>
        <w:spacing w:after="200" w:line="360" w:lineRule="auto"/>
        <w:jc w:val="both"/>
        <w:rPr>
          <w:rFonts w:ascii="Arial" w:eastAsia="Arial" w:hAnsi="Arial" w:cs="Arial"/>
          <w:u w:val="single"/>
          <w:lang w:val="ca" w:eastAsia="ca-ES"/>
        </w:rPr>
      </w:pPr>
      <w:r w:rsidRPr="00B66F1E">
        <w:rPr>
          <w:rFonts w:ascii="Arial" w:eastAsia="Arial" w:hAnsi="Arial" w:cs="Arial"/>
          <w:noProof/>
          <w:lang w:val="ca" w:eastAsia="ca-ES"/>
        </w:rPr>
        <w:lastRenderedPageBreak/>
        <w:drawing>
          <wp:inline distT="114300" distB="114300" distL="114300" distR="114300" wp14:anchorId="6F4C502C" wp14:editId="5DAC8A70">
            <wp:extent cx="5731200" cy="2578100"/>
            <wp:effectExtent l="0" t="0" r="0" b="0"/>
            <wp:docPr id="73"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104"/>
                    <a:srcRect/>
                    <a:stretch>
                      <a:fillRect/>
                    </a:stretch>
                  </pic:blipFill>
                  <pic:spPr>
                    <a:xfrm>
                      <a:off x="0" y="0"/>
                      <a:ext cx="5731200" cy="2578100"/>
                    </a:xfrm>
                    <a:prstGeom prst="rect">
                      <a:avLst/>
                    </a:prstGeom>
                    <a:ln/>
                  </pic:spPr>
                </pic:pic>
              </a:graphicData>
            </a:graphic>
          </wp:inline>
        </w:drawing>
      </w:r>
    </w:p>
    <w:p w:rsidR="00B66F1E" w:rsidRPr="00B66F1E" w:rsidRDefault="00B66F1E" w:rsidP="00B66F1E">
      <w:pPr>
        <w:spacing w:after="200" w:line="288" w:lineRule="auto"/>
        <w:jc w:val="both"/>
        <w:rPr>
          <w:rFonts w:ascii="Arial" w:eastAsia="Arial" w:hAnsi="Arial" w:cs="Arial"/>
          <w:sz w:val="20"/>
          <w:szCs w:val="20"/>
          <w:lang w:val="ca" w:eastAsia="ca-ES"/>
        </w:rPr>
      </w:pPr>
      <w:r w:rsidRPr="00B66F1E">
        <w:rPr>
          <w:rFonts w:ascii="Arial" w:eastAsia="Arial" w:hAnsi="Arial" w:cs="Arial"/>
          <w:sz w:val="20"/>
          <w:szCs w:val="20"/>
          <w:lang w:val="ca" w:eastAsia="ca-ES"/>
        </w:rPr>
        <w:t>Figure S97. Geolocalization of newly sequenced eastern lowland (A) and Cross River gorillas (B) museum samples (B). Black points represent the locations used for predicting locations, and in red are the locations predicted.</w:t>
      </w:r>
      <w:r w:rsidRPr="00B66F1E">
        <w:rPr>
          <w:rFonts w:ascii="Arial" w:eastAsia="Arial" w:hAnsi="Arial" w:cs="Arial"/>
          <w:lang w:val="ca" w:eastAsia="ca-ES"/>
        </w:rPr>
        <w:br w:type="page"/>
      </w:r>
    </w:p>
    <w:p w:rsidR="00B66F1E" w:rsidRPr="00B66F1E" w:rsidRDefault="00B66F1E" w:rsidP="00B66F1E">
      <w:pPr>
        <w:keepNext/>
        <w:keepLines/>
        <w:spacing w:before="400" w:after="200" w:line="360" w:lineRule="auto"/>
        <w:jc w:val="both"/>
        <w:outlineLvl w:val="0"/>
        <w:rPr>
          <w:rFonts w:ascii="Arial" w:eastAsia="Arial" w:hAnsi="Arial" w:cs="Arial"/>
          <w:sz w:val="40"/>
          <w:szCs w:val="40"/>
          <w:lang w:val="ca" w:eastAsia="ca-ES"/>
        </w:rPr>
      </w:pPr>
      <w:bookmarkStart w:id="42" w:name="_Toc234923677"/>
      <w:r w:rsidRPr="00B66F1E">
        <w:rPr>
          <w:rFonts w:ascii="Arial" w:eastAsia="Arial" w:hAnsi="Arial" w:cs="Arial"/>
          <w:sz w:val="40"/>
          <w:szCs w:val="40"/>
          <w:lang w:val="ca" w:eastAsia="ca-ES"/>
        </w:rPr>
        <w:lastRenderedPageBreak/>
        <w:t>6. X:autosome heterozygosity in coding regions</w:t>
      </w:r>
      <w:bookmarkEnd w:id="42"/>
    </w:p>
    <w:p w:rsidR="00B66F1E" w:rsidRPr="00B66F1E" w:rsidRDefault="00B66F1E" w:rsidP="00B66F1E">
      <w:pPr>
        <w:spacing w:after="0" w:line="360" w:lineRule="auto"/>
        <w:jc w:val="both"/>
        <w:rPr>
          <w:rFonts w:ascii="Times New Roman" w:eastAsia="Times New Roman" w:hAnsi="Times New Roman" w:cs="Times New Roman"/>
          <w:sz w:val="24"/>
          <w:szCs w:val="24"/>
          <w:lang w:eastAsia="ca-ES"/>
        </w:rPr>
      </w:pPr>
      <w:r w:rsidRPr="00B66F1E">
        <w:rPr>
          <w:rFonts w:ascii="Arial" w:eastAsia="Times New Roman" w:hAnsi="Arial" w:cs="Arial"/>
          <w:lang w:eastAsia="ca-ES"/>
        </w:rPr>
        <w:t>Using coding regions of chromosome 4 and chromosome X, we estimated differences in genetic diversity in the autosome and chromosome X. We performed linear regression, modelling the heterozygosity of chromosome X predicted by the heterozygosity of chromosome 4 with an interaction term of subspecies, considering the exome data for wild female gorillas. We then performed an ANOVA to test for significance and to assess how much variance is explained by each term (i.e. by chromosome 4, subspecies and chromosome 4 x subspecies). In the ANOVA all three terms had a statistically significant effect on heterozygosity of chromosome X. For chromosome 4,</w:t>
      </w:r>
      <w:r w:rsidRPr="00B66F1E">
        <w:rPr>
          <w:rFonts w:ascii="Arial" w:eastAsia="Times New Roman" w:hAnsi="Arial" w:cs="Arial"/>
          <w:i/>
          <w:iCs/>
          <w:lang w:eastAsia="ca-ES"/>
        </w:rPr>
        <w:t xml:space="preserve"> F</w:t>
      </w:r>
      <w:r w:rsidRPr="00B66F1E">
        <w:rPr>
          <w:rFonts w:ascii="Arial" w:eastAsia="Times New Roman" w:hAnsi="Arial" w:cs="Arial"/>
          <w:lang w:eastAsia="ca-ES"/>
        </w:rPr>
        <w:t xml:space="preserve">(1,105)=633.94, </w:t>
      </w:r>
      <w:r w:rsidRPr="00B66F1E">
        <w:rPr>
          <w:rFonts w:ascii="Arial" w:eastAsia="Times New Roman" w:hAnsi="Arial" w:cs="Arial"/>
          <w:i/>
          <w:iCs/>
          <w:lang w:eastAsia="ca-ES"/>
        </w:rPr>
        <w:t>p</w:t>
      </w:r>
      <w:r w:rsidRPr="00B66F1E">
        <w:rPr>
          <w:rFonts w:ascii="Arial" w:eastAsia="Times New Roman" w:hAnsi="Arial" w:cs="Arial"/>
          <w:lang w:eastAsia="ca-ES"/>
        </w:rPr>
        <w:t xml:space="preserve">&lt;0.001; subspecies </w:t>
      </w:r>
      <w:r w:rsidRPr="00B66F1E">
        <w:rPr>
          <w:rFonts w:ascii="Arial" w:eastAsia="Times New Roman" w:hAnsi="Arial" w:cs="Arial"/>
          <w:i/>
          <w:iCs/>
          <w:lang w:eastAsia="ca-ES"/>
        </w:rPr>
        <w:t>F</w:t>
      </w:r>
      <w:r w:rsidRPr="00B66F1E">
        <w:rPr>
          <w:rFonts w:ascii="Arial" w:eastAsia="Times New Roman" w:hAnsi="Arial" w:cs="Arial"/>
          <w:lang w:eastAsia="ca-ES"/>
        </w:rPr>
        <w:t xml:space="preserve">(3,105)=44.872, </w:t>
      </w:r>
      <w:r w:rsidRPr="00B66F1E">
        <w:rPr>
          <w:rFonts w:ascii="Arial" w:eastAsia="Times New Roman" w:hAnsi="Arial" w:cs="Arial"/>
          <w:i/>
          <w:iCs/>
          <w:lang w:eastAsia="ca-ES"/>
        </w:rPr>
        <w:t>p</w:t>
      </w:r>
      <w:r w:rsidRPr="00B66F1E">
        <w:rPr>
          <w:rFonts w:ascii="Arial" w:eastAsia="Times New Roman" w:hAnsi="Arial" w:cs="Arial"/>
          <w:lang w:eastAsia="ca-ES"/>
        </w:rPr>
        <w:t xml:space="preserve">&lt;0.001; and for the interaction between chromosome 4 x subspecies </w:t>
      </w:r>
      <w:r w:rsidRPr="00B66F1E">
        <w:rPr>
          <w:rFonts w:ascii="Arial" w:eastAsia="Times New Roman" w:hAnsi="Arial" w:cs="Arial"/>
          <w:i/>
          <w:iCs/>
          <w:lang w:eastAsia="ca-ES"/>
        </w:rPr>
        <w:t> F</w:t>
      </w:r>
      <w:r w:rsidRPr="00B66F1E">
        <w:rPr>
          <w:rFonts w:ascii="Arial" w:eastAsia="Times New Roman" w:hAnsi="Arial" w:cs="Arial"/>
          <w:lang w:eastAsia="ca-ES"/>
        </w:rPr>
        <w:t xml:space="preserve">(3,105)=3.36, </w:t>
      </w:r>
      <w:r w:rsidRPr="00B66F1E">
        <w:rPr>
          <w:rFonts w:ascii="Arial" w:eastAsia="Times New Roman" w:hAnsi="Arial" w:cs="Arial"/>
          <w:i/>
          <w:iCs/>
          <w:lang w:eastAsia="ca-ES"/>
        </w:rPr>
        <w:t>p</w:t>
      </w:r>
      <w:r w:rsidRPr="00B66F1E">
        <w:rPr>
          <w:rFonts w:ascii="Arial" w:eastAsia="Times New Roman" w:hAnsi="Arial" w:cs="Arial"/>
          <w:lang w:eastAsia="ca-ES"/>
        </w:rPr>
        <w:t>=0.02157 (Table S11).</w:t>
      </w:r>
    </w:p>
    <w:p w:rsidR="00B66F1E" w:rsidRPr="00B66F1E" w:rsidRDefault="00B66F1E" w:rsidP="00B66F1E">
      <w:pPr>
        <w:spacing w:after="0" w:line="360" w:lineRule="auto"/>
        <w:jc w:val="both"/>
        <w:rPr>
          <w:rFonts w:ascii="Times New Roman" w:eastAsia="Times New Roman" w:hAnsi="Times New Roman" w:cs="Times New Roman"/>
          <w:sz w:val="24"/>
          <w:szCs w:val="24"/>
          <w:lang w:val="ca" w:eastAsia="en-GB"/>
        </w:rPr>
      </w:pPr>
    </w:p>
    <w:p w:rsidR="00B66F1E" w:rsidRPr="00B66F1E" w:rsidRDefault="00B66F1E" w:rsidP="00B66F1E">
      <w:pPr>
        <w:spacing w:after="0" w:line="360" w:lineRule="auto"/>
        <w:jc w:val="both"/>
        <w:rPr>
          <w:rFonts w:ascii="Times New Roman" w:eastAsia="Times New Roman" w:hAnsi="Times New Roman" w:cs="Times New Roman"/>
          <w:sz w:val="24"/>
          <w:szCs w:val="24"/>
          <w:lang w:val="ca" w:eastAsia="en-GB"/>
        </w:rPr>
      </w:pPr>
      <w:r w:rsidRPr="00B66F1E">
        <w:rPr>
          <w:rFonts w:ascii="Arial" w:eastAsia="Times New Roman" w:hAnsi="Arial" w:cs="Arial"/>
          <w:lang w:val="ca" w:eastAsia="en-GB"/>
        </w:rPr>
        <w:t xml:space="preserve">Given that the interaction term was statistically significant, we next compared the regression slopes by subspecies. To determine whether the slopes statistically differed by subspecies we computed estimated marginal means of linear trends using the R package emmeans </w:t>
      </w:r>
      <w:r w:rsidRPr="00B66F1E">
        <w:rPr>
          <w:rFonts w:ascii="Arial" w:eastAsia="Times New Roman" w:hAnsi="Arial" w:cs="Arial"/>
          <w:lang w:val="ca" w:eastAsia="en-GB"/>
        </w:rPr>
        <w:fldChar w:fldCharType="begin"/>
      </w:r>
      <w:r w:rsidRPr="00B66F1E">
        <w:rPr>
          <w:rFonts w:ascii="Arial" w:eastAsia="Times New Roman" w:hAnsi="Arial" w:cs="Arial"/>
          <w:lang w:val="ca" w:eastAsia="en-GB"/>
        </w:rPr>
        <w:instrText xml:space="preserve"> ADDIN ZOTERO_ITEM CSL_CITATION {"citationID":"LLZJoUiH","properties":{"formattedCitation":"[83]","plainCitation":"[83]","noteIndex":0},"citationItems":[{"id":232,"uris":["http://zotero.org/users/local/jTutsuih/items/HLVWPMSN"],"itemData":{"id":232,"type":"software","publisher":"CRAN","title":"emmeans: Estimated Marginal Means, aka Least-Squares Means","URL":"https://CRAN.R-project.org/package=emmeans","author":[{"family":"Lenth","given":"Russell V."},{"family":"Piaskowski","given":"Julia"}],"issued":{"date-parts":[["2026"]]}}}],"schema":"https://github.com/citation-style-language/schema/raw/master/csl-citation.json"} </w:instrText>
      </w:r>
      <w:r w:rsidRPr="00B66F1E">
        <w:rPr>
          <w:rFonts w:ascii="Arial" w:eastAsia="Times New Roman" w:hAnsi="Arial" w:cs="Arial"/>
          <w:lang w:val="ca" w:eastAsia="en-GB"/>
        </w:rPr>
        <w:fldChar w:fldCharType="separate"/>
      </w:r>
      <w:r w:rsidRPr="00B66F1E">
        <w:rPr>
          <w:rFonts w:ascii="Arial" w:eastAsia="Arial" w:hAnsi="Arial" w:cs="Arial"/>
          <w:lang w:val="ca" w:eastAsia="ca-ES"/>
        </w:rPr>
        <w:t>[83]</w:t>
      </w:r>
      <w:r w:rsidRPr="00B66F1E">
        <w:rPr>
          <w:rFonts w:ascii="Arial" w:eastAsia="Times New Roman" w:hAnsi="Arial" w:cs="Arial"/>
          <w:lang w:val="ca" w:eastAsia="en-GB"/>
        </w:rPr>
        <w:fldChar w:fldCharType="end"/>
      </w:r>
      <w:r w:rsidRPr="00B66F1E">
        <w:rPr>
          <w:rFonts w:ascii="Arial" w:eastAsia="Times New Roman" w:hAnsi="Arial" w:cs="Arial"/>
          <w:lang w:val="ca" w:eastAsia="en-GB"/>
        </w:rPr>
        <w:t xml:space="preserve">, see Table S12. In pairwise comparisons after p-value adjustment with the Tukey method for multiple testing there was a statistically significant difference between the slope for mountain gorillas and western lowland gorillas </w:t>
      </w:r>
      <w:r w:rsidRPr="00B66F1E">
        <w:rPr>
          <w:rFonts w:ascii="Arial" w:eastAsia="Times New Roman" w:hAnsi="Arial" w:cs="Arial"/>
          <w:i/>
          <w:iCs/>
          <w:lang w:val="ca" w:eastAsia="en-GB"/>
        </w:rPr>
        <w:t>b</w:t>
      </w:r>
      <w:r w:rsidRPr="00B66F1E">
        <w:rPr>
          <w:rFonts w:ascii="Arial" w:eastAsia="Times New Roman" w:hAnsi="Arial" w:cs="Arial"/>
          <w:lang w:val="ca" w:eastAsia="en-GB"/>
        </w:rPr>
        <w:t xml:space="preserve">=0.188, </w:t>
      </w:r>
      <w:r w:rsidRPr="00B66F1E">
        <w:rPr>
          <w:rFonts w:ascii="Arial" w:eastAsia="Times New Roman" w:hAnsi="Arial" w:cs="Arial"/>
          <w:i/>
          <w:iCs/>
          <w:lang w:val="ca" w:eastAsia="en-GB"/>
        </w:rPr>
        <w:t>SE</w:t>
      </w:r>
      <w:r w:rsidRPr="00B66F1E">
        <w:rPr>
          <w:rFonts w:ascii="Arial" w:eastAsia="Times New Roman" w:hAnsi="Arial" w:cs="Arial"/>
          <w:lang w:val="ca" w:eastAsia="en-GB"/>
        </w:rPr>
        <w:t xml:space="preserve">=0.0688, </w:t>
      </w:r>
      <w:r w:rsidRPr="00B66F1E">
        <w:rPr>
          <w:rFonts w:ascii="Arial" w:eastAsia="Times New Roman" w:hAnsi="Arial" w:cs="Arial"/>
          <w:i/>
          <w:iCs/>
          <w:lang w:val="ca" w:eastAsia="en-GB"/>
        </w:rPr>
        <w:t>t</w:t>
      </w:r>
      <w:r w:rsidRPr="00B66F1E">
        <w:rPr>
          <w:rFonts w:ascii="Arial" w:eastAsia="Times New Roman" w:hAnsi="Arial" w:cs="Arial"/>
          <w:lang w:val="ca" w:eastAsia="en-GB"/>
        </w:rPr>
        <w:t xml:space="preserve">(105)=2.726, </w:t>
      </w:r>
      <w:r w:rsidRPr="00B66F1E">
        <w:rPr>
          <w:rFonts w:ascii="Arial" w:eastAsia="Times New Roman" w:hAnsi="Arial" w:cs="Arial"/>
          <w:i/>
          <w:iCs/>
          <w:lang w:val="ca" w:eastAsia="en-GB"/>
        </w:rPr>
        <w:t>p</w:t>
      </w:r>
      <w:r w:rsidRPr="00B66F1E">
        <w:rPr>
          <w:rFonts w:ascii="Arial" w:eastAsia="Times New Roman" w:hAnsi="Arial" w:cs="Arial"/>
          <w:lang w:val="ca" w:eastAsia="en-GB"/>
        </w:rPr>
        <w:t xml:space="preserve">=0.0372. The other comparisons did not reach statistical significance, though we see a marginal trend between the slopes of Cross River gorillas and mountain gorillas </w:t>
      </w:r>
      <w:r w:rsidRPr="00B66F1E">
        <w:rPr>
          <w:rFonts w:ascii="Arial" w:eastAsia="Times New Roman" w:hAnsi="Arial" w:cs="Arial"/>
          <w:i/>
          <w:iCs/>
          <w:lang w:val="ca" w:eastAsia="en-GB"/>
        </w:rPr>
        <w:t>b</w:t>
      </w:r>
      <w:r w:rsidRPr="00B66F1E">
        <w:rPr>
          <w:rFonts w:ascii="Arial" w:eastAsia="Times New Roman" w:hAnsi="Arial" w:cs="Arial"/>
          <w:lang w:val="ca" w:eastAsia="en-GB"/>
        </w:rPr>
        <w:t xml:space="preserve">=-0.396, </w:t>
      </w:r>
      <w:r w:rsidRPr="00B66F1E">
        <w:rPr>
          <w:rFonts w:ascii="Arial" w:eastAsia="Times New Roman" w:hAnsi="Arial" w:cs="Arial"/>
          <w:i/>
          <w:iCs/>
          <w:lang w:val="ca" w:eastAsia="en-GB"/>
        </w:rPr>
        <w:t>SE</w:t>
      </w:r>
      <w:r w:rsidRPr="00B66F1E">
        <w:rPr>
          <w:rFonts w:ascii="Arial" w:eastAsia="Times New Roman" w:hAnsi="Arial" w:cs="Arial"/>
          <w:lang w:val="ca" w:eastAsia="en-GB"/>
        </w:rPr>
        <w:t xml:space="preserve">=0.1560, </w:t>
      </w:r>
      <w:r w:rsidRPr="00B66F1E">
        <w:rPr>
          <w:rFonts w:ascii="Arial" w:eastAsia="Times New Roman" w:hAnsi="Arial" w:cs="Arial"/>
          <w:i/>
          <w:iCs/>
          <w:lang w:val="ca" w:eastAsia="en-GB"/>
        </w:rPr>
        <w:t>t</w:t>
      </w:r>
      <w:r w:rsidRPr="00B66F1E">
        <w:rPr>
          <w:rFonts w:ascii="Arial" w:eastAsia="Times New Roman" w:hAnsi="Arial" w:cs="Arial"/>
          <w:lang w:val="ca" w:eastAsia="en-GB"/>
        </w:rPr>
        <w:t xml:space="preserve">(105)=-2.543, </w:t>
      </w:r>
      <w:r w:rsidRPr="00B66F1E">
        <w:rPr>
          <w:rFonts w:ascii="Arial" w:eastAsia="Times New Roman" w:hAnsi="Arial" w:cs="Arial"/>
          <w:i/>
          <w:iCs/>
          <w:lang w:val="ca" w:eastAsia="en-GB"/>
        </w:rPr>
        <w:t>p</w:t>
      </w:r>
      <w:r w:rsidRPr="00B66F1E">
        <w:rPr>
          <w:rFonts w:ascii="Arial" w:eastAsia="Times New Roman" w:hAnsi="Arial" w:cs="Arial"/>
          <w:lang w:val="ca" w:eastAsia="en-GB"/>
        </w:rPr>
        <w:t>=0.0591 (Table S13).</w:t>
      </w:r>
    </w:p>
    <w:p w:rsidR="006564FF" w:rsidRPr="00B66F1E" w:rsidRDefault="006564FF">
      <w:pPr>
        <w:rPr>
          <w:lang w:val="ca"/>
        </w:rPr>
      </w:pPr>
    </w:p>
    <w:sectPr w:rsidR="006564FF" w:rsidRPr="00B66F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4CE1" w:rsidRDefault="00B66F1E">
    <w:pPr>
      <w:jc w:val="right"/>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F1E"/>
    <w:rsid w:val="006564FF"/>
    <w:rsid w:val="00B66F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843296-E425-4B0B-B157-2D4A92DB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ca-ES"/>
    </w:rPr>
  </w:style>
  <w:style w:type="paragraph" w:styleId="Ttol1">
    <w:name w:val="heading 1"/>
    <w:basedOn w:val="Normal"/>
    <w:next w:val="Normal"/>
    <w:link w:val="Ttol1Car"/>
    <w:uiPriority w:val="9"/>
    <w:qFormat/>
    <w:rsid w:val="00B66F1E"/>
    <w:pPr>
      <w:keepNext/>
      <w:keepLines/>
      <w:spacing w:before="400" w:after="120" w:line="276" w:lineRule="auto"/>
      <w:outlineLvl w:val="0"/>
    </w:pPr>
    <w:rPr>
      <w:rFonts w:ascii="Arial" w:eastAsia="Arial" w:hAnsi="Arial" w:cs="Arial"/>
      <w:sz w:val="40"/>
      <w:szCs w:val="40"/>
      <w:lang w:val="ca" w:eastAsia="ca-ES"/>
    </w:rPr>
  </w:style>
  <w:style w:type="paragraph" w:styleId="Ttol2">
    <w:name w:val="heading 2"/>
    <w:basedOn w:val="Normal"/>
    <w:next w:val="Normal"/>
    <w:link w:val="Ttol2Car"/>
    <w:uiPriority w:val="9"/>
    <w:unhideWhenUsed/>
    <w:qFormat/>
    <w:rsid w:val="00B66F1E"/>
    <w:pPr>
      <w:keepNext/>
      <w:keepLines/>
      <w:spacing w:before="360" w:after="120" w:line="276" w:lineRule="auto"/>
      <w:outlineLvl w:val="1"/>
    </w:pPr>
    <w:rPr>
      <w:rFonts w:ascii="Arial" w:eastAsia="Arial" w:hAnsi="Arial" w:cs="Arial"/>
      <w:sz w:val="32"/>
      <w:szCs w:val="32"/>
      <w:lang w:val="ca" w:eastAsia="ca-ES"/>
    </w:rPr>
  </w:style>
  <w:style w:type="paragraph" w:styleId="Ttol3">
    <w:name w:val="heading 3"/>
    <w:basedOn w:val="Normal"/>
    <w:next w:val="Normal"/>
    <w:link w:val="Ttol3Car"/>
    <w:uiPriority w:val="9"/>
    <w:unhideWhenUsed/>
    <w:qFormat/>
    <w:rsid w:val="00B66F1E"/>
    <w:pPr>
      <w:keepNext/>
      <w:keepLines/>
      <w:spacing w:before="320" w:after="80" w:line="276" w:lineRule="auto"/>
      <w:outlineLvl w:val="2"/>
    </w:pPr>
    <w:rPr>
      <w:rFonts w:ascii="Arial" w:eastAsia="Arial" w:hAnsi="Arial" w:cs="Arial"/>
      <w:color w:val="434343"/>
      <w:sz w:val="28"/>
      <w:szCs w:val="28"/>
      <w:lang w:val="ca" w:eastAsia="ca-ES"/>
    </w:rPr>
  </w:style>
  <w:style w:type="paragraph" w:styleId="Ttol4">
    <w:name w:val="heading 4"/>
    <w:basedOn w:val="Normal"/>
    <w:next w:val="Normal"/>
    <w:link w:val="Ttol4Car"/>
    <w:uiPriority w:val="9"/>
    <w:semiHidden/>
    <w:unhideWhenUsed/>
    <w:qFormat/>
    <w:rsid w:val="00B66F1E"/>
    <w:pPr>
      <w:keepNext/>
      <w:keepLines/>
      <w:spacing w:before="280" w:after="80" w:line="276" w:lineRule="auto"/>
      <w:outlineLvl w:val="3"/>
    </w:pPr>
    <w:rPr>
      <w:rFonts w:ascii="Arial" w:eastAsia="Arial" w:hAnsi="Arial" w:cs="Arial"/>
      <w:color w:val="666666"/>
      <w:sz w:val="24"/>
      <w:szCs w:val="24"/>
      <w:lang w:val="ca" w:eastAsia="ca-ES"/>
    </w:rPr>
  </w:style>
  <w:style w:type="paragraph" w:styleId="Ttol5">
    <w:name w:val="heading 5"/>
    <w:basedOn w:val="Normal"/>
    <w:next w:val="Normal"/>
    <w:link w:val="Ttol5Car"/>
    <w:uiPriority w:val="9"/>
    <w:semiHidden/>
    <w:unhideWhenUsed/>
    <w:qFormat/>
    <w:rsid w:val="00B66F1E"/>
    <w:pPr>
      <w:keepNext/>
      <w:keepLines/>
      <w:spacing w:before="240" w:after="80" w:line="276" w:lineRule="auto"/>
      <w:outlineLvl w:val="4"/>
    </w:pPr>
    <w:rPr>
      <w:rFonts w:ascii="Arial" w:eastAsia="Arial" w:hAnsi="Arial" w:cs="Arial"/>
      <w:color w:val="666666"/>
      <w:lang w:val="ca" w:eastAsia="ca-ES"/>
    </w:rPr>
  </w:style>
  <w:style w:type="paragraph" w:styleId="Ttol6">
    <w:name w:val="heading 6"/>
    <w:basedOn w:val="Normal"/>
    <w:next w:val="Normal"/>
    <w:link w:val="Ttol6Car"/>
    <w:uiPriority w:val="9"/>
    <w:semiHidden/>
    <w:unhideWhenUsed/>
    <w:qFormat/>
    <w:rsid w:val="00B66F1E"/>
    <w:pPr>
      <w:keepNext/>
      <w:keepLines/>
      <w:spacing w:before="240" w:after="80" w:line="276" w:lineRule="auto"/>
      <w:outlineLvl w:val="5"/>
    </w:pPr>
    <w:rPr>
      <w:rFonts w:ascii="Arial" w:eastAsia="Arial" w:hAnsi="Arial" w:cs="Arial"/>
      <w:i/>
      <w:color w:val="666666"/>
      <w:lang w:val="ca" w:eastAsia="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B66F1E"/>
    <w:rPr>
      <w:rFonts w:ascii="Arial" w:eastAsia="Arial" w:hAnsi="Arial" w:cs="Arial"/>
      <w:sz w:val="40"/>
      <w:szCs w:val="40"/>
      <w:lang w:val="ca" w:eastAsia="ca-ES"/>
    </w:rPr>
  </w:style>
  <w:style w:type="character" w:customStyle="1" w:styleId="Ttol2Car">
    <w:name w:val="Títol 2 Car"/>
    <w:basedOn w:val="Lletraperdefectedelpargraf"/>
    <w:link w:val="Ttol2"/>
    <w:uiPriority w:val="9"/>
    <w:rsid w:val="00B66F1E"/>
    <w:rPr>
      <w:rFonts w:ascii="Arial" w:eastAsia="Arial" w:hAnsi="Arial" w:cs="Arial"/>
      <w:sz w:val="32"/>
      <w:szCs w:val="32"/>
      <w:lang w:val="ca" w:eastAsia="ca-ES"/>
    </w:rPr>
  </w:style>
  <w:style w:type="character" w:customStyle="1" w:styleId="Ttol3Car">
    <w:name w:val="Títol 3 Car"/>
    <w:basedOn w:val="Lletraperdefectedelpargraf"/>
    <w:link w:val="Ttol3"/>
    <w:uiPriority w:val="9"/>
    <w:rsid w:val="00B66F1E"/>
    <w:rPr>
      <w:rFonts w:ascii="Arial" w:eastAsia="Arial" w:hAnsi="Arial" w:cs="Arial"/>
      <w:color w:val="434343"/>
      <w:sz w:val="28"/>
      <w:szCs w:val="28"/>
      <w:lang w:val="ca" w:eastAsia="ca-ES"/>
    </w:rPr>
  </w:style>
  <w:style w:type="character" w:customStyle="1" w:styleId="Ttol4Car">
    <w:name w:val="Títol 4 Car"/>
    <w:basedOn w:val="Lletraperdefectedelpargraf"/>
    <w:link w:val="Ttol4"/>
    <w:uiPriority w:val="9"/>
    <w:semiHidden/>
    <w:rsid w:val="00B66F1E"/>
    <w:rPr>
      <w:rFonts w:ascii="Arial" w:eastAsia="Arial" w:hAnsi="Arial" w:cs="Arial"/>
      <w:color w:val="666666"/>
      <w:sz w:val="24"/>
      <w:szCs w:val="24"/>
      <w:lang w:val="ca" w:eastAsia="ca-ES"/>
    </w:rPr>
  </w:style>
  <w:style w:type="character" w:customStyle="1" w:styleId="Ttol5Car">
    <w:name w:val="Títol 5 Car"/>
    <w:basedOn w:val="Lletraperdefectedelpargraf"/>
    <w:link w:val="Ttol5"/>
    <w:uiPriority w:val="9"/>
    <w:semiHidden/>
    <w:rsid w:val="00B66F1E"/>
    <w:rPr>
      <w:rFonts w:ascii="Arial" w:eastAsia="Arial" w:hAnsi="Arial" w:cs="Arial"/>
      <w:color w:val="666666"/>
      <w:lang w:val="ca" w:eastAsia="ca-ES"/>
    </w:rPr>
  </w:style>
  <w:style w:type="character" w:customStyle="1" w:styleId="Ttol6Car">
    <w:name w:val="Títol 6 Car"/>
    <w:basedOn w:val="Lletraperdefectedelpargraf"/>
    <w:link w:val="Ttol6"/>
    <w:uiPriority w:val="9"/>
    <w:semiHidden/>
    <w:rsid w:val="00B66F1E"/>
    <w:rPr>
      <w:rFonts w:ascii="Arial" w:eastAsia="Arial" w:hAnsi="Arial" w:cs="Arial"/>
      <w:i/>
      <w:color w:val="666666"/>
      <w:lang w:val="ca" w:eastAsia="ca-ES"/>
    </w:rPr>
  </w:style>
  <w:style w:type="numbering" w:customStyle="1" w:styleId="Sensellista1">
    <w:name w:val="Sense llista1"/>
    <w:next w:val="Sensellista"/>
    <w:uiPriority w:val="99"/>
    <w:semiHidden/>
    <w:unhideWhenUsed/>
    <w:rsid w:val="00B66F1E"/>
  </w:style>
  <w:style w:type="table" w:customStyle="1" w:styleId="TableNormal">
    <w:name w:val="TableNormal"/>
    <w:rsid w:val="00B66F1E"/>
    <w:pPr>
      <w:spacing w:after="0" w:line="276" w:lineRule="auto"/>
    </w:pPr>
    <w:rPr>
      <w:rFonts w:ascii="Arial" w:eastAsia="Arial" w:hAnsi="Arial" w:cs="Arial"/>
      <w:lang w:val="ca" w:eastAsia="ca-ES"/>
    </w:rPr>
    <w:tblPr>
      <w:tblCellMar>
        <w:top w:w="0" w:type="dxa"/>
        <w:left w:w="0" w:type="dxa"/>
        <w:bottom w:w="0" w:type="dxa"/>
        <w:right w:w="0" w:type="dxa"/>
      </w:tblCellMar>
    </w:tblPr>
  </w:style>
  <w:style w:type="paragraph" w:styleId="Ttol">
    <w:name w:val="Title"/>
    <w:basedOn w:val="Normal"/>
    <w:next w:val="Normal"/>
    <w:link w:val="TtolCar"/>
    <w:uiPriority w:val="10"/>
    <w:qFormat/>
    <w:rsid w:val="00B66F1E"/>
    <w:pPr>
      <w:keepNext/>
      <w:keepLines/>
      <w:spacing w:after="60" w:line="276" w:lineRule="auto"/>
    </w:pPr>
    <w:rPr>
      <w:rFonts w:ascii="Arial" w:eastAsia="Arial" w:hAnsi="Arial" w:cs="Arial"/>
      <w:sz w:val="52"/>
      <w:szCs w:val="52"/>
      <w:lang w:val="ca" w:eastAsia="ca-ES"/>
    </w:rPr>
  </w:style>
  <w:style w:type="character" w:customStyle="1" w:styleId="TtolCar">
    <w:name w:val="Títol Car"/>
    <w:basedOn w:val="Lletraperdefectedelpargraf"/>
    <w:link w:val="Ttol"/>
    <w:uiPriority w:val="10"/>
    <w:rsid w:val="00B66F1E"/>
    <w:rPr>
      <w:rFonts w:ascii="Arial" w:eastAsia="Arial" w:hAnsi="Arial" w:cs="Arial"/>
      <w:sz w:val="52"/>
      <w:szCs w:val="52"/>
      <w:lang w:val="ca" w:eastAsia="ca-ES"/>
    </w:rPr>
  </w:style>
  <w:style w:type="paragraph" w:styleId="Subttol">
    <w:name w:val="Subtitle"/>
    <w:basedOn w:val="Normal"/>
    <w:next w:val="Normal"/>
    <w:link w:val="SubttolCar"/>
    <w:uiPriority w:val="11"/>
    <w:qFormat/>
    <w:rsid w:val="00B66F1E"/>
    <w:pPr>
      <w:keepNext/>
      <w:keepLines/>
      <w:spacing w:after="320" w:line="276" w:lineRule="auto"/>
    </w:pPr>
    <w:rPr>
      <w:rFonts w:ascii="Arial" w:eastAsia="Arial" w:hAnsi="Arial" w:cs="Arial"/>
      <w:color w:val="666666"/>
      <w:sz w:val="30"/>
      <w:szCs w:val="30"/>
      <w:lang w:val="ca" w:eastAsia="ca-ES"/>
    </w:rPr>
  </w:style>
  <w:style w:type="character" w:customStyle="1" w:styleId="SubttolCar">
    <w:name w:val="Subtítol Car"/>
    <w:basedOn w:val="Lletraperdefectedelpargraf"/>
    <w:link w:val="Subttol"/>
    <w:uiPriority w:val="11"/>
    <w:rsid w:val="00B66F1E"/>
    <w:rPr>
      <w:rFonts w:ascii="Arial" w:eastAsia="Arial" w:hAnsi="Arial" w:cs="Arial"/>
      <w:color w:val="666666"/>
      <w:sz w:val="30"/>
      <w:szCs w:val="30"/>
      <w:lang w:val="ca" w:eastAsia="ca-ES"/>
    </w:rPr>
  </w:style>
  <w:style w:type="character" w:styleId="Nmerodelnia">
    <w:name w:val="line number"/>
    <w:basedOn w:val="Lletraperdefectedelpargraf"/>
    <w:uiPriority w:val="99"/>
    <w:semiHidden/>
    <w:unhideWhenUsed/>
    <w:rsid w:val="00B66F1E"/>
  </w:style>
  <w:style w:type="paragraph" w:styleId="Capalera">
    <w:name w:val="header"/>
    <w:basedOn w:val="Normal"/>
    <w:link w:val="CapaleraCar"/>
    <w:uiPriority w:val="99"/>
    <w:unhideWhenUsed/>
    <w:rsid w:val="00B66F1E"/>
    <w:pPr>
      <w:tabs>
        <w:tab w:val="center" w:pos="4252"/>
        <w:tab w:val="right" w:pos="8504"/>
      </w:tabs>
      <w:spacing w:after="0" w:line="240" w:lineRule="auto"/>
    </w:pPr>
    <w:rPr>
      <w:rFonts w:ascii="Arial" w:eastAsia="Arial" w:hAnsi="Arial" w:cs="Arial"/>
      <w:lang w:val="ca" w:eastAsia="ca-ES"/>
    </w:rPr>
  </w:style>
  <w:style w:type="character" w:customStyle="1" w:styleId="CapaleraCar">
    <w:name w:val="Capçalera Car"/>
    <w:basedOn w:val="Lletraperdefectedelpargraf"/>
    <w:link w:val="Capalera"/>
    <w:uiPriority w:val="99"/>
    <w:rsid w:val="00B66F1E"/>
    <w:rPr>
      <w:rFonts w:ascii="Arial" w:eastAsia="Arial" w:hAnsi="Arial" w:cs="Arial"/>
      <w:lang w:val="ca" w:eastAsia="ca-ES"/>
    </w:rPr>
  </w:style>
  <w:style w:type="paragraph" w:styleId="Peu">
    <w:name w:val="footer"/>
    <w:basedOn w:val="Normal"/>
    <w:link w:val="PeuCar"/>
    <w:uiPriority w:val="99"/>
    <w:unhideWhenUsed/>
    <w:rsid w:val="00B66F1E"/>
    <w:pPr>
      <w:tabs>
        <w:tab w:val="center" w:pos="4252"/>
        <w:tab w:val="right" w:pos="8504"/>
      </w:tabs>
      <w:spacing w:after="0" w:line="240" w:lineRule="auto"/>
    </w:pPr>
    <w:rPr>
      <w:rFonts w:ascii="Arial" w:eastAsia="Arial" w:hAnsi="Arial" w:cs="Arial"/>
      <w:lang w:val="ca" w:eastAsia="ca-ES"/>
    </w:rPr>
  </w:style>
  <w:style w:type="character" w:customStyle="1" w:styleId="PeuCar">
    <w:name w:val="Peu Car"/>
    <w:basedOn w:val="Lletraperdefectedelpargraf"/>
    <w:link w:val="Peu"/>
    <w:uiPriority w:val="99"/>
    <w:rsid w:val="00B66F1E"/>
    <w:rPr>
      <w:rFonts w:ascii="Arial" w:eastAsia="Arial" w:hAnsi="Arial" w:cs="Arial"/>
      <w:lang w:val="ca" w:eastAsia="ca-ES"/>
    </w:rPr>
  </w:style>
  <w:style w:type="paragraph" w:styleId="NormalWeb">
    <w:name w:val="Normal (Web)"/>
    <w:basedOn w:val="Normal"/>
    <w:uiPriority w:val="99"/>
    <w:unhideWhenUsed/>
    <w:rsid w:val="00B66F1E"/>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Enlla">
    <w:name w:val="Hyperlink"/>
    <w:basedOn w:val="Lletraperdefectedelpargraf"/>
    <w:uiPriority w:val="99"/>
    <w:unhideWhenUsed/>
    <w:rsid w:val="00B66F1E"/>
    <w:rPr>
      <w:color w:val="0000FF"/>
      <w:u w:val="single"/>
    </w:rPr>
  </w:style>
  <w:style w:type="character" w:styleId="Mencisenseresoldre">
    <w:name w:val="Unresolved Mention"/>
    <w:basedOn w:val="Lletraperdefectedelpargraf"/>
    <w:uiPriority w:val="99"/>
    <w:semiHidden/>
    <w:unhideWhenUsed/>
    <w:rsid w:val="00B66F1E"/>
    <w:rPr>
      <w:color w:val="605E5C"/>
      <w:shd w:val="clear" w:color="auto" w:fill="E1DFDD"/>
    </w:rPr>
  </w:style>
  <w:style w:type="character" w:styleId="Refernciadecomentari">
    <w:name w:val="annotation reference"/>
    <w:basedOn w:val="Lletraperdefectedelpargraf"/>
    <w:uiPriority w:val="99"/>
    <w:semiHidden/>
    <w:unhideWhenUsed/>
    <w:rsid w:val="00B66F1E"/>
    <w:rPr>
      <w:sz w:val="16"/>
      <w:szCs w:val="16"/>
    </w:rPr>
  </w:style>
  <w:style w:type="paragraph" w:styleId="Textdecomentari">
    <w:name w:val="annotation text"/>
    <w:basedOn w:val="Normal"/>
    <w:link w:val="TextdecomentariCar"/>
    <w:uiPriority w:val="99"/>
    <w:semiHidden/>
    <w:unhideWhenUsed/>
    <w:rsid w:val="00B66F1E"/>
    <w:pPr>
      <w:spacing w:after="0" w:line="240" w:lineRule="auto"/>
    </w:pPr>
    <w:rPr>
      <w:rFonts w:ascii="Arial" w:eastAsia="Arial" w:hAnsi="Arial" w:cs="Arial"/>
      <w:sz w:val="20"/>
      <w:szCs w:val="20"/>
      <w:lang w:val="ca" w:eastAsia="ca-ES"/>
    </w:rPr>
  </w:style>
  <w:style w:type="character" w:customStyle="1" w:styleId="TextdecomentariCar">
    <w:name w:val="Text de comentari Car"/>
    <w:basedOn w:val="Lletraperdefectedelpargraf"/>
    <w:link w:val="Textdecomentari"/>
    <w:uiPriority w:val="99"/>
    <w:semiHidden/>
    <w:rsid w:val="00B66F1E"/>
    <w:rPr>
      <w:rFonts w:ascii="Arial" w:eastAsia="Arial" w:hAnsi="Arial" w:cs="Arial"/>
      <w:sz w:val="20"/>
      <w:szCs w:val="20"/>
      <w:lang w:val="ca" w:eastAsia="ca-ES"/>
    </w:rPr>
  </w:style>
  <w:style w:type="paragraph" w:styleId="Temadelcomentari">
    <w:name w:val="annotation subject"/>
    <w:basedOn w:val="Textdecomentari"/>
    <w:next w:val="Textdecomentari"/>
    <w:link w:val="TemadelcomentariCar"/>
    <w:uiPriority w:val="99"/>
    <w:semiHidden/>
    <w:unhideWhenUsed/>
    <w:rsid w:val="00B66F1E"/>
    <w:rPr>
      <w:b/>
      <w:bCs/>
    </w:rPr>
  </w:style>
  <w:style w:type="character" w:customStyle="1" w:styleId="TemadelcomentariCar">
    <w:name w:val="Tema del comentari Car"/>
    <w:basedOn w:val="TextdecomentariCar"/>
    <w:link w:val="Temadelcomentari"/>
    <w:uiPriority w:val="99"/>
    <w:semiHidden/>
    <w:rsid w:val="00B66F1E"/>
    <w:rPr>
      <w:rFonts w:ascii="Arial" w:eastAsia="Arial" w:hAnsi="Arial" w:cs="Arial"/>
      <w:b/>
      <w:bCs/>
      <w:sz w:val="20"/>
      <w:szCs w:val="20"/>
      <w:lang w:val="ca" w:eastAsia="ca-ES"/>
    </w:rPr>
  </w:style>
  <w:style w:type="paragraph" w:styleId="Textdeglobus">
    <w:name w:val="Balloon Text"/>
    <w:basedOn w:val="Normal"/>
    <w:link w:val="TextdeglobusCar"/>
    <w:uiPriority w:val="99"/>
    <w:semiHidden/>
    <w:unhideWhenUsed/>
    <w:rsid w:val="00B66F1E"/>
    <w:pPr>
      <w:spacing w:after="0" w:line="240" w:lineRule="auto"/>
    </w:pPr>
    <w:rPr>
      <w:rFonts w:ascii="Segoe UI" w:eastAsia="Arial" w:hAnsi="Segoe UI" w:cs="Segoe UI"/>
      <w:sz w:val="18"/>
      <w:szCs w:val="18"/>
      <w:lang w:val="ca" w:eastAsia="ca-ES"/>
    </w:rPr>
  </w:style>
  <w:style w:type="character" w:customStyle="1" w:styleId="TextdeglobusCar">
    <w:name w:val="Text de globus Car"/>
    <w:basedOn w:val="Lletraperdefectedelpargraf"/>
    <w:link w:val="Textdeglobus"/>
    <w:uiPriority w:val="99"/>
    <w:semiHidden/>
    <w:rsid w:val="00B66F1E"/>
    <w:rPr>
      <w:rFonts w:ascii="Segoe UI" w:eastAsia="Arial" w:hAnsi="Segoe UI" w:cs="Segoe UI"/>
      <w:sz w:val="18"/>
      <w:szCs w:val="18"/>
      <w:lang w:val="ca" w:eastAsia="ca-ES"/>
    </w:rPr>
  </w:style>
  <w:style w:type="paragraph" w:styleId="Bibliografia">
    <w:name w:val="Bibliography"/>
    <w:basedOn w:val="Normal"/>
    <w:next w:val="Normal"/>
    <w:uiPriority w:val="37"/>
    <w:unhideWhenUsed/>
    <w:rsid w:val="00B66F1E"/>
    <w:pPr>
      <w:spacing w:after="240" w:line="240" w:lineRule="auto"/>
    </w:pPr>
    <w:rPr>
      <w:rFonts w:ascii="Arial" w:eastAsia="Arial" w:hAnsi="Arial" w:cs="Arial"/>
      <w:lang w:val="ca" w:eastAsia="ca-ES"/>
    </w:rPr>
  </w:style>
  <w:style w:type="character" w:styleId="Textennegreta">
    <w:name w:val="Strong"/>
    <w:basedOn w:val="Lletraperdefectedelpargraf"/>
    <w:uiPriority w:val="22"/>
    <w:qFormat/>
    <w:rsid w:val="00B66F1E"/>
    <w:rPr>
      <w:b/>
      <w:bCs/>
    </w:rPr>
  </w:style>
  <w:style w:type="paragraph" w:styleId="IDC1">
    <w:name w:val="toc 1"/>
    <w:basedOn w:val="Normal"/>
    <w:next w:val="Normal"/>
    <w:autoRedefine/>
    <w:uiPriority w:val="39"/>
    <w:unhideWhenUsed/>
    <w:rsid w:val="00B66F1E"/>
    <w:pPr>
      <w:tabs>
        <w:tab w:val="right" w:pos="9019"/>
      </w:tabs>
      <w:spacing w:after="100" w:line="276" w:lineRule="auto"/>
    </w:pPr>
    <w:rPr>
      <w:rFonts w:ascii="Arial" w:eastAsia="Arial" w:hAnsi="Arial" w:cs="Arial"/>
      <w:noProof/>
      <w:lang w:val="ca" w:eastAsia="ca-ES"/>
    </w:rPr>
  </w:style>
  <w:style w:type="paragraph" w:styleId="IDC3">
    <w:name w:val="toc 3"/>
    <w:basedOn w:val="Normal"/>
    <w:next w:val="Normal"/>
    <w:autoRedefine/>
    <w:uiPriority w:val="39"/>
    <w:unhideWhenUsed/>
    <w:rsid w:val="00B66F1E"/>
    <w:pPr>
      <w:spacing w:after="100" w:line="276" w:lineRule="auto"/>
      <w:ind w:left="440"/>
    </w:pPr>
    <w:rPr>
      <w:rFonts w:ascii="Arial" w:eastAsia="Arial" w:hAnsi="Arial" w:cs="Arial"/>
      <w:lang w:val="ca" w:eastAsia="ca-ES"/>
    </w:rPr>
  </w:style>
  <w:style w:type="paragraph" w:styleId="IDC2">
    <w:name w:val="toc 2"/>
    <w:basedOn w:val="Normal"/>
    <w:next w:val="Normal"/>
    <w:autoRedefine/>
    <w:uiPriority w:val="39"/>
    <w:unhideWhenUsed/>
    <w:rsid w:val="00B66F1E"/>
    <w:pPr>
      <w:spacing w:after="100" w:line="276" w:lineRule="auto"/>
      <w:ind w:left="220"/>
    </w:pPr>
    <w:rPr>
      <w:rFonts w:ascii="Arial" w:eastAsia="Arial" w:hAnsi="Arial" w:cs="Arial"/>
      <w:lang w:val="ca"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g"/><Relationship Id="rId21" Type="http://schemas.openxmlformats.org/officeDocument/2006/relationships/image" Target="media/image17.jpg"/><Relationship Id="rId42" Type="http://schemas.openxmlformats.org/officeDocument/2006/relationships/image" Target="media/image36.jpg"/><Relationship Id="rId47" Type="http://schemas.openxmlformats.org/officeDocument/2006/relationships/image" Target="media/image40.png"/><Relationship Id="rId63" Type="http://schemas.openxmlformats.org/officeDocument/2006/relationships/image" Target="media/image56.jpg"/><Relationship Id="rId68" Type="http://schemas.openxmlformats.org/officeDocument/2006/relationships/image" Target="media/image61.jpg"/><Relationship Id="rId84" Type="http://schemas.openxmlformats.org/officeDocument/2006/relationships/image" Target="media/image77.jpg"/><Relationship Id="rId89" Type="http://schemas.openxmlformats.org/officeDocument/2006/relationships/image" Target="media/image82.jpg"/><Relationship Id="rId16" Type="http://schemas.openxmlformats.org/officeDocument/2006/relationships/image" Target="media/image12.jpg"/><Relationship Id="rId11" Type="http://schemas.openxmlformats.org/officeDocument/2006/relationships/image" Target="media/image7.jpg"/><Relationship Id="rId32" Type="http://schemas.openxmlformats.org/officeDocument/2006/relationships/hyperlink" Target="https://paperpile.com/c/m5HXKI/vOty" TargetMode="External"/><Relationship Id="rId37" Type="http://schemas.openxmlformats.org/officeDocument/2006/relationships/image" Target="media/image31.jpg"/><Relationship Id="rId53" Type="http://schemas.openxmlformats.org/officeDocument/2006/relationships/image" Target="media/image46.png"/><Relationship Id="rId58" Type="http://schemas.openxmlformats.org/officeDocument/2006/relationships/image" Target="media/image51.jpg"/><Relationship Id="rId74" Type="http://schemas.openxmlformats.org/officeDocument/2006/relationships/image" Target="media/image67.jpg"/><Relationship Id="rId79" Type="http://schemas.openxmlformats.org/officeDocument/2006/relationships/image" Target="media/image72.jpg"/><Relationship Id="rId102" Type="http://schemas.openxmlformats.org/officeDocument/2006/relationships/image" Target="media/image95.jpg"/><Relationship Id="rId5" Type="http://schemas.openxmlformats.org/officeDocument/2006/relationships/image" Target="media/image1.jpg"/><Relationship Id="rId90" Type="http://schemas.openxmlformats.org/officeDocument/2006/relationships/image" Target="media/image83.jpg"/><Relationship Id="rId95" Type="http://schemas.openxmlformats.org/officeDocument/2006/relationships/image" Target="media/image88.jpg"/><Relationship Id="rId22" Type="http://schemas.openxmlformats.org/officeDocument/2006/relationships/image" Target="media/image18.jpg"/><Relationship Id="rId27" Type="http://schemas.openxmlformats.org/officeDocument/2006/relationships/image" Target="media/image23.jpg"/><Relationship Id="rId43" Type="http://schemas.openxmlformats.org/officeDocument/2006/relationships/image" Target="media/image37.jpg"/><Relationship Id="rId48" Type="http://schemas.openxmlformats.org/officeDocument/2006/relationships/image" Target="media/image41.jpg"/><Relationship Id="rId64" Type="http://schemas.openxmlformats.org/officeDocument/2006/relationships/image" Target="media/image57.jpg"/><Relationship Id="rId69" Type="http://schemas.openxmlformats.org/officeDocument/2006/relationships/image" Target="media/image62.jpg"/><Relationship Id="rId80" Type="http://schemas.openxmlformats.org/officeDocument/2006/relationships/image" Target="media/image73.jpg"/><Relationship Id="rId85" Type="http://schemas.openxmlformats.org/officeDocument/2006/relationships/image" Target="media/image78.jpg"/><Relationship Id="rId12" Type="http://schemas.openxmlformats.org/officeDocument/2006/relationships/image" Target="media/image8.jpg"/><Relationship Id="rId17" Type="http://schemas.openxmlformats.org/officeDocument/2006/relationships/image" Target="media/image13.jpg"/><Relationship Id="rId33" Type="http://schemas.openxmlformats.org/officeDocument/2006/relationships/image" Target="media/image27.jpg"/><Relationship Id="rId38" Type="http://schemas.openxmlformats.org/officeDocument/2006/relationships/image" Target="media/image32.png"/><Relationship Id="rId59" Type="http://schemas.openxmlformats.org/officeDocument/2006/relationships/image" Target="media/image52.jpg"/><Relationship Id="rId103" Type="http://schemas.openxmlformats.org/officeDocument/2006/relationships/image" Target="media/image96.jpg"/><Relationship Id="rId20" Type="http://schemas.openxmlformats.org/officeDocument/2006/relationships/image" Target="media/image16.jpg"/><Relationship Id="rId41" Type="http://schemas.openxmlformats.org/officeDocument/2006/relationships/image" Target="media/image35.jpg"/><Relationship Id="rId54" Type="http://schemas.openxmlformats.org/officeDocument/2006/relationships/image" Target="media/image47.jpg"/><Relationship Id="rId62" Type="http://schemas.openxmlformats.org/officeDocument/2006/relationships/image" Target="media/image55.jpg"/><Relationship Id="rId70" Type="http://schemas.openxmlformats.org/officeDocument/2006/relationships/image" Target="media/image63.jpg"/><Relationship Id="rId75" Type="http://schemas.openxmlformats.org/officeDocument/2006/relationships/image" Target="media/image68.png"/><Relationship Id="rId83" Type="http://schemas.openxmlformats.org/officeDocument/2006/relationships/image" Target="media/image76.jpg"/><Relationship Id="rId88" Type="http://schemas.openxmlformats.org/officeDocument/2006/relationships/image" Target="media/image81.jpg"/><Relationship Id="rId91" Type="http://schemas.openxmlformats.org/officeDocument/2006/relationships/image" Target="media/image84.jpg"/><Relationship Id="rId96" Type="http://schemas.openxmlformats.org/officeDocument/2006/relationships/image" Target="media/image89.png"/><Relationship Id="rId1" Type="http://schemas.openxmlformats.org/officeDocument/2006/relationships/styles" Target="styles.xml"/><Relationship Id="rId6"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png"/><Relationship Id="rId36" Type="http://schemas.openxmlformats.org/officeDocument/2006/relationships/image" Target="media/image30.jpg"/><Relationship Id="rId49" Type="http://schemas.openxmlformats.org/officeDocument/2006/relationships/image" Target="media/image42.jpg"/><Relationship Id="rId57" Type="http://schemas.openxmlformats.org/officeDocument/2006/relationships/image" Target="media/image50.jpg"/><Relationship Id="rId106" Type="http://schemas.openxmlformats.org/officeDocument/2006/relationships/theme" Target="theme/theme1.xml"/><Relationship Id="rId10" Type="http://schemas.openxmlformats.org/officeDocument/2006/relationships/image" Target="media/image6.jpg"/><Relationship Id="rId31" Type="http://schemas.openxmlformats.org/officeDocument/2006/relationships/hyperlink" Target="https://paperpile.com/c/m5HXKI/vOty" TargetMode="External"/><Relationship Id="rId44" Type="http://schemas.openxmlformats.org/officeDocument/2006/relationships/image" Target="media/image38.jpg"/><Relationship Id="rId52" Type="http://schemas.openxmlformats.org/officeDocument/2006/relationships/image" Target="media/image45.pn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image" Target="media/image74.jpg"/><Relationship Id="rId86" Type="http://schemas.openxmlformats.org/officeDocument/2006/relationships/image" Target="media/image79.jpg"/><Relationship Id="rId94" Type="http://schemas.openxmlformats.org/officeDocument/2006/relationships/image" Target="media/image87.jpeg"/><Relationship Id="rId99" Type="http://schemas.openxmlformats.org/officeDocument/2006/relationships/image" Target="media/image92.jpg"/><Relationship Id="rId101" Type="http://schemas.openxmlformats.org/officeDocument/2006/relationships/image" Target="media/image94.jpg"/><Relationship Id="rId4" Type="http://schemas.openxmlformats.org/officeDocument/2006/relationships/footer" Target="footer1.xml"/><Relationship Id="rId9" Type="http://schemas.openxmlformats.org/officeDocument/2006/relationships/image" Target="media/image5.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33.png"/><Relationship Id="rId34" Type="http://schemas.openxmlformats.org/officeDocument/2006/relationships/image" Target="media/image28.jpg"/><Relationship Id="rId50" Type="http://schemas.openxmlformats.org/officeDocument/2006/relationships/image" Target="media/image43.jpg"/><Relationship Id="rId55" Type="http://schemas.openxmlformats.org/officeDocument/2006/relationships/image" Target="media/image48.jpg"/><Relationship Id="rId76" Type="http://schemas.openxmlformats.org/officeDocument/2006/relationships/image" Target="media/image69.jpg"/><Relationship Id="rId97" Type="http://schemas.openxmlformats.org/officeDocument/2006/relationships/image" Target="media/image90.jpg"/><Relationship Id="rId104" Type="http://schemas.openxmlformats.org/officeDocument/2006/relationships/image" Target="media/image97.jpg"/><Relationship Id="rId7" Type="http://schemas.openxmlformats.org/officeDocument/2006/relationships/image" Target="media/image3.jpg"/><Relationship Id="rId71" Type="http://schemas.openxmlformats.org/officeDocument/2006/relationships/image" Target="media/image64.jpg"/><Relationship Id="rId92" Type="http://schemas.openxmlformats.org/officeDocument/2006/relationships/image" Target="media/image85.jpg"/><Relationship Id="rId2" Type="http://schemas.openxmlformats.org/officeDocument/2006/relationships/settings" Target="settings.xml"/><Relationship Id="rId29" Type="http://schemas.openxmlformats.org/officeDocument/2006/relationships/image" Target="media/image25.jpg"/><Relationship Id="rId24" Type="http://schemas.openxmlformats.org/officeDocument/2006/relationships/image" Target="media/image20.jp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59.jpg"/><Relationship Id="rId87" Type="http://schemas.openxmlformats.org/officeDocument/2006/relationships/image" Target="media/image80.jpg"/><Relationship Id="rId61" Type="http://schemas.openxmlformats.org/officeDocument/2006/relationships/image" Target="media/image54.jpg"/><Relationship Id="rId82" Type="http://schemas.openxmlformats.org/officeDocument/2006/relationships/image" Target="media/image75.jpg"/><Relationship Id="rId19" Type="http://schemas.openxmlformats.org/officeDocument/2006/relationships/image" Target="media/image15.jpg"/><Relationship Id="rId14" Type="http://schemas.openxmlformats.org/officeDocument/2006/relationships/image" Target="media/image10.jpg"/><Relationship Id="rId30" Type="http://schemas.openxmlformats.org/officeDocument/2006/relationships/image" Target="media/image26.jpg"/><Relationship Id="rId35" Type="http://schemas.openxmlformats.org/officeDocument/2006/relationships/image" Target="media/image29.jpg"/><Relationship Id="rId56" Type="http://schemas.openxmlformats.org/officeDocument/2006/relationships/image" Target="media/image49.jpg"/><Relationship Id="rId77" Type="http://schemas.openxmlformats.org/officeDocument/2006/relationships/image" Target="media/image70.jpg"/><Relationship Id="rId100" Type="http://schemas.openxmlformats.org/officeDocument/2006/relationships/image" Target="media/image93.jpg"/><Relationship Id="rId105" Type="http://schemas.openxmlformats.org/officeDocument/2006/relationships/fontTable" Target="fontTable.xml"/><Relationship Id="rId8" Type="http://schemas.openxmlformats.org/officeDocument/2006/relationships/image" Target="media/image4.jpg"/><Relationship Id="rId51" Type="http://schemas.openxmlformats.org/officeDocument/2006/relationships/image" Target="media/image44.png"/><Relationship Id="rId72" Type="http://schemas.openxmlformats.org/officeDocument/2006/relationships/image" Target="media/image65.jpg"/><Relationship Id="rId93" Type="http://schemas.openxmlformats.org/officeDocument/2006/relationships/image" Target="media/image86.jpg"/><Relationship Id="rId98" Type="http://schemas.openxmlformats.org/officeDocument/2006/relationships/image" Target="media/image91.jpg"/><Relationship Id="rId3" Type="http://schemas.openxmlformats.org/officeDocument/2006/relationships/webSettings" Target="webSettings.xml"/><Relationship Id="rId25" Type="http://schemas.openxmlformats.org/officeDocument/2006/relationships/image" Target="media/image21.jpg"/><Relationship Id="rId46" Type="http://schemas.openxmlformats.org/officeDocument/2006/relationships/hyperlink" Target="https://paperpile.com/c/m5HXKI/vOty" TargetMode="External"/><Relationship Id="rId67" Type="http://schemas.openxmlformats.org/officeDocument/2006/relationships/image" Target="media/image60.jp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53640</Words>
  <Characters>305752</Characters>
  <Application>Microsoft Office Word</Application>
  <DocSecurity>0</DocSecurity>
  <Lines>2547</Lines>
  <Paragraphs>717</Paragraphs>
  <ScaleCrop>false</ScaleCrop>
  <HeadingPairs>
    <vt:vector size="2" baseType="variant">
      <vt:variant>
        <vt:lpstr>Títol</vt:lpstr>
      </vt:variant>
      <vt:variant>
        <vt:i4>1</vt:i4>
      </vt:variant>
    </vt:vector>
  </HeadingPairs>
  <TitlesOfParts>
    <vt:vector size="1" baseType="lpstr">
      <vt:lpstr/>
    </vt:vector>
  </TitlesOfParts>
  <Company>Universitat Pompeu Fabra</Company>
  <LinksUpToDate>false</LinksUpToDate>
  <CharactersWithSpaces>358675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IRUNE RUIZ GARTZIA</dc:creator>
  <cp:keywords/>
  <dc:description/>
  <cp:lastModifiedBy>IRUNE RUIZ GARTZIA</cp:lastModifiedBy>
  <cp:revision>1</cp:revision>
  <dcterms:created xsi:type="dcterms:W3CDTF">2026-09-02T07:59:00Z</dcterms:created>
  <dcterms:modified xsi:type="dcterms:W3CDTF">2026-09-02T08:01:00Z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ef7d8b14-9515-4d12-b044-20954e39bff8</vt:lpwstr>
  </property>
</Properties>
</file>