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F1A97" w14:textId="68899E5E" w:rsidR="009E1A94" w:rsidRPr="005957EC" w:rsidRDefault="00A037E7" w:rsidP="009E1A94">
      <w:pPr>
        <w:widowControl w:val="0"/>
        <w:autoSpaceDE w:val="0"/>
        <w:autoSpaceDN w:val="0"/>
        <w:adjustRightInd w:val="0"/>
        <w:snapToGrid w:val="0"/>
        <w:spacing w:after="0" w:line="360" w:lineRule="auto"/>
        <w:ind w:right="-6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bookmarkStart w:id="0" w:name="_GoBack"/>
      <w:bookmarkEnd w:id="0"/>
      <w:r w:rsidRPr="005957EC"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>File S</w:t>
      </w:r>
      <w:r w:rsidR="00CE6877"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>1</w:t>
      </w:r>
      <w:r w:rsidR="005879BF" w:rsidRPr="005957EC"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r w:rsidR="003D1586"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 xml:space="preserve"> A</w:t>
      </w:r>
      <w:r w:rsidR="005879BF" w:rsidRPr="005957EC"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 xml:space="preserve">dditional </w:t>
      </w:r>
      <w:r w:rsidR="003D1586"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 xml:space="preserve">discussion on </w:t>
      </w:r>
      <w:r w:rsidR="00855ADA"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>relative risk/odds ratio analysis</w:t>
      </w:r>
      <w:r w:rsidR="005879BF" w:rsidRPr="005957EC"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 xml:space="preserve"> </w:t>
      </w:r>
    </w:p>
    <w:p w14:paraId="7EBBDB62" w14:textId="77777777" w:rsidR="00A7046F" w:rsidRPr="009E1A94" w:rsidRDefault="005879BF" w:rsidP="009E1A94">
      <w:pPr>
        <w:widowControl w:val="0"/>
        <w:autoSpaceDE w:val="0"/>
        <w:autoSpaceDN w:val="0"/>
        <w:adjustRightInd w:val="0"/>
        <w:snapToGrid w:val="0"/>
        <w:spacing w:after="0" w:line="360" w:lineRule="auto"/>
        <w:ind w:right="-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9E1A94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15A06C1C" w14:textId="5CA27E06" w:rsidR="00C4201D" w:rsidRDefault="00932E84" w:rsidP="009E1A94">
      <w:pPr>
        <w:widowControl w:val="0"/>
        <w:autoSpaceDE w:val="0"/>
        <w:autoSpaceDN w:val="0"/>
        <w:adjustRightInd w:val="0"/>
        <w:snapToGrid w:val="0"/>
        <w:spacing w:after="0" w:line="360" w:lineRule="auto"/>
        <w:ind w:right="-6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</w:pPr>
      <w:r w:rsidRPr="009E1A94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>Th</w:t>
      </w:r>
      <w:r w:rsidR="003D1586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is file </w:t>
      </w:r>
      <w:r w:rsidRPr="009E1A94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compliments the main text by </w:t>
      </w:r>
      <w:r w:rsid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>presenting the relative risk and odds ratio analysis used to further support the usage of N12 as a feature</w:t>
      </w:r>
      <w:r w:rsidR="009203D1" w:rsidRPr="009E1A94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, </w:t>
      </w:r>
      <w:r w:rsid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>…</w:t>
      </w:r>
    </w:p>
    <w:p w14:paraId="30562893" w14:textId="77777777" w:rsidR="00855ADA" w:rsidRPr="003D1586" w:rsidRDefault="00855ADA" w:rsidP="009E1A94">
      <w:pPr>
        <w:widowControl w:val="0"/>
        <w:autoSpaceDE w:val="0"/>
        <w:autoSpaceDN w:val="0"/>
        <w:adjustRightInd w:val="0"/>
        <w:snapToGrid w:val="0"/>
        <w:spacing w:after="0" w:line="360" w:lineRule="auto"/>
        <w:ind w:right="-6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</w:pPr>
    </w:p>
    <w:p w14:paraId="5FA5337F" w14:textId="77777777" w:rsidR="00855ADA" w:rsidRPr="00855ADA" w:rsidRDefault="00855ADA" w:rsidP="00855ADA">
      <w:pPr>
        <w:widowControl w:val="0"/>
        <w:autoSpaceDE w:val="0"/>
        <w:autoSpaceDN w:val="0"/>
        <w:adjustRightInd w:val="0"/>
        <w:snapToGrid w:val="0"/>
        <w:spacing w:after="0" w:line="360" w:lineRule="auto"/>
        <w:ind w:right="-6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val="en-GB"/>
        </w:rPr>
      </w:pPr>
      <w:r w:rsidRPr="00855AD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val="en-GB"/>
        </w:rPr>
        <w:t xml:space="preserve">Relative risk and odds ratio analysis </w:t>
      </w:r>
    </w:p>
    <w:p w14:paraId="0936551F" w14:textId="77777777" w:rsidR="00855ADA" w:rsidRDefault="00855ADA" w:rsidP="00855ADA">
      <w:pPr>
        <w:widowControl w:val="0"/>
        <w:autoSpaceDE w:val="0"/>
        <w:autoSpaceDN w:val="0"/>
        <w:adjustRightInd w:val="0"/>
        <w:snapToGrid w:val="0"/>
        <w:spacing w:after="0" w:line="360" w:lineRule="auto"/>
        <w:ind w:right="-6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</w:pP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It is natural to consider the output of TICA (or other tools that predict TF-TF interactions) and the existence of a direct edge in BioGRID as features for NAuTICA. On the other hand, the number of shared interactors is a less-known feature, the power of which as a measure of the co-operation level requires a deeper analysis. Two indicators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>(</w:t>
      </w:r>
      <w:r w:rsidRPr="00855ADA">
        <w:rPr>
          <w:rFonts w:ascii="Times New Roman" w:eastAsia="Times New Roman" w:hAnsi="Times New Roman" w:cs="Times New Roman"/>
          <w:i/>
          <w:kern w:val="1"/>
          <w:sz w:val="24"/>
          <w:szCs w:val="24"/>
          <w:lang w:val="en-GB"/>
        </w:rPr>
        <w:t>relative risk</w:t>
      </w: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, RR; and  </w:t>
      </w:r>
      <w:r w:rsidRPr="00855ADA">
        <w:rPr>
          <w:rFonts w:ascii="Times New Roman" w:eastAsia="Times New Roman" w:hAnsi="Times New Roman" w:cs="Times New Roman"/>
          <w:i/>
          <w:kern w:val="1"/>
          <w:sz w:val="24"/>
          <w:szCs w:val="24"/>
          <w:lang w:val="en-GB"/>
        </w:rPr>
        <w:t>odds ratio</w:t>
      </w: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>, OR) are computed for each bin of the PPI shared-interactor distribution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 (cf. Figures 5 and 6 in the main text).</w:t>
      </w:r>
    </w:p>
    <w:p w14:paraId="658C3BCA" w14:textId="510A0A34" w:rsidR="00855ADA" w:rsidRDefault="00855ADA" w:rsidP="00855ADA">
      <w:pPr>
        <w:widowControl w:val="0"/>
        <w:autoSpaceDE w:val="0"/>
        <w:autoSpaceDN w:val="0"/>
        <w:adjustRightInd w:val="0"/>
        <w:snapToGrid w:val="0"/>
        <w:spacing w:after="0" w:line="360" w:lineRule="auto"/>
        <w:ind w:right="-6" w:firstLine="72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</w:pP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The relative risk of two labels </w:t>
      </w:r>
      <w:r w:rsidRPr="00855ADA">
        <w:rPr>
          <w:rFonts w:ascii="Times New Roman" w:eastAsia="Times New Roman" w:hAnsi="Times New Roman" w:cs="Times New Roman"/>
          <w:i/>
          <w:kern w:val="1"/>
          <w:sz w:val="24"/>
          <w:szCs w:val="24"/>
          <w:lang w:val="en-GB"/>
        </w:rPr>
        <w:t>L</w:t>
      </w:r>
      <w:r w:rsidRPr="00855ADA">
        <w:rPr>
          <w:rFonts w:ascii="Times New Roman" w:eastAsia="Times New Roman" w:hAnsi="Times New Roman" w:cs="Times New Roman"/>
          <w:i/>
          <w:kern w:val="1"/>
          <w:sz w:val="24"/>
          <w:szCs w:val="24"/>
          <w:vertAlign w:val="subscript"/>
          <w:lang w:val="en-GB"/>
        </w:rPr>
        <w:t>1</w:t>
      </w: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 and </w:t>
      </w:r>
      <w:r w:rsidRPr="00855ADA">
        <w:rPr>
          <w:rFonts w:ascii="Times New Roman" w:eastAsia="Times New Roman" w:hAnsi="Times New Roman" w:cs="Times New Roman"/>
          <w:i/>
          <w:kern w:val="1"/>
          <w:sz w:val="24"/>
          <w:szCs w:val="24"/>
          <w:lang w:val="en-GB"/>
        </w:rPr>
        <w:t>L</w:t>
      </w:r>
      <w:r>
        <w:rPr>
          <w:rFonts w:ascii="Times New Roman" w:eastAsia="Times New Roman" w:hAnsi="Times New Roman" w:cs="Times New Roman"/>
          <w:i/>
          <w:kern w:val="1"/>
          <w:sz w:val="24"/>
          <w:szCs w:val="24"/>
          <w:vertAlign w:val="subscript"/>
          <w:lang w:val="en-GB"/>
        </w:rPr>
        <w:t>2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 i</w:t>
      </w: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n bin </w:t>
      </w:r>
      <w:r w:rsidRPr="00855ADA">
        <w:rPr>
          <w:rFonts w:ascii="Times New Roman" w:eastAsia="Times New Roman" w:hAnsi="Times New Roman" w:cs="Times New Roman"/>
          <w:i/>
          <w:kern w:val="1"/>
          <w:sz w:val="24"/>
          <w:szCs w:val="24"/>
          <w:lang w:val="en-GB"/>
        </w:rPr>
        <w:t>i</w:t>
      </w: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 is defined as</w:t>
      </w:r>
    </w:p>
    <w:p w14:paraId="2B922962" w14:textId="214A6BF8" w:rsidR="00855ADA" w:rsidRDefault="00855ADA" w:rsidP="00855ADA">
      <w:pPr>
        <w:widowControl w:val="0"/>
        <w:autoSpaceDE w:val="0"/>
        <w:autoSpaceDN w:val="0"/>
        <w:adjustRightInd w:val="0"/>
        <w:snapToGrid w:val="0"/>
        <w:spacing w:after="0" w:line="360" w:lineRule="auto"/>
        <w:ind w:right="-6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</w:pPr>
      <m:oMath>
        <m:r>
          <w:rPr>
            <w:rFonts w:ascii="Cambria Math" w:eastAsia="Times New Roman" w:hAnsi="Cambria Math" w:cs="Times New Roman"/>
            <w:kern w:val="1"/>
            <w:sz w:val="24"/>
            <w:szCs w:val="24"/>
            <w:lang w:val="en-GB"/>
          </w:rPr>
          <m:t>R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1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1"/>
                <w:sz w:val="24"/>
                <w:szCs w:val="24"/>
                <w:lang w:val="en-GB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kern w:val="1"/>
                <w:sz w:val="24"/>
                <w:szCs w:val="24"/>
                <w:lang w:val="en-GB"/>
              </w:rPr>
              <m:t>i</m:t>
            </m:r>
          </m:sub>
        </m:sSub>
        <m:r>
          <w:rPr>
            <w:rFonts w:ascii="Cambria Math" w:eastAsia="Times New Roman" w:hAnsi="Cambria Math" w:cs="Times New Roman"/>
            <w:kern w:val="1"/>
            <w:sz w:val="24"/>
            <w:szCs w:val="24"/>
            <w:lang w:val="en-GB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1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1"/>
                <w:sz w:val="24"/>
                <w:szCs w:val="24"/>
                <w:lang w:val="en-GB"/>
              </w:rPr>
              <m:t>L</m:t>
            </m:r>
          </m:e>
          <m:sub>
            <m:r>
              <w:rPr>
                <w:rFonts w:ascii="Cambria Math" w:eastAsia="Times New Roman" w:hAnsi="Cambria Math" w:cs="Times New Roman"/>
                <w:kern w:val="1"/>
                <w:sz w:val="24"/>
                <w:szCs w:val="24"/>
                <w:lang w:val="en-GB"/>
              </w:rPr>
              <m:t>1</m:t>
            </m:r>
          </m:sub>
        </m:sSub>
        <m:r>
          <w:rPr>
            <w:rFonts w:ascii="Cambria Math" w:eastAsia="Times New Roman" w:hAnsi="Cambria Math" w:cs="Times New Roman"/>
            <w:kern w:val="1"/>
            <w:sz w:val="24"/>
            <w:szCs w:val="24"/>
            <w:lang w:val="en-GB"/>
          </w:rPr>
          <m:t>,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1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1"/>
                <w:sz w:val="24"/>
                <w:szCs w:val="24"/>
                <w:lang w:val="en-GB"/>
              </w:rPr>
              <m:t>L</m:t>
            </m:r>
          </m:e>
          <m:sub>
            <m:r>
              <w:rPr>
                <w:rFonts w:ascii="Cambria Math" w:eastAsia="Times New Roman" w:hAnsi="Cambria Math" w:cs="Times New Roman"/>
                <w:kern w:val="1"/>
                <w:sz w:val="24"/>
                <w:szCs w:val="24"/>
                <w:lang w:val="en-GB"/>
              </w:rPr>
              <m:t>2</m:t>
            </m:r>
          </m:sub>
        </m:sSub>
        <m:r>
          <w:rPr>
            <w:rFonts w:ascii="Cambria Math" w:eastAsia="Times New Roman" w:hAnsi="Cambria Math" w:cs="Times New Roman"/>
            <w:kern w:val="1"/>
            <w:sz w:val="24"/>
            <w:szCs w:val="24"/>
            <w:lang w:val="en-GB"/>
          </w:rPr>
          <m:t xml:space="preserve">) = </m:t>
        </m:r>
        <m:f>
          <m:fPr>
            <m:ctrlPr>
              <w:rPr>
                <w:rFonts w:ascii="Cambria Math" w:eastAsia="Times New Roman" w:hAnsi="Cambria Math" w:cs="Times New Roman"/>
                <w:i/>
                <w:kern w:val="1"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1"/>
                <w:sz w:val="24"/>
                <w:szCs w:val="24"/>
                <w:lang w:val="en-GB"/>
              </w:rPr>
              <m:t>P(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1"/>
                    <w:sz w:val="24"/>
                    <w:szCs w:val="24"/>
                    <w:lang w:val="en-GB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kern w:val="1"/>
                    <w:sz w:val="24"/>
                    <w:szCs w:val="24"/>
                    <w:lang w:val="en-GB"/>
                  </w:rPr>
                  <m:t>L</m:t>
                </m:r>
              </m:e>
              <m:sub>
                <m:r>
                  <w:rPr>
                    <w:rFonts w:ascii="Cambria Math" w:eastAsia="Times New Roman" w:hAnsi="Cambria Math" w:cs="Times New Roman"/>
                    <w:kern w:val="1"/>
                    <w:sz w:val="24"/>
                    <w:szCs w:val="24"/>
                    <w:lang w:val="en-GB"/>
                  </w:rPr>
                  <m:t>1</m:t>
                </m:r>
              </m:sub>
            </m:sSub>
            <m:r>
              <w:rPr>
                <w:rFonts w:ascii="Cambria Math" w:eastAsia="Times New Roman" w:hAnsi="Cambria Math" w:cs="Times New Roman"/>
                <w:kern w:val="1"/>
                <w:sz w:val="24"/>
                <w:szCs w:val="24"/>
                <w:lang w:val="en-GB"/>
              </w:rPr>
              <m:t>∈i)</m:t>
            </m:r>
          </m:num>
          <m:den>
            <m:r>
              <w:rPr>
                <w:rFonts w:ascii="Cambria Math" w:eastAsia="Times New Roman" w:hAnsi="Cambria Math" w:cs="Times New Roman"/>
                <w:kern w:val="1"/>
                <w:sz w:val="24"/>
                <w:szCs w:val="24"/>
                <w:lang w:val="en-GB"/>
              </w:rPr>
              <m:t>P(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1"/>
                    <w:sz w:val="24"/>
                    <w:szCs w:val="24"/>
                    <w:lang w:val="en-GB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kern w:val="1"/>
                    <w:sz w:val="24"/>
                    <w:szCs w:val="24"/>
                    <w:lang w:val="en-GB"/>
                  </w:rPr>
                  <m:t>L</m:t>
                </m:r>
              </m:e>
              <m:sub>
                <m:r>
                  <w:rPr>
                    <w:rFonts w:ascii="Cambria Math" w:eastAsia="Times New Roman" w:hAnsi="Cambria Math" w:cs="Times New Roman"/>
                    <w:kern w:val="1"/>
                    <w:sz w:val="24"/>
                    <w:szCs w:val="24"/>
                    <w:lang w:val="en-GB"/>
                  </w:rPr>
                  <m:t>2</m:t>
                </m:r>
              </m:sub>
            </m:sSub>
            <m:r>
              <w:rPr>
                <w:rFonts w:ascii="Cambria Math" w:eastAsia="Times New Roman" w:hAnsi="Cambria Math" w:cs="Times New Roman"/>
                <w:kern w:val="1"/>
                <w:sz w:val="24"/>
                <w:szCs w:val="24"/>
                <w:lang w:val="en-GB"/>
              </w:rPr>
              <m:t>∈i)</m:t>
            </m:r>
          </m:den>
        </m:f>
      </m:oMath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>,</w:t>
      </w:r>
    </w:p>
    <w:p w14:paraId="2B5A68FF" w14:textId="77777777" w:rsidR="00707B14" w:rsidRDefault="00855ADA" w:rsidP="00855ADA">
      <w:pPr>
        <w:widowControl w:val="0"/>
        <w:autoSpaceDE w:val="0"/>
        <w:autoSpaceDN w:val="0"/>
        <w:adjustRightInd w:val="0"/>
        <w:snapToGrid w:val="0"/>
        <w:spacing w:after="0" w:line="360" w:lineRule="auto"/>
        <w:ind w:right="-6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</w:pP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where the numerator is the ratio between the number of pairs predicted as </w:t>
      </w:r>
      <w:r w:rsidRPr="00855ADA">
        <w:rPr>
          <w:rFonts w:ascii="Times New Roman" w:eastAsia="Times New Roman" w:hAnsi="Times New Roman" w:cs="Times New Roman"/>
          <w:i/>
          <w:kern w:val="1"/>
          <w:sz w:val="24"/>
          <w:szCs w:val="24"/>
          <w:lang w:val="en-GB"/>
        </w:rPr>
        <w:t>L</w:t>
      </w:r>
      <w:r w:rsidRPr="00855ADA">
        <w:rPr>
          <w:rFonts w:ascii="Times New Roman" w:eastAsia="Times New Roman" w:hAnsi="Times New Roman" w:cs="Times New Roman"/>
          <w:i/>
          <w:kern w:val="1"/>
          <w:sz w:val="24"/>
          <w:szCs w:val="24"/>
          <w:vertAlign w:val="subscript"/>
          <w:lang w:val="en-GB"/>
        </w:rPr>
        <w:t>1</w:t>
      </w:r>
      <w:r>
        <w:rPr>
          <w:rFonts w:ascii="Times New Roman" w:eastAsia="Times New Roman" w:hAnsi="Times New Roman" w:cs="Times New Roman"/>
          <w:i/>
          <w:kern w:val="1"/>
          <w:sz w:val="24"/>
          <w:szCs w:val="24"/>
          <w:vertAlign w:val="subscript"/>
          <w:lang w:val="en-GB"/>
        </w:rPr>
        <w:t xml:space="preserve"> </w:t>
      </w: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in bin </w:t>
      </w:r>
      <w:r w:rsidRPr="00855ADA">
        <w:rPr>
          <w:rFonts w:ascii="Times New Roman" w:eastAsia="Times New Roman" w:hAnsi="Times New Roman" w:cs="Times New Roman"/>
          <w:i/>
          <w:kern w:val="1"/>
          <w:sz w:val="24"/>
          <w:szCs w:val="24"/>
          <w:lang w:val="en-GB"/>
        </w:rPr>
        <w:t>i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 </w:t>
      </w: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and the total number of </w:t>
      </w:r>
      <w:r w:rsidRPr="00855ADA">
        <w:rPr>
          <w:rFonts w:ascii="Times New Roman" w:eastAsia="Times New Roman" w:hAnsi="Times New Roman" w:cs="Times New Roman"/>
          <w:i/>
          <w:kern w:val="1"/>
          <w:sz w:val="24"/>
          <w:szCs w:val="24"/>
          <w:lang w:val="en-GB"/>
        </w:rPr>
        <w:t>L</w:t>
      </w:r>
      <w:r w:rsidRPr="00855ADA">
        <w:rPr>
          <w:rFonts w:ascii="Times New Roman" w:eastAsia="Times New Roman" w:hAnsi="Times New Roman" w:cs="Times New Roman"/>
          <w:i/>
          <w:kern w:val="1"/>
          <w:sz w:val="24"/>
          <w:szCs w:val="24"/>
          <w:vertAlign w:val="subscript"/>
          <w:lang w:val="en-GB"/>
        </w:rPr>
        <w:t>1</w:t>
      </w:r>
      <w:r>
        <w:rPr>
          <w:rFonts w:ascii="Times New Roman" w:eastAsia="Times New Roman" w:hAnsi="Times New Roman" w:cs="Times New Roman"/>
          <w:i/>
          <w:kern w:val="1"/>
          <w:sz w:val="24"/>
          <w:szCs w:val="24"/>
          <w:vertAlign w:val="subscript"/>
          <w:lang w:val="en-GB"/>
        </w:rPr>
        <w:t xml:space="preserve"> </w:t>
      </w: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pairs, and the denominator is computed similarly with respect to </w:t>
      </w:r>
      <w:r w:rsidRPr="00855ADA">
        <w:rPr>
          <w:rFonts w:ascii="Times New Roman" w:eastAsia="Times New Roman" w:hAnsi="Times New Roman" w:cs="Times New Roman"/>
          <w:i/>
          <w:kern w:val="1"/>
          <w:sz w:val="24"/>
          <w:szCs w:val="24"/>
          <w:lang w:val="en-GB"/>
        </w:rPr>
        <w:t>L</w:t>
      </w:r>
      <w:r>
        <w:rPr>
          <w:rFonts w:ascii="Times New Roman" w:eastAsia="Times New Roman" w:hAnsi="Times New Roman" w:cs="Times New Roman"/>
          <w:i/>
          <w:kern w:val="1"/>
          <w:sz w:val="24"/>
          <w:szCs w:val="24"/>
          <w:vertAlign w:val="subscript"/>
          <w:lang w:val="en-GB"/>
        </w:rPr>
        <w:t>2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. </w:t>
      </w: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Whereas, the odds ratio of two labels in a bin is instead defined as between the ratio of </w:t>
      </w:r>
      <w:r w:rsidRPr="00855ADA">
        <w:rPr>
          <w:rFonts w:ascii="Times New Roman" w:eastAsia="Times New Roman" w:hAnsi="Times New Roman" w:cs="Times New Roman"/>
          <w:i/>
          <w:kern w:val="1"/>
          <w:sz w:val="24"/>
          <w:szCs w:val="24"/>
          <w:lang w:val="en-GB"/>
        </w:rPr>
        <w:t>L</w:t>
      </w:r>
      <w:r w:rsidRPr="00855ADA">
        <w:rPr>
          <w:rFonts w:ascii="Times New Roman" w:eastAsia="Times New Roman" w:hAnsi="Times New Roman" w:cs="Times New Roman"/>
          <w:i/>
          <w:kern w:val="1"/>
          <w:sz w:val="24"/>
          <w:szCs w:val="24"/>
          <w:vertAlign w:val="subscript"/>
          <w:lang w:val="en-GB"/>
        </w:rPr>
        <w:t>1</w:t>
      </w: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 pairs to </w:t>
      </w:r>
      <w:r w:rsidRPr="00855ADA">
        <w:rPr>
          <w:rFonts w:ascii="Times New Roman" w:eastAsia="Times New Roman" w:hAnsi="Times New Roman" w:cs="Times New Roman"/>
          <w:i/>
          <w:kern w:val="1"/>
          <w:sz w:val="24"/>
          <w:szCs w:val="24"/>
          <w:lang w:val="en-GB"/>
        </w:rPr>
        <w:t>L</w:t>
      </w:r>
      <w:r>
        <w:rPr>
          <w:rFonts w:ascii="Times New Roman" w:eastAsia="Times New Roman" w:hAnsi="Times New Roman" w:cs="Times New Roman"/>
          <w:i/>
          <w:kern w:val="1"/>
          <w:sz w:val="24"/>
          <w:szCs w:val="24"/>
          <w:vertAlign w:val="subscript"/>
          <w:lang w:val="en-GB"/>
        </w:rPr>
        <w:t>2</w:t>
      </w: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 pairs in bin </w:t>
      </w:r>
      <w:r w:rsidRPr="00855ADA">
        <w:rPr>
          <w:rFonts w:ascii="Times New Roman" w:eastAsia="Times New Roman" w:hAnsi="Times New Roman" w:cs="Times New Roman"/>
          <w:i/>
          <w:kern w:val="1"/>
          <w:sz w:val="24"/>
          <w:szCs w:val="24"/>
          <w:lang w:val="en-GB"/>
        </w:rPr>
        <w:t>i</w:t>
      </w: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 and the ratio of </w:t>
      </w:r>
      <w:r w:rsidRPr="00855ADA">
        <w:rPr>
          <w:rFonts w:ascii="Times New Roman" w:eastAsia="Times New Roman" w:hAnsi="Times New Roman" w:cs="Times New Roman"/>
          <w:i/>
          <w:kern w:val="1"/>
          <w:sz w:val="24"/>
          <w:szCs w:val="24"/>
          <w:lang w:val="en-GB"/>
        </w:rPr>
        <w:t>L</w:t>
      </w:r>
      <w:r w:rsidRPr="00855ADA">
        <w:rPr>
          <w:rFonts w:ascii="Times New Roman" w:eastAsia="Times New Roman" w:hAnsi="Times New Roman" w:cs="Times New Roman"/>
          <w:i/>
          <w:kern w:val="1"/>
          <w:sz w:val="24"/>
          <w:szCs w:val="24"/>
          <w:vertAlign w:val="subscript"/>
          <w:lang w:val="en-GB"/>
        </w:rPr>
        <w:t>1</w:t>
      </w: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 to </w:t>
      </w:r>
      <w:r w:rsidRPr="00855ADA">
        <w:rPr>
          <w:rFonts w:ascii="Times New Roman" w:eastAsia="Times New Roman" w:hAnsi="Times New Roman" w:cs="Times New Roman"/>
          <w:i/>
          <w:kern w:val="1"/>
          <w:sz w:val="24"/>
          <w:szCs w:val="24"/>
          <w:lang w:val="en-GB"/>
        </w:rPr>
        <w:t>L</w:t>
      </w:r>
      <w:r>
        <w:rPr>
          <w:rFonts w:ascii="Times New Roman" w:eastAsia="Times New Roman" w:hAnsi="Times New Roman" w:cs="Times New Roman"/>
          <w:i/>
          <w:kern w:val="1"/>
          <w:sz w:val="24"/>
          <w:szCs w:val="24"/>
          <w:vertAlign w:val="subscript"/>
          <w:lang w:val="en-GB"/>
        </w:rPr>
        <w:t>2</w:t>
      </w: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 pairs </w:t>
      </w:r>
      <w:r w:rsidRPr="00855ADA">
        <w:rPr>
          <w:rFonts w:ascii="Times New Roman" w:eastAsia="Times New Roman" w:hAnsi="Times New Roman" w:cs="Times New Roman"/>
          <w:i/>
          <w:kern w:val="1"/>
          <w:sz w:val="24"/>
          <w:szCs w:val="24"/>
          <w:lang w:val="en-GB"/>
        </w:rPr>
        <w:t>not</w:t>
      </w: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 in bin </w:t>
      </w:r>
      <w:r w:rsidRPr="00855ADA">
        <w:rPr>
          <w:rFonts w:ascii="Times New Roman" w:eastAsia="Times New Roman" w:hAnsi="Times New Roman" w:cs="Times New Roman"/>
          <w:i/>
          <w:kern w:val="1"/>
          <w:sz w:val="24"/>
          <w:szCs w:val="24"/>
          <w:lang w:val="en-GB"/>
        </w:rPr>
        <w:t>i</w:t>
      </w: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, for any given </w:t>
      </w:r>
      <w:r w:rsidRPr="00707B14">
        <w:rPr>
          <w:rFonts w:ascii="Times New Roman" w:eastAsia="Times New Roman" w:hAnsi="Times New Roman" w:cs="Times New Roman"/>
          <w:i/>
          <w:kern w:val="1"/>
          <w:sz w:val="24"/>
          <w:szCs w:val="24"/>
          <w:lang w:val="en-GB"/>
        </w:rPr>
        <w:t>i</w:t>
      </w: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.  We compute each one of RR and OR in three cases: co-operation vs non-interaction, co-operation vs competition and competition vs non-interactions. </w:t>
      </w:r>
    </w:p>
    <w:p w14:paraId="101EEC6E" w14:textId="497E1B1C" w:rsidR="00DE1A3C" w:rsidRDefault="00855ADA" w:rsidP="00DE1A3C">
      <w:pPr>
        <w:widowControl w:val="0"/>
        <w:autoSpaceDE w:val="0"/>
        <w:autoSpaceDN w:val="0"/>
        <w:adjustRightInd w:val="0"/>
        <w:snapToGrid w:val="0"/>
        <w:spacing w:after="0" w:line="360" w:lineRule="auto"/>
        <w:ind w:right="-6" w:firstLine="72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</w:pP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>For example, the following rules can be derived from RR and OR:</w:t>
      </w:r>
      <w:r w:rsidR="00707B14"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 </w:t>
      </w: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if </w:t>
      </w:r>
      <m:oMath>
        <m:r>
          <w:rPr>
            <w:rFonts w:ascii="Cambria Math" w:eastAsia="Times New Roman" w:hAnsi="Cambria Math" w:cs="Times New Roman"/>
            <w:kern w:val="1"/>
            <w:sz w:val="24"/>
            <w:szCs w:val="24"/>
            <w:lang w:val="en-GB"/>
          </w:rPr>
          <m:t>R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1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1"/>
                <w:sz w:val="24"/>
                <w:szCs w:val="24"/>
                <w:lang w:val="en-GB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kern w:val="1"/>
                <w:sz w:val="24"/>
                <w:szCs w:val="24"/>
                <w:lang w:val="en-GB"/>
              </w:rPr>
              <m:t>i</m:t>
            </m:r>
          </m:sub>
        </m:sSub>
        <m:r>
          <w:rPr>
            <w:rFonts w:ascii="Cambria Math" w:eastAsia="Times New Roman" w:hAnsi="Cambria Math" w:cs="Times New Roman"/>
            <w:kern w:val="1"/>
            <w:sz w:val="24"/>
            <w:szCs w:val="24"/>
            <w:lang w:val="en-GB"/>
          </w:rPr>
          <m:t>(COOP,NINT) &gt; 1</m:t>
        </m:r>
      </m:oMath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, then COOP TF pairs have higher preference for bin </w:t>
      </w:r>
      <w:r w:rsidR="00707B14" w:rsidRPr="00707B14">
        <w:rPr>
          <w:rFonts w:ascii="Times New Roman" w:eastAsia="Times New Roman" w:hAnsi="Times New Roman" w:cs="Times New Roman"/>
          <w:i/>
          <w:kern w:val="1"/>
          <w:sz w:val="24"/>
          <w:szCs w:val="24"/>
          <w:lang w:val="en-GB"/>
        </w:rPr>
        <w:t>i</w:t>
      </w: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 (compared to other bins) than NINT TF pairs;</w:t>
      </w:r>
      <w:r w:rsidR="00707B14" w:rsidRPr="00707B14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 </w:t>
      </w:r>
      <w:r w:rsidR="00707B14"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if </w:t>
      </w:r>
      <m:oMath>
        <m:r>
          <w:rPr>
            <w:rFonts w:ascii="Cambria Math" w:eastAsia="Times New Roman" w:hAnsi="Cambria Math" w:cs="Times New Roman"/>
            <w:kern w:val="1"/>
            <w:sz w:val="24"/>
            <w:szCs w:val="24"/>
            <w:lang w:val="en-GB"/>
          </w:rPr>
          <m:t>O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1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1"/>
                <w:sz w:val="24"/>
                <w:szCs w:val="24"/>
                <w:lang w:val="en-GB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kern w:val="1"/>
                <w:sz w:val="24"/>
                <w:szCs w:val="24"/>
                <w:lang w:val="en-GB"/>
              </w:rPr>
              <m:t>i</m:t>
            </m:r>
          </m:sub>
        </m:sSub>
        <m:r>
          <w:rPr>
            <w:rFonts w:ascii="Cambria Math" w:eastAsia="Times New Roman" w:hAnsi="Cambria Math" w:cs="Times New Roman"/>
            <w:kern w:val="1"/>
            <w:sz w:val="24"/>
            <w:szCs w:val="24"/>
            <w:lang w:val="en-GB"/>
          </w:rPr>
          <m:t>(COOP,NINT) &gt; 1</m:t>
        </m:r>
      </m:oMath>
      <w:r w:rsidR="00707B14"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, then it is more likely to see COOP TF pairs in bin </w:t>
      </w:r>
      <w:r w:rsidR="00793356" w:rsidRPr="00511C33">
        <w:rPr>
          <w:rFonts w:ascii="Times New Roman" w:eastAsia="Times New Roman" w:hAnsi="Times New Roman" w:cs="Times New Roman"/>
          <w:i/>
          <w:kern w:val="1"/>
          <w:sz w:val="24"/>
          <w:szCs w:val="24"/>
          <w:lang w:val="en-GB"/>
        </w:rPr>
        <w:t>i</w:t>
      </w:r>
      <w:r w:rsidR="00707B14"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 (compared to other bins) than NINT TF pairs;</w:t>
      </w:r>
      <w:r w:rsidR="00707B14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 both of these can be similarly defined </w:t>
      </w: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for different labels </w:t>
      </w:r>
      <m:oMath>
        <m:r>
          <w:rPr>
            <w:rFonts w:ascii="Cambria Math" w:eastAsia="Times New Roman" w:hAnsi="Cambria Math" w:cs="Times New Roman"/>
            <w:kern w:val="1"/>
            <w:sz w:val="24"/>
            <w:szCs w:val="24"/>
            <w:lang w:val="en-GB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1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1"/>
                <w:sz w:val="24"/>
                <w:szCs w:val="24"/>
                <w:lang w:val="en-GB"/>
              </w:rPr>
              <m:t>L</m:t>
            </m:r>
          </m:e>
          <m:sub>
            <m:r>
              <w:rPr>
                <w:rFonts w:ascii="Cambria Math" w:eastAsia="Times New Roman" w:hAnsi="Cambria Math" w:cs="Times New Roman"/>
                <w:kern w:val="1"/>
                <w:sz w:val="24"/>
                <w:szCs w:val="24"/>
                <w:lang w:val="en-GB"/>
              </w:rPr>
              <m:t>i</m:t>
            </m:r>
          </m:sub>
        </m:sSub>
        <m:r>
          <w:rPr>
            <w:rFonts w:ascii="Cambria Math" w:eastAsia="Times New Roman" w:hAnsi="Cambria Math" w:cs="Times New Roman"/>
            <w:kern w:val="1"/>
            <w:sz w:val="24"/>
            <w:szCs w:val="24"/>
            <w:lang w:val="en-GB"/>
          </w:rPr>
          <m:t>,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1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1"/>
                <w:sz w:val="24"/>
                <w:szCs w:val="24"/>
                <w:lang w:val="en-GB"/>
              </w:rPr>
              <m:t>L</m:t>
            </m:r>
          </m:e>
          <m:sub>
            <m:r>
              <w:rPr>
                <w:rFonts w:ascii="Cambria Math" w:eastAsia="Times New Roman" w:hAnsi="Cambria Math" w:cs="Times New Roman"/>
                <w:kern w:val="1"/>
                <w:sz w:val="24"/>
                <w:szCs w:val="24"/>
                <w:lang w:val="en-GB"/>
              </w:rPr>
              <m:t>j</m:t>
            </m:r>
          </m:sub>
        </m:sSub>
        <m:r>
          <w:rPr>
            <w:rFonts w:ascii="Cambria Math" w:eastAsia="Times New Roman" w:hAnsi="Cambria Math" w:cs="Times New Roman"/>
            <w:kern w:val="1"/>
            <w:sz w:val="24"/>
            <w:szCs w:val="24"/>
            <w:lang w:val="en-GB"/>
          </w:rPr>
          <m:t>)</m:t>
        </m:r>
      </m:oMath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. We computed the OR and RR graphs for co-operation (COOP) versus non-interactions (NINT) for all interactions in our training dataset TR, shown in Figure </w:t>
      </w:r>
      <w:r w:rsidR="00E74E5F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>S1.</w:t>
      </w:r>
      <w:r w:rsidR="00DE1A3C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 We observe that both measures </w:t>
      </w:r>
      <w:r w:rsidR="00B64103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are </w:t>
      </w:r>
      <w:r w:rsidR="00705887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>much higher than 1</w:t>
      </w:r>
      <w:r w:rsidR="00B64103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 in bins 8, 9, and 10</w:t>
      </w:r>
      <w:r w:rsidR="00705887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>+ and less than 0.5 in bin 0</w:t>
      </w:r>
      <w:r w:rsidR="00677059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, suggesting that our use of </w:t>
      </w:r>
      <w:r w:rsidR="00705887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high </w:t>
      </w:r>
      <w:r w:rsidR="00677059" w:rsidRPr="00677059">
        <w:rPr>
          <w:rFonts w:ascii="Times New Roman" w:eastAsia="Times New Roman" w:hAnsi="Times New Roman" w:cs="Times New Roman"/>
          <w:i/>
          <w:kern w:val="1"/>
          <w:sz w:val="24"/>
          <w:szCs w:val="24"/>
          <w:lang w:val="en-GB"/>
        </w:rPr>
        <w:t>N</w:t>
      </w:r>
      <w:r w:rsidR="00677059" w:rsidRPr="00677059">
        <w:rPr>
          <w:rFonts w:ascii="Times New Roman" w:eastAsia="Times New Roman" w:hAnsi="Times New Roman" w:cs="Times New Roman"/>
          <w:i/>
          <w:kern w:val="1"/>
          <w:sz w:val="24"/>
          <w:szCs w:val="24"/>
          <w:vertAlign w:val="subscript"/>
          <w:lang w:val="en-GB"/>
        </w:rPr>
        <w:t>12</w:t>
      </w:r>
      <w:r w:rsidR="00677059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 </w:t>
      </w:r>
      <w:r w:rsidR="00705887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as a marker for co-operation is sound. We also note that bin 5 is enriched, further supporting our choice of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1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1"/>
                <w:sz w:val="24"/>
                <w:szCs w:val="24"/>
                <w:lang w:val="en-GB"/>
              </w:rPr>
              <m:t>τ</m:t>
            </m:r>
          </m:e>
          <m:sub>
            <m:r>
              <w:rPr>
                <w:rFonts w:ascii="Cambria Math" w:eastAsia="Times New Roman" w:hAnsi="Cambria Math" w:cs="Times New Roman"/>
                <w:kern w:val="1"/>
                <w:sz w:val="24"/>
                <w:szCs w:val="24"/>
                <w:lang w:val="en-GB"/>
              </w:rPr>
              <m:t>H</m:t>
            </m:r>
          </m:sub>
        </m:sSub>
        <m:r>
          <w:rPr>
            <w:rFonts w:ascii="Cambria Math" w:eastAsia="Times New Roman" w:hAnsi="Cambria Math" w:cs="Times New Roman"/>
            <w:kern w:val="1"/>
            <w:sz w:val="24"/>
            <w:szCs w:val="24"/>
            <w:lang w:val="en-GB"/>
          </w:rPr>
          <m:t xml:space="preserve"> = 5</m:t>
        </m:r>
      </m:oMath>
      <w:r w:rsidR="00705887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>.</w:t>
      </w:r>
    </w:p>
    <w:p w14:paraId="2EEEC324" w14:textId="34180791" w:rsidR="00BC4DE1" w:rsidRPr="00DE1A3C" w:rsidRDefault="00855ADA" w:rsidP="00DE1A3C">
      <w:pPr>
        <w:widowControl w:val="0"/>
        <w:autoSpaceDE w:val="0"/>
        <w:autoSpaceDN w:val="0"/>
        <w:adjustRightInd w:val="0"/>
        <w:snapToGrid w:val="0"/>
        <w:spacing w:after="0" w:line="360" w:lineRule="auto"/>
        <w:ind w:right="-6" w:firstLine="72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</w:pP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We also ran a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kern w:val="1"/>
                <w:sz w:val="24"/>
                <w:szCs w:val="24"/>
                <w:lang w:val="en-GB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1"/>
                <w:sz w:val="24"/>
                <w:szCs w:val="24"/>
                <w:lang w:val="en-GB"/>
              </w:rPr>
              <m:t>χ</m:t>
            </m:r>
          </m:e>
          <m:sup>
            <m:r>
              <w:rPr>
                <w:rFonts w:ascii="Cambria Math" w:eastAsia="Times New Roman" w:hAnsi="Cambria Math" w:cs="Times New Roman"/>
                <w:kern w:val="1"/>
                <w:sz w:val="24"/>
                <w:szCs w:val="24"/>
                <w:lang w:val="en-GB"/>
              </w:rPr>
              <m:t>2</m:t>
            </m:r>
          </m:sup>
        </m:sSup>
      </m:oMath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significance test on the counts used to compute the odds ratio and relative </w:t>
      </w:r>
      <w:r w:rsidRPr="00855ADA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lastRenderedPageBreak/>
        <w:t xml:space="preserve">risk, to assess whether the results are significant. Results in Table </w:t>
      </w:r>
      <w:r w:rsidR="00DE1A3C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S1. </w:t>
      </w:r>
      <w:r w:rsidR="00705887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Bins 0, 8, 9 and 10+ are significant with respect to the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kern w:val="1"/>
                <w:sz w:val="24"/>
                <w:szCs w:val="24"/>
                <w:lang w:val="en-GB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1"/>
                <w:sz w:val="24"/>
                <w:szCs w:val="24"/>
                <w:lang w:val="en-GB"/>
              </w:rPr>
              <m:t>χ</m:t>
            </m:r>
          </m:e>
          <m:sup>
            <m:r>
              <w:rPr>
                <w:rFonts w:ascii="Cambria Math" w:eastAsia="Times New Roman" w:hAnsi="Cambria Math" w:cs="Times New Roman"/>
                <w:kern w:val="1"/>
                <w:sz w:val="24"/>
                <w:szCs w:val="24"/>
                <w:lang w:val="en-GB"/>
              </w:rPr>
              <m:t>2</m:t>
            </m:r>
          </m:sup>
        </m:sSup>
      </m:oMath>
      <w:r w:rsidR="00705887"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  <w:t xml:space="preserve"> statistic, providing additional support to our decision.</w:t>
      </w:r>
    </w:p>
    <w:p w14:paraId="18C11B8A" w14:textId="77777777" w:rsidR="00BC4DE1" w:rsidRPr="009E1A94" w:rsidRDefault="00BC4DE1" w:rsidP="009E1A94">
      <w:pPr>
        <w:adjustRightInd w:val="0"/>
        <w:snapToGrid w:val="0"/>
        <w:spacing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en-GB"/>
        </w:rPr>
      </w:pPr>
    </w:p>
    <w:p w14:paraId="434A4058" w14:textId="77777777" w:rsidR="00A233C2" w:rsidRPr="009E1A94" w:rsidRDefault="00A233C2" w:rsidP="009E1A94">
      <w:pPr>
        <w:tabs>
          <w:tab w:val="left" w:pos="720"/>
        </w:tabs>
        <w:adjustRightInd w:val="0"/>
        <w:snapToGrid w:val="0"/>
        <w:jc w:val="both"/>
        <w:rPr>
          <w:rFonts w:ascii="Times New Roman" w:hAnsi="Times New Roman" w:cs="Times New Roman"/>
        </w:rPr>
      </w:pPr>
    </w:p>
    <w:sectPr w:rsidR="00A233C2" w:rsidRPr="009E1A94" w:rsidSect="000030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8"/>
  <w:bordersDoNotSurroundHeader/>
  <w:bordersDoNotSurroundFooter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970"/>
    <w:rsid w:val="000030BE"/>
    <w:rsid w:val="000414A9"/>
    <w:rsid w:val="0005365A"/>
    <w:rsid w:val="00097981"/>
    <w:rsid w:val="000C27BF"/>
    <w:rsid w:val="000F1752"/>
    <w:rsid w:val="001158B2"/>
    <w:rsid w:val="0012303D"/>
    <w:rsid w:val="00133CB3"/>
    <w:rsid w:val="00151912"/>
    <w:rsid w:val="00174880"/>
    <w:rsid w:val="001803EE"/>
    <w:rsid w:val="00181E6E"/>
    <w:rsid w:val="001957F0"/>
    <w:rsid w:val="00202124"/>
    <w:rsid w:val="002149B4"/>
    <w:rsid w:val="00221DB4"/>
    <w:rsid w:val="00224970"/>
    <w:rsid w:val="0023109C"/>
    <w:rsid w:val="0024153E"/>
    <w:rsid w:val="002764E0"/>
    <w:rsid w:val="002B128B"/>
    <w:rsid w:val="003A03BC"/>
    <w:rsid w:val="003A44ED"/>
    <w:rsid w:val="003A7E95"/>
    <w:rsid w:val="003B7582"/>
    <w:rsid w:val="003D1586"/>
    <w:rsid w:val="003F7118"/>
    <w:rsid w:val="004006B5"/>
    <w:rsid w:val="004119E3"/>
    <w:rsid w:val="00421DFA"/>
    <w:rsid w:val="004345DD"/>
    <w:rsid w:val="004462E3"/>
    <w:rsid w:val="0047046F"/>
    <w:rsid w:val="004825E1"/>
    <w:rsid w:val="0049464D"/>
    <w:rsid w:val="004A0BEA"/>
    <w:rsid w:val="004E031D"/>
    <w:rsid w:val="00511C33"/>
    <w:rsid w:val="0052786A"/>
    <w:rsid w:val="00542188"/>
    <w:rsid w:val="00566DF4"/>
    <w:rsid w:val="005749AB"/>
    <w:rsid w:val="00581281"/>
    <w:rsid w:val="005879BF"/>
    <w:rsid w:val="005939B4"/>
    <w:rsid w:val="00594735"/>
    <w:rsid w:val="005957EC"/>
    <w:rsid w:val="005D1A61"/>
    <w:rsid w:val="005D5423"/>
    <w:rsid w:val="005F1BEA"/>
    <w:rsid w:val="0060059E"/>
    <w:rsid w:val="00606864"/>
    <w:rsid w:val="006316D1"/>
    <w:rsid w:val="0064041E"/>
    <w:rsid w:val="00652F44"/>
    <w:rsid w:val="006623CB"/>
    <w:rsid w:val="00662A0A"/>
    <w:rsid w:val="00677059"/>
    <w:rsid w:val="00684EA6"/>
    <w:rsid w:val="006B5D52"/>
    <w:rsid w:val="006C2496"/>
    <w:rsid w:val="006C4035"/>
    <w:rsid w:val="006D0D9B"/>
    <w:rsid w:val="006D6034"/>
    <w:rsid w:val="006F014B"/>
    <w:rsid w:val="00705887"/>
    <w:rsid w:val="00707B14"/>
    <w:rsid w:val="007178D9"/>
    <w:rsid w:val="007408C7"/>
    <w:rsid w:val="00740AFB"/>
    <w:rsid w:val="00753629"/>
    <w:rsid w:val="00786DEE"/>
    <w:rsid w:val="00793356"/>
    <w:rsid w:val="007A64BA"/>
    <w:rsid w:val="007E30A5"/>
    <w:rsid w:val="007E3589"/>
    <w:rsid w:val="007F0BBA"/>
    <w:rsid w:val="00801FFA"/>
    <w:rsid w:val="00802B94"/>
    <w:rsid w:val="00815F06"/>
    <w:rsid w:val="00834AB6"/>
    <w:rsid w:val="00843D53"/>
    <w:rsid w:val="00855ADA"/>
    <w:rsid w:val="008833B3"/>
    <w:rsid w:val="00892782"/>
    <w:rsid w:val="00893C9A"/>
    <w:rsid w:val="008C2F37"/>
    <w:rsid w:val="008D3776"/>
    <w:rsid w:val="008E3B5B"/>
    <w:rsid w:val="008F146B"/>
    <w:rsid w:val="008F4A24"/>
    <w:rsid w:val="008F708B"/>
    <w:rsid w:val="00911EAF"/>
    <w:rsid w:val="009203D1"/>
    <w:rsid w:val="00932E84"/>
    <w:rsid w:val="009424B7"/>
    <w:rsid w:val="009464C3"/>
    <w:rsid w:val="00952D8F"/>
    <w:rsid w:val="009546C2"/>
    <w:rsid w:val="009D19CC"/>
    <w:rsid w:val="009E1229"/>
    <w:rsid w:val="009E1A94"/>
    <w:rsid w:val="00A037E7"/>
    <w:rsid w:val="00A041F6"/>
    <w:rsid w:val="00A11B99"/>
    <w:rsid w:val="00A233C2"/>
    <w:rsid w:val="00A548C8"/>
    <w:rsid w:val="00A60E73"/>
    <w:rsid w:val="00A70077"/>
    <w:rsid w:val="00A7046F"/>
    <w:rsid w:val="00A76278"/>
    <w:rsid w:val="00AC67DC"/>
    <w:rsid w:val="00AD2A57"/>
    <w:rsid w:val="00AD5603"/>
    <w:rsid w:val="00AE24AB"/>
    <w:rsid w:val="00AF1E3E"/>
    <w:rsid w:val="00B06614"/>
    <w:rsid w:val="00B54DB2"/>
    <w:rsid w:val="00B64103"/>
    <w:rsid w:val="00BB070E"/>
    <w:rsid w:val="00BB4628"/>
    <w:rsid w:val="00BC4DE1"/>
    <w:rsid w:val="00BC6436"/>
    <w:rsid w:val="00C03D20"/>
    <w:rsid w:val="00C159AA"/>
    <w:rsid w:val="00C37607"/>
    <w:rsid w:val="00C4201D"/>
    <w:rsid w:val="00C5420A"/>
    <w:rsid w:val="00C908CC"/>
    <w:rsid w:val="00CB5E46"/>
    <w:rsid w:val="00CE6877"/>
    <w:rsid w:val="00D37BBC"/>
    <w:rsid w:val="00D460DE"/>
    <w:rsid w:val="00D74BAA"/>
    <w:rsid w:val="00D7655C"/>
    <w:rsid w:val="00DC3C93"/>
    <w:rsid w:val="00DE1A3C"/>
    <w:rsid w:val="00DE1EDC"/>
    <w:rsid w:val="00DF4CEB"/>
    <w:rsid w:val="00E333EF"/>
    <w:rsid w:val="00E3709A"/>
    <w:rsid w:val="00E56F2B"/>
    <w:rsid w:val="00E63109"/>
    <w:rsid w:val="00E63E30"/>
    <w:rsid w:val="00E642ED"/>
    <w:rsid w:val="00E74E5F"/>
    <w:rsid w:val="00E90745"/>
    <w:rsid w:val="00E94711"/>
    <w:rsid w:val="00E967DF"/>
    <w:rsid w:val="00EB2365"/>
    <w:rsid w:val="00EB613B"/>
    <w:rsid w:val="00EC0C13"/>
    <w:rsid w:val="00EC2E9A"/>
    <w:rsid w:val="00EC4026"/>
    <w:rsid w:val="00ED34E5"/>
    <w:rsid w:val="00EF2BC8"/>
    <w:rsid w:val="00F07D26"/>
    <w:rsid w:val="00F116CC"/>
    <w:rsid w:val="00F74B98"/>
    <w:rsid w:val="00F970FC"/>
    <w:rsid w:val="00F97B76"/>
    <w:rsid w:val="00FB1E3A"/>
    <w:rsid w:val="00FC66A7"/>
    <w:rsid w:val="00FD5346"/>
    <w:rsid w:val="00FE6565"/>
    <w:rsid w:val="00FF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EE286"/>
  <w15:docId w15:val="{92EABC85-AAAC-40F4-9224-EE2ADF842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30BE"/>
  </w:style>
  <w:style w:type="paragraph" w:styleId="Heading1">
    <w:name w:val="heading 1"/>
    <w:basedOn w:val="Normal"/>
    <w:next w:val="Normal"/>
    <w:link w:val="Heading1Char"/>
    <w:uiPriority w:val="9"/>
    <w:qFormat/>
    <w:rsid w:val="00A704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5D52"/>
    <w:rPr>
      <w:color w:val="0563C1" w:themeColor="hyperlink"/>
      <w:u w:val="single"/>
    </w:rPr>
  </w:style>
  <w:style w:type="character" w:customStyle="1" w:styleId="highlighter">
    <w:name w:val="highlighter"/>
    <w:basedOn w:val="DefaultParagraphFont"/>
    <w:rsid w:val="003F7118"/>
  </w:style>
  <w:style w:type="character" w:styleId="Emphasis">
    <w:name w:val="Emphasis"/>
    <w:basedOn w:val="DefaultParagraphFont"/>
    <w:uiPriority w:val="20"/>
    <w:qFormat/>
    <w:rsid w:val="003F7118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704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rsid w:val="001957F0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9B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9B4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D1586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158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158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15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1586"/>
    <w:rPr>
      <w:b/>
      <w:bCs/>
    </w:rPr>
  </w:style>
  <w:style w:type="paragraph" w:styleId="Revision">
    <w:name w:val="Revision"/>
    <w:hidden/>
    <w:uiPriority w:val="99"/>
    <w:semiHidden/>
    <w:rsid w:val="00B54DB2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70588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University of Singapore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Wong Lim Soon</dc:creator>
  <cp:keywords/>
  <dc:description/>
  <cp:lastModifiedBy>Stefano Perna</cp:lastModifiedBy>
  <cp:revision>12</cp:revision>
  <dcterms:created xsi:type="dcterms:W3CDTF">2018-12-10T12:01:00Z</dcterms:created>
  <dcterms:modified xsi:type="dcterms:W3CDTF">2020-02-07T16:00:00Z</dcterms:modified>
</cp:coreProperties>
</file>