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F93" w:rsidRDefault="007E3F93" w:rsidP="007E3F93">
      <w:pPr>
        <w:spacing w:line="480" w:lineRule="auto"/>
        <w:jc w:val="both"/>
        <w:rPr>
          <w:rFonts w:ascii="Times New Roman" w:hAnsi="Times New Roman"/>
          <w:b/>
          <w:u w:val="single"/>
          <w:shd w:val="clear" w:color="auto" w:fill="FFFFFF"/>
          <w:lang w:val="en-US"/>
        </w:rPr>
      </w:pPr>
      <w:bookmarkStart w:id="0" w:name="_GoBack"/>
      <w:bookmarkEnd w:id="0"/>
      <w:r w:rsidRPr="002D4D61">
        <w:rPr>
          <w:rFonts w:ascii="Times New Roman" w:hAnsi="Times New Roman"/>
          <w:b/>
          <w:u w:val="single"/>
          <w:shd w:val="clear" w:color="auto" w:fill="FFFFFF"/>
          <w:lang w:val="en-US"/>
        </w:rPr>
        <w:t xml:space="preserve">Supplementary </w:t>
      </w:r>
      <w:r>
        <w:rPr>
          <w:rFonts w:ascii="Times New Roman" w:hAnsi="Times New Roman"/>
          <w:b/>
          <w:u w:val="single"/>
          <w:shd w:val="clear" w:color="auto" w:fill="FFFFFF"/>
          <w:lang w:val="en-US"/>
        </w:rPr>
        <w:t>Information</w:t>
      </w:r>
    </w:p>
    <w:p w:rsidR="007E3F93" w:rsidRPr="006C5BC6" w:rsidRDefault="007E3F93" w:rsidP="007E3F93">
      <w:pPr>
        <w:spacing w:line="480" w:lineRule="auto"/>
        <w:jc w:val="both"/>
        <w:rPr>
          <w:rFonts w:ascii="Times New Roman" w:hAnsi="Times New Roman"/>
          <w:b/>
          <w:shd w:val="clear" w:color="auto" w:fill="FFFFFF"/>
          <w:lang w:val="en-US"/>
        </w:rPr>
      </w:pPr>
      <w:r w:rsidRPr="006C5BC6">
        <w:rPr>
          <w:rFonts w:ascii="Times New Roman" w:hAnsi="Times New Roman"/>
          <w:b/>
          <w:shd w:val="clear" w:color="auto" w:fill="FFFFFF"/>
          <w:lang w:val="en-US"/>
        </w:rPr>
        <w:t>Additional File 1</w:t>
      </w:r>
    </w:p>
    <w:p w:rsidR="007E3F93" w:rsidRPr="002D4D61" w:rsidRDefault="007E3F93" w:rsidP="007E3F93">
      <w:pPr>
        <w:spacing w:line="480" w:lineRule="auto"/>
        <w:jc w:val="both"/>
        <w:rPr>
          <w:rFonts w:ascii="Times New Roman" w:hAnsi="Times New Roman"/>
          <w:sz w:val="20"/>
          <w:lang w:val="en-US"/>
        </w:rPr>
      </w:pPr>
      <w:r w:rsidRPr="002D4D61">
        <w:rPr>
          <w:rFonts w:ascii="Times New Roman" w:hAnsi="Times New Roman"/>
          <w:noProof/>
          <w:sz w:val="20"/>
          <w:lang w:val="en-IN" w:eastAsia="en-IN"/>
        </w:rPr>
        <w:drawing>
          <wp:inline distT="0" distB="0" distL="0" distR="0">
            <wp:extent cx="6115050" cy="20288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3F93" w:rsidRPr="002D4D61" w:rsidRDefault="007E3F93" w:rsidP="007E3F93">
      <w:pPr>
        <w:spacing w:line="480" w:lineRule="auto"/>
        <w:jc w:val="both"/>
        <w:rPr>
          <w:rFonts w:ascii="Times New Roman" w:hAnsi="Times New Roman"/>
          <w:sz w:val="20"/>
          <w:lang w:val="en-US"/>
        </w:rPr>
      </w:pPr>
      <w:r w:rsidRPr="002D4D61">
        <w:rPr>
          <w:rFonts w:ascii="Times New Roman" w:hAnsi="Times New Roman"/>
          <w:b/>
          <w:sz w:val="20"/>
          <w:szCs w:val="20"/>
          <w:lang w:val="en-US"/>
        </w:rPr>
        <w:t xml:space="preserve">Figure </w:t>
      </w:r>
      <w:r>
        <w:rPr>
          <w:rFonts w:ascii="Times New Roman" w:hAnsi="Times New Roman"/>
          <w:b/>
          <w:sz w:val="20"/>
          <w:szCs w:val="20"/>
          <w:lang w:val="en-US"/>
        </w:rPr>
        <w:t>S</w:t>
      </w:r>
      <w:r w:rsidRPr="002D4D61">
        <w:rPr>
          <w:rFonts w:ascii="Times New Roman" w:hAnsi="Times New Roman"/>
          <w:b/>
          <w:sz w:val="20"/>
          <w:szCs w:val="20"/>
          <w:lang w:val="en-US"/>
        </w:rPr>
        <w:t xml:space="preserve">1: Effect of </w:t>
      </w:r>
      <w:proofErr w:type="spellStart"/>
      <w:r w:rsidRPr="002D4D61">
        <w:rPr>
          <w:rFonts w:ascii="Times New Roman" w:hAnsi="Times New Roman"/>
          <w:b/>
          <w:sz w:val="20"/>
          <w:szCs w:val="20"/>
          <w:lang w:val="en-US"/>
        </w:rPr>
        <w:t>Bor</w:t>
      </w:r>
      <w:proofErr w:type="spellEnd"/>
      <w:r w:rsidRPr="002D4D61">
        <w:rPr>
          <w:rFonts w:ascii="Times New Roman" w:hAnsi="Times New Roman"/>
          <w:b/>
          <w:sz w:val="20"/>
          <w:szCs w:val="20"/>
          <w:lang w:val="en-US"/>
        </w:rPr>
        <w:t xml:space="preserve"> on protein ubiquitination.</w:t>
      </w:r>
      <w:r w:rsidRPr="002D4D61">
        <w:rPr>
          <w:rFonts w:ascii="Times New Roman" w:hAnsi="Times New Roman"/>
          <w:sz w:val="20"/>
          <w:szCs w:val="20"/>
          <w:lang w:val="en-US"/>
        </w:rPr>
        <w:t xml:space="preserve"> Western blotting analysis was performed on</w:t>
      </w:r>
      <w:r w:rsidRPr="002D4D61">
        <w:rPr>
          <w:rFonts w:ascii="Times New Roman" w:hAnsi="Times New Roman"/>
          <w:sz w:val="20"/>
          <w:lang w:val="en-US"/>
        </w:rPr>
        <w:t xml:space="preserve"> lysates from MM cell lines treated with </w:t>
      </w:r>
      <w:proofErr w:type="spellStart"/>
      <w:r w:rsidRPr="002D4D61">
        <w:rPr>
          <w:rFonts w:ascii="Times New Roman" w:hAnsi="Times New Roman"/>
          <w:sz w:val="20"/>
          <w:lang w:val="en-US"/>
        </w:rPr>
        <w:t>Bor</w:t>
      </w:r>
      <w:proofErr w:type="spellEnd"/>
      <w:r w:rsidRPr="002D4D61">
        <w:rPr>
          <w:rFonts w:ascii="Times New Roman" w:hAnsi="Times New Roman"/>
          <w:sz w:val="20"/>
          <w:lang w:val="en-US"/>
        </w:rPr>
        <w:t xml:space="preserve"> (12.5 and 25 </w:t>
      </w:r>
      <w:proofErr w:type="spellStart"/>
      <w:r w:rsidRPr="002D4D61">
        <w:rPr>
          <w:rFonts w:ascii="Times New Roman" w:hAnsi="Times New Roman"/>
          <w:sz w:val="20"/>
          <w:lang w:val="en-US"/>
        </w:rPr>
        <w:t>nM</w:t>
      </w:r>
      <w:proofErr w:type="spellEnd"/>
      <w:r w:rsidRPr="002D4D61">
        <w:rPr>
          <w:rFonts w:ascii="Times New Roman" w:hAnsi="Times New Roman"/>
          <w:sz w:val="20"/>
          <w:lang w:val="en-US"/>
        </w:rPr>
        <w:t>) or DMSO for 14 or 24 h. Blots were probed with an anti-ubiquitin antibody. Actin was used as loading control.</w:t>
      </w:r>
    </w:p>
    <w:p w:rsidR="007E3F93" w:rsidRPr="002D4D61" w:rsidRDefault="007E3F93" w:rsidP="007E3F93">
      <w:pPr>
        <w:spacing w:line="480" w:lineRule="auto"/>
        <w:rPr>
          <w:rFonts w:ascii="Times New Roman" w:hAnsi="Times New Roman"/>
          <w:bCs/>
          <w:iCs/>
          <w:noProof/>
          <w:lang w:val="en-GB"/>
        </w:rPr>
      </w:pPr>
    </w:p>
    <w:p w:rsidR="007E3F93" w:rsidRPr="002D4D61" w:rsidRDefault="007E3F93" w:rsidP="007E3F93">
      <w:pPr>
        <w:spacing w:line="480" w:lineRule="auto"/>
        <w:rPr>
          <w:rFonts w:ascii="Times New Roman" w:hAnsi="Times New Roman"/>
          <w:bCs/>
          <w:iCs/>
          <w:lang w:val="en-GB"/>
        </w:rPr>
      </w:pPr>
    </w:p>
    <w:p w:rsidR="007E3F93" w:rsidRPr="002D4D61" w:rsidRDefault="007E3F93" w:rsidP="007E3F93">
      <w:pPr>
        <w:spacing w:line="480" w:lineRule="auto"/>
        <w:rPr>
          <w:rFonts w:ascii="Times New Roman" w:hAnsi="Times New Roman"/>
          <w:bCs/>
          <w:iCs/>
          <w:lang w:val="en-GB"/>
        </w:rPr>
      </w:pPr>
    </w:p>
    <w:p w:rsidR="007E3F93" w:rsidRPr="002D4D61" w:rsidRDefault="007E3F93" w:rsidP="007E3F93">
      <w:pPr>
        <w:spacing w:line="480" w:lineRule="auto"/>
        <w:rPr>
          <w:rFonts w:ascii="Times New Roman" w:hAnsi="Times New Roman"/>
          <w:bCs/>
          <w:iCs/>
          <w:lang w:val="en-GB"/>
        </w:rPr>
      </w:pPr>
    </w:p>
    <w:p w:rsidR="007E3F93" w:rsidRPr="002D4D61" w:rsidRDefault="007E3F93" w:rsidP="007E3F93">
      <w:pPr>
        <w:spacing w:line="480" w:lineRule="auto"/>
        <w:rPr>
          <w:rFonts w:ascii="Times New Roman" w:hAnsi="Times New Roman"/>
          <w:bCs/>
          <w:iCs/>
          <w:lang w:val="en-GB"/>
        </w:rPr>
      </w:pPr>
    </w:p>
    <w:p w:rsidR="007E3F93" w:rsidRPr="002D4D61" w:rsidRDefault="007E3F93" w:rsidP="007E3F93">
      <w:pPr>
        <w:spacing w:line="480" w:lineRule="auto"/>
        <w:rPr>
          <w:rFonts w:ascii="Times New Roman" w:hAnsi="Times New Roman"/>
          <w:bCs/>
          <w:iCs/>
          <w:lang w:val="en-GB"/>
        </w:rPr>
      </w:pPr>
      <w:r w:rsidRPr="002D4D61">
        <w:rPr>
          <w:rFonts w:ascii="Times New Roman" w:hAnsi="Times New Roman"/>
          <w:noProof/>
          <w:lang w:val="en-IN" w:eastAsia="en-IN"/>
        </w:rPr>
        <w:lastRenderedPageBreak/>
        <w:drawing>
          <wp:inline distT="0" distB="0" distL="0" distR="0">
            <wp:extent cx="5362575" cy="6086475"/>
            <wp:effectExtent l="0" t="0" r="9525" b="9525"/>
            <wp:docPr id="1" name="Picture 1" descr="supplement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upplementar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608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3F93" w:rsidRPr="002D4D61" w:rsidRDefault="007E3F93" w:rsidP="007E3F93">
      <w:pPr>
        <w:spacing w:line="480" w:lineRule="auto"/>
        <w:jc w:val="both"/>
        <w:rPr>
          <w:rFonts w:ascii="Times New Roman" w:hAnsi="Times New Roman"/>
          <w:bCs/>
          <w:iCs/>
          <w:noProof/>
          <w:sz w:val="20"/>
          <w:szCs w:val="20"/>
          <w:lang w:val="en-GB"/>
        </w:rPr>
      </w:pPr>
      <w:r w:rsidRPr="002D4D61">
        <w:rPr>
          <w:rFonts w:ascii="Times New Roman" w:hAnsi="Times New Roman"/>
          <w:b/>
          <w:sz w:val="20"/>
          <w:szCs w:val="20"/>
          <w:lang w:val="en-US"/>
        </w:rPr>
        <w:t xml:space="preserve">Figure </w:t>
      </w:r>
      <w:r>
        <w:rPr>
          <w:rFonts w:ascii="Times New Roman" w:hAnsi="Times New Roman"/>
          <w:b/>
          <w:sz w:val="20"/>
          <w:szCs w:val="20"/>
          <w:lang w:val="en-US"/>
        </w:rPr>
        <w:t>S</w:t>
      </w:r>
      <w:r w:rsidRPr="002D4D61">
        <w:rPr>
          <w:rFonts w:ascii="Times New Roman" w:hAnsi="Times New Roman"/>
          <w:b/>
          <w:sz w:val="20"/>
          <w:szCs w:val="20"/>
          <w:lang w:val="en-US"/>
        </w:rPr>
        <w:t xml:space="preserve">2: </w:t>
      </w:r>
      <w:r w:rsidRPr="002D4D61">
        <w:rPr>
          <w:rFonts w:ascii="Times New Roman" w:hAnsi="Times New Roman"/>
          <w:b/>
          <w:bCs/>
          <w:iCs/>
          <w:noProof/>
          <w:sz w:val="20"/>
          <w:szCs w:val="20"/>
          <w:lang w:val="en-GB"/>
        </w:rPr>
        <w:t xml:space="preserve">Gating strategies for the identification of leukocyte subpopulations. </w:t>
      </w:r>
      <w:r w:rsidRPr="002D4D61">
        <w:rPr>
          <w:rFonts w:ascii="Times New Roman" w:hAnsi="Times New Roman"/>
          <w:bCs/>
          <w:iCs/>
          <w:noProof/>
          <w:sz w:val="20"/>
          <w:szCs w:val="20"/>
          <w:lang w:val="en-GB"/>
        </w:rPr>
        <w:t>a) Flow cytometry gating strategy used to define B cells (CD3</w:t>
      </w:r>
      <w:r w:rsidRPr="002D4D61">
        <w:rPr>
          <w:rFonts w:ascii="Times New Roman" w:hAnsi="Times New Roman"/>
          <w:bCs/>
          <w:iCs/>
          <w:noProof/>
          <w:sz w:val="20"/>
          <w:szCs w:val="20"/>
          <w:vertAlign w:val="superscript"/>
          <w:lang w:val="en-GB"/>
        </w:rPr>
        <w:t>-</w:t>
      </w:r>
      <w:r w:rsidRPr="002D4D61">
        <w:rPr>
          <w:rFonts w:ascii="Times New Roman" w:hAnsi="Times New Roman"/>
          <w:bCs/>
          <w:iCs/>
          <w:noProof/>
          <w:sz w:val="20"/>
          <w:szCs w:val="20"/>
          <w:lang w:val="en-GB"/>
        </w:rPr>
        <w:t>B220</w:t>
      </w:r>
      <w:r w:rsidRPr="002D4D61">
        <w:rPr>
          <w:rFonts w:ascii="Times New Roman" w:hAnsi="Times New Roman"/>
          <w:bCs/>
          <w:iCs/>
          <w:noProof/>
          <w:sz w:val="20"/>
          <w:szCs w:val="20"/>
          <w:vertAlign w:val="superscript"/>
          <w:lang w:val="en-GB"/>
        </w:rPr>
        <w:t>+</w:t>
      </w:r>
      <w:r w:rsidRPr="002D4D61">
        <w:rPr>
          <w:rFonts w:ascii="Times New Roman" w:hAnsi="Times New Roman"/>
          <w:bCs/>
          <w:iCs/>
          <w:noProof/>
          <w:sz w:val="20"/>
          <w:szCs w:val="20"/>
          <w:lang w:val="en-GB"/>
        </w:rPr>
        <w:t>), MDSCs (CD3</w:t>
      </w:r>
      <w:r w:rsidRPr="002D4D61">
        <w:rPr>
          <w:rFonts w:ascii="Times New Roman" w:hAnsi="Times New Roman"/>
          <w:bCs/>
          <w:iCs/>
          <w:noProof/>
          <w:sz w:val="20"/>
          <w:szCs w:val="20"/>
          <w:vertAlign w:val="superscript"/>
          <w:lang w:val="en-GB"/>
        </w:rPr>
        <w:t>-</w:t>
      </w:r>
      <w:r w:rsidRPr="002D4D61">
        <w:rPr>
          <w:rFonts w:ascii="Times New Roman" w:hAnsi="Times New Roman"/>
          <w:bCs/>
          <w:iCs/>
          <w:noProof/>
          <w:sz w:val="20"/>
          <w:szCs w:val="20"/>
          <w:lang w:val="en-GB"/>
        </w:rPr>
        <w:t>CD11b</w:t>
      </w:r>
      <w:r w:rsidRPr="002D4D61">
        <w:rPr>
          <w:rFonts w:ascii="Times New Roman" w:hAnsi="Times New Roman"/>
          <w:bCs/>
          <w:iCs/>
          <w:noProof/>
          <w:sz w:val="20"/>
          <w:szCs w:val="20"/>
          <w:vertAlign w:val="superscript"/>
          <w:lang w:val="en-GB"/>
        </w:rPr>
        <w:t>HI</w:t>
      </w:r>
      <w:r w:rsidRPr="002D4D61">
        <w:rPr>
          <w:rFonts w:ascii="Times New Roman" w:hAnsi="Times New Roman"/>
          <w:bCs/>
          <w:iCs/>
          <w:noProof/>
          <w:sz w:val="20"/>
          <w:szCs w:val="20"/>
          <w:lang w:val="en-GB"/>
        </w:rPr>
        <w:t>F4/80</w:t>
      </w:r>
      <w:r w:rsidRPr="002D4D61">
        <w:rPr>
          <w:rFonts w:ascii="Times New Roman" w:hAnsi="Times New Roman"/>
          <w:bCs/>
          <w:iCs/>
          <w:noProof/>
          <w:sz w:val="20"/>
          <w:szCs w:val="20"/>
          <w:vertAlign w:val="superscript"/>
          <w:lang w:val="en-GB"/>
        </w:rPr>
        <w:t>-</w:t>
      </w:r>
      <w:r w:rsidRPr="002D4D61">
        <w:rPr>
          <w:rFonts w:ascii="Times New Roman" w:hAnsi="Times New Roman"/>
          <w:bCs/>
          <w:iCs/>
          <w:noProof/>
          <w:sz w:val="20"/>
          <w:szCs w:val="20"/>
          <w:lang w:val="en-GB"/>
        </w:rPr>
        <w:t>Gr-1</w:t>
      </w:r>
      <w:r w:rsidRPr="002D4D61">
        <w:rPr>
          <w:rFonts w:ascii="Times New Roman" w:hAnsi="Times New Roman"/>
          <w:bCs/>
          <w:iCs/>
          <w:noProof/>
          <w:sz w:val="20"/>
          <w:szCs w:val="20"/>
          <w:vertAlign w:val="superscript"/>
          <w:lang w:val="en-GB"/>
        </w:rPr>
        <w:t>+</w:t>
      </w:r>
      <w:r w:rsidRPr="002D4D61">
        <w:rPr>
          <w:rFonts w:ascii="Times New Roman" w:hAnsi="Times New Roman"/>
          <w:bCs/>
          <w:iCs/>
          <w:noProof/>
          <w:sz w:val="20"/>
          <w:szCs w:val="20"/>
          <w:lang w:val="en-GB"/>
        </w:rPr>
        <w:t>) and TAMs (F4/80</w:t>
      </w:r>
      <w:r w:rsidRPr="002D4D61">
        <w:rPr>
          <w:rFonts w:ascii="Times New Roman" w:hAnsi="Times New Roman"/>
          <w:bCs/>
          <w:iCs/>
          <w:noProof/>
          <w:sz w:val="20"/>
          <w:szCs w:val="20"/>
          <w:vertAlign w:val="superscript"/>
          <w:lang w:val="en-GB"/>
        </w:rPr>
        <w:t>+</w:t>
      </w:r>
      <w:r w:rsidRPr="002D4D61">
        <w:rPr>
          <w:rFonts w:ascii="Times New Roman" w:hAnsi="Times New Roman"/>
          <w:bCs/>
          <w:iCs/>
          <w:noProof/>
          <w:sz w:val="20"/>
          <w:szCs w:val="20"/>
          <w:lang w:val="en-GB"/>
        </w:rPr>
        <w:t>CD11b</w:t>
      </w:r>
      <w:r w:rsidRPr="002D4D61">
        <w:rPr>
          <w:rFonts w:ascii="Times New Roman" w:hAnsi="Times New Roman"/>
          <w:bCs/>
          <w:iCs/>
          <w:noProof/>
          <w:sz w:val="20"/>
          <w:szCs w:val="20"/>
          <w:vertAlign w:val="superscript"/>
          <w:lang w:val="en-GB"/>
        </w:rPr>
        <w:t>+</w:t>
      </w:r>
      <w:r w:rsidRPr="002D4D61">
        <w:rPr>
          <w:rFonts w:ascii="Times New Roman" w:hAnsi="Times New Roman"/>
          <w:bCs/>
          <w:iCs/>
          <w:noProof/>
          <w:sz w:val="20"/>
          <w:szCs w:val="20"/>
          <w:lang w:val="en-GB"/>
        </w:rPr>
        <w:t>) in the spleens or ascitic fluids of C57BL/6 mice transplanted with #40a MM cells. b) Flow cytometry gating strategy used to define CD4 and CD8 T cells (CD4+ or CD8+), activated T cells (CD4</w:t>
      </w:r>
      <w:r w:rsidRPr="002D4D61">
        <w:rPr>
          <w:rFonts w:ascii="Times New Roman" w:hAnsi="Times New Roman"/>
          <w:bCs/>
          <w:iCs/>
          <w:noProof/>
          <w:sz w:val="20"/>
          <w:szCs w:val="20"/>
          <w:vertAlign w:val="superscript"/>
          <w:lang w:val="en-GB"/>
        </w:rPr>
        <w:t>+</w:t>
      </w:r>
      <w:r w:rsidRPr="002D4D61">
        <w:rPr>
          <w:rFonts w:ascii="Times New Roman" w:hAnsi="Times New Roman"/>
          <w:bCs/>
          <w:iCs/>
          <w:noProof/>
          <w:sz w:val="20"/>
          <w:szCs w:val="20"/>
          <w:lang w:val="en-GB"/>
        </w:rPr>
        <w:t>CD69</w:t>
      </w:r>
      <w:r w:rsidRPr="002D4D61">
        <w:rPr>
          <w:rFonts w:ascii="Times New Roman" w:hAnsi="Times New Roman"/>
          <w:bCs/>
          <w:iCs/>
          <w:noProof/>
          <w:sz w:val="20"/>
          <w:szCs w:val="20"/>
          <w:vertAlign w:val="superscript"/>
          <w:lang w:val="en-GB"/>
        </w:rPr>
        <w:t>+</w:t>
      </w:r>
      <w:r w:rsidRPr="002D4D61">
        <w:rPr>
          <w:rFonts w:ascii="Times New Roman" w:hAnsi="Times New Roman"/>
          <w:bCs/>
          <w:iCs/>
          <w:noProof/>
          <w:sz w:val="20"/>
          <w:szCs w:val="20"/>
          <w:lang w:val="en-GB"/>
        </w:rPr>
        <w:t xml:space="preserve"> or CD4</w:t>
      </w:r>
      <w:r w:rsidRPr="002D4D61">
        <w:rPr>
          <w:rFonts w:ascii="Times New Roman" w:hAnsi="Times New Roman"/>
          <w:bCs/>
          <w:iCs/>
          <w:noProof/>
          <w:sz w:val="20"/>
          <w:szCs w:val="20"/>
          <w:vertAlign w:val="superscript"/>
          <w:lang w:val="en-GB"/>
        </w:rPr>
        <w:t>+</w:t>
      </w:r>
      <w:r w:rsidRPr="002D4D61">
        <w:rPr>
          <w:rFonts w:ascii="Times New Roman" w:hAnsi="Times New Roman"/>
          <w:bCs/>
          <w:iCs/>
          <w:noProof/>
          <w:sz w:val="20"/>
          <w:szCs w:val="20"/>
          <w:lang w:val="en-GB"/>
        </w:rPr>
        <w:t>CD25</w:t>
      </w:r>
      <w:r w:rsidRPr="002D4D61">
        <w:rPr>
          <w:rFonts w:ascii="Times New Roman" w:hAnsi="Times New Roman"/>
          <w:bCs/>
          <w:iCs/>
          <w:noProof/>
          <w:sz w:val="20"/>
          <w:szCs w:val="20"/>
          <w:vertAlign w:val="superscript"/>
          <w:lang w:val="en-GB"/>
        </w:rPr>
        <w:t>+</w:t>
      </w:r>
      <w:r w:rsidRPr="002D4D61">
        <w:rPr>
          <w:rFonts w:ascii="Times New Roman" w:hAnsi="Times New Roman"/>
          <w:bCs/>
          <w:iCs/>
          <w:noProof/>
          <w:sz w:val="20"/>
          <w:szCs w:val="20"/>
          <w:lang w:val="en-GB"/>
        </w:rPr>
        <w:t>or CD8</w:t>
      </w:r>
      <w:r w:rsidRPr="002D4D61">
        <w:rPr>
          <w:rFonts w:ascii="Times New Roman" w:hAnsi="Times New Roman"/>
          <w:bCs/>
          <w:iCs/>
          <w:noProof/>
          <w:sz w:val="20"/>
          <w:szCs w:val="20"/>
          <w:vertAlign w:val="superscript"/>
          <w:lang w:val="en-GB"/>
        </w:rPr>
        <w:t>+</w:t>
      </w:r>
      <w:r w:rsidRPr="002D4D61">
        <w:rPr>
          <w:rFonts w:ascii="Times New Roman" w:hAnsi="Times New Roman"/>
          <w:bCs/>
          <w:iCs/>
          <w:noProof/>
          <w:sz w:val="20"/>
          <w:szCs w:val="20"/>
          <w:lang w:val="en-GB"/>
        </w:rPr>
        <w:t>CD69</w:t>
      </w:r>
      <w:r w:rsidRPr="002D4D61">
        <w:rPr>
          <w:rFonts w:ascii="Times New Roman" w:hAnsi="Times New Roman"/>
          <w:bCs/>
          <w:iCs/>
          <w:noProof/>
          <w:sz w:val="20"/>
          <w:szCs w:val="20"/>
          <w:vertAlign w:val="superscript"/>
          <w:lang w:val="en-GB"/>
        </w:rPr>
        <w:t>+</w:t>
      </w:r>
      <w:r w:rsidRPr="002D4D61">
        <w:rPr>
          <w:rFonts w:ascii="Times New Roman" w:hAnsi="Times New Roman"/>
          <w:bCs/>
          <w:iCs/>
          <w:noProof/>
          <w:sz w:val="20"/>
          <w:szCs w:val="20"/>
          <w:lang w:val="en-GB"/>
        </w:rPr>
        <w:t xml:space="preserve"> or CD8</w:t>
      </w:r>
      <w:r w:rsidRPr="002D4D61">
        <w:rPr>
          <w:rFonts w:ascii="Times New Roman" w:hAnsi="Times New Roman"/>
          <w:bCs/>
          <w:iCs/>
          <w:noProof/>
          <w:sz w:val="20"/>
          <w:szCs w:val="20"/>
          <w:vertAlign w:val="superscript"/>
          <w:lang w:val="en-GB"/>
        </w:rPr>
        <w:t>+</w:t>
      </w:r>
      <w:r w:rsidRPr="002D4D61">
        <w:rPr>
          <w:rFonts w:ascii="Times New Roman" w:hAnsi="Times New Roman"/>
          <w:bCs/>
          <w:iCs/>
          <w:noProof/>
          <w:sz w:val="20"/>
          <w:szCs w:val="20"/>
          <w:lang w:val="en-GB"/>
        </w:rPr>
        <w:t>CD25</w:t>
      </w:r>
      <w:r w:rsidRPr="002D4D61">
        <w:rPr>
          <w:rFonts w:ascii="Times New Roman" w:hAnsi="Times New Roman"/>
          <w:bCs/>
          <w:iCs/>
          <w:noProof/>
          <w:sz w:val="20"/>
          <w:szCs w:val="20"/>
          <w:vertAlign w:val="superscript"/>
          <w:lang w:val="en-GB"/>
        </w:rPr>
        <w:t>+</w:t>
      </w:r>
      <w:r w:rsidRPr="002D4D61">
        <w:rPr>
          <w:rFonts w:ascii="Times New Roman" w:hAnsi="Times New Roman"/>
          <w:bCs/>
          <w:iCs/>
          <w:noProof/>
          <w:sz w:val="20"/>
          <w:szCs w:val="20"/>
          <w:lang w:val="en-GB"/>
        </w:rPr>
        <w:t>), and expression of PD-1 and IFN-γ on CD4 and CD8 T cells in the spleens or ascitic fluids of C57BL/6 mice transplanted with #40a MM cells. Leukcocytes were gated based on SSC-A versus FSC-A, and dead cells were excluded with Fixable Viability Dye.</w:t>
      </w:r>
    </w:p>
    <w:p w:rsidR="0082170D" w:rsidRDefault="0082170D"/>
    <w:sectPr w:rsidR="008217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F93"/>
    <w:rsid w:val="00040639"/>
    <w:rsid w:val="00082B17"/>
    <w:rsid w:val="00094BAD"/>
    <w:rsid w:val="000A1FFB"/>
    <w:rsid w:val="000D1E26"/>
    <w:rsid w:val="000F5BC0"/>
    <w:rsid w:val="001015F2"/>
    <w:rsid w:val="00126BB0"/>
    <w:rsid w:val="0014563E"/>
    <w:rsid w:val="00176AFC"/>
    <w:rsid w:val="00182CE8"/>
    <w:rsid w:val="00191929"/>
    <w:rsid w:val="001C59A6"/>
    <w:rsid w:val="001C6F8E"/>
    <w:rsid w:val="001E7762"/>
    <w:rsid w:val="00200762"/>
    <w:rsid w:val="00200B68"/>
    <w:rsid w:val="002048B4"/>
    <w:rsid w:val="00240127"/>
    <w:rsid w:val="00240D81"/>
    <w:rsid w:val="0026329E"/>
    <w:rsid w:val="00266397"/>
    <w:rsid w:val="002728E3"/>
    <w:rsid w:val="002B3E0A"/>
    <w:rsid w:val="002F4DCD"/>
    <w:rsid w:val="002F5BBD"/>
    <w:rsid w:val="00310F39"/>
    <w:rsid w:val="00332088"/>
    <w:rsid w:val="00373C07"/>
    <w:rsid w:val="003A0686"/>
    <w:rsid w:val="003C0672"/>
    <w:rsid w:val="003D0438"/>
    <w:rsid w:val="003E5488"/>
    <w:rsid w:val="003F5EB2"/>
    <w:rsid w:val="00411300"/>
    <w:rsid w:val="00420EAD"/>
    <w:rsid w:val="00456FA6"/>
    <w:rsid w:val="00503F4D"/>
    <w:rsid w:val="005040F5"/>
    <w:rsid w:val="005074A7"/>
    <w:rsid w:val="0051196D"/>
    <w:rsid w:val="005130AB"/>
    <w:rsid w:val="00592167"/>
    <w:rsid w:val="005A31F6"/>
    <w:rsid w:val="005D7F8C"/>
    <w:rsid w:val="00633DC9"/>
    <w:rsid w:val="006357E4"/>
    <w:rsid w:val="0066386F"/>
    <w:rsid w:val="0066705F"/>
    <w:rsid w:val="006806D6"/>
    <w:rsid w:val="006D587C"/>
    <w:rsid w:val="006F4E05"/>
    <w:rsid w:val="00702288"/>
    <w:rsid w:val="00717099"/>
    <w:rsid w:val="0073326F"/>
    <w:rsid w:val="007607BD"/>
    <w:rsid w:val="007709DA"/>
    <w:rsid w:val="00773B2F"/>
    <w:rsid w:val="007C24C5"/>
    <w:rsid w:val="007C5636"/>
    <w:rsid w:val="007E3F93"/>
    <w:rsid w:val="00812BEB"/>
    <w:rsid w:val="00815290"/>
    <w:rsid w:val="0082170D"/>
    <w:rsid w:val="008339A5"/>
    <w:rsid w:val="00840355"/>
    <w:rsid w:val="0088325A"/>
    <w:rsid w:val="00895BA9"/>
    <w:rsid w:val="00897265"/>
    <w:rsid w:val="008A02F8"/>
    <w:rsid w:val="008B7CE0"/>
    <w:rsid w:val="008E1679"/>
    <w:rsid w:val="008E2EED"/>
    <w:rsid w:val="008F799C"/>
    <w:rsid w:val="00917D7D"/>
    <w:rsid w:val="0094731A"/>
    <w:rsid w:val="009769B2"/>
    <w:rsid w:val="009A6423"/>
    <w:rsid w:val="009A725F"/>
    <w:rsid w:val="009B10F6"/>
    <w:rsid w:val="00A65198"/>
    <w:rsid w:val="00A7121C"/>
    <w:rsid w:val="00AA0AB6"/>
    <w:rsid w:val="00AB0741"/>
    <w:rsid w:val="00AF514E"/>
    <w:rsid w:val="00B02FDA"/>
    <w:rsid w:val="00B07A31"/>
    <w:rsid w:val="00B32534"/>
    <w:rsid w:val="00B76F70"/>
    <w:rsid w:val="00B80A6B"/>
    <w:rsid w:val="00B90134"/>
    <w:rsid w:val="00BA6352"/>
    <w:rsid w:val="00BB2A6E"/>
    <w:rsid w:val="00BD03FB"/>
    <w:rsid w:val="00BF0446"/>
    <w:rsid w:val="00C003B2"/>
    <w:rsid w:val="00C11A9B"/>
    <w:rsid w:val="00C25367"/>
    <w:rsid w:val="00C35755"/>
    <w:rsid w:val="00C478EB"/>
    <w:rsid w:val="00C76CA6"/>
    <w:rsid w:val="00C804F7"/>
    <w:rsid w:val="00C8517B"/>
    <w:rsid w:val="00CA2938"/>
    <w:rsid w:val="00CB78F7"/>
    <w:rsid w:val="00CC4D35"/>
    <w:rsid w:val="00CC5648"/>
    <w:rsid w:val="00D02963"/>
    <w:rsid w:val="00D039C1"/>
    <w:rsid w:val="00D03FB2"/>
    <w:rsid w:val="00D06F34"/>
    <w:rsid w:val="00D25446"/>
    <w:rsid w:val="00D3639E"/>
    <w:rsid w:val="00D37A80"/>
    <w:rsid w:val="00D61D19"/>
    <w:rsid w:val="00D657E0"/>
    <w:rsid w:val="00D84C87"/>
    <w:rsid w:val="00D96913"/>
    <w:rsid w:val="00DA00ED"/>
    <w:rsid w:val="00DA65E5"/>
    <w:rsid w:val="00DE3744"/>
    <w:rsid w:val="00E0293E"/>
    <w:rsid w:val="00E04D22"/>
    <w:rsid w:val="00E2505A"/>
    <w:rsid w:val="00E34AEB"/>
    <w:rsid w:val="00E72110"/>
    <w:rsid w:val="00EB6963"/>
    <w:rsid w:val="00EC428E"/>
    <w:rsid w:val="00ED0F06"/>
    <w:rsid w:val="00EE1D74"/>
    <w:rsid w:val="00F13619"/>
    <w:rsid w:val="00F32BEF"/>
    <w:rsid w:val="00F82902"/>
    <w:rsid w:val="00F83DE4"/>
    <w:rsid w:val="00F8551C"/>
    <w:rsid w:val="00F86EE8"/>
    <w:rsid w:val="00FA0A3B"/>
    <w:rsid w:val="00FC5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88FA16-137F-4932-9D68-F2473F076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3F93"/>
    <w:pPr>
      <w:spacing w:after="0" w:line="240" w:lineRule="auto"/>
    </w:pPr>
    <w:rPr>
      <w:rFonts w:ascii="Cambria" w:eastAsia="Times New Roman" w:hAnsi="Cambria" w:cs="Times New Roman"/>
      <w:sz w:val="24"/>
      <w:szCs w:val="24"/>
      <w:lang w:val="it-IT" w:eastAsia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150</Words>
  <Characters>859</Characters>
  <Application>Microsoft Office Word</Application>
  <DocSecurity>0</DocSecurity>
  <Lines>7</Lines>
  <Paragraphs>2</Paragraphs>
  <ScaleCrop>false</ScaleCrop>
  <Company>HP Inc.</Company>
  <LinksUpToDate>false</LinksUpToDate>
  <CharactersWithSpaces>1007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Espon Lenin S.</dc:creator>
  <cp:keywords/>
  <dc:description/>
  <cp:lastModifiedBy>Espon Lenin S.</cp:lastModifiedBy>
  <cp:revision>1</cp:revision>
  <dcterms:created xsi:type="dcterms:W3CDTF">2023-04-12T07:56:00Z</dcterms:created>
  <dcterms:modified xsi:type="dcterms:W3CDTF">2023-04-12T07:56:00Z</dcterms:modified>
</cp:coreProperties>
</file>