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47336" w14:textId="77777777" w:rsidR="00B810C2" w:rsidRPr="00E82451" w:rsidRDefault="00B810C2" w:rsidP="00B810C2">
      <w:pPr>
        <w:spacing w:line="360" w:lineRule="auto"/>
        <w:rPr>
          <w:rFonts w:ascii="Arial" w:hAnsi="Arial" w:cs="Arial"/>
          <w:b/>
          <w:bCs/>
        </w:rPr>
      </w:pPr>
      <w:bookmarkStart w:id="0" w:name="_Hlk145950876"/>
      <w:bookmarkStart w:id="1" w:name="_GoBack"/>
      <w:bookmarkEnd w:id="0"/>
      <w:bookmarkEnd w:id="1"/>
      <w:r w:rsidRPr="00E82451">
        <w:rPr>
          <w:rFonts w:ascii="Arial" w:hAnsi="Arial" w:cs="Arial" w:hint="eastAsia"/>
          <w:b/>
          <w:bCs/>
        </w:rPr>
        <w:t>F</w:t>
      </w:r>
      <w:r w:rsidRPr="00E82451">
        <w:rPr>
          <w:rFonts w:ascii="Arial" w:hAnsi="Arial" w:cs="Arial"/>
          <w:b/>
          <w:bCs/>
        </w:rPr>
        <w:t>igure S1.</w:t>
      </w:r>
    </w:p>
    <w:p w14:paraId="21E4AA72" w14:textId="75E14401" w:rsidR="00B810C2" w:rsidRPr="00E82451" w:rsidRDefault="003409EF" w:rsidP="00B810C2">
      <w:pPr>
        <w:spacing w:line="360" w:lineRule="auto"/>
        <w:rPr>
          <w:rFonts w:ascii="Arial" w:hAnsi="Arial" w:cs="Arial"/>
        </w:rPr>
      </w:pPr>
      <w:r w:rsidRPr="00E82451">
        <w:rPr>
          <w:rFonts w:ascii="Arial" w:hAnsi="Arial" w:cs="Arial"/>
          <w:noProof/>
          <w:lang w:val="en-IN" w:eastAsia="en-IN"/>
        </w:rPr>
        <w:drawing>
          <wp:inline distT="0" distB="0" distL="0" distR="0" wp14:anchorId="17C69833" wp14:editId="2F4D4CC8">
            <wp:extent cx="5347411" cy="6058126"/>
            <wp:effectExtent l="0" t="0" r="5715" b="0"/>
            <wp:docPr id="2747921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52558" cy="6063957"/>
                    </a:xfrm>
                    <a:prstGeom prst="rect">
                      <a:avLst/>
                    </a:prstGeom>
                    <a:noFill/>
                    <a:ln>
                      <a:noFill/>
                    </a:ln>
                  </pic:spPr>
                </pic:pic>
              </a:graphicData>
            </a:graphic>
          </wp:inline>
        </w:drawing>
      </w:r>
    </w:p>
    <w:p w14:paraId="0144694B" w14:textId="59ED500C" w:rsidR="003409EF" w:rsidRPr="00E82451" w:rsidRDefault="008F1A4F" w:rsidP="00B810C2">
      <w:pPr>
        <w:spacing w:line="360" w:lineRule="auto"/>
        <w:rPr>
          <w:rFonts w:ascii="Arial" w:hAnsi="Arial" w:cs="Arial"/>
        </w:rPr>
      </w:pPr>
      <w:r w:rsidRPr="00E82451">
        <w:rPr>
          <w:rFonts w:ascii="Arial" w:hAnsi="Arial" w:cs="Arial"/>
          <w:b/>
          <w:bCs/>
        </w:rPr>
        <w:t xml:space="preserve">Figure S1. High DTX2 expression was associated with adverse clinical features associated with glioma. </w:t>
      </w:r>
      <w:r w:rsidRPr="00E82451">
        <w:rPr>
          <w:rFonts w:ascii="Arial" w:hAnsi="Arial" w:cs="Arial"/>
        </w:rPr>
        <w:t xml:space="preserve">(A) DTX2 was highly expressed in glioma patients aged &gt;60 years. (B) DTX2 expression was highest in WHO G4 and lowest in G2. (C) In the co-del group in the 1p/19q co-deletion, DTX2 is lowly expressed. (D) DTX2 expression was lower in IDH status mutants. (E) DTX2 levels were highest during lesion progression and lower during complete and partial disease remission. (F) Among the different pathological subtypes of glioma, the highest DTX2 levels were found in glioblastoma, followed by astrocytoma. (G-L) ROC diagnostic curves to investigate the diagnostic efficacy of DTX2 </w:t>
      </w:r>
      <w:r w:rsidRPr="00E82451">
        <w:rPr>
          <w:rFonts w:ascii="Arial" w:hAnsi="Arial" w:cs="Arial"/>
        </w:rPr>
        <w:lastRenderedPageBreak/>
        <w:t>in clinical features associated with glioma patients, including age, WHO grade, IDH status, 1p/19q codeletion, primary therapy outcome and histological subtype. (M) Single-gene logistic regression models further assessed the effect of DTX2 on the analysis of clinical variables and showed that DTX2 had a relatively significant effect on the analysis of all clinical indicators of glioma. Remark: PD, Progressive disease; SD, Stable disease; PR, Partial response; CR, Complete response; O, Oligoastrocytoma; A, Astrocytoma; OA, Oligodendroglioma; GBM, Glioblastoma.</w:t>
      </w:r>
    </w:p>
    <w:p w14:paraId="727A3D41" w14:textId="77777777" w:rsidR="003409EF" w:rsidRPr="00E82451" w:rsidRDefault="003409EF">
      <w:pPr>
        <w:widowControl/>
        <w:jc w:val="left"/>
        <w:rPr>
          <w:rFonts w:ascii="Arial" w:hAnsi="Arial" w:cs="Arial"/>
          <w:b/>
          <w:bCs/>
        </w:rPr>
      </w:pPr>
      <w:r w:rsidRPr="00E82451">
        <w:rPr>
          <w:rFonts w:ascii="Arial" w:hAnsi="Arial" w:cs="Arial"/>
          <w:b/>
          <w:bCs/>
        </w:rPr>
        <w:br w:type="page"/>
      </w:r>
    </w:p>
    <w:p w14:paraId="5C6BAA5C" w14:textId="0DA44867" w:rsidR="00B810C2" w:rsidRPr="00E82451" w:rsidRDefault="00B810C2" w:rsidP="00B810C2">
      <w:pPr>
        <w:spacing w:line="360" w:lineRule="auto"/>
        <w:rPr>
          <w:rFonts w:ascii="Arial" w:hAnsi="Arial" w:cs="Arial"/>
          <w:b/>
          <w:bCs/>
        </w:rPr>
      </w:pPr>
      <w:r w:rsidRPr="00E82451">
        <w:rPr>
          <w:rFonts w:ascii="Arial" w:hAnsi="Arial" w:cs="Arial" w:hint="eastAsia"/>
          <w:b/>
          <w:bCs/>
        </w:rPr>
        <w:lastRenderedPageBreak/>
        <w:t>F</w:t>
      </w:r>
      <w:r w:rsidRPr="00E82451">
        <w:rPr>
          <w:rFonts w:ascii="Arial" w:hAnsi="Arial" w:cs="Arial"/>
          <w:b/>
          <w:bCs/>
        </w:rPr>
        <w:t>igure S2.</w:t>
      </w:r>
    </w:p>
    <w:p w14:paraId="2973682F" w14:textId="67149A36" w:rsidR="00B810C2" w:rsidRPr="00E82451" w:rsidRDefault="003409EF" w:rsidP="00B810C2">
      <w:pPr>
        <w:spacing w:line="360" w:lineRule="auto"/>
        <w:rPr>
          <w:rFonts w:ascii="Arial" w:hAnsi="Arial" w:cs="Arial"/>
        </w:rPr>
      </w:pPr>
      <w:r w:rsidRPr="00E82451">
        <w:rPr>
          <w:rFonts w:ascii="Arial" w:hAnsi="Arial" w:cs="Arial" w:hint="eastAsia"/>
          <w:b/>
          <w:bCs/>
          <w:noProof/>
          <w:lang w:val="en-IN" w:eastAsia="en-IN"/>
        </w:rPr>
        <w:drawing>
          <wp:inline distT="0" distB="0" distL="0" distR="0" wp14:anchorId="1C6CE854" wp14:editId="42B18522">
            <wp:extent cx="5274310" cy="2142093"/>
            <wp:effectExtent l="0" t="0" r="2540" b="0"/>
            <wp:docPr id="7523378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142093"/>
                    </a:xfrm>
                    <a:prstGeom prst="rect">
                      <a:avLst/>
                    </a:prstGeom>
                    <a:noFill/>
                    <a:ln>
                      <a:noFill/>
                    </a:ln>
                  </pic:spPr>
                </pic:pic>
              </a:graphicData>
            </a:graphic>
          </wp:inline>
        </w:drawing>
      </w:r>
    </w:p>
    <w:p w14:paraId="4C132646" w14:textId="77777777" w:rsidR="008F1A4F" w:rsidRPr="00E82451" w:rsidRDefault="008F1A4F" w:rsidP="008F1A4F">
      <w:pPr>
        <w:spacing w:line="360" w:lineRule="auto"/>
        <w:rPr>
          <w:rFonts w:ascii="Arial" w:hAnsi="Arial" w:cs="Arial"/>
        </w:rPr>
      </w:pPr>
    </w:p>
    <w:p w14:paraId="15B033CF" w14:textId="77777777" w:rsidR="008F1A4F" w:rsidRPr="00E82451" w:rsidRDefault="008F1A4F" w:rsidP="008F1A4F">
      <w:pPr>
        <w:spacing w:line="360" w:lineRule="auto"/>
        <w:rPr>
          <w:rFonts w:ascii="Arial" w:hAnsi="Arial" w:cs="Arial"/>
        </w:rPr>
      </w:pPr>
      <w:r w:rsidRPr="00E82451">
        <w:rPr>
          <w:rFonts w:ascii="Arial" w:hAnsi="Arial" w:cs="Arial"/>
          <w:b/>
          <w:bCs/>
        </w:rPr>
        <w:t>Figure S2. Analysis of the survival value of DTX2 in glioma.</w:t>
      </w:r>
      <w:r w:rsidRPr="00E82451">
        <w:t xml:space="preserve"> </w:t>
      </w:r>
      <w:r w:rsidRPr="00E82451">
        <w:rPr>
          <w:rFonts w:ascii="Arial" w:hAnsi="Arial" w:cs="Arial"/>
        </w:rPr>
        <w:t>(A) Construction of a prognostic nomogram for glioma survival. The higher the score, the lower the patient's survival rate is likely to be. (B) The calibration curves indicated that the prognostic model had more accurate predictive performance at 1,3,5 years.</w:t>
      </w:r>
    </w:p>
    <w:p w14:paraId="23C040A7" w14:textId="77777777" w:rsidR="008F1A4F" w:rsidRPr="00E82451" w:rsidRDefault="008F1A4F" w:rsidP="008F1A4F">
      <w:pPr>
        <w:spacing w:line="360" w:lineRule="auto"/>
        <w:rPr>
          <w:rFonts w:ascii="Arial" w:hAnsi="Arial" w:cs="Arial"/>
        </w:rPr>
      </w:pPr>
    </w:p>
    <w:p w14:paraId="4B9193F6" w14:textId="77777777" w:rsidR="003409EF" w:rsidRPr="00E82451" w:rsidRDefault="003409EF" w:rsidP="00B810C2">
      <w:pPr>
        <w:spacing w:line="360" w:lineRule="auto"/>
        <w:rPr>
          <w:rFonts w:ascii="Arial" w:hAnsi="Arial" w:cs="Arial"/>
        </w:rPr>
      </w:pPr>
    </w:p>
    <w:p w14:paraId="5BD40511" w14:textId="77777777" w:rsidR="003409EF" w:rsidRPr="00E82451" w:rsidRDefault="003409EF" w:rsidP="003409EF">
      <w:pPr>
        <w:spacing w:line="360" w:lineRule="auto"/>
        <w:rPr>
          <w:rFonts w:ascii="Arial" w:hAnsi="Arial" w:cs="Arial"/>
          <w:b/>
          <w:bCs/>
        </w:rPr>
      </w:pPr>
    </w:p>
    <w:p w14:paraId="37CB0194" w14:textId="77777777" w:rsidR="003409EF" w:rsidRPr="00E82451" w:rsidRDefault="003409EF" w:rsidP="003409EF">
      <w:pPr>
        <w:spacing w:line="360" w:lineRule="auto"/>
        <w:rPr>
          <w:rFonts w:ascii="Arial" w:hAnsi="Arial" w:cs="Arial"/>
          <w:b/>
          <w:bCs/>
        </w:rPr>
      </w:pPr>
    </w:p>
    <w:p w14:paraId="53C29265" w14:textId="77777777" w:rsidR="003409EF" w:rsidRPr="00E82451" w:rsidRDefault="003409EF" w:rsidP="003409EF">
      <w:pPr>
        <w:spacing w:line="360" w:lineRule="auto"/>
        <w:rPr>
          <w:rFonts w:ascii="Arial" w:hAnsi="Arial" w:cs="Arial"/>
          <w:b/>
          <w:bCs/>
        </w:rPr>
      </w:pPr>
    </w:p>
    <w:p w14:paraId="37E5722B" w14:textId="77777777" w:rsidR="003409EF" w:rsidRPr="00E82451" w:rsidRDefault="003409EF" w:rsidP="003409EF">
      <w:pPr>
        <w:spacing w:line="360" w:lineRule="auto"/>
        <w:rPr>
          <w:rFonts w:ascii="Arial" w:hAnsi="Arial" w:cs="Arial"/>
          <w:b/>
          <w:bCs/>
        </w:rPr>
      </w:pPr>
    </w:p>
    <w:p w14:paraId="70C55964" w14:textId="77777777" w:rsidR="003409EF" w:rsidRPr="00E82451" w:rsidRDefault="003409EF" w:rsidP="003409EF">
      <w:pPr>
        <w:spacing w:line="360" w:lineRule="auto"/>
        <w:rPr>
          <w:rFonts w:ascii="Arial" w:hAnsi="Arial" w:cs="Arial"/>
          <w:b/>
          <w:bCs/>
        </w:rPr>
      </w:pPr>
    </w:p>
    <w:p w14:paraId="0FB97FBE" w14:textId="77777777" w:rsidR="003409EF" w:rsidRPr="00E82451" w:rsidRDefault="003409EF" w:rsidP="003409EF">
      <w:pPr>
        <w:spacing w:line="360" w:lineRule="auto"/>
        <w:rPr>
          <w:rFonts w:ascii="Arial" w:hAnsi="Arial" w:cs="Arial"/>
          <w:b/>
          <w:bCs/>
        </w:rPr>
      </w:pPr>
    </w:p>
    <w:p w14:paraId="3804157A" w14:textId="77777777" w:rsidR="003409EF" w:rsidRPr="00E82451" w:rsidRDefault="003409EF" w:rsidP="003409EF">
      <w:pPr>
        <w:spacing w:line="360" w:lineRule="auto"/>
        <w:rPr>
          <w:rFonts w:ascii="Arial" w:hAnsi="Arial" w:cs="Arial"/>
          <w:b/>
          <w:bCs/>
        </w:rPr>
      </w:pPr>
    </w:p>
    <w:p w14:paraId="6D7762EC" w14:textId="77777777" w:rsidR="003409EF" w:rsidRPr="00E82451" w:rsidRDefault="003409EF" w:rsidP="003409EF">
      <w:pPr>
        <w:spacing w:line="360" w:lineRule="auto"/>
        <w:rPr>
          <w:rFonts w:ascii="Arial" w:hAnsi="Arial" w:cs="Arial"/>
          <w:b/>
          <w:bCs/>
        </w:rPr>
      </w:pPr>
    </w:p>
    <w:p w14:paraId="2012C709" w14:textId="77777777" w:rsidR="003409EF" w:rsidRPr="00E82451" w:rsidRDefault="003409EF">
      <w:pPr>
        <w:widowControl/>
        <w:jc w:val="left"/>
        <w:rPr>
          <w:rFonts w:ascii="Arial" w:hAnsi="Arial" w:cs="Arial"/>
          <w:b/>
          <w:bCs/>
        </w:rPr>
      </w:pPr>
      <w:r w:rsidRPr="00E82451">
        <w:rPr>
          <w:rFonts w:ascii="Arial" w:hAnsi="Arial" w:cs="Arial"/>
          <w:b/>
          <w:bCs/>
        </w:rPr>
        <w:br w:type="page"/>
      </w:r>
    </w:p>
    <w:p w14:paraId="3389F8B4" w14:textId="2964EE32" w:rsidR="003409EF" w:rsidRPr="00E82451" w:rsidRDefault="003409EF" w:rsidP="003409EF">
      <w:pPr>
        <w:spacing w:line="360" w:lineRule="auto"/>
        <w:rPr>
          <w:rFonts w:ascii="Arial" w:hAnsi="Arial" w:cs="Arial"/>
          <w:b/>
          <w:bCs/>
        </w:rPr>
      </w:pPr>
      <w:r w:rsidRPr="00E82451">
        <w:rPr>
          <w:rFonts w:ascii="Arial" w:hAnsi="Arial" w:cs="Arial" w:hint="eastAsia"/>
          <w:b/>
          <w:bCs/>
        </w:rPr>
        <w:lastRenderedPageBreak/>
        <w:t>F</w:t>
      </w:r>
      <w:r w:rsidRPr="00E82451">
        <w:rPr>
          <w:rFonts w:ascii="Arial" w:hAnsi="Arial" w:cs="Arial"/>
          <w:b/>
          <w:bCs/>
        </w:rPr>
        <w:t xml:space="preserve">igure S3 </w:t>
      </w:r>
    </w:p>
    <w:p w14:paraId="61B009B0" w14:textId="744ABDE5" w:rsidR="003409EF" w:rsidRPr="00E82451" w:rsidRDefault="00592680" w:rsidP="00B810C2">
      <w:pPr>
        <w:spacing w:line="360" w:lineRule="auto"/>
        <w:rPr>
          <w:rFonts w:ascii="Arial" w:hAnsi="Arial" w:cs="Arial"/>
          <w:b/>
          <w:bCs/>
        </w:rPr>
      </w:pPr>
      <w:r w:rsidRPr="00E82451">
        <w:rPr>
          <w:rFonts w:ascii="Arial" w:hAnsi="Arial" w:cs="Arial"/>
          <w:b/>
          <w:bCs/>
          <w:noProof/>
          <w:lang w:val="en-IN" w:eastAsia="en-IN"/>
        </w:rPr>
        <w:drawing>
          <wp:inline distT="0" distB="0" distL="0" distR="0" wp14:anchorId="4C6529AA" wp14:editId="4795AFFE">
            <wp:extent cx="5267325" cy="6877050"/>
            <wp:effectExtent l="0" t="0" r="9525" b="0"/>
            <wp:docPr id="7954057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7325" cy="6877050"/>
                    </a:xfrm>
                    <a:prstGeom prst="rect">
                      <a:avLst/>
                    </a:prstGeom>
                    <a:noFill/>
                    <a:ln>
                      <a:noFill/>
                    </a:ln>
                  </pic:spPr>
                </pic:pic>
              </a:graphicData>
            </a:graphic>
          </wp:inline>
        </w:drawing>
      </w:r>
    </w:p>
    <w:p w14:paraId="1DCFFC18" w14:textId="66C0ABF0" w:rsidR="008F1A4F" w:rsidRDefault="008F1A4F" w:rsidP="008F1A4F">
      <w:pPr>
        <w:spacing w:line="360" w:lineRule="auto"/>
        <w:rPr>
          <w:rFonts w:ascii="Arial" w:hAnsi="Arial" w:cs="Arial"/>
          <w:szCs w:val="21"/>
        </w:rPr>
      </w:pPr>
      <w:r w:rsidRPr="00E82451">
        <w:rPr>
          <w:rFonts w:ascii="Arial" w:hAnsi="Arial" w:cs="Arial" w:hint="eastAsia"/>
          <w:b/>
          <w:bCs/>
        </w:rPr>
        <w:t>F</w:t>
      </w:r>
      <w:r w:rsidRPr="00E82451">
        <w:rPr>
          <w:rFonts w:ascii="Arial" w:hAnsi="Arial" w:cs="Arial"/>
          <w:b/>
          <w:bCs/>
        </w:rPr>
        <w:t>igure S3.</w:t>
      </w:r>
      <w:r w:rsidRPr="00E82451">
        <w:rPr>
          <w:rFonts w:ascii="Arial" w:hAnsi="Arial" w:cs="Arial"/>
        </w:rPr>
        <w:t xml:space="preserve"> </w:t>
      </w:r>
      <w:r w:rsidRPr="00E82451">
        <w:rPr>
          <w:rFonts w:ascii="Arial" w:hAnsi="Arial" w:cs="Arial"/>
          <w:b/>
          <w:bCs/>
        </w:rPr>
        <w:t xml:space="preserve">The effect of DTX2knock down on cell cycle and cell apoptosis in glioma. </w:t>
      </w:r>
      <w:r w:rsidRPr="00E82451">
        <w:rPr>
          <w:rFonts w:ascii="Arial" w:hAnsi="Arial" w:cs="Arial"/>
        </w:rPr>
        <w:t xml:space="preserve">(A) Cell </w:t>
      </w:r>
      <w:r w:rsidRPr="00E82451">
        <w:rPr>
          <w:rFonts w:ascii="Arial" w:hAnsi="Arial" w:cs="Arial"/>
          <w:color w:val="000000"/>
        </w:rPr>
        <w:t>cycle was determined</w:t>
      </w:r>
      <w:r w:rsidRPr="00E82451">
        <w:rPr>
          <w:rFonts w:ascii="Arial" w:hAnsi="Arial" w:cs="Arial"/>
        </w:rPr>
        <w:t xml:space="preserve"> in glioma cells after DTX2 knockdown in </w:t>
      </w:r>
      <w:r w:rsidRPr="00E82451">
        <w:rPr>
          <w:rFonts w:ascii="Arial" w:hAnsi="Arial" w:cs="Arial"/>
          <w:szCs w:val="21"/>
        </w:rPr>
        <w:t>U87 and U51 cells</w:t>
      </w:r>
      <w:r w:rsidRPr="00E82451">
        <w:rPr>
          <w:rFonts w:ascii="Arial" w:hAnsi="Arial" w:cs="Arial"/>
        </w:rPr>
        <w:t xml:space="preserve"> using flow cytometry. </w:t>
      </w:r>
      <w:r w:rsidRPr="00E82451">
        <w:rPr>
          <w:rFonts w:ascii="Arial" w:hAnsi="Arial" w:cs="Arial"/>
          <w:szCs w:val="21"/>
        </w:rPr>
        <w:t>(</w:t>
      </w:r>
      <w:r w:rsidRPr="00E82451">
        <w:rPr>
          <w:rFonts w:ascii="Arial" w:eastAsia="DengXian" w:hAnsi="Arial" w:cs="Arial"/>
          <w:szCs w:val="21"/>
        </w:rPr>
        <w:t>**</w:t>
      </w:r>
      <w:r w:rsidRPr="00E82451">
        <w:rPr>
          <w:rFonts w:ascii="Arial" w:eastAsia="DengXian" w:hAnsi="Arial" w:cs="Arial"/>
          <w:i/>
          <w:iCs/>
          <w:szCs w:val="21"/>
        </w:rPr>
        <w:t>P</w:t>
      </w:r>
      <w:r w:rsidRPr="00E82451">
        <w:rPr>
          <w:rFonts w:ascii="Arial" w:eastAsia="DengXian" w:hAnsi="Arial" w:cs="Arial"/>
          <w:szCs w:val="21"/>
        </w:rPr>
        <w:t xml:space="preserve"> &lt; 0.01</w:t>
      </w:r>
      <w:r w:rsidRPr="00E82451">
        <w:rPr>
          <w:rFonts w:ascii="Arial" w:hAnsi="Arial" w:cs="Arial"/>
          <w:szCs w:val="21"/>
        </w:rPr>
        <w:t>).</w:t>
      </w:r>
      <w:r w:rsidRPr="00E82451">
        <w:rPr>
          <w:rFonts w:ascii="Arial" w:hAnsi="Arial" w:cs="Arial"/>
        </w:rPr>
        <w:t xml:space="preserve"> (B) Cell </w:t>
      </w:r>
      <w:r w:rsidRPr="00E82451">
        <w:rPr>
          <w:rFonts w:ascii="Arial" w:hAnsi="Arial" w:cs="Arial"/>
          <w:color w:val="000000"/>
        </w:rPr>
        <w:t>apoptosis was determined</w:t>
      </w:r>
      <w:r w:rsidRPr="00E82451">
        <w:rPr>
          <w:rFonts w:ascii="Arial" w:hAnsi="Arial" w:cs="Arial"/>
        </w:rPr>
        <w:t xml:space="preserve"> in glioma cells after DTX2 knockdown or </w:t>
      </w:r>
      <w:r w:rsidRPr="00E82451">
        <w:rPr>
          <w:rFonts w:ascii="Arial" w:hAnsi="Arial" w:cs="Arial"/>
          <w:color w:val="000000"/>
        </w:rPr>
        <w:t>overexpression</w:t>
      </w:r>
      <w:r w:rsidRPr="00E82451">
        <w:rPr>
          <w:rFonts w:ascii="Arial" w:hAnsi="Arial" w:cs="Arial"/>
        </w:rPr>
        <w:t xml:space="preserve"> using flow cytometry.</w:t>
      </w:r>
      <w:r w:rsidRPr="00E82451">
        <w:rPr>
          <w:rFonts w:ascii="Arial" w:hAnsi="Arial" w:cs="Arial"/>
          <w:szCs w:val="21"/>
        </w:rPr>
        <w:t xml:space="preserve"> (</w:t>
      </w:r>
      <w:r w:rsidRPr="00E82451">
        <w:rPr>
          <w:rFonts w:ascii="Arial" w:eastAsia="DengXian" w:hAnsi="Arial" w:cs="Arial"/>
          <w:szCs w:val="21"/>
        </w:rPr>
        <w:t>***</w:t>
      </w:r>
      <w:r w:rsidRPr="00E82451">
        <w:rPr>
          <w:rFonts w:ascii="Arial" w:eastAsia="DengXian" w:hAnsi="Arial" w:cs="Arial"/>
          <w:i/>
          <w:iCs/>
          <w:szCs w:val="21"/>
        </w:rPr>
        <w:t>P</w:t>
      </w:r>
      <w:r w:rsidRPr="00E82451">
        <w:rPr>
          <w:rFonts w:ascii="Arial" w:eastAsia="DengXian" w:hAnsi="Arial" w:cs="Arial"/>
          <w:szCs w:val="21"/>
        </w:rPr>
        <w:t xml:space="preserve"> &lt; 0.001</w:t>
      </w:r>
      <w:r w:rsidRPr="00E82451">
        <w:rPr>
          <w:rFonts w:ascii="Arial" w:hAnsi="Arial" w:cs="Arial"/>
          <w:szCs w:val="21"/>
        </w:rPr>
        <w:t>).</w:t>
      </w:r>
      <w:r w:rsidR="00AC3388" w:rsidRPr="00E82451">
        <w:rPr>
          <w:rFonts w:ascii="Arial" w:hAnsi="Arial" w:cs="Arial"/>
          <w:szCs w:val="21"/>
        </w:rPr>
        <w:t xml:space="preserve"> </w:t>
      </w:r>
      <w:r w:rsidR="00AC3388" w:rsidRPr="00E82451">
        <w:rPr>
          <w:rFonts w:ascii="Arial" w:hAnsi="Arial" w:cs="Arial"/>
        </w:rPr>
        <w:t xml:space="preserve">(C) </w:t>
      </w:r>
      <w:r w:rsidR="00AC3388" w:rsidRPr="00E82451">
        <w:rPr>
          <w:rFonts w:ascii="Arial" w:hAnsi="Arial" w:cs="Arial"/>
          <w:color w:val="000000"/>
        </w:rPr>
        <w:t>The</w:t>
      </w:r>
      <w:r w:rsidR="00AC3388" w:rsidRPr="00E82451">
        <w:rPr>
          <w:rFonts w:ascii="Arial" w:hAnsi="Arial" w:cs="Arial"/>
        </w:rPr>
        <w:t xml:space="preserve"> </w:t>
      </w:r>
      <w:r w:rsidR="00AC3388" w:rsidRPr="00E82451">
        <w:rPr>
          <w:rFonts w:ascii="Arial" w:hAnsi="Arial" w:cs="Arial"/>
          <w:color w:val="000000"/>
        </w:rPr>
        <w:t>expression of apoptosis (c-caspase 3 and t-caspase3) and cell cycle protein</w:t>
      </w:r>
      <w:r w:rsidR="00AC3388" w:rsidRPr="00E82451">
        <w:rPr>
          <w:rFonts w:ascii="Arial" w:hAnsi="Arial" w:cs="Arial"/>
        </w:rPr>
        <w:t xml:space="preserve"> (p21) in </w:t>
      </w:r>
      <w:r w:rsidR="00AC3388" w:rsidRPr="00E82451">
        <w:rPr>
          <w:rFonts w:ascii="Arial" w:hAnsi="Arial" w:cs="Arial"/>
        </w:rPr>
        <w:lastRenderedPageBreak/>
        <w:t xml:space="preserve">glioma cells after DTX2 knockdown and overexpression </w:t>
      </w:r>
      <w:r w:rsidR="00AC3388" w:rsidRPr="00E82451">
        <w:rPr>
          <w:rFonts w:ascii="Arial" w:hAnsi="Arial" w:cs="Arial"/>
          <w:color w:val="000000"/>
        </w:rPr>
        <w:t>was</w:t>
      </w:r>
      <w:r w:rsidR="00AC3388" w:rsidRPr="00E82451">
        <w:rPr>
          <w:rFonts w:ascii="Arial" w:hAnsi="Arial" w:cs="Arial"/>
        </w:rPr>
        <w:t xml:space="preserve"> investigated </w:t>
      </w:r>
      <w:r w:rsidR="00AC3388" w:rsidRPr="00E82451">
        <w:rPr>
          <w:rFonts w:ascii="Arial" w:hAnsi="Arial" w:cs="Arial"/>
          <w:color w:val="000000"/>
        </w:rPr>
        <w:t>by western blotting.</w:t>
      </w:r>
      <w:r w:rsidR="00AC3388" w:rsidRPr="00E82451">
        <w:rPr>
          <w:rFonts w:ascii="Arial" w:hAnsi="Arial" w:cs="Arial"/>
          <w:szCs w:val="21"/>
        </w:rPr>
        <w:t xml:space="preserve"> (</w:t>
      </w:r>
      <w:r w:rsidR="00AC3388" w:rsidRPr="00E82451">
        <w:rPr>
          <w:rFonts w:ascii="Arial" w:eastAsia="DengXian" w:hAnsi="Arial" w:cs="Arial"/>
          <w:szCs w:val="21"/>
        </w:rPr>
        <w:t>**</w:t>
      </w:r>
      <w:r w:rsidR="00AC3388" w:rsidRPr="00E82451">
        <w:rPr>
          <w:rFonts w:ascii="Arial" w:eastAsia="DengXian" w:hAnsi="Arial" w:cs="Arial"/>
          <w:i/>
          <w:iCs/>
          <w:szCs w:val="21"/>
        </w:rPr>
        <w:t>P</w:t>
      </w:r>
      <w:r w:rsidR="00AC3388" w:rsidRPr="00E82451">
        <w:rPr>
          <w:rFonts w:ascii="Arial" w:eastAsia="DengXian" w:hAnsi="Arial" w:cs="Arial"/>
          <w:szCs w:val="21"/>
        </w:rPr>
        <w:t xml:space="preserve"> &lt; 0.01</w:t>
      </w:r>
      <w:r w:rsidR="00AC3388" w:rsidRPr="00E82451">
        <w:rPr>
          <w:rFonts w:ascii="Arial" w:hAnsi="Arial" w:cs="Arial"/>
          <w:szCs w:val="21"/>
        </w:rPr>
        <w:t>)</w:t>
      </w:r>
    </w:p>
    <w:p w14:paraId="4F06F890" w14:textId="77777777" w:rsidR="008F1A4F" w:rsidRPr="007657CF" w:rsidRDefault="008F1A4F" w:rsidP="008F1A4F">
      <w:pPr>
        <w:spacing w:line="360" w:lineRule="auto"/>
        <w:rPr>
          <w:rFonts w:ascii="Arial" w:hAnsi="Arial" w:cs="Arial"/>
          <w:szCs w:val="21"/>
        </w:rPr>
      </w:pPr>
    </w:p>
    <w:p w14:paraId="3BE8A737" w14:textId="77777777" w:rsidR="00B810C2" w:rsidRDefault="00B810C2" w:rsidP="00B810C2">
      <w:pPr>
        <w:spacing w:line="360" w:lineRule="auto"/>
        <w:rPr>
          <w:rFonts w:ascii="Arial" w:hAnsi="Arial" w:cs="Arial"/>
          <w:szCs w:val="21"/>
        </w:rPr>
      </w:pPr>
    </w:p>
    <w:p w14:paraId="3A56A1E3" w14:textId="77777777" w:rsidR="00B810C2" w:rsidRPr="00F867F6" w:rsidRDefault="00B810C2" w:rsidP="00B810C2">
      <w:pPr>
        <w:spacing w:line="360" w:lineRule="auto"/>
        <w:rPr>
          <w:rFonts w:ascii="Arial" w:hAnsi="Arial" w:cs="Arial"/>
        </w:rPr>
      </w:pPr>
    </w:p>
    <w:p w14:paraId="3AD4B900" w14:textId="77777777" w:rsidR="002449DA" w:rsidRPr="00B810C2" w:rsidRDefault="002449DA"/>
    <w:sectPr w:rsidR="002449DA" w:rsidRPr="00B810C2" w:rsidSect="00E8245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388CA2" w14:textId="77777777" w:rsidR="00BE5E66" w:rsidRDefault="00BE5E66" w:rsidP="00B810C2">
      <w:r>
        <w:separator/>
      </w:r>
    </w:p>
  </w:endnote>
  <w:endnote w:type="continuationSeparator" w:id="0">
    <w:p w14:paraId="79043F12" w14:textId="77777777" w:rsidR="00BE5E66" w:rsidRDefault="00BE5E66" w:rsidP="00B8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8BB69D" w14:textId="77777777" w:rsidR="00BE5E66" w:rsidRDefault="00BE5E66" w:rsidP="00B810C2">
      <w:r>
        <w:separator/>
      </w:r>
    </w:p>
  </w:footnote>
  <w:footnote w:type="continuationSeparator" w:id="0">
    <w:p w14:paraId="1F4DD937" w14:textId="77777777" w:rsidR="00BE5E66" w:rsidRDefault="00BE5E66" w:rsidP="00B810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963"/>
    <w:rsid w:val="002449DA"/>
    <w:rsid w:val="002C167F"/>
    <w:rsid w:val="003409EF"/>
    <w:rsid w:val="00592680"/>
    <w:rsid w:val="00601397"/>
    <w:rsid w:val="008F1A4F"/>
    <w:rsid w:val="00AA0FCE"/>
    <w:rsid w:val="00AC3388"/>
    <w:rsid w:val="00B810C2"/>
    <w:rsid w:val="00BE5E66"/>
    <w:rsid w:val="00C91963"/>
    <w:rsid w:val="00E5040A"/>
    <w:rsid w:val="00E82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224BC"/>
  <w15:chartTrackingRefBased/>
  <w15:docId w15:val="{DAD85EAC-0CB9-46B0-97FA-0BE899807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0C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0C2"/>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810C2"/>
    <w:rPr>
      <w:sz w:val="18"/>
      <w:szCs w:val="18"/>
    </w:rPr>
  </w:style>
  <w:style w:type="paragraph" w:styleId="Footer">
    <w:name w:val="footer"/>
    <w:basedOn w:val="Normal"/>
    <w:link w:val="FooterChar"/>
    <w:uiPriority w:val="99"/>
    <w:unhideWhenUsed/>
    <w:rsid w:val="00B810C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810C2"/>
    <w:rPr>
      <w:sz w:val="18"/>
      <w:szCs w:val="18"/>
    </w:rPr>
  </w:style>
  <w:style w:type="character" w:styleId="LineNumber">
    <w:name w:val="line number"/>
    <w:basedOn w:val="DefaultParagraphFont"/>
    <w:uiPriority w:val="99"/>
    <w:semiHidden/>
    <w:unhideWhenUsed/>
    <w:rsid w:val="00B81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321</Words>
  <Characters>1833</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Vigneshwaran R.</cp:lastModifiedBy>
  <cp:revision>7</cp:revision>
  <dcterms:created xsi:type="dcterms:W3CDTF">2023-09-18T09:31:00Z</dcterms:created>
  <dcterms:modified xsi:type="dcterms:W3CDTF">2023-12-22T09:24:00Z</dcterms:modified>
</cp:coreProperties>
</file>