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B714" w14:textId="10117948" w:rsidR="00BC5E1E" w:rsidRPr="00201B53" w:rsidRDefault="006F1285" w:rsidP="006F1285">
      <w:pPr>
        <w:jc w:val="left"/>
        <w:rPr>
          <w:rFonts w:ascii="Times New Roman" w:hAnsi="Times New Roman" w:cs="Times New Roman"/>
          <w:sz w:val="24"/>
          <w:szCs w:val="24"/>
        </w:rPr>
      </w:pPr>
      <w:r w:rsidRPr="006F1285">
        <w:rPr>
          <w:rFonts w:ascii="Times New Roman" w:hAnsi="Times New Roman" w:cs="Times New Roman"/>
          <w:b/>
          <w:bCs/>
          <w:sz w:val="24"/>
          <w:szCs w:val="24"/>
        </w:rPr>
        <w:t>Supplementary Materia</w:t>
      </w:r>
      <w:r>
        <w:rPr>
          <w:rFonts w:ascii="Times New Roman" w:hAnsi="Times New Roman" w:cs="Times New Roman"/>
          <w:b/>
          <w:bCs/>
          <w:sz w:val="24"/>
          <w:szCs w:val="24"/>
        </w:rPr>
        <w:t>l 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C5E1E" w:rsidRPr="00201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72C6B5" wp14:editId="45011DDE">
            <wp:extent cx="5274310" cy="4309745"/>
            <wp:effectExtent l="0" t="0" r="2540" b="0"/>
            <wp:docPr id="9740704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ACEEC" w14:textId="2ABF0B79" w:rsidR="00BC5E1E" w:rsidRPr="00201B53" w:rsidRDefault="00AC05D7">
      <w:pPr>
        <w:rPr>
          <w:rFonts w:ascii="Times New Roman" w:hAnsi="Times New Roman" w:cs="Times New Roman"/>
          <w:sz w:val="24"/>
          <w:szCs w:val="24"/>
        </w:rPr>
      </w:pPr>
      <w:r w:rsidRPr="00AC05D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CE4480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AC05D7">
        <w:rPr>
          <w:rFonts w:ascii="Times New Roman" w:hAnsi="Times New Roman" w:cs="Times New Roman"/>
          <w:b/>
          <w:bCs/>
          <w:sz w:val="24"/>
          <w:szCs w:val="24"/>
        </w:rPr>
        <w:t xml:space="preserve">. Variation and Chromosomal Distribution of LLPS Prognosis-Related Genes in HCC. </w:t>
      </w:r>
      <w:r w:rsidRPr="00AC05D7">
        <w:rPr>
          <w:rFonts w:ascii="Times New Roman" w:hAnsi="Times New Roman" w:cs="Times New Roman"/>
          <w:sz w:val="24"/>
          <w:szCs w:val="24"/>
        </w:rPr>
        <w:t>(A) Copy number variation (CNV) values of LLPS prognosis-related genes across various cancers as per TCGA database. (B) Chromosomal distribution of LLPS prognosis-related genes. (C) Somatic mutations in LLPS prognosis-related genes according to TCGA data.</w:t>
      </w:r>
    </w:p>
    <w:p w14:paraId="701CB01D" w14:textId="483962EA" w:rsidR="00BC5E1E" w:rsidRDefault="00921EF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8E9140" wp14:editId="54289B58">
            <wp:extent cx="5274310" cy="6042660"/>
            <wp:effectExtent l="0" t="0" r="2540" b="0"/>
            <wp:docPr id="3529470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70584" w14:textId="1E5F0675" w:rsidR="00057E70" w:rsidRPr="00201B53" w:rsidRDefault="00921EF4" w:rsidP="00921EF4">
      <w:pPr>
        <w:rPr>
          <w:rFonts w:ascii="Times New Roman" w:hAnsi="Times New Roman" w:cs="Times New Roman"/>
          <w:sz w:val="24"/>
          <w:szCs w:val="24"/>
        </w:rPr>
      </w:pPr>
      <w:r w:rsidRPr="00921EF4">
        <w:rPr>
          <w:rFonts w:ascii="Times New Roman" w:hAnsi="Times New Roman" w:cs="Times New Roman"/>
          <w:b/>
          <w:bCs/>
          <w:sz w:val="24"/>
          <w:szCs w:val="24"/>
        </w:rPr>
        <w:t xml:space="preserve">Figure S2. Prognostic and Pathway Characteristics of LPRS. </w:t>
      </w:r>
      <w:r w:rsidRPr="00921EF4">
        <w:rPr>
          <w:rFonts w:ascii="Times New Roman" w:hAnsi="Times New Roman" w:cs="Times New Roman"/>
          <w:sz w:val="24"/>
          <w:szCs w:val="24"/>
        </w:rPr>
        <w:t>(A) Univariate and multivariate Cox analyses of clinicopathological characteristics and LPRS in the TCGA cohort. (B-D) Gene Set Variation Analysis (GSVA) comparing high- and low-LPRS patients.</w:t>
      </w:r>
    </w:p>
    <w:sectPr w:rsidR="00057E70" w:rsidRPr="00201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5FC5" w14:textId="77777777" w:rsidR="006B7D1D" w:rsidRDefault="006B7D1D" w:rsidP="00201B53">
      <w:r>
        <w:separator/>
      </w:r>
    </w:p>
  </w:endnote>
  <w:endnote w:type="continuationSeparator" w:id="0">
    <w:p w14:paraId="7A090409" w14:textId="77777777" w:rsidR="006B7D1D" w:rsidRDefault="006B7D1D" w:rsidP="0020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9881D" w14:textId="77777777" w:rsidR="006B7D1D" w:rsidRDefault="006B7D1D" w:rsidP="00201B53">
      <w:r>
        <w:separator/>
      </w:r>
    </w:p>
  </w:footnote>
  <w:footnote w:type="continuationSeparator" w:id="0">
    <w:p w14:paraId="63FD6396" w14:textId="77777777" w:rsidR="006B7D1D" w:rsidRDefault="006B7D1D" w:rsidP="00201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1E"/>
    <w:rsid w:val="00050686"/>
    <w:rsid w:val="00057E70"/>
    <w:rsid w:val="00061547"/>
    <w:rsid w:val="000B135D"/>
    <w:rsid w:val="0010242A"/>
    <w:rsid w:val="0015007E"/>
    <w:rsid w:val="00201B53"/>
    <w:rsid w:val="00317C49"/>
    <w:rsid w:val="004F4BAF"/>
    <w:rsid w:val="0053579B"/>
    <w:rsid w:val="005F0F02"/>
    <w:rsid w:val="006B7D1D"/>
    <w:rsid w:val="006D567D"/>
    <w:rsid w:val="006F1285"/>
    <w:rsid w:val="0070571E"/>
    <w:rsid w:val="007433FE"/>
    <w:rsid w:val="00921EF4"/>
    <w:rsid w:val="009B6683"/>
    <w:rsid w:val="00A1656D"/>
    <w:rsid w:val="00A52C62"/>
    <w:rsid w:val="00AC05D7"/>
    <w:rsid w:val="00BC5E1E"/>
    <w:rsid w:val="00CE4480"/>
    <w:rsid w:val="00E03C3D"/>
    <w:rsid w:val="00E246A4"/>
    <w:rsid w:val="00F4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9A741"/>
  <w15:chartTrackingRefBased/>
  <w15:docId w15:val="{4B0C4EF3-6C93-4359-8B31-FD655FC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B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1B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1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1B53"/>
    <w:rPr>
      <w:sz w:val="18"/>
      <w:szCs w:val="18"/>
    </w:rPr>
  </w:style>
  <w:style w:type="paragraph" w:styleId="a7">
    <w:name w:val="List Paragraph"/>
    <w:basedOn w:val="a"/>
    <w:uiPriority w:val="34"/>
    <w:qFormat/>
    <w:rsid w:val="00061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jianhao li</dc:creator>
  <cp:keywords/>
  <dc:description/>
  <cp:lastModifiedBy>jianhao li</cp:lastModifiedBy>
  <cp:revision>2</cp:revision>
  <dcterms:created xsi:type="dcterms:W3CDTF">2024-04-01T12:20:00Z</dcterms:created>
  <dcterms:modified xsi:type="dcterms:W3CDTF">2024-04-01T12:20:00Z</dcterms:modified>
</cp:coreProperties>
</file>