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98EC6">
      <w:pPr>
        <w:spacing w:line="360" w:lineRule="auto"/>
        <w:jc w:val="center"/>
        <w:rPr>
          <w:rFonts w:ascii="Arial" w:hAnsi="Arial" w:eastAsia="宋体" w:cs="Arial"/>
          <w:b/>
          <w:sz w:val="28"/>
          <w:szCs w:val="28"/>
        </w:rPr>
      </w:pPr>
      <w:bookmarkStart w:id="0" w:name="_Hlk157022424"/>
      <w:r>
        <w:rPr>
          <w:rFonts w:ascii="Arial" w:hAnsi="Arial" w:eastAsia="宋体" w:cs="Arial"/>
          <w:b/>
          <w:sz w:val="28"/>
          <w:szCs w:val="28"/>
        </w:rPr>
        <w:t>SUPPLEMENTARY INFORMATION</w:t>
      </w:r>
    </w:p>
    <w:p w14:paraId="05C6E91F">
      <w:pPr>
        <w:spacing w:line="360" w:lineRule="auto"/>
        <w:jc w:val="center"/>
        <w:rPr>
          <w:rFonts w:ascii="Arial" w:hAnsi="Arial" w:eastAsia="宋体" w:cs="Arial"/>
          <w:b/>
          <w:sz w:val="28"/>
          <w:szCs w:val="28"/>
        </w:rPr>
      </w:pPr>
    </w:p>
    <w:bookmarkEnd w:id="0"/>
    <w:p w14:paraId="3AE9FDAA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hint="eastAsia" w:ascii="Arial" w:hAnsi="Arial" w:cs="Arial"/>
          <w:b/>
          <w:bCs/>
          <w:sz w:val="24"/>
          <w:szCs w:val="24"/>
        </w:rPr>
        <w:t>Colon cancer exosome-associated HSP90B1 initiates pre-metastatic niche formation in the liver by polarizing M1 macrophage into M2 phenotype</w:t>
      </w:r>
    </w:p>
    <w:p w14:paraId="3DB52D76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14:paraId="6A9DE56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ShuJie Li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; Xue Fu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; Deng Ning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; QiuMeng Liu</w:t>
      </w:r>
      <w:r>
        <w:rPr>
          <w:rFonts w:ascii="Arial" w:hAnsi="Arial" w:cs="Arial"/>
          <w:sz w:val="24"/>
          <w:szCs w:val="24"/>
          <w:vertAlign w:val="superscript"/>
        </w:rPr>
        <w:t>3,4</w:t>
      </w:r>
      <w:r>
        <w:rPr>
          <w:rFonts w:ascii="Arial" w:hAnsi="Arial" w:cs="Arial"/>
          <w:sz w:val="24"/>
          <w:szCs w:val="24"/>
        </w:rPr>
        <w:t>; JunFang Zhao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; Qi Cheng</w:t>
      </w:r>
      <w:r>
        <w:rPr>
          <w:rFonts w:ascii="Arial" w:hAnsi="Arial" w:cs="Arial"/>
          <w:sz w:val="24"/>
          <w:szCs w:val="24"/>
          <w:vertAlign w:val="superscript"/>
        </w:rPr>
        <w:t>3,4</w:t>
      </w:r>
      <w:r>
        <w:rPr>
          <w:rFonts w:ascii="Arial" w:hAnsi="Arial" w:cs="Arial"/>
          <w:sz w:val="24"/>
          <w:szCs w:val="24"/>
        </w:rPr>
        <w:t>; XiaoPing Chen</w:t>
      </w:r>
      <w:r>
        <w:rPr>
          <w:rFonts w:ascii="Arial" w:hAnsi="Arial" w:cs="Arial"/>
          <w:sz w:val="24"/>
          <w:szCs w:val="24"/>
          <w:vertAlign w:val="superscript"/>
        </w:rPr>
        <w:t>3,4,5</w:t>
      </w:r>
      <w:r>
        <w:rPr>
          <w:rFonts w:ascii="Arial" w:hAnsi="Arial" w:cs="Arial"/>
          <w:sz w:val="24"/>
          <w:szCs w:val="24"/>
        </w:rPr>
        <w:t>; Li Jiang</w:t>
      </w:r>
      <w:r>
        <w:rPr>
          <w:rFonts w:ascii="Arial" w:hAnsi="Arial" w:cs="Arial"/>
          <w:sz w:val="24"/>
          <w:szCs w:val="24"/>
          <w:vertAlign w:val="superscript"/>
        </w:rPr>
        <w:t>1,3</w:t>
      </w:r>
      <w:r>
        <w:rPr>
          <w:rFonts w:ascii="Arial" w:hAnsi="Arial" w:cs="Arial"/>
          <w:sz w:val="24"/>
          <w:szCs w:val="24"/>
        </w:rPr>
        <w:t>*</w:t>
      </w:r>
    </w:p>
    <w:p w14:paraId="46758817">
      <w:pPr>
        <w:spacing w:line="360" w:lineRule="auto"/>
        <w:rPr>
          <w:rFonts w:ascii="Arial" w:hAnsi="Arial" w:eastAsia="宋体" w:cs="Arial"/>
          <w:b/>
          <w:sz w:val="24"/>
          <w:szCs w:val="24"/>
        </w:rPr>
      </w:pPr>
      <w:r>
        <w:rPr>
          <w:rFonts w:ascii="Arial" w:hAnsi="Arial" w:eastAsia="宋体" w:cs="Arial"/>
          <w:b/>
          <w:sz w:val="24"/>
          <w:szCs w:val="24"/>
        </w:rPr>
        <w:t>Affiliations</w:t>
      </w:r>
    </w:p>
    <w:p w14:paraId="25F2A9A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 Department of Biliary-Pancreatic Surgery, Tongji Hospital, Tongji Medical College, Huazhong University of Science &amp; Technology, Wuhan 430022, P.R. China</w:t>
      </w:r>
    </w:p>
    <w:p w14:paraId="6962661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Department of Hepatobiliary Surgery, Union Hospital, Tongji Medical College, Huazhong University of Science and Technology, Wuhan, 430022, P.R. China.</w:t>
      </w:r>
    </w:p>
    <w:p w14:paraId="7EF29F8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 Hubei Key Laboratory of Hepato-Pancreato-Biliary Diseases, Wuhan 430030, Hubei, China.</w:t>
      </w:r>
    </w:p>
    <w:p w14:paraId="3CDFA3F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4</w:t>
      </w:r>
      <w:r>
        <w:rPr>
          <w:rFonts w:ascii="Arial" w:hAnsi="Arial" w:cs="Arial"/>
          <w:sz w:val="24"/>
          <w:szCs w:val="24"/>
        </w:rPr>
        <w:t xml:space="preserve"> Hepatic Surgery Center, Tongji Hospital, Tongji Medical College, Huazhong University of Science &amp; Technology, Wuhan 430022, P.R. China.</w:t>
      </w:r>
    </w:p>
    <w:p w14:paraId="6AA2EA9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5</w:t>
      </w:r>
      <w:r>
        <w:rPr>
          <w:rFonts w:ascii="Arial" w:hAnsi="Arial" w:cs="Arial"/>
          <w:sz w:val="24"/>
          <w:szCs w:val="24"/>
        </w:rPr>
        <w:t xml:space="preserve"> Key Laboratory of Organ Transplantation, Ministry of Education; Key Laboratory of Organ Transplantation, National Health Commission; Key Laboratory of Organ Transplantation, Chinese Academy of Medical Sciences, Wuhan, Hubei, China.</w:t>
      </w:r>
    </w:p>
    <w:p w14:paraId="070D855C">
      <w:pPr>
        <w:spacing w:line="360" w:lineRule="auto"/>
        <w:rPr>
          <w:rFonts w:ascii="Arial" w:hAnsi="Arial" w:cs="Arial"/>
          <w:sz w:val="24"/>
          <w:szCs w:val="24"/>
        </w:rPr>
      </w:pPr>
    </w:p>
    <w:p w14:paraId="2CC1D53E">
      <w:pPr>
        <w:spacing w:line="360" w:lineRule="auto"/>
        <w:rPr>
          <w:rFonts w:ascii="Arial" w:hAnsi="Arial" w:eastAsia="宋体" w:cs="Arial"/>
          <w:sz w:val="24"/>
          <w:szCs w:val="24"/>
        </w:rPr>
      </w:pPr>
      <w:r>
        <w:rPr>
          <w:rFonts w:ascii="Arial" w:hAnsi="Arial" w:eastAsia="宋体" w:cs="Arial"/>
          <w:sz w:val="24"/>
          <w:szCs w:val="24"/>
          <w:vertAlign w:val="superscript"/>
        </w:rPr>
        <w:t>#</w:t>
      </w:r>
      <w:r>
        <w:rPr>
          <w:rFonts w:ascii="Arial" w:hAnsi="Arial" w:eastAsia="宋体" w:cs="Arial"/>
          <w:sz w:val="24"/>
          <w:szCs w:val="24"/>
        </w:rPr>
        <w:t xml:space="preserve">Correspondence: </w:t>
      </w:r>
      <w:r>
        <w:rPr>
          <w:rFonts w:ascii="Arial" w:hAnsi="Arial" w:cs="Arial"/>
          <w:sz w:val="24"/>
          <w:szCs w:val="24"/>
        </w:rPr>
        <w:t>prof_jiang2023@163.com</w:t>
      </w:r>
      <w:r>
        <w:rPr>
          <w:rFonts w:ascii="Arial" w:hAnsi="Arial" w:eastAsia="宋体" w:cs="Arial"/>
          <w:sz w:val="24"/>
          <w:szCs w:val="24"/>
        </w:rPr>
        <w:t xml:space="preserve"> (</w:t>
      </w:r>
      <w:r>
        <w:rPr>
          <w:rFonts w:hint="eastAsia" w:ascii="Arial" w:hAnsi="Arial" w:eastAsia="宋体" w:cs="Arial"/>
          <w:sz w:val="24"/>
          <w:szCs w:val="24"/>
        </w:rPr>
        <w:t>Li Jiang</w:t>
      </w:r>
      <w:r>
        <w:rPr>
          <w:rFonts w:ascii="Arial" w:hAnsi="Arial" w:eastAsia="宋体" w:cs="Arial"/>
          <w:sz w:val="24"/>
          <w:szCs w:val="24"/>
        </w:rPr>
        <w:t>)</w:t>
      </w:r>
      <w:r>
        <w:rPr>
          <w:rFonts w:hint="eastAsia" w:ascii="Arial" w:hAnsi="Arial" w:eastAsia="宋体" w:cs="Arial"/>
          <w:sz w:val="24"/>
          <w:szCs w:val="24"/>
        </w:rPr>
        <w:t>.</w:t>
      </w:r>
    </w:p>
    <w:p w14:paraId="231E758E">
      <w:pPr>
        <w:widowControl/>
        <w:jc w:val="left"/>
        <w:rPr>
          <w:rFonts w:ascii="Arial" w:hAnsi="Arial" w:eastAsia="宋体" w:cs="Arial"/>
          <w:sz w:val="24"/>
          <w:szCs w:val="24"/>
        </w:rPr>
      </w:pPr>
    </w:p>
    <w:p w14:paraId="62908DBE">
      <w:pPr>
        <w:widowControl/>
        <w:jc w:val="left"/>
        <w:rPr>
          <w:rFonts w:ascii="Arial" w:hAnsi="Arial" w:eastAsia="宋体" w:cs="Arial"/>
          <w:b/>
          <w:bCs/>
          <w:sz w:val="24"/>
          <w:szCs w:val="24"/>
        </w:rPr>
      </w:pPr>
      <w:r>
        <w:rPr>
          <w:rFonts w:ascii="Arial" w:hAnsi="Arial" w:eastAsia="宋体" w:cs="Arial"/>
          <w:b/>
          <w:bCs/>
          <w:sz w:val="24"/>
          <w:szCs w:val="24"/>
        </w:rPr>
        <w:t>Supplementary Figures S1-S</w:t>
      </w:r>
      <w:r>
        <w:rPr>
          <w:rFonts w:hint="eastAsia" w:ascii="Arial" w:hAnsi="Arial" w:eastAsia="宋体" w:cs="Arial"/>
          <w:b/>
          <w:bCs/>
          <w:sz w:val="24"/>
          <w:szCs w:val="24"/>
        </w:rPr>
        <w:t>3</w:t>
      </w:r>
    </w:p>
    <w:p w14:paraId="5E9AA4F6">
      <w:pPr>
        <w:widowControl/>
        <w:jc w:val="left"/>
        <w:rPr>
          <w:rFonts w:hint="eastAsia"/>
        </w:rPr>
      </w:pPr>
      <w:r>
        <w:br w:type="page"/>
      </w:r>
    </w:p>
    <w:p w14:paraId="6DB763A1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</w:p>
    <w:p w14:paraId="2F7617C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hint="eastAsia" w:ascii="Arial" w:hAnsi="Arial" w:cs="Arial"/>
          <w:b/>
          <w:bCs/>
          <w:sz w:val="24"/>
          <w:szCs w:val="24"/>
        </w:rPr>
        <w:drawing>
          <wp:inline distT="0" distB="0" distL="114300" distR="114300">
            <wp:extent cx="5267325" cy="3434715"/>
            <wp:effectExtent l="0" t="0" r="0" b="3810"/>
            <wp:docPr id="3" name="图片 3" descr="supplemen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A92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Figure S1. Successfully isolated CT-26- or MCEC-secreted exosomes.</w:t>
      </w:r>
      <w:r>
        <w:rPr>
          <w:rFonts w:hint="eastAsia"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(A-B) </w:t>
      </w:r>
      <w:r>
        <w:rPr>
          <w:rFonts w:ascii="Arial" w:hAnsi="Arial" w:cs="Arial"/>
          <w:sz w:val="24"/>
          <w:szCs w:val="24"/>
        </w:rPr>
        <w:t>CT-26 cell-derived exosomes (CT-26/exo) or MCEC cell-derived exosomes (MCEC/exo) were subjected to examine exosome morphology (A) and size (B) by electron microscopy. Scale bar=50μm.</w:t>
      </w:r>
      <w:r>
        <w:rPr>
          <w:rFonts w:hint="eastAsia"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(C)</w:t>
      </w:r>
      <w:r>
        <w:rPr>
          <w:rFonts w:ascii="Arial" w:hAnsi="Arial" w:cs="Arial"/>
          <w:sz w:val="24"/>
          <w:szCs w:val="24"/>
        </w:rPr>
        <w:t xml:space="preserve"> 20 μg of CT-26/exo or MCEC/exo were subjected to western blot analyses. </w:t>
      </w:r>
    </w:p>
    <w:p w14:paraId="59603DB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C2D4A4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hint="eastAsia" w:ascii="Arial" w:hAnsi="Arial" w:cs="Arial"/>
          <w:b/>
          <w:bCs/>
          <w:sz w:val="24"/>
          <w:szCs w:val="24"/>
        </w:rPr>
        <w:drawing>
          <wp:inline distT="0" distB="0" distL="114300" distR="114300">
            <wp:extent cx="5329555" cy="1988820"/>
            <wp:effectExtent l="0" t="0" r="4445" b="11430"/>
            <wp:docPr id="4" name="图片 4" descr="supplemen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29555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6B49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Figure S2. There is no significant difference in M1 macrophage uptake between CT-26 cell-derived exosomes and MCEC cell-derived exosomes. </w:t>
      </w:r>
      <w:r>
        <w:rPr>
          <w:rFonts w:hint="eastAsia"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(A)</w:t>
      </w:r>
      <w:r>
        <w:rPr>
          <w:rFonts w:ascii="Arial" w:hAnsi="Arial" w:cs="Arial"/>
          <w:sz w:val="24"/>
          <w:szCs w:val="24"/>
        </w:rPr>
        <w:t xml:space="preserve"> Mouse peritoneal macrophages were treated with LPS (</w:t>
      </w:r>
      <w:r>
        <w:rPr>
          <w:rStyle w:val="6"/>
          <w:rFonts w:ascii="Arial" w:hAnsi="Arial" w:cs="Arial"/>
          <w:sz w:val="24"/>
          <w:szCs w:val="24"/>
          <w:shd w:val="clear" w:color="auto" w:fill="FFFFFF"/>
        </w:rPr>
        <w:t>50ug/ml</w:t>
      </w:r>
      <w:r>
        <w:rPr>
          <w:rFonts w:ascii="Arial" w:hAnsi="Arial" w:cs="Arial"/>
          <w:sz w:val="24"/>
          <w:szCs w:val="24"/>
        </w:rPr>
        <w:t>) for (24) h, followed by FACS analyses.</w:t>
      </w:r>
      <w:r>
        <w:rPr>
          <w:rFonts w:hint="eastAsia"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(B-C) </w:t>
      </w:r>
      <w:r>
        <w:rPr>
          <w:rFonts w:ascii="Arial" w:hAnsi="Arial" w:cs="Arial"/>
          <w:sz w:val="24"/>
          <w:szCs w:val="24"/>
        </w:rPr>
        <w:t>Mouse M1 macrophages (1 x 10</w:t>
      </w:r>
      <w:r>
        <w:rPr>
          <w:rFonts w:ascii="Arial" w:hAnsi="Arial" w:cs="Arial"/>
          <w:sz w:val="24"/>
          <w:szCs w:val="24"/>
          <w:vertAlign w:val="superscript"/>
        </w:rPr>
        <w:t>6</w:t>
      </w:r>
      <w:r>
        <w:rPr>
          <w:rFonts w:ascii="Arial" w:hAnsi="Arial" w:cs="Arial"/>
          <w:sz w:val="24"/>
          <w:szCs w:val="24"/>
        </w:rPr>
        <w:t>) were treated with 20 μg of PKH26-labeled CT-26 cell-derived exosomes (CT-26/exo) or MCEC cell-derived exosomes (MCEC/exo) for 48 h. Confocal laser microscopy was used to examine exosome uptake by M1 macrophages (B), and the uptake efficiency was quantified (C). Data was presented as mean ± SD (C). Statistical analysis was performed with unpaired two-tailed Student’s t-test (C). Scale bar=50μm.</w:t>
      </w:r>
    </w:p>
    <w:p w14:paraId="5ACA22C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7A4E8B0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bookmarkStart w:id="1" w:name="_GoBack"/>
      <w:r>
        <w:rPr>
          <w:rFonts w:ascii="Arial" w:hAnsi="Arial" w:cs="Arial"/>
          <w:b/>
          <w:bCs/>
          <w:sz w:val="24"/>
          <w:szCs w:val="24"/>
        </w:rPr>
        <w:drawing>
          <wp:inline distT="0" distB="0" distL="0" distR="0">
            <wp:extent cx="5274310" cy="2828290"/>
            <wp:effectExtent l="0" t="0" r="0" b="0"/>
            <wp:docPr id="5358897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889727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2C7F6AD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Figure S3. Colo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 cancer exosome-associated HSP90B1 promotes the polarization of M1 macrophage into M2 phenotype. (A-B)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20 μg of CT-26-</w:t>
      </w:r>
      <w:r>
        <w:rPr>
          <w:rFonts w:hint="eastAsia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Nor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exo (Normal CT-26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secreted</w:t>
      </w:r>
      <w:r>
        <w:rPr>
          <w:rFonts w:hint="eastAsia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exosomes),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CT-26-shGFP/exo, CT-26-shHSP90B1-1/exo, or CT-26-shHSP90B1-2/exo were subjected to western blot analyses (n=3 biologically independent samples). 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(C-E)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Mouse M1 macrophages were treated with 20 μg of CT-26-shGFP/exosome, CT-26-shHSP90B1-1/exosome, or CT-26-shHSP90B1-2/exosome for 48 h. Cells were subjected to qPCR (C) or western blot analyses (D-E) (</w:t>
      </w:r>
      <w:r>
        <w:rPr>
          <w:rFonts w:ascii="Arial" w:hAnsi="Arial" w:eastAsia="等线" w:cs="Arial"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n = 3 independent experiments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 Data were presented as mean ± SD (B, C, E). Statistical analyses were perform</w:t>
      </w:r>
      <w:r>
        <w:rPr>
          <w:rFonts w:ascii="Arial" w:hAnsi="Arial" w:cs="Arial"/>
          <w:sz w:val="24"/>
          <w:szCs w:val="24"/>
        </w:rPr>
        <w:t>ed with one-way ANOVA with Tukey’s test (B, C, E).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MzcyNDUxNzQ2NTU1sDRS0lEKTi0uzszPAykwrAUA58aHsywAAAA="/>
    <w:docVar w:name="commondata" w:val="eyJoZGlkIjoiOTU5MTdlYTljZTZkNDE5NDUyYjBlNTdiZWU5Njc3M2IifQ=="/>
  </w:docVars>
  <w:rsids>
    <w:rsidRoot w:val="00BD1E4C"/>
    <w:rsid w:val="000A37B3"/>
    <w:rsid w:val="000F1A35"/>
    <w:rsid w:val="002425DE"/>
    <w:rsid w:val="00424A08"/>
    <w:rsid w:val="00654817"/>
    <w:rsid w:val="007E1E06"/>
    <w:rsid w:val="008843F7"/>
    <w:rsid w:val="0090208A"/>
    <w:rsid w:val="00B16C3C"/>
    <w:rsid w:val="00BD1E4C"/>
    <w:rsid w:val="00C118CB"/>
    <w:rsid w:val="00C94DAE"/>
    <w:rsid w:val="00DA0377"/>
    <w:rsid w:val="00EE6928"/>
    <w:rsid w:val="00F75CD6"/>
    <w:rsid w:val="00FE7153"/>
    <w:rsid w:val="0FAE75C2"/>
    <w:rsid w:val="14951D9C"/>
    <w:rsid w:val="2C3146C0"/>
    <w:rsid w:val="31CE3A99"/>
    <w:rsid w:val="4D556338"/>
    <w:rsid w:val="52A369C4"/>
    <w:rsid w:val="555433F6"/>
    <w:rsid w:val="6B904B47"/>
    <w:rsid w:val="6E25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styleId="7">
    <w:name w:val="line number"/>
    <w:basedOn w:val="5"/>
    <w:semiHidden/>
    <w:unhideWhenUsed/>
    <w:qFormat/>
    <w:uiPriority w:val="99"/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383</Words>
  <Characters>2450</Characters>
  <Lines>20</Lines>
  <Paragraphs>5</Paragraphs>
  <TotalTime>48</TotalTime>
  <ScaleCrop>false</ScaleCrop>
  <LinksUpToDate>false</LinksUpToDate>
  <CharactersWithSpaces>2821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2024-08-04T03:24:00Z</dcterms:created>
  <dc:creator>易 勇</dc:creator>
  <cp:lastModifiedBy>YY</cp:lastModifiedBy>
  <dcterms:modified xsi:type="dcterms:W3CDTF">2025-02-15T07:48:57Z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127A1B5BD81E41D98EA27A7103576473_12</vt:lpwstr>
  </property>
  <property fmtid="{D5CDD505-2E9C-101B-9397-08002B2CF9AE}" pid="4" name="KSOTemplateDocerSaveRecord">
    <vt:lpwstr>eyJoZGlkIjoiNmUwYjcxYjcwNTZlYzJlYWMyMzM2MGRiZDBkMmQ1M2YiLCJ1c2VySWQiOiI1MzUyNTAxNzUifQ==</vt:lpwstr>
  </property>
</Properties>
</file>