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479" w:rsidRDefault="00DA4479" w:rsidP="00DA4479">
      <w:pPr>
        <w:autoSpaceDE w:val="0"/>
        <w:autoSpaceDN w:val="0"/>
        <w:adjustRightInd w:val="0"/>
        <w:spacing w:after="0" w:line="240" w:lineRule="auto"/>
        <w:rPr>
          <w:rFonts w:ascii="CMR10" w:eastAsia="CMR10" w:hAnsi="SFRM1000" w:cs="CMR10"/>
          <w:sz w:val="20"/>
          <w:szCs w:val="20"/>
        </w:rPr>
      </w:pPr>
      <w:r>
        <w:rPr>
          <w:rFonts w:ascii="SFRM1000" w:hAnsi="SFRM1000" w:cs="SFRM1000"/>
          <w:sz w:val="20"/>
          <w:szCs w:val="20"/>
        </w:rPr>
        <w:t xml:space="preserve">• </w:t>
      </w:r>
      <w:r>
        <w:rPr>
          <w:rFonts w:ascii="CMBX10" w:eastAsia="CMBX10" w:hAnsi="SFRM1000" w:cs="CMBX10"/>
          <w:sz w:val="20"/>
          <w:szCs w:val="20"/>
        </w:rPr>
        <w:t>Supplementary Table S1</w:t>
      </w:r>
      <w:r>
        <w:rPr>
          <w:rFonts w:ascii="CMR10" w:eastAsia="CMR10" w:hAnsi="SFRM1000" w:cs="CMR10"/>
          <w:sz w:val="20"/>
          <w:szCs w:val="20"/>
        </w:rPr>
        <w:t>: Details to the tested drugs. (.</w:t>
      </w:r>
      <w:proofErr w:type="spellStart"/>
      <w:r>
        <w:rPr>
          <w:rFonts w:ascii="CMR10" w:eastAsia="CMR10" w:hAnsi="SFRM1000" w:cs="CMR10"/>
          <w:sz w:val="20"/>
          <w:szCs w:val="20"/>
        </w:rPr>
        <w:t>xls</w:t>
      </w:r>
      <w:proofErr w:type="spellEnd"/>
      <w:r>
        <w:rPr>
          <w:rFonts w:ascii="CMR10" w:eastAsia="CMR10" w:hAnsi="SFRM1000" w:cs="CMR10"/>
          <w:sz w:val="20"/>
          <w:szCs w:val="20"/>
        </w:rPr>
        <w:t>)</w:t>
      </w:r>
    </w:p>
    <w:p w:rsidR="00DA4479" w:rsidRDefault="00DA4479" w:rsidP="00DA4479">
      <w:pPr>
        <w:autoSpaceDE w:val="0"/>
        <w:autoSpaceDN w:val="0"/>
        <w:adjustRightInd w:val="0"/>
        <w:spacing w:after="0" w:line="240" w:lineRule="auto"/>
        <w:rPr>
          <w:rFonts w:ascii="CMR10" w:eastAsia="CMR10" w:hAnsi="SFRM1000" w:cs="CMR10"/>
          <w:sz w:val="20"/>
          <w:szCs w:val="20"/>
        </w:rPr>
      </w:pPr>
      <w:r>
        <w:rPr>
          <w:rFonts w:ascii="SFRM1000" w:hAnsi="SFRM1000" w:cs="SFRM1000"/>
          <w:sz w:val="20"/>
          <w:szCs w:val="20"/>
        </w:rPr>
        <w:t xml:space="preserve">• </w:t>
      </w:r>
      <w:bookmarkStart w:id="0" w:name="_GoBack"/>
      <w:bookmarkEnd w:id="0"/>
      <w:r>
        <w:rPr>
          <w:rFonts w:ascii="CMBX10" w:eastAsia="CMBX10" w:hAnsi="SFRM1000" w:cs="CMBX10"/>
          <w:sz w:val="20"/>
          <w:szCs w:val="20"/>
        </w:rPr>
        <w:t>Supplementary Table S2</w:t>
      </w:r>
      <w:r>
        <w:rPr>
          <w:rFonts w:ascii="CMR10" w:eastAsia="CMR10" w:hAnsi="SFRM1000" w:cs="CMR10"/>
          <w:sz w:val="20"/>
          <w:szCs w:val="20"/>
        </w:rPr>
        <w:t>: Drug response profiles of tested drug doses for both</w:t>
      </w:r>
    </w:p>
    <w:p w:rsidR="00DA4479" w:rsidRDefault="00DA4479" w:rsidP="00DA4479">
      <w:pPr>
        <w:autoSpaceDE w:val="0"/>
        <w:autoSpaceDN w:val="0"/>
        <w:adjustRightInd w:val="0"/>
        <w:spacing w:after="0" w:line="240" w:lineRule="auto"/>
        <w:rPr>
          <w:rFonts w:ascii="CMR10" w:eastAsia="CMR10" w:hAnsi="SFRM1000" w:cs="CMR10"/>
          <w:sz w:val="20"/>
          <w:szCs w:val="20"/>
        </w:rPr>
      </w:pPr>
      <w:proofErr w:type="gramStart"/>
      <w:r>
        <w:rPr>
          <w:rFonts w:ascii="CMR10" w:eastAsia="CMR10" w:hAnsi="SFRM1000" w:cs="CMR10"/>
          <w:sz w:val="20"/>
          <w:szCs w:val="20"/>
        </w:rPr>
        <w:t>considered</w:t>
      </w:r>
      <w:proofErr w:type="gramEnd"/>
      <w:r>
        <w:rPr>
          <w:rFonts w:ascii="CMR10" w:eastAsia="CMR10" w:hAnsi="SFRM1000" w:cs="CMR10"/>
          <w:sz w:val="20"/>
          <w:szCs w:val="20"/>
        </w:rPr>
        <w:t xml:space="preserve"> T-PLL cohorts and the additional validation cohort. (.</w:t>
      </w:r>
      <w:proofErr w:type="spellStart"/>
      <w:r>
        <w:rPr>
          <w:rFonts w:ascii="CMR10" w:eastAsia="CMR10" w:hAnsi="SFRM1000" w:cs="CMR10"/>
          <w:sz w:val="20"/>
          <w:szCs w:val="20"/>
        </w:rPr>
        <w:t>xlsx</w:t>
      </w:r>
      <w:proofErr w:type="spellEnd"/>
      <w:r>
        <w:rPr>
          <w:rFonts w:ascii="CMR10" w:eastAsia="CMR10" w:hAnsi="SFRM1000" w:cs="CMR10"/>
          <w:sz w:val="20"/>
          <w:szCs w:val="20"/>
        </w:rPr>
        <w:t>)</w:t>
      </w:r>
    </w:p>
    <w:p w:rsidR="00DA4479" w:rsidRDefault="00DA4479" w:rsidP="00DA4479">
      <w:pPr>
        <w:autoSpaceDE w:val="0"/>
        <w:autoSpaceDN w:val="0"/>
        <w:adjustRightInd w:val="0"/>
        <w:spacing w:after="0" w:line="240" w:lineRule="auto"/>
        <w:rPr>
          <w:rFonts w:ascii="CMR10" w:eastAsia="CMR10" w:hAnsi="SFRM1000" w:cs="CMR10"/>
          <w:sz w:val="20"/>
          <w:szCs w:val="20"/>
        </w:rPr>
      </w:pPr>
      <w:r>
        <w:rPr>
          <w:rFonts w:ascii="SFRM1000" w:hAnsi="SFRM1000" w:cs="SFRM1000"/>
          <w:sz w:val="20"/>
          <w:szCs w:val="20"/>
        </w:rPr>
        <w:t xml:space="preserve">• </w:t>
      </w:r>
      <w:r>
        <w:rPr>
          <w:rFonts w:ascii="CMBX10" w:eastAsia="CMBX10" w:hAnsi="SFRM1000" w:cs="CMBX10"/>
          <w:sz w:val="20"/>
          <w:szCs w:val="20"/>
        </w:rPr>
        <w:t>Supplementary Table S3</w:t>
      </w:r>
      <w:r>
        <w:rPr>
          <w:rFonts w:ascii="CMR10" w:eastAsia="CMR10" w:hAnsi="SFRM1000" w:cs="CMR10"/>
          <w:sz w:val="20"/>
          <w:szCs w:val="20"/>
        </w:rPr>
        <w:t>: Drug-specific differential gene expression analysis</w:t>
      </w:r>
    </w:p>
    <w:p w:rsidR="00DA4479" w:rsidRDefault="00DA4479" w:rsidP="00DA4479">
      <w:pPr>
        <w:autoSpaceDE w:val="0"/>
        <w:autoSpaceDN w:val="0"/>
        <w:adjustRightInd w:val="0"/>
        <w:spacing w:after="0" w:line="240" w:lineRule="auto"/>
        <w:rPr>
          <w:rFonts w:ascii="CMR10" w:eastAsia="CMR10" w:hAnsi="SFRM1000" w:cs="CMR10"/>
          <w:sz w:val="20"/>
          <w:szCs w:val="20"/>
        </w:rPr>
      </w:pPr>
      <w:proofErr w:type="gramStart"/>
      <w:r>
        <w:rPr>
          <w:rFonts w:ascii="CMR10" w:eastAsia="CMR10" w:hAnsi="SFRM1000" w:cs="CMR10"/>
          <w:sz w:val="20"/>
          <w:szCs w:val="20"/>
        </w:rPr>
        <w:t>comparing</w:t>
      </w:r>
      <w:proofErr w:type="gramEnd"/>
      <w:r>
        <w:rPr>
          <w:rFonts w:ascii="CMR10" w:eastAsia="CMR10" w:hAnsi="SFRM1000" w:cs="CMR10"/>
          <w:sz w:val="20"/>
          <w:szCs w:val="20"/>
        </w:rPr>
        <w:t xml:space="preserve"> responders to non-responders. (.</w:t>
      </w:r>
      <w:proofErr w:type="spellStart"/>
      <w:r>
        <w:rPr>
          <w:rFonts w:ascii="CMR10" w:eastAsia="CMR10" w:hAnsi="SFRM1000" w:cs="CMR10"/>
          <w:sz w:val="20"/>
          <w:szCs w:val="20"/>
        </w:rPr>
        <w:t>xlsx</w:t>
      </w:r>
      <w:proofErr w:type="spellEnd"/>
      <w:r>
        <w:rPr>
          <w:rFonts w:ascii="CMR10" w:eastAsia="CMR10" w:hAnsi="SFRM1000" w:cs="CMR10"/>
          <w:sz w:val="20"/>
          <w:szCs w:val="20"/>
        </w:rPr>
        <w:t>)</w:t>
      </w:r>
    </w:p>
    <w:p w:rsidR="00DA4479" w:rsidRDefault="00DA4479" w:rsidP="00DA4479">
      <w:pPr>
        <w:autoSpaceDE w:val="0"/>
        <w:autoSpaceDN w:val="0"/>
        <w:adjustRightInd w:val="0"/>
        <w:spacing w:after="0" w:line="240" w:lineRule="auto"/>
        <w:rPr>
          <w:rFonts w:ascii="CMR10" w:eastAsia="CMR10" w:hAnsi="SFRM1000" w:cs="CMR10"/>
          <w:sz w:val="20"/>
          <w:szCs w:val="20"/>
        </w:rPr>
      </w:pPr>
      <w:r>
        <w:rPr>
          <w:rFonts w:ascii="SFRM1000" w:hAnsi="SFRM1000" w:cs="SFRM1000"/>
          <w:sz w:val="20"/>
          <w:szCs w:val="20"/>
        </w:rPr>
        <w:t xml:space="preserve">• </w:t>
      </w:r>
      <w:r>
        <w:rPr>
          <w:rFonts w:ascii="CMBX10" w:eastAsia="CMBX10" w:hAnsi="SFRM1000" w:cs="CMBX10"/>
          <w:sz w:val="20"/>
          <w:szCs w:val="20"/>
        </w:rPr>
        <w:t>Supplementary Table S4</w:t>
      </w:r>
      <w:r>
        <w:rPr>
          <w:rFonts w:ascii="CMR10" w:eastAsia="CMR10" w:hAnsi="SFRM1000" w:cs="CMR10"/>
          <w:sz w:val="20"/>
          <w:szCs w:val="20"/>
        </w:rPr>
        <w:t>: Gene annotation and literature analysis results of</w:t>
      </w:r>
    </w:p>
    <w:p w:rsidR="00DA4479" w:rsidRDefault="00DA4479" w:rsidP="00DA4479">
      <w:pPr>
        <w:autoSpaceDE w:val="0"/>
        <w:autoSpaceDN w:val="0"/>
        <w:adjustRightInd w:val="0"/>
        <w:spacing w:after="0" w:line="240" w:lineRule="auto"/>
        <w:rPr>
          <w:rFonts w:ascii="CMR10" w:eastAsia="CMR10" w:hAnsi="SFRM1000" w:cs="CMR10"/>
          <w:sz w:val="20"/>
          <w:szCs w:val="20"/>
        </w:rPr>
      </w:pPr>
      <w:proofErr w:type="gramStart"/>
      <w:r>
        <w:rPr>
          <w:rFonts w:ascii="CMR10" w:eastAsia="CMR10" w:hAnsi="SFRM1000" w:cs="CMR10"/>
          <w:sz w:val="20"/>
          <w:szCs w:val="20"/>
        </w:rPr>
        <w:t>differentially</w:t>
      </w:r>
      <w:proofErr w:type="gramEnd"/>
      <w:r>
        <w:rPr>
          <w:rFonts w:ascii="CMR10" w:eastAsia="CMR10" w:hAnsi="SFRM1000" w:cs="CMR10"/>
          <w:sz w:val="20"/>
          <w:szCs w:val="20"/>
        </w:rPr>
        <w:t xml:space="preserve"> expressed genes. (.</w:t>
      </w:r>
      <w:proofErr w:type="spellStart"/>
      <w:r>
        <w:rPr>
          <w:rFonts w:ascii="CMR10" w:eastAsia="CMR10" w:hAnsi="SFRM1000" w:cs="CMR10"/>
          <w:sz w:val="20"/>
          <w:szCs w:val="20"/>
        </w:rPr>
        <w:t>xlsx</w:t>
      </w:r>
      <w:proofErr w:type="spellEnd"/>
      <w:r>
        <w:rPr>
          <w:rFonts w:ascii="CMR10" w:eastAsia="CMR10" w:hAnsi="SFRM1000" w:cs="CMR10"/>
          <w:sz w:val="20"/>
          <w:szCs w:val="20"/>
        </w:rPr>
        <w:t>)</w:t>
      </w:r>
    </w:p>
    <w:p w:rsidR="00DA4479" w:rsidRDefault="00DA4479" w:rsidP="00DA4479">
      <w:pPr>
        <w:autoSpaceDE w:val="0"/>
        <w:autoSpaceDN w:val="0"/>
        <w:adjustRightInd w:val="0"/>
        <w:spacing w:after="0" w:line="240" w:lineRule="auto"/>
        <w:rPr>
          <w:rFonts w:ascii="CMR10" w:eastAsia="CMR10" w:hAnsi="SFRM1000" w:cs="CMR10"/>
          <w:sz w:val="20"/>
          <w:szCs w:val="20"/>
        </w:rPr>
      </w:pPr>
      <w:r>
        <w:rPr>
          <w:rFonts w:ascii="SFRM1000" w:hAnsi="SFRM1000" w:cs="SFRM1000"/>
          <w:sz w:val="20"/>
          <w:szCs w:val="20"/>
        </w:rPr>
        <w:t xml:space="preserve">• </w:t>
      </w:r>
      <w:r>
        <w:rPr>
          <w:rFonts w:ascii="CMBX10" w:eastAsia="CMBX10" w:hAnsi="SFRM1000" w:cs="CMBX10"/>
          <w:sz w:val="20"/>
          <w:szCs w:val="20"/>
        </w:rPr>
        <w:t>Supplementary Table S5</w:t>
      </w:r>
      <w:r>
        <w:rPr>
          <w:rFonts w:ascii="CMR10" w:eastAsia="CMR10" w:hAnsi="SFRM1000" w:cs="CMR10"/>
          <w:sz w:val="20"/>
          <w:szCs w:val="20"/>
        </w:rPr>
        <w:t>: Gene expression data of the T-PLL patients of both</w:t>
      </w:r>
    </w:p>
    <w:p w:rsidR="00DA4479" w:rsidRDefault="00DA4479" w:rsidP="00DA4479">
      <w:pPr>
        <w:autoSpaceDE w:val="0"/>
        <w:autoSpaceDN w:val="0"/>
        <w:adjustRightInd w:val="0"/>
        <w:spacing w:after="0" w:line="240" w:lineRule="auto"/>
        <w:rPr>
          <w:rFonts w:ascii="CMR10" w:eastAsia="CMR10" w:hAnsi="SFRM1000" w:cs="CMR10"/>
          <w:sz w:val="20"/>
          <w:szCs w:val="20"/>
        </w:rPr>
      </w:pPr>
      <w:proofErr w:type="gramStart"/>
      <w:r>
        <w:rPr>
          <w:rFonts w:ascii="CMR10" w:eastAsia="CMR10" w:hAnsi="SFRM1000" w:cs="CMR10"/>
          <w:sz w:val="20"/>
          <w:szCs w:val="20"/>
        </w:rPr>
        <w:t>T-PLL cohorts.</w:t>
      </w:r>
      <w:proofErr w:type="gramEnd"/>
      <w:r>
        <w:rPr>
          <w:rFonts w:ascii="CMR10" w:eastAsia="CMR10" w:hAnsi="SFRM1000" w:cs="CMR10"/>
          <w:sz w:val="20"/>
          <w:szCs w:val="20"/>
        </w:rPr>
        <w:t xml:space="preserve"> (.</w:t>
      </w:r>
      <w:proofErr w:type="spellStart"/>
      <w:r>
        <w:rPr>
          <w:rFonts w:ascii="CMR10" w:eastAsia="CMR10" w:hAnsi="SFRM1000" w:cs="CMR10"/>
          <w:sz w:val="20"/>
          <w:szCs w:val="20"/>
        </w:rPr>
        <w:t>xlsx</w:t>
      </w:r>
      <w:proofErr w:type="spellEnd"/>
      <w:r>
        <w:rPr>
          <w:rFonts w:ascii="CMR10" w:eastAsia="CMR10" w:hAnsi="SFRM1000" w:cs="CMR10"/>
          <w:sz w:val="20"/>
          <w:szCs w:val="20"/>
        </w:rPr>
        <w:t>)</w:t>
      </w:r>
    </w:p>
    <w:p w:rsidR="00DA4479" w:rsidRDefault="00DA4479" w:rsidP="00DA4479">
      <w:pPr>
        <w:autoSpaceDE w:val="0"/>
        <w:autoSpaceDN w:val="0"/>
        <w:adjustRightInd w:val="0"/>
        <w:spacing w:after="0" w:line="240" w:lineRule="auto"/>
        <w:rPr>
          <w:rFonts w:ascii="CMR10" w:eastAsia="CMR10" w:hAnsi="SFRM1000" w:cs="CMR10"/>
          <w:sz w:val="20"/>
          <w:szCs w:val="20"/>
        </w:rPr>
      </w:pPr>
      <w:r>
        <w:rPr>
          <w:rFonts w:ascii="SFRM1000" w:hAnsi="SFRM1000" w:cs="SFRM1000"/>
          <w:sz w:val="20"/>
          <w:szCs w:val="20"/>
        </w:rPr>
        <w:t xml:space="preserve">• </w:t>
      </w:r>
      <w:r>
        <w:rPr>
          <w:rFonts w:ascii="CMBX10" w:eastAsia="CMBX10" w:hAnsi="SFRM1000" w:cs="CMBX10"/>
          <w:sz w:val="20"/>
          <w:szCs w:val="20"/>
        </w:rPr>
        <w:t>Supplementary Table S6</w:t>
      </w:r>
      <w:r>
        <w:rPr>
          <w:rFonts w:ascii="CMR10" w:eastAsia="CMR10" w:hAnsi="SFRM1000" w:cs="CMR10"/>
          <w:sz w:val="20"/>
          <w:szCs w:val="20"/>
        </w:rPr>
        <w:t>: Pathway annotations of genes utilized for functional</w:t>
      </w:r>
    </w:p>
    <w:p w:rsidR="00DA4479" w:rsidRDefault="00DA4479" w:rsidP="00DA4479">
      <w:pPr>
        <w:autoSpaceDE w:val="0"/>
        <w:autoSpaceDN w:val="0"/>
        <w:adjustRightInd w:val="0"/>
        <w:spacing w:after="0" w:line="240" w:lineRule="auto"/>
        <w:rPr>
          <w:rFonts w:ascii="CMR10" w:eastAsia="CMR10" w:hAnsi="SFRM1000" w:cs="CMR10"/>
          <w:sz w:val="20"/>
          <w:szCs w:val="20"/>
        </w:rPr>
      </w:pPr>
      <w:proofErr w:type="gramStart"/>
      <w:r>
        <w:rPr>
          <w:rFonts w:ascii="CMR10" w:eastAsia="CMR10" w:hAnsi="SFRM1000" w:cs="CMR10"/>
          <w:sz w:val="20"/>
          <w:szCs w:val="20"/>
        </w:rPr>
        <w:t>enrichment</w:t>
      </w:r>
      <w:proofErr w:type="gramEnd"/>
      <w:r>
        <w:rPr>
          <w:rFonts w:ascii="CMR10" w:eastAsia="CMR10" w:hAnsi="SFRM1000" w:cs="CMR10"/>
          <w:sz w:val="20"/>
          <w:szCs w:val="20"/>
        </w:rPr>
        <w:t xml:space="preserve"> analyses. (.</w:t>
      </w:r>
      <w:proofErr w:type="spellStart"/>
      <w:r>
        <w:rPr>
          <w:rFonts w:ascii="CMR10" w:eastAsia="CMR10" w:hAnsi="SFRM1000" w:cs="CMR10"/>
          <w:sz w:val="20"/>
          <w:szCs w:val="20"/>
        </w:rPr>
        <w:t>xlsx</w:t>
      </w:r>
      <w:proofErr w:type="spellEnd"/>
      <w:r>
        <w:rPr>
          <w:rFonts w:ascii="CMR10" w:eastAsia="CMR10" w:hAnsi="SFRM1000" w:cs="CMR10"/>
          <w:sz w:val="20"/>
          <w:szCs w:val="20"/>
        </w:rPr>
        <w:t>)</w:t>
      </w:r>
    </w:p>
    <w:p w:rsidR="00DA4479" w:rsidRDefault="00DA4479" w:rsidP="00DA4479">
      <w:pPr>
        <w:autoSpaceDE w:val="0"/>
        <w:autoSpaceDN w:val="0"/>
        <w:adjustRightInd w:val="0"/>
        <w:spacing w:after="0" w:line="240" w:lineRule="auto"/>
        <w:rPr>
          <w:rFonts w:ascii="CMR10" w:eastAsia="CMR10" w:hAnsi="SFRM1000" w:cs="CMR10"/>
          <w:sz w:val="20"/>
          <w:szCs w:val="20"/>
        </w:rPr>
      </w:pPr>
      <w:r>
        <w:rPr>
          <w:rFonts w:ascii="SFRM1000" w:hAnsi="SFRM1000" w:cs="SFRM1000"/>
          <w:sz w:val="20"/>
          <w:szCs w:val="20"/>
        </w:rPr>
        <w:t xml:space="preserve">• </w:t>
      </w:r>
      <w:r>
        <w:rPr>
          <w:rFonts w:ascii="CMBX10" w:eastAsia="CMBX10" w:hAnsi="SFRM1000" w:cs="CMBX10"/>
          <w:sz w:val="20"/>
          <w:szCs w:val="20"/>
        </w:rPr>
        <w:t>Supplementary Table S7</w:t>
      </w:r>
      <w:r>
        <w:rPr>
          <w:rFonts w:ascii="CMR10" w:eastAsia="CMR10" w:hAnsi="SFRM1000" w:cs="CMR10"/>
          <w:sz w:val="20"/>
          <w:szCs w:val="20"/>
        </w:rPr>
        <w:t>: Patient-specific values of the area under the drug</w:t>
      </w:r>
    </w:p>
    <w:p w:rsidR="00DA4479" w:rsidRDefault="00DA4479" w:rsidP="00DA4479">
      <w:pPr>
        <w:autoSpaceDE w:val="0"/>
        <w:autoSpaceDN w:val="0"/>
        <w:adjustRightInd w:val="0"/>
        <w:spacing w:after="0" w:line="240" w:lineRule="auto"/>
        <w:rPr>
          <w:rFonts w:ascii="CMR10" w:eastAsia="CMR10" w:hAnsi="SFRM1000" w:cs="CMR10"/>
          <w:sz w:val="20"/>
          <w:szCs w:val="20"/>
        </w:rPr>
      </w:pPr>
      <w:proofErr w:type="gramStart"/>
      <w:r>
        <w:rPr>
          <w:rFonts w:ascii="CMR10" w:eastAsia="CMR10" w:hAnsi="SFRM1000" w:cs="CMR10"/>
          <w:sz w:val="20"/>
          <w:szCs w:val="20"/>
        </w:rPr>
        <w:t>response</w:t>
      </w:r>
      <w:proofErr w:type="gramEnd"/>
      <w:r>
        <w:rPr>
          <w:rFonts w:ascii="CMR10" w:eastAsia="CMR10" w:hAnsi="SFRM1000" w:cs="CMR10"/>
          <w:sz w:val="20"/>
          <w:szCs w:val="20"/>
        </w:rPr>
        <w:t xml:space="preserve"> curve for the longest common dose interval shared between the cohorts in</w:t>
      </w:r>
    </w:p>
    <w:p w:rsidR="00DA4479" w:rsidRDefault="00DA4479" w:rsidP="00DA4479">
      <w:pPr>
        <w:autoSpaceDE w:val="0"/>
        <w:autoSpaceDN w:val="0"/>
        <w:adjustRightInd w:val="0"/>
        <w:spacing w:after="0" w:line="240" w:lineRule="auto"/>
        <w:rPr>
          <w:rFonts w:ascii="CMR10" w:eastAsia="CMR10" w:hAnsi="SFRM1000" w:cs="CMR10"/>
          <w:sz w:val="20"/>
          <w:szCs w:val="20"/>
        </w:rPr>
      </w:pPr>
      <w:proofErr w:type="gramStart"/>
      <w:r>
        <w:rPr>
          <w:rFonts w:ascii="CMR10" w:eastAsia="CMR10" w:hAnsi="SFRM1000" w:cs="CMR10"/>
          <w:sz w:val="20"/>
          <w:szCs w:val="20"/>
        </w:rPr>
        <w:t>which</w:t>
      </w:r>
      <w:proofErr w:type="gramEnd"/>
      <w:r>
        <w:rPr>
          <w:rFonts w:ascii="CMR10" w:eastAsia="CMR10" w:hAnsi="SFRM1000" w:cs="CMR10"/>
          <w:sz w:val="20"/>
          <w:szCs w:val="20"/>
        </w:rPr>
        <w:t xml:space="preserve"> a drug was tested. (.</w:t>
      </w:r>
      <w:proofErr w:type="spellStart"/>
      <w:r>
        <w:rPr>
          <w:rFonts w:ascii="CMR10" w:eastAsia="CMR10" w:hAnsi="SFRM1000" w:cs="CMR10"/>
          <w:sz w:val="20"/>
          <w:szCs w:val="20"/>
        </w:rPr>
        <w:t>xls</w:t>
      </w:r>
      <w:proofErr w:type="spellEnd"/>
      <w:r>
        <w:rPr>
          <w:rFonts w:ascii="CMR10" w:eastAsia="CMR10" w:hAnsi="SFRM1000" w:cs="CMR10"/>
          <w:sz w:val="20"/>
          <w:szCs w:val="20"/>
        </w:rPr>
        <w:t>)</w:t>
      </w:r>
    </w:p>
    <w:p w:rsidR="00DA4479" w:rsidRDefault="00DA4479" w:rsidP="00DA4479">
      <w:pPr>
        <w:autoSpaceDE w:val="0"/>
        <w:autoSpaceDN w:val="0"/>
        <w:adjustRightInd w:val="0"/>
        <w:spacing w:after="0" w:line="240" w:lineRule="auto"/>
        <w:rPr>
          <w:rFonts w:ascii="CMR10" w:eastAsia="CMR10" w:hAnsi="SFRM1000" w:cs="CMR10"/>
          <w:sz w:val="20"/>
          <w:szCs w:val="20"/>
        </w:rPr>
      </w:pPr>
      <w:r>
        <w:rPr>
          <w:rFonts w:ascii="SFRM1000" w:hAnsi="SFRM1000" w:cs="SFRM1000"/>
          <w:sz w:val="20"/>
          <w:szCs w:val="20"/>
        </w:rPr>
        <w:t xml:space="preserve">• </w:t>
      </w:r>
      <w:r>
        <w:rPr>
          <w:rFonts w:ascii="CMBX10" w:eastAsia="CMBX10" w:hAnsi="SFRM1000" w:cs="CMBX10"/>
          <w:sz w:val="20"/>
          <w:szCs w:val="20"/>
        </w:rPr>
        <w:t>Supplementary Table S8</w:t>
      </w:r>
      <w:r>
        <w:rPr>
          <w:rFonts w:ascii="CMR10" w:eastAsia="CMR10" w:hAnsi="SFRM1000" w:cs="CMR10"/>
          <w:sz w:val="20"/>
          <w:szCs w:val="20"/>
        </w:rPr>
        <w:t xml:space="preserve">: Gene-specific correlations between gene </w:t>
      </w:r>
      <w:proofErr w:type="gramStart"/>
      <w:r>
        <w:rPr>
          <w:rFonts w:ascii="CMR10" w:eastAsia="CMR10" w:hAnsi="SFRM1000" w:cs="CMR10"/>
          <w:sz w:val="20"/>
          <w:szCs w:val="20"/>
        </w:rPr>
        <w:t>expression</w:t>
      </w:r>
      <w:proofErr w:type="gramEnd"/>
    </w:p>
    <w:p w:rsidR="004F5853" w:rsidRDefault="00DA4479" w:rsidP="00DA4479">
      <w:proofErr w:type="gramStart"/>
      <w:r>
        <w:rPr>
          <w:rFonts w:ascii="CMR10" w:eastAsia="CMR10" w:hAnsi="SFRM1000" w:cs="CMR10"/>
          <w:sz w:val="20"/>
          <w:szCs w:val="20"/>
        </w:rPr>
        <w:t>levels</w:t>
      </w:r>
      <w:proofErr w:type="gramEnd"/>
      <w:r>
        <w:rPr>
          <w:rFonts w:ascii="CMR10" w:eastAsia="CMR10" w:hAnsi="SFRM1000" w:cs="CMR10"/>
          <w:sz w:val="20"/>
          <w:szCs w:val="20"/>
        </w:rPr>
        <w:t xml:space="preserve"> and drug responses for </w:t>
      </w:r>
      <w:proofErr w:type="spellStart"/>
      <w:r>
        <w:rPr>
          <w:rFonts w:ascii="CMR10" w:eastAsia="CMR10" w:hAnsi="SFRM1000" w:cs="CMR10"/>
          <w:sz w:val="20"/>
          <w:szCs w:val="20"/>
        </w:rPr>
        <w:t>bendamustine</w:t>
      </w:r>
      <w:proofErr w:type="spellEnd"/>
      <w:r>
        <w:rPr>
          <w:rFonts w:ascii="CMR10" w:eastAsia="CMR10" w:hAnsi="SFRM1000" w:cs="CMR10"/>
          <w:sz w:val="20"/>
          <w:szCs w:val="20"/>
        </w:rPr>
        <w:t xml:space="preserve">, </w:t>
      </w:r>
      <w:proofErr w:type="spellStart"/>
      <w:r>
        <w:rPr>
          <w:rFonts w:ascii="CMR10" w:eastAsia="CMR10" w:hAnsi="SFRM1000" w:cs="CMR10"/>
          <w:sz w:val="20"/>
          <w:szCs w:val="20"/>
        </w:rPr>
        <w:t>cladribine</w:t>
      </w:r>
      <w:proofErr w:type="spellEnd"/>
      <w:r>
        <w:rPr>
          <w:rFonts w:ascii="CMR10" w:eastAsia="CMR10" w:hAnsi="SFRM1000" w:cs="CMR10"/>
          <w:sz w:val="20"/>
          <w:szCs w:val="20"/>
        </w:rPr>
        <w:t xml:space="preserve">, and </w:t>
      </w:r>
      <w:proofErr w:type="spellStart"/>
      <w:r>
        <w:rPr>
          <w:rFonts w:ascii="CMR10" w:eastAsia="CMR10" w:hAnsi="SFRM1000" w:cs="CMR10"/>
          <w:sz w:val="20"/>
          <w:szCs w:val="20"/>
        </w:rPr>
        <w:t>fludarabine</w:t>
      </w:r>
      <w:proofErr w:type="spellEnd"/>
      <w:r>
        <w:rPr>
          <w:rFonts w:ascii="CMR10" w:eastAsia="CMR10" w:hAnsi="SFRM1000" w:cs="CMR10"/>
          <w:sz w:val="20"/>
          <w:szCs w:val="20"/>
        </w:rPr>
        <w:t>. (.</w:t>
      </w:r>
      <w:proofErr w:type="spellStart"/>
      <w:r>
        <w:rPr>
          <w:rFonts w:ascii="CMR10" w:eastAsia="CMR10" w:hAnsi="SFRM1000" w:cs="CMR10"/>
          <w:sz w:val="20"/>
          <w:szCs w:val="20"/>
        </w:rPr>
        <w:t>xlsx</w:t>
      </w:r>
      <w:proofErr w:type="spellEnd"/>
      <w:r>
        <w:rPr>
          <w:rFonts w:ascii="CMR10" w:eastAsia="CMR10" w:hAnsi="SFRM1000" w:cs="CMR10"/>
          <w:sz w:val="20"/>
          <w:szCs w:val="20"/>
        </w:rPr>
        <w:t>)</w:t>
      </w:r>
    </w:p>
    <w:sectPr w:rsidR="004F58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R10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FRM10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BX10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479"/>
    <w:rsid w:val="00017435"/>
    <w:rsid w:val="000322A5"/>
    <w:rsid w:val="000418F1"/>
    <w:rsid w:val="00084B87"/>
    <w:rsid w:val="000A143C"/>
    <w:rsid w:val="000F02B3"/>
    <w:rsid w:val="00105B58"/>
    <w:rsid w:val="00107702"/>
    <w:rsid w:val="0014544B"/>
    <w:rsid w:val="001B5E9C"/>
    <w:rsid w:val="001E08AC"/>
    <w:rsid w:val="00210FA9"/>
    <w:rsid w:val="00215B36"/>
    <w:rsid w:val="00230AA2"/>
    <w:rsid w:val="00276EA2"/>
    <w:rsid w:val="00351F70"/>
    <w:rsid w:val="0037613D"/>
    <w:rsid w:val="003A6123"/>
    <w:rsid w:val="003B7CE2"/>
    <w:rsid w:val="003F633C"/>
    <w:rsid w:val="00427C70"/>
    <w:rsid w:val="004378C3"/>
    <w:rsid w:val="00480BB4"/>
    <w:rsid w:val="004826A6"/>
    <w:rsid w:val="004F5853"/>
    <w:rsid w:val="0050271E"/>
    <w:rsid w:val="00520029"/>
    <w:rsid w:val="0052453E"/>
    <w:rsid w:val="0053512B"/>
    <w:rsid w:val="00547BB5"/>
    <w:rsid w:val="00552147"/>
    <w:rsid w:val="005C29C4"/>
    <w:rsid w:val="005D3B55"/>
    <w:rsid w:val="00621B23"/>
    <w:rsid w:val="0062611C"/>
    <w:rsid w:val="00636A2C"/>
    <w:rsid w:val="0066554C"/>
    <w:rsid w:val="00690213"/>
    <w:rsid w:val="00692A88"/>
    <w:rsid w:val="00723636"/>
    <w:rsid w:val="0077732A"/>
    <w:rsid w:val="007C0880"/>
    <w:rsid w:val="00825E5F"/>
    <w:rsid w:val="00871420"/>
    <w:rsid w:val="008A5A4F"/>
    <w:rsid w:val="008B2C8E"/>
    <w:rsid w:val="008B5697"/>
    <w:rsid w:val="008C3138"/>
    <w:rsid w:val="008D20ED"/>
    <w:rsid w:val="00914BCA"/>
    <w:rsid w:val="00926E65"/>
    <w:rsid w:val="009413D9"/>
    <w:rsid w:val="0097415F"/>
    <w:rsid w:val="00992CE4"/>
    <w:rsid w:val="00A05E88"/>
    <w:rsid w:val="00A22350"/>
    <w:rsid w:val="00A34C04"/>
    <w:rsid w:val="00A81552"/>
    <w:rsid w:val="00A94596"/>
    <w:rsid w:val="00B20DA0"/>
    <w:rsid w:val="00B4281F"/>
    <w:rsid w:val="00B5093F"/>
    <w:rsid w:val="00B56A2E"/>
    <w:rsid w:val="00B853E7"/>
    <w:rsid w:val="00BA530F"/>
    <w:rsid w:val="00BC6DDE"/>
    <w:rsid w:val="00C35A95"/>
    <w:rsid w:val="00C61B22"/>
    <w:rsid w:val="00C9597F"/>
    <w:rsid w:val="00CB1182"/>
    <w:rsid w:val="00CF5D75"/>
    <w:rsid w:val="00D15F64"/>
    <w:rsid w:val="00D451EB"/>
    <w:rsid w:val="00D52BCF"/>
    <w:rsid w:val="00D86B66"/>
    <w:rsid w:val="00DA4479"/>
    <w:rsid w:val="00DA6A49"/>
    <w:rsid w:val="00DF4D4A"/>
    <w:rsid w:val="00E21FD0"/>
    <w:rsid w:val="00E47813"/>
    <w:rsid w:val="00E72F5E"/>
    <w:rsid w:val="00E84B42"/>
    <w:rsid w:val="00E8759A"/>
    <w:rsid w:val="00EC3C30"/>
    <w:rsid w:val="00EE4B15"/>
    <w:rsid w:val="00F2464D"/>
    <w:rsid w:val="00FA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2025-10-17T11:51:00Z</dcterms:created>
  <dcterms:modified xsi:type="dcterms:W3CDTF">2025-10-17T11:52:00Z</dcterms:modified>
</cp:coreProperties>
</file>