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349C" w14:textId="77777777" w:rsidR="0061349C" w:rsidRDefault="0061349C" w:rsidP="0061349C">
      <w:pPr>
        <w:spacing w:line="301" w:lineRule="auto"/>
        <w:jc w:val="both"/>
      </w:pPr>
    </w:p>
    <w:p w14:paraId="65A413F2" w14:textId="77777777" w:rsidR="0061349C" w:rsidRPr="00685B8B" w:rsidRDefault="0061349C" w:rsidP="0061349C">
      <w:pPr>
        <w:pStyle w:val="Heading3"/>
        <w:rPr>
          <w:color w:val="000000"/>
          <w:lang w:val="en-US"/>
        </w:rPr>
      </w:pPr>
      <w:bookmarkStart w:id="0" w:name="_ufu0koh8a1tj" w:colFirst="0" w:colLast="0"/>
      <w:bookmarkEnd w:id="0"/>
      <w:r w:rsidRPr="00685B8B">
        <w:rPr>
          <w:color w:val="000000"/>
          <w:lang w:val="en-US"/>
        </w:rPr>
        <w:t>Supplementary Figures</w:t>
      </w:r>
    </w:p>
    <w:p w14:paraId="629E0B7F" w14:textId="77777777" w:rsidR="0061349C" w:rsidRPr="00685B8B" w:rsidRDefault="0061349C" w:rsidP="0061349C">
      <w:pPr>
        <w:pStyle w:val="Heading3"/>
        <w:rPr>
          <w:color w:val="000000"/>
          <w:lang w:val="en-US"/>
        </w:rPr>
      </w:pPr>
      <w:bookmarkStart w:id="1" w:name="_tyhxs9enq7o1" w:colFirst="0" w:colLast="0"/>
      <w:bookmarkEnd w:id="1"/>
    </w:p>
    <w:p w14:paraId="0328FF93" w14:textId="40DB69A7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>Supplementary Figure 1.</w:t>
      </w:r>
      <w:r>
        <w:rPr>
          <w:highlight w:val="white"/>
        </w:rPr>
        <w:t xml:space="preserve"> Structural identity for each mutant obtained from randomly mutating a nucleotide in one of the other three.</w:t>
      </w:r>
    </w:p>
    <w:p w14:paraId="1C6B8E7B" w14:textId="159757EE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>Supplementary Figure 2.</w:t>
      </w:r>
      <w:r>
        <w:rPr>
          <w:highlight w:val="white"/>
        </w:rPr>
        <w:t xml:space="preserve"> Difference in free energy between the WT and the MT with structural identity = 100%.</w:t>
      </w:r>
    </w:p>
    <w:p w14:paraId="3E21554B" w14:textId="3A690854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>Supplementary Figure 3.</w:t>
      </w:r>
      <w:r>
        <w:rPr>
          <w:highlight w:val="white"/>
        </w:rPr>
        <w:t xml:space="preserve"> Structural identity distributions for the viral (</w:t>
      </w:r>
      <w:r>
        <w:rPr>
          <w:b/>
          <w:highlight w:val="white"/>
        </w:rPr>
        <w:t>A</w:t>
      </w:r>
      <w:r>
        <w:rPr>
          <w:highlight w:val="white"/>
        </w:rPr>
        <w:t>) and non-viral (</w:t>
      </w:r>
      <w:r>
        <w:rPr>
          <w:b/>
          <w:highlight w:val="white"/>
        </w:rPr>
        <w:t>B</w:t>
      </w:r>
      <w:r>
        <w:rPr>
          <w:highlight w:val="white"/>
        </w:rPr>
        <w:t>) IRES sequences.</w:t>
      </w:r>
    </w:p>
    <w:p w14:paraId="52B491DB" w14:textId="125AA498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>Supplementary Figure 4.</w:t>
      </w:r>
      <w:r>
        <w:rPr>
          <w:highlight w:val="white"/>
        </w:rPr>
        <w:t xml:space="preserve"> Enrichment of known ITAFs in IRES interactions. A. ITAF enrichment calculated at different thresholds of RBPs ranked by </w:t>
      </w:r>
      <w:proofErr w:type="spellStart"/>
      <w:r>
        <w:rPr>
          <w:i/>
          <w:highlight w:val="white"/>
        </w:rPr>
        <w:t>cat</w:t>
      </w:r>
      <w:r>
        <w:rPr>
          <w:highlight w:val="white"/>
        </w:rPr>
        <w:t>RAPID</w:t>
      </w:r>
      <w:proofErr w:type="spellEnd"/>
      <w:r>
        <w:rPr>
          <w:highlight w:val="white"/>
        </w:rPr>
        <w:t xml:space="preserve"> score compared to 10 random interactomes. B. Distribution of </w:t>
      </w:r>
      <w:proofErr w:type="spellStart"/>
      <w:r>
        <w:rPr>
          <w:i/>
          <w:highlight w:val="white"/>
        </w:rPr>
        <w:t>cat</w:t>
      </w:r>
      <w:r>
        <w:rPr>
          <w:highlight w:val="white"/>
        </w:rPr>
        <w:t>RAPID</w:t>
      </w:r>
      <w:proofErr w:type="spellEnd"/>
      <w:r>
        <w:rPr>
          <w:highlight w:val="white"/>
        </w:rPr>
        <w:t xml:space="preserve"> binding propensity score of the 2064 RBPs binding to VEGF and IGF2 IRESs.</w:t>
      </w:r>
    </w:p>
    <w:p w14:paraId="323DF7D4" w14:textId="0E0C97D4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>Supplementary Figure 5.</w:t>
      </w:r>
      <w:r>
        <w:rPr>
          <w:highlight w:val="white"/>
        </w:rPr>
        <w:t xml:space="preserve"> Frequency of mutations of one nucleotide into another as beneficial mutations selected with filters on structural and  free energy change.</w:t>
      </w:r>
    </w:p>
    <w:p w14:paraId="12CDCFC5" w14:textId="1C423A80" w:rsidR="0061349C" w:rsidRDefault="0061349C" w:rsidP="0061349C">
      <w:pPr>
        <w:spacing w:line="301" w:lineRule="auto"/>
        <w:jc w:val="both"/>
        <w:rPr>
          <w:highlight w:val="white"/>
        </w:rPr>
      </w:pPr>
      <w:r>
        <w:rPr>
          <w:b/>
          <w:highlight w:val="white"/>
        </w:rPr>
        <w:t xml:space="preserve">Supplementary Figure 6. </w:t>
      </w:r>
      <w:r>
        <w:rPr>
          <w:highlight w:val="white"/>
        </w:rPr>
        <w:t xml:space="preserve">Presence of beneficial mutations in the 5’ (first 50 </w:t>
      </w:r>
      <w:proofErr w:type="spellStart"/>
      <w:r>
        <w:rPr>
          <w:highlight w:val="white"/>
        </w:rPr>
        <w:t>nt</w:t>
      </w:r>
      <w:proofErr w:type="spellEnd"/>
      <w:r>
        <w:rPr>
          <w:highlight w:val="white"/>
        </w:rPr>
        <w:t xml:space="preserve">) and 3’ (last 50 </w:t>
      </w:r>
      <w:proofErr w:type="spellStart"/>
      <w:r>
        <w:rPr>
          <w:highlight w:val="white"/>
        </w:rPr>
        <w:t>nt</w:t>
      </w:r>
      <w:proofErr w:type="spellEnd"/>
      <w:r>
        <w:rPr>
          <w:highlight w:val="white"/>
        </w:rPr>
        <w:t>) of IRES sequences.</w:t>
      </w:r>
    </w:p>
    <w:p w14:paraId="7CA880B8" w14:textId="77777777" w:rsidR="0061349C" w:rsidRDefault="0061349C" w:rsidP="0061349C">
      <w:pPr>
        <w:spacing w:after="160" w:line="301" w:lineRule="auto"/>
        <w:jc w:val="both"/>
        <w:rPr>
          <w:b/>
          <w:sz w:val="24"/>
          <w:szCs w:val="24"/>
          <w:highlight w:val="white"/>
        </w:rPr>
      </w:pPr>
      <w:r>
        <w:rPr>
          <w:b/>
          <w:highlight w:val="white"/>
        </w:rPr>
        <w:t xml:space="preserve">Supplementary Figure 7.  </w:t>
      </w:r>
      <w:r>
        <w:rPr>
          <w:highlight w:val="white"/>
        </w:rPr>
        <w:t>GO enrichment of the 50 highest-ranked RBPs by change in binding propensity (</w:t>
      </w:r>
      <w:proofErr w:type="spellStart"/>
      <w:r>
        <w:rPr>
          <w:highlight w:val="white"/>
        </w:rPr>
        <w:t>MutA</w:t>
      </w:r>
      <w:proofErr w:type="spellEnd"/>
      <w:r>
        <w:rPr>
          <w:highlight w:val="white"/>
        </w:rPr>
        <w:t>/</w:t>
      </w:r>
      <w:proofErr w:type="spellStart"/>
      <w:r>
        <w:rPr>
          <w:highlight w:val="white"/>
        </w:rPr>
        <w:t>MutD</w:t>
      </w:r>
      <w:proofErr w:type="spellEnd"/>
      <w:r>
        <w:rPr>
          <w:highlight w:val="white"/>
        </w:rPr>
        <w:t xml:space="preserve"> sequences vs WT).</w:t>
      </w:r>
    </w:p>
    <w:p w14:paraId="28AA1013" w14:textId="77777777" w:rsidR="00685B8B" w:rsidRPr="00685B8B" w:rsidRDefault="00685B8B">
      <w:pPr>
        <w:rPr>
          <w:rFonts w:ascii="Arial" w:eastAsia="Arial" w:hAnsi="Arial" w:cs="Arial"/>
          <w:color w:val="000000"/>
          <w:sz w:val="28"/>
          <w:szCs w:val="28"/>
          <w:lang w:val="en-US" w:eastAsia="en-IN"/>
        </w:rPr>
      </w:pPr>
      <w:bookmarkStart w:id="2" w:name="_p6b5pstw8sbg" w:colFirst="0" w:colLast="0"/>
      <w:bookmarkEnd w:id="2"/>
      <w:r>
        <w:rPr>
          <w:color w:val="000000"/>
        </w:rPr>
        <w:br w:type="page"/>
      </w:r>
    </w:p>
    <w:p w14:paraId="675F0FF9" w14:textId="4C064C4D" w:rsidR="0061349C" w:rsidRDefault="0061349C" w:rsidP="0061349C">
      <w:pPr>
        <w:pStyle w:val="Heading3"/>
        <w:rPr>
          <w:color w:val="000000"/>
        </w:rPr>
      </w:pPr>
      <w:proofErr w:type="spellStart"/>
      <w:r>
        <w:rPr>
          <w:color w:val="000000"/>
        </w:rPr>
        <w:lastRenderedPageBreak/>
        <w:t>Supplementary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Tables</w:t>
      </w:r>
      <w:proofErr w:type="spellEnd"/>
    </w:p>
    <w:p w14:paraId="44F4AA55" w14:textId="77777777" w:rsidR="0061349C" w:rsidRDefault="0061349C" w:rsidP="0061349C">
      <w:pPr>
        <w:jc w:val="both"/>
        <w:rPr>
          <w:b/>
          <w:sz w:val="24"/>
          <w:szCs w:val="24"/>
          <w:highlight w:val="white"/>
        </w:rPr>
      </w:pPr>
    </w:p>
    <w:p w14:paraId="793767C6" w14:textId="77777777" w:rsidR="0061349C" w:rsidRPr="00685B8B" w:rsidRDefault="0061349C" w:rsidP="00685B8B">
      <w:pPr>
        <w:spacing w:before="240"/>
        <w:jc w:val="both"/>
        <w:rPr>
          <w:rFonts w:cstheme="minorHAnsi"/>
          <w:highlight w:val="white"/>
        </w:rPr>
      </w:pPr>
      <w:r w:rsidRPr="00685B8B">
        <w:rPr>
          <w:rFonts w:cstheme="minorHAnsi"/>
          <w:b/>
          <w:highlight w:val="white"/>
        </w:rPr>
        <w:t xml:space="preserve">Supplementary Table 1. </w:t>
      </w:r>
      <w:r w:rsidRPr="00685B8B">
        <w:rPr>
          <w:rFonts w:cstheme="minorHAnsi"/>
          <w:highlight w:val="white"/>
        </w:rPr>
        <w:t xml:space="preserve">Characteristics of the </w:t>
      </w:r>
      <w:proofErr w:type="spellStart"/>
      <w:r w:rsidRPr="00685B8B">
        <w:rPr>
          <w:rFonts w:cstheme="minorHAnsi"/>
          <w:highlight w:val="white"/>
        </w:rPr>
        <w:t>MutA</w:t>
      </w:r>
      <w:proofErr w:type="spellEnd"/>
      <w:r w:rsidRPr="00685B8B">
        <w:rPr>
          <w:rFonts w:cstheme="minorHAnsi"/>
          <w:highlight w:val="white"/>
        </w:rPr>
        <w:t xml:space="preserve"> and D sequences identified in our dataset. Average structural content and free energy for the MT and the WT are reported in the Table.</w:t>
      </w:r>
    </w:p>
    <w:p w14:paraId="3FECE513" w14:textId="7E1CEDC7" w:rsidR="00685B8B" w:rsidRPr="00685B8B" w:rsidRDefault="0061349C" w:rsidP="00685B8B">
      <w:pPr>
        <w:pStyle w:val="Heading3"/>
        <w:spacing w:before="24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bookmarkStart w:id="3" w:name="_9i46ejnz57yz" w:colFirst="0" w:colLast="0"/>
      <w:bookmarkEnd w:id="3"/>
      <w:r w:rsidRPr="00685B8B">
        <w:rPr>
          <w:rFonts w:asciiTheme="minorHAnsi" w:hAnsiTheme="minorHAnsi" w:cstheme="minorHAnsi"/>
          <w:b/>
          <w:color w:val="000000"/>
          <w:sz w:val="22"/>
          <w:szCs w:val="22"/>
          <w:highlight w:val="white"/>
          <w:lang w:val="en-US"/>
        </w:rPr>
        <w:t xml:space="preserve">Supplementary Table 2. </w:t>
      </w:r>
      <w:r w:rsidRPr="00685B8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 xml:space="preserve">Number of species for </w:t>
      </w:r>
      <w:r w:rsidRPr="00685B8B">
        <w:rPr>
          <w:rFonts w:asciiTheme="minorHAnsi" w:hAnsiTheme="minorHAnsi" w:cstheme="minorHAnsi"/>
          <w:i/>
          <w:color w:val="000000"/>
          <w:sz w:val="22"/>
          <w:szCs w:val="22"/>
          <w:highlight w:val="white"/>
          <w:lang w:val="en-US"/>
        </w:rPr>
        <w:t xml:space="preserve">22 ITAFs </w:t>
      </w:r>
      <w:r w:rsidRPr="00685B8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 xml:space="preserve">with sequence conservation at 90-100% according to </w:t>
      </w:r>
      <w:proofErr w:type="spellStart"/>
      <w:r w:rsidRPr="00685B8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UniRef</w:t>
      </w:r>
      <w:proofErr w:type="spellEnd"/>
      <w:r w:rsidRPr="00685B8B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 xml:space="preserve"> clustering.</w:t>
      </w:r>
    </w:p>
    <w:p w14:paraId="3D5A3171" w14:textId="77777777" w:rsidR="00EB29EB" w:rsidRPr="00685B8B" w:rsidRDefault="0061349C" w:rsidP="00685B8B">
      <w:pPr>
        <w:spacing w:before="240"/>
        <w:rPr>
          <w:rFonts w:cstheme="minorHAnsi"/>
        </w:rPr>
      </w:pPr>
      <w:bookmarkStart w:id="4" w:name="_bgnhff1j03ku" w:colFirst="0" w:colLast="0"/>
      <w:bookmarkEnd w:id="4"/>
      <w:r w:rsidRPr="00685B8B">
        <w:rPr>
          <w:rFonts w:cstheme="minorHAnsi"/>
          <w:b/>
          <w:color w:val="000000"/>
          <w:highlight w:val="white"/>
        </w:rPr>
        <w:t xml:space="preserve">Supplementary Table 3. </w:t>
      </w:r>
      <w:r w:rsidRPr="00685B8B">
        <w:rPr>
          <w:rFonts w:cstheme="minorHAnsi"/>
          <w:color w:val="000000"/>
          <w:highlight w:val="white"/>
        </w:rPr>
        <w:t>Number of beneficial mutations increasing the binding with known ITAFs 2-fold (2x), 5-fold (5x), 10-fold (10x) compared to the WT. The % is related to the overall number of beneficial mutations.</w:t>
      </w:r>
    </w:p>
    <w:sectPr w:rsidR="00EB29EB" w:rsidRPr="00685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49C"/>
    <w:rsid w:val="00021F4F"/>
    <w:rsid w:val="000228DC"/>
    <w:rsid w:val="00033AEE"/>
    <w:rsid w:val="000408EA"/>
    <w:rsid w:val="0004278A"/>
    <w:rsid w:val="000429E8"/>
    <w:rsid w:val="0004779D"/>
    <w:rsid w:val="00052F3B"/>
    <w:rsid w:val="0009416F"/>
    <w:rsid w:val="000971F0"/>
    <w:rsid w:val="000C30CF"/>
    <w:rsid w:val="000E2392"/>
    <w:rsid w:val="00100973"/>
    <w:rsid w:val="0012504A"/>
    <w:rsid w:val="00126B1D"/>
    <w:rsid w:val="00137688"/>
    <w:rsid w:val="001376FB"/>
    <w:rsid w:val="0015195A"/>
    <w:rsid w:val="001638C7"/>
    <w:rsid w:val="0016537C"/>
    <w:rsid w:val="00166833"/>
    <w:rsid w:val="00166E2D"/>
    <w:rsid w:val="0017391C"/>
    <w:rsid w:val="001A34F5"/>
    <w:rsid w:val="001A5554"/>
    <w:rsid w:val="001B2C6A"/>
    <w:rsid w:val="001F672F"/>
    <w:rsid w:val="0020068A"/>
    <w:rsid w:val="0020616C"/>
    <w:rsid w:val="00214683"/>
    <w:rsid w:val="00226818"/>
    <w:rsid w:val="00226E61"/>
    <w:rsid w:val="00234A4E"/>
    <w:rsid w:val="0024291B"/>
    <w:rsid w:val="002520D8"/>
    <w:rsid w:val="002701CB"/>
    <w:rsid w:val="00280A0E"/>
    <w:rsid w:val="002A0474"/>
    <w:rsid w:val="002B5F5C"/>
    <w:rsid w:val="002F457B"/>
    <w:rsid w:val="003045F5"/>
    <w:rsid w:val="00306C45"/>
    <w:rsid w:val="00321DB9"/>
    <w:rsid w:val="00331067"/>
    <w:rsid w:val="003530CE"/>
    <w:rsid w:val="00376C42"/>
    <w:rsid w:val="00386647"/>
    <w:rsid w:val="0039020C"/>
    <w:rsid w:val="003E752D"/>
    <w:rsid w:val="0041062A"/>
    <w:rsid w:val="00450431"/>
    <w:rsid w:val="00455C2F"/>
    <w:rsid w:val="004817A9"/>
    <w:rsid w:val="00483683"/>
    <w:rsid w:val="00490AB1"/>
    <w:rsid w:val="00492727"/>
    <w:rsid w:val="004A3B93"/>
    <w:rsid w:val="004D7D0E"/>
    <w:rsid w:val="005003EC"/>
    <w:rsid w:val="00501E60"/>
    <w:rsid w:val="00506CE8"/>
    <w:rsid w:val="005106E8"/>
    <w:rsid w:val="00552DED"/>
    <w:rsid w:val="005549F6"/>
    <w:rsid w:val="0055524B"/>
    <w:rsid w:val="00595DED"/>
    <w:rsid w:val="005C1659"/>
    <w:rsid w:val="006003E4"/>
    <w:rsid w:val="00606698"/>
    <w:rsid w:val="0061349C"/>
    <w:rsid w:val="00632756"/>
    <w:rsid w:val="00637765"/>
    <w:rsid w:val="0068341B"/>
    <w:rsid w:val="00685B8B"/>
    <w:rsid w:val="006D502A"/>
    <w:rsid w:val="00704F3D"/>
    <w:rsid w:val="00710AAD"/>
    <w:rsid w:val="00733345"/>
    <w:rsid w:val="0076440D"/>
    <w:rsid w:val="00772EEF"/>
    <w:rsid w:val="00776D77"/>
    <w:rsid w:val="007A2393"/>
    <w:rsid w:val="007B48BF"/>
    <w:rsid w:val="007E1F8D"/>
    <w:rsid w:val="0080493F"/>
    <w:rsid w:val="008206A8"/>
    <w:rsid w:val="0086285B"/>
    <w:rsid w:val="008768FF"/>
    <w:rsid w:val="008A134F"/>
    <w:rsid w:val="008A2D54"/>
    <w:rsid w:val="008C2710"/>
    <w:rsid w:val="00907909"/>
    <w:rsid w:val="00910E59"/>
    <w:rsid w:val="00935DDC"/>
    <w:rsid w:val="00945D1C"/>
    <w:rsid w:val="009463A5"/>
    <w:rsid w:val="009A0479"/>
    <w:rsid w:val="009B05CB"/>
    <w:rsid w:val="00A13E09"/>
    <w:rsid w:val="00A31963"/>
    <w:rsid w:val="00A53A86"/>
    <w:rsid w:val="00A93AEA"/>
    <w:rsid w:val="00A97317"/>
    <w:rsid w:val="00AD78BD"/>
    <w:rsid w:val="00AE7D04"/>
    <w:rsid w:val="00B1285E"/>
    <w:rsid w:val="00B43977"/>
    <w:rsid w:val="00B767D9"/>
    <w:rsid w:val="00BA63DA"/>
    <w:rsid w:val="00BD65FE"/>
    <w:rsid w:val="00BE39A2"/>
    <w:rsid w:val="00C145D9"/>
    <w:rsid w:val="00CA6A02"/>
    <w:rsid w:val="00CF2646"/>
    <w:rsid w:val="00D415E7"/>
    <w:rsid w:val="00D474E0"/>
    <w:rsid w:val="00DE01E7"/>
    <w:rsid w:val="00E4722F"/>
    <w:rsid w:val="00EB29EB"/>
    <w:rsid w:val="00ED1802"/>
    <w:rsid w:val="00F0641F"/>
    <w:rsid w:val="00F21EE8"/>
    <w:rsid w:val="00F34F3F"/>
    <w:rsid w:val="00F401D8"/>
    <w:rsid w:val="00F623D9"/>
    <w:rsid w:val="00F73C63"/>
    <w:rsid w:val="00F81958"/>
    <w:rsid w:val="00FA49CC"/>
    <w:rsid w:val="00FB10E0"/>
    <w:rsid w:val="00FD7547"/>
    <w:rsid w:val="00F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E8A1"/>
  <w15:docId w15:val="{792DA51D-BDA4-9D41-88B7-2F770FE5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rsid w:val="0061349C"/>
    <w:pPr>
      <w:keepNext/>
      <w:keepLines/>
      <w:spacing w:before="320" w:after="80"/>
      <w:jc w:val="both"/>
      <w:outlineLvl w:val="2"/>
    </w:pPr>
    <w:rPr>
      <w:rFonts w:ascii="Arial" w:eastAsia="Arial" w:hAnsi="Arial" w:cs="Arial"/>
      <w:color w:val="434343"/>
      <w:sz w:val="28"/>
      <w:szCs w:val="28"/>
      <w:lang w:val="it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1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1349C"/>
    <w:rPr>
      <w:rFonts w:ascii="Arial" w:eastAsia="Arial" w:hAnsi="Arial" w:cs="Arial"/>
      <w:color w:val="434343"/>
      <w:sz w:val="28"/>
      <w:szCs w:val="28"/>
      <w:lang w:val="it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Gian Gaetano Tartaglia</cp:lastModifiedBy>
  <cp:revision>2</cp:revision>
  <dcterms:created xsi:type="dcterms:W3CDTF">2025-11-06T01:55:00Z</dcterms:created>
  <dcterms:modified xsi:type="dcterms:W3CDTF">2025-11-16T16:16:00Z</dcterms:modified>
</cp:coreProperties>
</file>