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4A60" w14:textId="77777777" w:rsidR="003868D9" w:rsidRDefault="003868D9" w:rsidP="003868D9">
      <w:pPr>
        <w:spacing w:after="0" w:line="276" w:lineRule="auto"/>
        <w:jc w:val="both"/>
        <w:rPr>
          <w:rFonts w:ascii="Arial" w:hAnsi="Arial" w:cs="Arial"/>
        </w:rPr>
      </w:pPr>
      <w:r w:rsidRPr="00B9361E">
        <w:rPr>
          <w:rFonts w:ascii="Arial" w:hAnsi="Arial" w:cs="Arial"/>
          <w:b/>
          <w:bCs/>
        </w:rPr>
        <w:t>Supplementary table 1: List of human forward and reverse primers used in this study.</w:t>
      </w:r>
      <w:r w:rsidRPr="00B9361E">
        <w:rPr>
          <w:rFonts w:ascii="Arial" w:hAnsi="Arial" w:cs="Arial"/>
        </w:rPr>
        <w:t xml:space="preserve">   List of human forward (FWD) and reverse (REV) primer sequences for key MVP enzymes: </w:t>
      </w:r>
      <w:r w:rsidRPr="00B65944">
        <w:rPr>
          <w:rFonts w:ascii="Arial" w:hAnsi="Arial" w:cs="Arial"/>
          <w:i/>
          <w:iCs/>
        </w:rPr>
        <w:t>HMGCR</w:t>
      </w:r>
      <w:r w:rsidRPr="00B9361E">
        <w:rPr>
          <w:rFonts w:ascii="Arial" w:hAnsi="Arial" w:cs="Arial"/>
        </w:rPr>
        <w:t xml:space="preserve">, </w:t>
      </w:r>
      <w:r w:rsidRPr="00B65944">
        <w:rPr>
          <w:rFonts w:ascii="Arial" w:hAnsi="Arial" w:cs="Arial"/>
          <w:i/>
          <w:iCs/>
        </w:rPr>
        <w:t>MVK</w:t>
      </w:r>
      <w:r w:rsidRPr="00B9361E">
        <w:rPr>
          <w:rFonts w:ascii="Arial" w:hAnsi="Arial" w:cs="Arial"/>
        </w:rPr>
        <w:t xml:space="preserve">, </w:t>
      </w:r>
      <w:r w:rsidRPr="00B65944">
        <w:rPr>
          <w:rFonts w:ascii="Arial" w:hAnsi="Arial" w:cs="Arial"/>
          <w:i/>
          <w:iCs/>
        </w:rPr>
        <w:t>MVD</w:t>
      </w:r>
      <w:r w:rsidRPr="00B9361E">
        <w:rPr>
          <w:rFonts w:ascii="Arial" w:hAnsi="Arial" w:cs="Arial"/>
        </w:rPr>
        <w:t xml:space="preserve"> and </w:t>
      </w:r>
      <w:r w:rsidRPr="00B65944">
        <w:rPr>
          <w:rFonts w:ascii="Arial" w:hAnsi="Arial" w:cs="Arial"/>
          <w:i/>
          <w:iCs/>
        </w:rPr>
        <w:t>FDPS</w:t>
      </w:r>
      <w:r w:rsidRPr="00B9361E">
        <w:rPr>
          <w:rFonts w:ascii="Arial" w:hAnsi="Arial" w:cs="Arial"/>
        </w:rPr>
        <w:t xml:space="preserve">, in addition to </w:t>
      </w:r>
      <w:r w:rsidRPr="00B65944">
        <w:rPr>
          <w:rFonts w:ascii="Arial" w:hAnsi="Arial" w:cs="Arial"/>
          <w:i/>
          <w:iCs/>
        </w:rPr>
        <w:t>TP53</w:t>
      </w:r>
      <w:r w:rsidRPr="00B9361E">
        <w:rPr>
          <w:rFonts w:ascii="Arial" w:hAnsi="Arial" w:cs="Arial"/>
        </w:rPr>
        <w:t xml:space="preserve">, </w:t>
      </w:r>
      <w:r w:rsidRPr="00B65944">
        <w:rPr>
          <w:rFonts w:ascii="Arial" w:hAnsi="Arial" w:cs="Arial"/>
          <w:i/>
          <w:iCs/>
        </w:rPr>
        <w:t>CDKN1A</w:t>
      </w:r>
      <w:r w:rsidRPr="00B9361E">
        <w:rPr>
          <w:rFonts w:ascii="Arial" w:hAnsi="Arial" w:cs="Arial"/>
        </w:rPr>
        <w:t xml:space="preserve">, </w:t>
      </w:r>
      <w:r w:rsidRPr="00B65944">
        <w:rPr>
          <w:rFonts w:ascii="Arial" w:hAnsi="Arial" w:cs="Arial"/>
          <w:i/>
          <w:iCs/>
        </w:rPr>
        <w:t>TAp73</w:t>
      </w:r>
      <w:r w:rsidRPr="00B9361E">
        <w:rPr>
          <w:rFonts w:ascii="Arial" w:hAnsi="Arial" w:cs="Arial"/>
        </w:rPr>
        <w:t xml:space="preserve"> and </w:t>
      </w:r>
      <w:r w:rsidRPr="00B65944">
        <w:rPr>
          <w:rFonts w:ascii="Arial" w:hAnsi="Arial" w:cs="Arial"/>
          <w:i/>
          <w:iCs/>
        </w:rPr>
        <w:t>TBP</w:t>
      </w:r>
      <w:r w:rsidRPr="00B9361E">
        <w:rPr>
          <w:rFonts w:ascii="Arial" w:hAnsi="Arial" w:cs="Arial"/>
        </w:rPr>
        <w:t xml:space="preserve"> (loading control). </w:t>
      </w:r>
    </w:p>
    <w:p w14:paraId="63AEF1BF" w14:textId="77777777" w:rsidR="003868D9" w:rsidRDefault="003868D9" w:rsidP="003868D9">
      <w:pPr>
        <w:spacing w:after="0" w:line="276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3067"/>
      </w:tblGrid>
      <w:tr w:rsidR="003868D9" w14:paraId="006F9211" w14:textId="77777777" w:rsidTr="003868D9">
        <w:tc>
          <w:tcPr>
            <w:tcW w:w="2972" w:type="dxa"/>
          </w:tcPr>
          <w:p w14:paraId="5B81904D" w14:textId="4C502109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2977" w:type="dxa"/>
          </w:tcPr>
          <w:p w14:paraId="1489D41C" w14:textId="172A1F5F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  <w:b/>
                <w:bCs/>
              </w:rPr>
              <w:t>FWD</w:t>
            </w:r>
          </w:p>
        </w:tc>
        <w:tc>
          <w:tcPr>
            <w:tcW w:w="3067" w:type="dxa"/>
          </w:tcPr>
          <w:p w14:paraId="069AEC80" w14:textId="56C053FB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  <w:b/>
                <w:bCs/>
              </w:rPr>
              <w:t>REV</w:t>
            </w:r>
          </w:p>
        </w:tc>
      </w:tr>
      <w:tr w:rsidR="003868D9" w14:paraId="7415E657" w14:textId="77777777" w:rsidTr="003868D9">
        <w:tc>
          <w:tcPr>
            <w:tcW w:w="2972" w:type="dxa"/>
          </w:tcPr>
          <w:p w14:paraId="5343460E" w14:textId="000F2BD0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3-hydroxy-3-methylglutaryl-CoA reductase (</w:t>
            </w:r>
            <w:r w:rsidRPr="003868D9">
              <w:rPr>
                <w:rFonts w:ascii="Arial" w:hAnsi="Arial" w:cs="Arial"/>
                <w:i/>
                <w:iCs/>
              </w:rPr>
              <w:t>HMGCR</w:t>
            </w:r>
            <w:r w:rsidRPr="003868D9">
              <w:rPr>
                <w:rFonts w:ascii="Arial" w:hAnsi="Arial" w:cs="Arial"/>
              </w:rPr>
              <w:t>)</w:t>
            </w:r>
          </w:p>
        </w:tc>
        <w:tc>
          <w:tcPr>
            <w:tcW w:w="2977" w:type="dxa"/>
          </w:tcPr>
          <w:p w14:paraId="56E3638C" w14:textId="078FD7C6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GGCCCAGTTGTGCGTCTT</w:t>
            </w:r>
          </w:p>
        </w:tc>
        <w:tc>
          <w:tcPr>
            <w:tcW w:w="3067" w:type="dxa"/>
          </w:tcPr>
          <w:p w14:paraId="6C6EDCB4" w14:textId="0517615E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CGAGCCAGGCTTTCACTTCT</w:t>
            </w:r>
          </w:p>
        </w:tc>
      </w:tr>
      <w:tr w:rsidR="003868D9" w14:paraId="28700B94" w14:textId="77777777" w:rsidTr="003868D9">
        <w:tc>
          <w:tcPr>
            <w:tcW w:w="2972" w:type="dxa"/>
            <w:vAlign w:val="center"/>
          </w:tcPr>
          <w:p w14:paraId="073288AD" w14:textId="5FADE082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Mevalonate kinase (MVK)</w:t>
            </w:r>
          </w:p>
        </w:tc>
        <w:tc>
          <w:tcPr>
            <w:tcW w:w="2977" w:type="dxa"/>
            <w:vAlign w:val="center"/>
          </w:tcPr>
          <w:p w14:paraId="38B20C12" w14:textId="2C8AC121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TGGACCTCAGCTTACCCAACA</w:t>
            </w:r>
          </w:p>
        </w:tc>
        <w:tc>
          <w:tcPr>
            <w:tcW w:w="3067" w:type="dxa"/>
            <w:vAlign w:val="center"/>
          </w:tcPr>
          <w:p w14:paraId="2185E35C" w14:textId="621FEA06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GACTGAAGCCTGGCCACATC</w:t>
            </w:r>
          </w:p>
        </w:tc>
      </w:tr>
      <w:tr w:rsidR="003868D9" w14:paraId="5D28AFF1" w14:textId="77777777" w:rsidTr="003868D9">
        <w:tc>
          <w:tcPr>
            <w:tcW w:w="2972" w:type="dxa"/>
            <w:vAlign w:val="center"/>
          </w:tcPr>
          <w:p w14:paraId="6D78E75B" w14:textId="419A7321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Mevalonate decarboxylase (MVD)</w:t>
            </w:r>
          </w:p>
        </w:tc>
        <w:tc>
          <w:tcPr>
            <w:tcW w:w="2977" w:type="dxa"/>
            <w:vAlign w:val="center"/>
          </w:tcPr>
          <w:p w14:paraId="52508FE9" w14:textId="5D3F9406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TGAACTCCGCGTGCTCATC</w:t>
            </w:r>
          </w:p>
        </w:tc>
        <w:tc>
          <w:tcPr>
            <w:tcW w:w="3067" w:type="dxa"/>
            <w:vAlign w:val="center"/>
          </w:tcPr>
          <w:p w14:paraId="77ADAF3D" w14:textId="6B1E9E9E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CGGTACTGCCTGTCAGCTTCT</w:t>
            </w:r>
          </w:p>
        </w:tc>
      </w:tr>
      <w:tr w:rsidR="003868D9" w14:paraId="524AE2D5" w14:textId="77777777" w:rsidTr="002A116C">
        <w:tc>
          <w:tcPr>
            <w:tcW w:w="2972" w:type="dxa"/>
            <w:vAlign w:val="center"/>
          </w:tcPr>
          <w:p w14:paraId="7CF2A942" w14:textId="0385D535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Farnesyl diphosphate synthase (</w:t>
            </w:r>
            <w:r w:rsidRPr="003868D9">
              <w:rPr>
                <w:rFonts w:ascii="Arial" w:hAnsi="Arial" w:cs="Arial"/>
                <w:i/>
                <w:iCs/>
              </w:rPr>
              <w:t>FDPS</w:t>
            </w:r>
            <w:r w:rsidRPr="003868D9">
              <w:rPr>
                <w:rFonts w:ascii="Arial" w:hAnsi="Arial" w:cs="Arial"/>
              </w:rPr>
              <w:t>)</w:t>
            </w:r>
          </w:p>
        </w:tc>
        <w:tc>
          <w:tcPr>
            <w:tcW w:w="2977" w:type="dxa"/>
            <w:vAlign w:val="center"/>
          </w:tcPr>
          <w:p w14:paraId="04543AB9" w14:textId="4050FBB1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CTTCCTATAGCTGCAGCCATGTAC</w:t>
            </w:r>
          </w:p>
        </w:tc>
        <w:tc>
          <w:tcPr>
            <w:tcW w:w="3067" w:type="dxa"/>
            <w:vAlign w:val="center"/>
          </w:tcPr>
          <w:p w14:paraId="2E5D747E" w14:textId="7DD479EF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GCATTGGCGTGCTCCTTCT</w:t>
            </w:r>
          </w:p>
        </w:tc>
      </w:tr>
      <w:tr w:rsidR="003868D9" w14:paraId="069135BF" w14:textId="77777777" w:rsidTr="002A116C">
        <w:tc>
          <w:tcPr>
            <w:tcW w:w="2972" w:type="dxa"/>
            <w:vAlign w:val="center"/>
          </w:tcPr>
          <w:p w14:paraId="1DECF626" w14:textId="5B56AE59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Tumour suppressor protein p53 (</w:t>
            </w:r>
            <w:r w:rsidRPr="003868D9">
              <w:rPr>
                <w:rFonts w:ascii="Arial" w:hAnsi="Arial" w:cs="Arial"/>
                <w:i/>
                <w:iCs/>
              </w:rPr>
              <w:t>TP53</w:t>
            </w:r>
            <w:r w:rsidRPr="003868D9">
              <w:rPr>
                <w:rFonts w:ascii="Arial" w:hAnsi="Arial" w:cs="Arial"/>
              </w:rPr>
              <w:t>)</w:t>
            </w:r>
          </w:p>
        </w:tc>
        <w:tc>
          <w:tcPr>
            <w:tcW w:w="2977" w:type="dxa"/>
            <w:vAlign w:val="center"/>
          </w:tcPr>
          <w:p w14:paraId="26ABD172" w14:textId="276B7529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CCCAAGCAATGGATGATTTGA</w:t>
            </w:r>
          </w:p>
        </w:tc>
        <w:tc>
          <w:tcPr>
            <w:tcW w:w="3067" w:type="dxa"/>
            <w:vAlign w:val="center"/>
          </w:tcPr>
          <w:p w14:paraId="288EBA63" w14:textId="607A5DCA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GGCATTCTGGGAGCTTCATCT</w:t>
            </w:r>
          </w:p>
        </w:tc>
      </w:tr>
      <w:tr w:rsidR="003868D9" w14:paraId="33FD778C" w14:textId="77777777" w:rsidTr="002A116C">
        <w:tc>
          <w:tcPr>
            <w:tcW w:w="2972" w:type="dxa"/>
            <w:vAlign w:val="center"/>
          </w:tcPr>
          <w:p w14:paraId="0BC78255" w14:textId="1A7849F9" w:rsidR="003868D9" w:rsidRDefault="00AB5EC2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p21 / </w:t>
            </w:r>
            <w:r w:rsidR="003868D9" w:rsidRPr="003868D9">
              <w:rPr>
                <w:rFonts w:ascii="Arial" w:hAnsi="Arial" w:cs="Arial"/>
              </w:rPr>
              <w:t>Cyclin-dependent kinase inhibitor 1 (</w:t>
            </w:r>
            <w:r w:rsidR="003868D9" w:rsidRPr="003868D9">
              <w:rPr>
                <w:rFonts w:ascii="Arial" w:hAnsi="Arial" w:cs="Arial"/>
                <w:i/>
                <w:iCs/>
              </w:rPr>
              <w:t>CDKN1A</w:t>
            </w:r>
            <w:r w:rsidR="003868D9" w:rsidRPr="003868D9">
              <w:rPr>
                <w:rFonts w:ascii="Arial" w:hAnsi="Arial" w:cs="Arial"/>
              </w:rPr>
              <w:t>)</w:t>
            </w:r>
          </w:p>
        </w:tc>
        <w:tc>
          <w:tcPr>
            <w:tcW w:w="2977" w:type="dxa"/>
            <w:vAlign w:val="center"/>
          </w:tcPr>
          <w:p w14:paraId="7FDFB537" w14:textId="5CFB4303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TGGGGATGTCCGTCAGAAC</w:t>
            </w:r>
          </w:p>
        </w:tc>
        <w:tc>
          <w:tcPr>
            <w:tcW w:w="3067" w:type="dxa"/>
            <w:vAlign w:val="center"/>
          </w:tcPr>
          <w:p w14:paraId="443803FA" w14:textId="2E46AE6C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GGCGTTTGGAGTGGTAGAAATC</w:t>
            </w:r>
          </w:p>
        </w:tc>
      </w:tr>
      <w:tr w:rsidR="003868D9" w14:paraId="25BD48E6" w14:textId="77777777" w:rsidTr="00C260C6">
        <w:tc>
          <w:tcPr>
            <w:tcW w:w="2972" w:type="dxa"/>
            <w:vAlign w:val="center"/>
          </w:tcPr>
          <w:p w14:paraId="1DDFF4A7" w14:textId="4C1C1370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Tumour protein p73 (</w:t>
            </w:r>
            <w:r w:rsidRPr="003868D9">
              <w:rPr>
                <w:rFonts w:ascii="Arial" w:hAnsi="Arial" w:cs="Arial"/>
                <w:i/>
                <w:iCs/>
              </w:rPr>
              <w:t>TAp73</w:t>
            </w:r>
            <w:r w:rsidRPr="003868D9">
              <w:rPr>
                <w:rFonts w:ascii="Arial" w:hAnsi="Arial" w:cs="Arial"/>
              </w:rPr>
              <w:t>)</w:t>
            </w:r>
          </w:p>
        </w:tc>
        <w:tc>
          <w:tcPr>
            <w:tcW w:w="2977" w:type="dxa"/>
            <w:vAlign w:val="center"/>
          </w:tcPr>
          <w:p w14:paraId="33B96663" w14:textId="6C22857A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CAGACAGCACCTACTTCGA</w:t>
            </w:r>
          </w:p>
        </w:tc>
        <w:tc>
          <w:tcPr>
            <w:tcW w:w="3067" w:type="dxa"/>
            <w:vAlign w:val="center"/>
          </w:tcPr>
          <w:p w14:paraId="6A99B4E3" w14:textId="036798B4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CCGCCCACCACCTCATTA</w:t>
            </w:r>
          </w:p>
        </w:tc>
      </w:tr>
      <w:tr w:rsidR="003868D9" w14:paraId="58948E96" w14:textId="77777777" w:rsidTr="00C260C6">
        <w:tc>
          <w:tcPr>
            <w:tcW w:w="2972" w:type="dxa"/>
            <w:vAlign w:val="center"/>
          </w:tcPr>
          <w:p w14:paraId="3E66B0B8" w14:textId="3859DCC6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TATA-box binding protein (</w:t>
            </w:r>
            <w:r w:rsidRPr="003868D9">
              <w:rPr>
                <w:rFonts w:ascii="Arial" w:hAnsi="Arial" w:cs="Arial"/>
                <w:i/>
                <w:iCs/>
              </w:rPr>
              <w:t>TBP</w:t>
            </w:r>
            <w:r w:rsidRPr="003868D9">
              <w:rPr>
                <w:rFonts w:ascii="Arial" w:hAnsi="Arial" w:cs="Arial"/>
              </w:rPr>
              <w:t>)</w:t>
            </w:r>
          </w:p>
        </w:tc>
        <w:tc>
          <w:tcPr>
            <w:tcW w:w="2977" w:type="dxa"/>
            <w:vAlign w:val="center"/>
          </w:tcPr>
          <w:p w14:paraId="04965BCA" w14:textId="6A777849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TCAAACCCAGAATTGTTCTCCTTAT</w:t>
            </w:r>
          </w:p>
        </w:tc>
        <w:tc>
          <w:tcPr>
            <w:tcW w:w="3067" w:type="dxa"/>
            <w:vAlign w:val="center"/>
          </w:tcPr>
          <w:p w14:paraId="174BF8CD" w14:textId="044E78FE" w:rsidR="003868D9" w:rsidRDefault="003868D9" w:rsidP="003868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868D9">
              <w:rPr>
                <w:rFonts w:ascii="Arial" w:hAnsi="Arial" w:cs="Arial"/>
              </w:rPr>
              <w:t>TCAAACCCAGAATTGTTCTCCTTAT</w:t>
            </w:r>
          </w:p>
        </w:tc>
      </w:tr>
    </w:tbl>
    <w:p w14:paraId="4165E8F2" w14:textId="77777777" w:rsidR="003868D9" w:rsidRDefault="003868D9" w:rsidP="003868D9">
      <w:pPr>
        <w:spacing w:after="0" w:line="276" w:lineRule="auto"/>
        <w:jc w:val="both"/>
        <w:rPr>
          <w:rFonts w:ascii="Arial" w:hAnsi="Arial" w:cs="Arial"/>
        </w:rPr>
      </w:pPr>
    </w:p>
    <w:p w14:paraId="56FC00FA" w14:textId="77777777" w:rsidR="003868D9" w:rsidRPr="00B65944" w:rsidRDefault="003868D9" w:rsidP="003868D9">
      <w:pPr>
        <w:spacing w:after="0" w:line="276" w:lineRule="auto"/>
        <w:jc w:val="both"/>
        <w:rPr>
          <w:rFonts w:ascii="Arial" w:hAnsi="Arial" w:cs="Arial"/>
          <w:strike/>
          <w:color w:val="EE0000"/>
        </w:rPr>
      </w:pPr>
    </w:p>
    <w:p w14:paraId="58616583" w14:textId="77777777" w:rsidR="00F51858" w:rsidRDefault="00F51858"/>
    <w:sectPr w:rsidR="00F518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D9"/>
    <w:rsid w:val="00105D1D"/>
    <w:rsid w:val="002B451A"/>
    <w:rsid w:val="003868D9"/>
    <w:rsid w:val="004605CB"/>
    <w:rsid w:val="004A492C"/>
    <w:rsid w:val="005A101D"/>
    <w:rsid w:val="006D5673"/>
    <w:rsid w:val="007A1B41"/>
    <w:rsid w:val="00840962"/>
    <w:rsid w:val="00852D36"/>
    <w:rsid w:val="009E47FF"/>
    <w:rsid w:val="009E6260"/>
    <w:rsid w:val="00AB5EC2"/>
    <w:rsid w:val="00C373D6"/>
    <w:rsid w:val="00EF0C8F"/>
    <w:rsid w:val="00F51858"/>
    <w:rsid w:val="00F5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88E150"/>
  <w15:chartTrackingRefBased/>
  <w15:docId w15:val="{5258A9A9-351E-834C-996D-1466A645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8D9"/>
    <w:pPr>
      <w:spacing w:line="259" w:lineRule="auto"/>
    </w:pPr>
    <w:rPr>
      <w:rFonts w:eastAsia="SimSun"/>
      <w:kern w:val="0"/>
      <w:sz w:val="22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8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8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8D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8D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8D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8D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8D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8D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8D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8D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8D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8D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8D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8D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8D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8D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8D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8D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86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68D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8D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68D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868D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68D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868D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6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8D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868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68D9"/>
    <w:pPr>
      <w:spacing w:after="0" w:line="240" w:lineRule="auto"/>
    </w:pPr>
    <w:rPr>
      <w:rFonts w:eastAsia="SimSun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yuhui lu</dc:creator>
  <cp:keywords/>
  <dc:description/>
  <cp:lastModifiedBy>yuhui lu</cp:lastModifiedBy>
  <cp:revision>3</cp:revision>
  <dcterms:created xsi:type="dcterms:W3CDTF">2026-03-03T13:49:00Z</dcterms:created>
  <dcterms:modified xsi:type="dcterms:W3CDTF">2026-03-03T14:04:00Z</dcterms:modified>
</cp:coreProperties>
</file>