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7B3B" w:rsidRDefault="00BB5A2E">
      <w:pPr>
        <w:spacing w:line="480" w:lineRule="auto"/>
        <w:ind w:firstLineChars="0" w:firstLine="0"/>
        <w:rPr>
          <w:b/>
        </w:rPr>
      </w:pPr>
      <w:r>
        <w:rPr>
          <w:b/>
        </w:rPr>
        <w:t>Figure S1</w:t>
      </w:r>
    </w:p>
    <w:p w:rsidR="00E57B3B" w:rsidRDefault="00BB5A2E">
      <w:pPr>
        <w:spacing w:line="480" w:lineRule="auto"/>
        <w:ind w:firstLineChars="0" w:firstLine="0"/>
      </w:pPr>
      <w:r>
        <w:rPr>
          <w:noProof/>
        </w:rPr>
        <w:drawing>
          <wp:inline distT="0" distB="0" distL="0" distR="0">
            <wp:extent cx="5274310" cy="6654165"/>
            <wp:effectExtent l="0" t="0" r="2540" b="133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654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7B3B" w:rsidRDefault="00BB5A2E">
      <w:pPr>
        <w:spacing w:line="480" w:lineRule="auto"/>
        <w:ind w:firstLineChars="0" w:firstLine="0"/>
        <w:rPr>
          <w:rFonts w:cs="Times New Roman"/>
        </w:rPr>
      </w:pPr>
      <w:r>
        <w:rPr>
          <w:b/>
        </w:rPr>
        <w:t xml:space="preserve">Figure S1 </w:t>
      </w:r>
      <w:r>
        <w:rPr>
          <w:b/>
          <w:bCs/>
        </w:rPr>
        <w:t xml:space="preserve">Ach reduced Ang II-induced the enhancement of ferroptosis level and cathepsin K expression </w:t>
      </w:r>
      <w:r>
        <w:rPr>
          <w:b/>
          <w:bCs/>
          <w:i/>
        </w:rPr>
        <w:t>in vitro</w:t>
      </w:r>
      <w:r>
        <w:rPr>
          <w:b/>
          <w:bCs/>
        </w:rPr>
        <w:t>.</w:t>
      </w:r>
      <w:r>
        <w:t xml:space="preserve"> (A) The </w:t>
      </w:r>
      <w:r>
        <w:rPr>
          <w:rFonts w:hint="eastAsia"/>
        </w:rPr>
        <w:t>influence</w:t>
      </w:r>
      <w:r>
        <w:t xml:space="preserve"> of Ach on the mRNA levels of cardiac fibrosis markers Col I and Col III in Ang II-treated H9C2 cells was evaluated by </w:t>
      </w:r>
      <w:proofErr w:type="spellStart"/>
      <w:r>
        <w:t>qRT</w:t>
      </w:r>
      <w:proofErr w:type="spellEnd"/>
      <w:r>
        <w:t xml:space="preserve">-PCR. (B) WB analysis measuring Ach effect on IL-1β levels in Ang II-treated </w:t>
      </w:r>
      <w:r>
        <w:lastRenderedPageBreak/>
        <w:t xml:space="preserve">H9C2 cells. (C-D) The changes of Ach on cell apoptosis and mitochondrial morphology were respectively </w:t>
      </w:r>
      <w:r w:rsidR="00D25D22" w:rsidRPr="00D25D22">
        <w:t>analyzed</w:t>
      </w:r>
      <w:r>
        <w:t xml:space="preserve"> by flow cytometry and TEM. (E-G) Quantification of </w:t>
      </w:r>
      <w:r w:rsidR="00D25D22">
        <w:t>ferroptosis</w:t>
      </w:r>
      <w:r>
        <w:t xml:space="preserve">-related </w:t>
      </w:r>
      <w:r>
        <w:rPr>
          <w:rFonts w:hint="eastAsia"/>
        </w:rPr>
        <w:t>markers</w:t>
      </w:r>
      <w:r>
        <w:t xml:space="preserve"> (intracellular Fe²⁺, </w:t>
      </w:r>
      <w:r>
        <w:rPr>
          <w:rFonts w:hint="eastAsia"/>
        </w:rPr>
        <w:t>SLC7A11,</w:t>
      </w:r>
      <w:r>
        <w:t xml:space="preserve"> </w:t>
      </w:r>
      <w:r>
        <w:rPr>
          <w:rFonts w:hint="eastAsia"/>
        </w:rPr>
        <w:t>GPX4</w:t>
      </w:r>
      <w:r>
        <w:t>) and oxidative stress markers (</w:t>
      </w:r>
      <w:r>
        <w:rPr>
          <w:rFonts w:hint="eastAsia"/>
        </w:rPr>
        <w:t>MDA,</w:t>
      </w:r>
      <w:r>
        <w:t xml:space="preserve"> </w:t>
      </w:r>
      <w:r>
        <w:rPr>
          <w:rFonts w:hint="eastAsia"/>
        </w:rPr>
        <w:t>GSH,</w:t>
      </w:r>
      <w:r>
        <w:t xml:space="preserve"> </w:t>
      </w:r>
      <w:r>
        <w:rPr>
          <w:rFonts w:hint="eastAsia"/>
        </w:rPr>
        <w:t>GSSG</w:t>
      </w:r>
      <w:r>
        <w:t xml:space="preserve">) in Ang II-stimulated H9C2 cells following Ach treatment. (H-I) Cathepsin K expression </w:t>
      </w:r>
      <w:r>
        <w:rPr>
          <w:rFonts w:hint="eastAsia"/>
        </w:rPr>
        <w:t>assessment</w:t>
      </w:r>
      <w:r>
        <w:t xml:space="preserve"> </w:t>
      </w:r>
      <w:r>
        <w:rPr>
          <w:rFonts w:hint="eastAsia"/>
        </w:rPr>
        <w:t>in</w:t>
      </w:r>
      <w:r>
        <w:t xml:space="preserve"> Ang II-treated H9C2 cells </w:t>
      </w:r>
      <w:r>
        <w:rPr>
          <w:rFonts w:hint="eastAsia"/>
        </w:rPr>
        <w:t>after</w:t>
      </w:r>
      <w:r>
        <w:t xml:space="preserve"> Ach exposure. </w:t>
      </w:r>
      <w:r>
        <w:rPr>
          <w:rFonts w:cs="Times New Roman"/>
          <w:vertAlign w:val="superscript"/>
        </w:rPr>
        <w:t>***</w:t>
      </w:r>
      <w:r>
        <w:rPr>
          <w:rFonts w:cs="Times New Roman"/>
          <w:i/>
        </w:rPr>
        <w:t>p</w:t>
      </w:r>
      <w:r>
        <w:rPr>
          <w:rFonts w:cs="Times New Roman"/>
        </w:rPr>
        <w:t xml:space="preserve"> &lt; 0.001, </w:t>
      </w:r>
      <w:r>
        <w:rPr>
          <w:rFonts w:cs="Times New Roman"/>
          <w:vertAlign w:val="superscript"/>
        </w:rPr>
        <w:t>**</w:t>
      </w:r>
      <w:r>
        <w:rPr>
          <w:rFonts w:cs="Times New Roman"/>
          <w:i/>
        </w:rPr>
        <w:t>p</w:t>
      </w:r>
      <w:r>
        <w:rPr>
          <w:rFonts w:cs="Times New Roman"/>
        </w:rPr>
        <w:t xml:space="preserve"> &lt; 0.01, </w:t>
      </w:r>
      <w:r>
        <w:rPr>
          <w:rFonts w:cs="Times New Roman"/>
          <w:vertAlign w:val="superscript"/>
        </w:rPr>
        <w:t>*</w:t>
      </w:r>
      <w:r>
        <w:rPr>
          <w:rFonts w:cs="Times New Roman"/>
          <w:i/>
        </w:rPr>
        <w:t>p</w:t>
      </w:r>
      <w:r>
        <w:rPr>
          <w:rFonts w:cs="Times New Roman"/>
        </w:rPr>
        <w:t xml:space="preserve"> &lt; 0.05 vs Control/ Ang II.</w:t>
      </w:r>
    </w:p>
    <w:p w:rsidR="00E57B3B" w:rsidRDefault="00E57B3B">
      <w:pPr>
        <w:spacing w:line="480" w:lineRule="auto"/>
        <w:ind w:firstLineChars="0" w:firstLine="0"/>
        <w:rPr>
          <w:rFonts w:cs="Times New Roman"/>
        </w:rPr>
      </w:pPr>
    </w:p>
    <w:p w:rsidR="00E57B3B" w:rsidRDefault="00BB5A2E">
      <w:pPr>
        <w:spacing w:line="480" w:lineRule="auto"/>
        <w:ind w:firstLineChars="0" w:firstLine="0"/>
        <w:rPr>
          <w:b/>
        </w:rPr>
      </w:pPr>
      <w:r>
        <w:rPr>
          <w:b/>
        </w:rPr>
        <w:t>Figure S2</w:t>
      </w:r>
    </w:p>
    <w:p w:rsidR="00E57B3B" w:rsidRDefault="00BB5A2E">
      <w:pPr>
        <w:spacing w:line="480" w:lineRule="auto"/>
        <w:ind w:firstLineChars="0" w:firstLine="0"/>
      </w:pPr>
      <w:r>
        <w:rPr>
          <w:noProof/>
        </w:rPr>
        <w:drawing>
          <wp:inline distT="0" distB="0" distL="0" distR="0">
            <wp:extent cx="5274310" cy="1816100"/>
            <wp:effectExtent l="0" t="0" r="2540" b="1270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1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7B3B" w:rsidRDefault="00E57B3B">
      <w:pPr>
        <w:spacing w:line="480" w:lineRule="auto"/>
        <w:ind w:firstLineChars="0" w:firstLine="0"/>
      </w:pPr>
    </w:p>
    <w:p w:rsidR="00E57B3B" w:rsidRDefault="00BB5A2E">
      <w:pPr>
        <w:spacing w:line="480" w:lineRule="auto"/>
        <w:ind w:firstLineChars="0" w:firstLine="0"/>
        <w:rPr>
          <w:b/>
        </w:rPr>
      </w:pPr>
      <w:r>
        <w:rPr>
          <w:b/>
        </w:rPr>
        <w:t>Figure S2</w:t>
      </w:r>
      <w:r>
        <w:t xml:space="preserve"> </w:t>
      </w:r>
      <w:r>
        <w:rPr>
          <w:b/>
          <w:bCs/>
        </w:rPr>
        <w:t xml:space="preserve">Validation of cathepsin K knockdown efficiency. </w:t>
      </w:r>
      <w:r>
        <w:t xml:space="preserve">(A-B) </w:t>
      </w:r>
      <w:proofErr w:type="spellStart"/>
      <w:r>
        <w:t>qRT</w:t>
      </w:r>
      <w:proofErr w:type="spellEnd"/>
      <w:r>
        <w:t>-PCR and WB analysis of cathepsin K in shRNA-transfected cells.</w:t>
      </w:r>
      <w:r>
        <w:rPr>
          <w:rFonts w:cs="Times New Roman"/>
        </w:rPr>
        <w:t xml:space="preserve"> </w:t>
      </w:r>
      <w:r>
        <w:rPr>
          <w:rFonts w:cs="Times New Roman"/>
          <w:vertAlign w:val="superscript"/>
        </w:rPr>
        <w:t>***</w:t>
      </w:r>
      <w:r>
        <w:rPr>
          <w:rFonts w:cs="Times New Roman"/>
          <w:i/>
        </w:rPr>
        <w:t>p</w:t>
      </w:r>
      <w:r>
        <w:rPr>
          <w:rFonts w:cs="Times New Roman"/>
        </w:rPr>
        <w:t xml:space="preserve"> &lt; 0.001, </w:t>
      </w:r>
      <w:r>
        <w:rPr>
          <w:rFonts w:cs="Times New Roman"/>
          <w:vertAlign w:val="superscript"/>
        </w:rPr>
        <w:t>**</w:t>
      </w:r>
      <w:r>
        <w:rPr>
          <w:rFonts w:cs="Times New Roman"/>
          <w:i/>
        </w:rPr>
        <w:t>p</w:t>
      </w:r>
      <w:r>
        <w:rPr>
          <w:rFonts w:cs="Times New Roman"/>
        </w:rPr>
        <w:t xml:space="preserve"> &lt; 0.01, </w:t>
      </w:r>
      <w:r>
        <w:rPr>
          <w:rFonts w:cs="Times New Roman"/>
          <w:vertAlign w:val="superscript"/>
        </w:rPr>
        <w:t>*</w:t>
      </w:r>
      <w:r>
        <w:rPr>
          <w:rFonts w:cs="Times New Roman"/>
          <w:i/>
        </w:rPr>
        <w:t>p</w:t>
      </w:r>
      <w:r>
        <w:rPr>
          <w:rFonts w:cs="Times New Roman"/>
        </w:rPr>
        <w:t xml:space="preserve"> &lt; 0.05 vs </w:t>
      </w:r>
      <w:proofErr w:type="spellStart"/>
      <w:r>
        <w:rPr>
          <w:rFonts w:cs="Times New Roman"/>
        </w:rPr>
        <w:t>sh</w:t>
      </w:r>
      <w:proofErr w:type="spellEnd"/>
      <w:r>
        <w:rPr>
          <w:rFonts w:cs="Times New Roman"/>
        </w:rPr>
        <w:t xml:space="preserve">-NC. </w:t>
      </w:r>
    </w:p>
    <w:p w:rsidR="00E57B3B" w:rsidRDefault="00E57B3B">
      <w:pPr>
        <w:spacing w:line="480" w:lineRule="auto"/>
        <w:ind w:firstLineChars="0" w:firstLine="0"/>
      </w:pPr>
      <w:bookmarkStart w:id="0" w:name="_GoBack"/>
      <w:bookmarkEnd w:id="0"/>
    </w:p>
    <w:sectPr w:rsidR="00E57B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2B74" w:rsidRDefault="00A52B74">
      <w:pPr>
        <w:spacing w:line="240" w:lineRule="auto"/>
        <w:ind w:firstLine="480"/>
      </w:pPr>
      <w:r>
        <w:separator/>
      </w:r>
    </w:p>
  </w:endnote>
  <w:endnote w:type="continuationSeparator" w:id="0">
    <w:p w:rsidR="00A52B74" w:rsidRDefault="00A52B74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5D22" w:rsidRDefault="00D25D22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5D22" w:rsidRDefault="00D25D22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5D22" w:rsidRDefault="00D25D22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2B74" w:rsidRDefault="00A52B74">
      <w:pPr>
        <w:spacing w:line="240" w:lineRule="auto"/>
        <w:ind w:firstLine="480"/>
      </w:pPr>
      <w:r>
        <w:separator/>
      </w:r>
    </w:p>
  </w:footnote>
  <w:footnote w:type="continuationSeparator" w:id="0">
    <w:p w:rsidR="00A52B74" w:rsidRDefault="00A52B74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5D22" w:rsidRDefault="00D25D22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5D22" w:rsidRDefault="00D25D22">
    <w:pPr>
      <w:pStyle w:val="a3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5D22" w:rsidRDefault="00D25D22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7B3B"/>
    <w:rsid w:val="0034482D"/>
    <w:rsid w:val="00A52B74"/>
    <w:rsid w:val="00BB5A2E"/>
    <w:rsid w:val="00D25D22"/>
    <w:rsid w:val="00E57B3B"/>
    <w:rsid w:val="6DFD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DC7745AC-19E8-493D-A1F7-2463B883A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spacing w:line="400" w:lineRule="atLeast"/>
      <w:ind w:firstLineChars="200" w:firstLine="200"/>
      <w:jc w:val="both"/>
    </w:pPr>
    <w:rPr>
      <w:rFonts w:ascii="Times New Roman" w:eastAsia="宋体" w:hAnsi="Times New Roman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25D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D25D22"/>
    <w:rPr>
      <w:rFonts w:ascii="Times New Roman" w:eastAsia="宋体" w:hAnsi="Times New Roman"/>
      <w:kern w:val="2"/>
      <w:sz w:val="18"/>
      <w:szCs w:val="18"/>
    </w:rPr>
  </w:style>
  <w:style w:type="paragraph" w:styleId="a5">
    <w:name w:val="footer"/>
    <w:basedOn w:val="a"/>
    <w:link w:val="a6"/>
    <w:rsid w:val="00D25D22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D25D22"/>
    <w:rPr>
      <w:rFonts w:ascii="Times New Roman" w:eastAsia="宋体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3</cp:revision>
  <dcterms:created xsi:type="dcterms:W3CDTF">2025-08-13T06:54:00Z</dcterms:created>
  <dcterms:modified xsi:type="dcterms:W3CDTF">2026-04-08T02:37:00Z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KSOTemplateDocerSaveRecord">
    <vt:lpwstr>eyJoZGlkIjoiZGQ0YmMwMmJmMzczYzZjZDhiMGQ2NTdjZjVjMmY2MzgiLCJ1c2VySWQiOiIzMTI0MDk4ODYifQ==</vt:lpwstr>
  </property>
  <property fmtid="{D5CDD505-2E9C-101B-9397-08002B2CF9AE}" pid="4" name="ICV">
    <vt:lpwstr>F74AE60AF41041479D99A7A943C19B08_12</vt:lpwstr>
  </property>
</Properties>
</file>