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318D2" w14:textId="0B3C9425" w:rsidR="004F21DD" w:rsidRDefault="00E93DC5" w:rsidP="00E93DC5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689BC1BF" wp14:editId="2CFDCD53">
            <wp:extent cx="4028930" cy="2916681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787" cy="2923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4F4E23" w14:textId="679C9FBC" w:rsidR="00E93DC5" w:rsidRPr="00E93DC5" w:rsidRDefault="00E93DC5" w:rsidP="00E93DC5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  <w:r w:rsidRPr="00E93DC5">
        <w:rPr>
          <w:rFonts w:ascii="Times New Roman" w:hAnsi="Times New Roman" w:cs="Times New Roman"/>
          <w:noProof/>
          <w:sz w:val="24"/>
          <w:szCs w:val="24"/>
        </w:rPr>
        <w:t xml:space="preserve">Figure S1. Data Preparation. </w:t>
      </w:r>
    </w:p>
    <w:p w14:paraId="3EB4CA73" w14:textId="2669F769" w:rsidR="004F21DD" w:rsidRPr="00E93DC5" w:rsidRDefault="00E93DC5" w:rsidP="00E93DC5">
      <w:pPr>
        <w:spacing w:line="360" w:lineRule="auto"/>
        <w:rPr>
          <w:rFonts w:ascii="Times New Roman" w:hAnsi="Times New Roman" w:cs="Times New Roman"/>
          <w:noProof/>
          <w:sz w:val="24"/>
          <w:szCs w:val="24"/>
        </w:rPr>
      </w:pPr>
      <w:bookmarkStart w:id="0" w:name="_Hlk188189281"/>
      <w:r w:rsidRPr="00E93DC5">
        <w:rPr>
          <w:rFonts w:ascii="Times New Roman" w:hAnsi="Times New Roman" w:cs="Times New Roman"/>
          <w:noProof/>
          <w:sz w:val="24"/>
          <w:szCs w:val="24"/>
        </w:rPr>
        <w:t>(A, B) Boxplots of expression genes before and after normalization of GSE37031 and GSE59045. (</w:t>
      </w:r>
      <w:r>
        <w:rPr>
          <w:rFonts w:ascii="Times New Roman" w:hAnsi="Times New Roman" w:cs="Times New Roman"/>
          <w:noProof/>
          <w:sz w:val="24"/>
          <w:szCs w:val="24"/>
        </w:rPr>
        <w:t>C</w:t>
      </w:r>
      <w:r w:rsidRPr="00E93DC5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>
        <w:rPr>
          <w:rFonts w:ascii="Times New Roman" w:hAnsi="Times New Roman" w:cs="Times New Roman"/>
          <w:noProof/>
          <w:sz w:val="24"/>
          <w:szCs w:val="24"/>
        </w:rPr>
        <w:t>D</w:t>
      </w:r>
      <w:r w:rsidRPr="00E93DC5">
        <w:rPr>
          <w:rFonts w:ascii="Times New Roman" w:hAnsi="Times New Roman" w:cs="Times New Roman"/>
          <w:noProof/>
          <w:sz w:val="24"/>
          <w:szCs w:val="24"/>
        </w:rPr>
        <w:t>) Boxplots of expression genes before and after normalization of GSE</w:t>
      </w:r>
      <w:r>
        <w:rPr>
          <w:rFonts w:ascii="Times New Roman" w:hAnsi="Times New Roman" w:cs="Times New Roman"/>
          <w:noProof/>
          <w:sz w:val="24"/>
          <w:szCs w:val="24"/>
        </w:rPr>
        <w:t>6054</w:t>
      </w:r>
      <w:r w:rsidRPr="00E93DC5">
        <w:rPr>
          <w:rFonts w:ascii="Times New Roman" w:hAnsi="Times New Roman" w:cs="Times New Roman"/>
          <w:noProof/>
          <w:sz w:val="24"/>
          <w:szCs w:val="24"/>
        </w:rPr>
        <w:t xml:space="preserve"> and GSE</w:t>
      </w:r>
      <w:r>
        <w:rPr>
          <w:rFonts w:ascii="Times New Roman" w:hAnsi="Times New Roman" w:cs="Times New Roman"/>
          <w:noProof/>
          <w:sz w:val="24"/>
          <w:szCs w:val="24"/>
        </w:rPr>
        <w:t>13985</w:t>
      </w:r>
      <w:r w:rsidRPr="00E93DC5">
        <w:rPr>
          <w:rFonts w:ascii="Times New Roman" w:hAnsi="Times New Roman" w:cs="Times New Roman"/>
          <w:noProof/>
          <w:sz w:val="24"/>
          <w:szCs w:val="24"/>
        </w:rPr>
        <w:t>.</w:t>
      </w:r>
    </w:p>
    <w:bookmarkEnd w:id="0"/>
    <w:p w14:paraId="5786D718" w14:textId="77777777" w:rsidR="004F21DD" w:rsidRPr="00E93DC5" w:rsidRDefault="004F21DD" w:rsidP="00E93DC5">
      <w:pPr>
        <w:spacing w:line="360" w:lineRule="auto"/>
        <w:rPr>
          <w:rFonts w:ascii="Arial" w:hAnsi="Arial" w:cs="Arial"/>
          <w:noProof/>
          <w:sz w:val="24"/>
          <w:szCs w:val="24"/>
        </w:rPr>
      </w:pPr>
    </w:p>
    <w:p w14:paraId="499BB144" w14:textId="70181060" w:rsidR="004A69B8" w:rsidRDefault="004F21DD">
      <w:r w:rsidRPr="004F21DD">
        <w:rPr>
          <w:noProof/>
        </w:rPr>
        <w:drawing>
          <wp:inline distT="0" distB="0" distL="0" distR="0" wp14:anchorId="332B2564" wp14:editId="376C86F7">
            <wp:extent cx="5274310" cy="1465580"/>
            <wp:effectExtent l="0" t="0" r="254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6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3914BB" w14:textId="36DD2C77" w:rsidR="004F21DD" w:rsidRDefault="004F21DD"/>
    <w:p w14:paraId="5DFFA599" w14:textId="01263555" w:rsidR="004F21DD" w:rsidRDefault="004F21DD" w:rsidP="004F21D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F21DD">
        <w:rPr>
          <w:rFonts w:ascii="Times New Roman" w:hAnsi="Times New Roman" w:cs="Times New Roman"/>
          <w:sz w:val="24"/>
          <w:szCs w:val="24"/>
        </w:rPr>
        <w:t xml:space="preserve">Figure </w:t>
      </w:r>
      <w:r>
        <w:rPr>
          <w:rFonts w:ascii="Times New Roman" w:hAnsi="Times New Roman" w:cs="Times New Roman"/>
          <w:sz w:val="24"/>
          <w:szCs w:val="24"/>
        </w:rPr>
        <w:t>S2</w:t>
      </w:r>
      <w:r w:rsidRPr="004F21D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21DD">
        <w:rPr>
          <w:rFonts w:ascii="Times New Roman" w:hAnsi="Times New Roman" w:cs="Times New Roman"/>
          <w:sz w:val="24"/>
          <w:szCs w:val="24"/>
        </w:rPr>
        <w:t>Demonstration of the highest motif enrichment of AUC, including NES, AUC, and enrichedGenes.</w:t>
      </w:r>
    </w:p>
    <w:p w14:paraId="31D8AD4F" w14:textId="607D88B7" w:rsidR="001B4073" w:rsidRDefault="001B4073" w:rsidP="004F21D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AF2B1BA" w14:textId="0C6D7E81" w:rsidR="001B4073" w:rsidRDefault="001B4073" w:rsidP="006E322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C53738" w14:textId="77E4295F" w:rsidR="001B4073" w:rsidRDefault="001B4073" w:rsidP="004F21D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7140D0A" w14:textId="77777777" w:rsidR="001B4073" w:rsidRDefault="001B4073" w:rsidP="004F21D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26EEC51" w14:textId="2C3F7591" w:rsidR="0035179F" w:rsidRDefault="001B4073" w:rsidP="001B407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16BC654" wp14:editId="07435DDE">
            <wp:extent cx="4486949" cy="2053192"/>
            <wp:effectExtent l="0" t="0" r="8890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47" t="25123" r="14475" b="45318"/>
                    <a:stretch/>
                  </pic:blipFill>
                  <pic:spPr bwMode="auto">
                    <a:xfrm>
                      <a:off x="0" y="0"/>
                      <a:ext cx="4495132" cy="2056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95AEA3" w14:textId="5F9AC68B" w:rsidR="0035179F" w:rsidRDefault="0035179F" w:rsidP="004F21D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1" w:name="_Hlk235811094"/>
      <w:r w:rsidRPr="0035179F">
        <w:rPr>
          <w:rFonts w:ascii="Times New Roman" w:hAnsi="Times New Roman" w:cs="Times New Roman"/>
          <w:sz w:val="24"/>
          <w:szCs w:val="24"/>
        </w:rPr>
        <w:t>Figure S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35179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179F">
        <w:rPr>
          <w:rFonts w:ascii="Times New Roman" w:hAnsi="Times New Roman" w:cs="Times New Roman"/>
          <w:sz w:val="24"/>
          <w:szCs w:val="24"/>
        </w:rPr>
        <w:t>Molecular docking analysis of lycopene with ADRA2C, IL27RA, LDB3, and SF3A2.</w:t>
      </w:r>
    </w:p>
    <w:bookmarkEnd w:id="1"/>
    <w:p w14:paraId="4FBFBEBA" w14:textId="36BB46D1" w:rsidR="006E3220" w:rsidRDefault="006E3220" w:rsidP="004F21D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9988802" w14:textId="0DF95B75" w:rsidR="00351DEE" w:rsidRDefault="00351DEE" w:rsidP="00351DE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104CA22" wp14:editId="3AF44102">
            <wp:extent cx="4300255" cy="3669667"/>
            <wp:effectExtent l="0" t="0" r="5080" b="0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090" cy="36789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36F3AD" w14:textId="5D2F1C5F" w:rsidR="00351DEE" w:rsidRDefault="00351DEE" w:rsidP="004F21D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94767DA" w14:textId="16F8C6AC" w:rsidR="00351DEE" w:rsidRDefault="00D37ED7" w:rsidP="004F21D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5179F">
        <w:rPr>
          <w:rFonts w:ascii="Times New Roman" w:hAnsi="Times New Roman" w:cs="Times New Roman"/>
          <w:sz w:val="24"/>
          <w:szCs w:val="24"/>
        </w:rPr>
        <w:t>Figure S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5179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7ED7">
        <w:rPr>
          <w:rFonts w:ascii="Times New Roman" w:hAnsi="Times New Roman" w:cs="Times New Roman"/>
          <w:sz w:val="24"/>
          <w:szCs w:val="24"/>
        </w:rPr>
        <w:t>ADRA2C mediates TUDCA-induced lipid-lowering effects through PKG signaling</w:t>
      </w:r>
      <w:r w:rsidRPr="0035179F">
        <w:rPr>
          <w:rFonts w:ascii="Times New Roman" w:hAnsi="Times New Roman" w:cs="Times New Roman"/>
          <w:sz w:val="24"/>
          <w:szCs w:val="24"/>
        </w:rPr>
        <w:t>.</w:t>
      </w:r>
      <w:r w:rsidRPr="00D37ED7">
        <w:t xml:space="preserve"> </w:t>
      </w:r>
      <w:r w:rsidRPr="00D37ED7">
        <w:rPr>
          <w:rFonts w:ascii="Times New Roman" w:hAnsi="Times New Roman" w:cs="Times New Roman"/>
          <w:sz w:val="24"/>
          <w:szCs w:val="24"/>
        </w:rPr>
        <w:t xml:space="preserve">(A) Hepatocytes were pretreated with </w:t>
      </w:r>
      <w:r>
        <w:rPr>
          <w:rFonts w:ascii="Times New Roman" w:hAnsi="Times New Roman" w:cs="Times New Roman" w:hint="eastAsia"/>
          <w:sz w:val="24"/>
          <w:szCs w:val="24"/>
        </w:rPr>
        <w:t>ADRA2C</w:t>
      </w:r>
      <w:r>
        <w:rPr>
          <w:rFonts w:ascii="Times New Roman" w:hAnsi="Times New Roman" w:cs="Times New Roman"/>
          <w:sz w:val="24"/>
          <w:szCs w:val="24"/>
        </w:rPr>
        <w:t xml:space="preserve"> siRNA</w:t>
      </w:r>
      <w:r w:rsidRPr="00D37ED7">
        <w:rPr>
          <w:rFonts w:ascii="Times New Roman" w:hAnsi="Times New Roman" w:cs="Times New Roman"/>
          <w:sz w:val="24"/>
          <w:szCs w:val="24"/>
        </w:rPr>
        <w:t xml:space="preserve"> to PA+OA and/or TUDCA treatment. Cellular TG and NEFA levels were measured. </w:t>
      </w:r>
      <w:r>
        <w:rPr>
          <w:rFonts w:ascii="Times New Roman" w:hAnsi="Times New Roman" w:cs="Times New Roman" w:hint="eastAsia"/>
          <w:sz w:val="24"/>
          <w:szCs w:val="24"/>
        </w:rPr>
        <w:t>(B)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7ED7">
        <w:rPr>
          <w:rFonts w:ascii="Times New Roman" w:hAnsi="Times New Roman" w:cs="Times New Roman"/>
          <w:sz w:val="24"/>
          <w:szCs w:val="24"/>
        </w:rPr>
        <w:t>Hepatocytes were pretreated with KT-5823 (1 μM, selective PKG inhibitor) for 30 min prior to PA+OA and/or TUDCA treatment. Cellular TG and NEFA levels were measured. **P &lt; 0.01.</w:t>
      </w:r>
    </w:p>
    <w:p w14:paraId="0A2A8480" w14:textId="1C29CCE9" w:rsidR="00351DEE" w:rsidRDefault="00351DEE" w:rsidP="004F21D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BCBB159" w14:textId="21582790" w:rsidR="006E3220" w:rsidRDefault="006E3220" w:rsidP="006E322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BF07688" wp14:editId="5EEC1114">
            <wp:extent cx="4436110" cy="172021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6110" cy="172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D2B975" w14:textId="24ED36F3" w:rsidR="006E3220" w:rsidRDefault="006E3220" w:rsidP="006E3220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E3220">
        <w:rPr>
          <w:rFonts w:ascii="Times New Roman" w:hAnsi="Times New Roman" w:cs="Times New Roman"/>
          <w:sz w:val="24"/>
          <w:szCs w:val="24"/>
        </w:rPr>
        <w:t>Figure S</w:t>
      </w:r>
      <w:r w:rsidR="00D37ED7">
        <w:rPr>
          <w:rFonts w:ascii="Times New Roman" w:hAnsi="Times New Roman" w:cs="Times New Roman"/>
          <w:sz w:val="24"/>
          <w:szCs w:val="24"/>
        </w:rPr>
        <w:t>5</w:t>
      </w:r>
      <w:r w:rsidRPr="006E3220">
        <w:rPr>
          <w:rFonts w:ascii="Times New Roman" w:hAnsi="Times New Roman" w:cs="Times New Roman"/>
          <w:sz w:val="24"/>
          <w:szCs w:val="24"/>
        </w:rPr>
        <w:t xml:space="preserve">. Body weight gain and daily food intake. </w:t>
      </w:r>
    </w:p>
    <w:p w14:paraId="67B981EE" w14:textId="598B0563" w:rsidR="006E3220" w:rsidRPr="004F21DD" w:rsidRDefault="006E3220" w:rsidP="006E3220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(A) </w:t>
      </w:r>
      <w:r w:rsidRPr="006E3220">
        <w:rPr>
          <w:rFonts w:ascii="Times New Roman" w:hAnsi="Times New Roman" w:cs="Times New Roman"/>
          <w:sz w:val="24"/>
          <w:szCs w:val="24"/>
        </w:rPr>
        <w:t>Body weight gain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Pr="006E32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6E3220">
        <w:rPr>
          <w:rFonts w:ascii="Times New Roman" w:hAnsi="Times New Roman" w:cs="Times New Roman"/>
          <w:sz w:val="24"/>
          <w:szCs w:val="24"/>
        </w:rPr>
        <w:t>verage daily food intake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3220">
        <w:rPr>
          <w:rFonts w:ascii="Times New Roman" w:hAnsi="Times New Roman" w:cs="Times New Roman"/>
          <w:sz w:val="24"/>
          <w:szCs w:val="24"/>
        </w:rPr>
        <w:t>in HFD-fed mice. (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6E3220">
        <w:rPr>
          <w:rFonts w:ascii="Times New Roman" w:hAnsi="Times New Roman" w:cs="Times New Roman"/>
          <w:sz w:val="24"/>
          <w:szCs w:val="24"/>
        </w:rPr>
        <w:t>) Body weight gain and average daily food intake in H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6E3220">
        <w:rPr>
          <w:rFonts w:ascii="Times New Roman" w:hAnsi="Times New Roman" w:cs="Times New Roman"/>
          <w:sz w:val="24"/>
          <w:szCs w:val="24"/>
        </w:rPr>
        <w:t>D-fed mice.</w:t>
      </w:r>
    </w:p>
    <w:p w14:paraId="1983D295" w14:textId="7B62982E" w:rsidR="006E3220" w:rsidRPr="004F21DD" w:rsidRDefault="006E3220" w:rsidP="006E3220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</w:p>
    <w:sectPr w:rsidR="006E3220" w:rsidRPr="004F21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5C1069" w14:textId="77777777" w:rsidR="006470D1" w:rsidRDefault="006470D1" w:rsidP="006E3220">
      <w:r>
        <w:separator/>
      </w:r>
    </w:p>
  </w:endnote>
  <w:endnote w:type="continuationSeparator" w:id="0">
    <w:p w14:paraId="5B9ABF70" w14:textId="77777777" w:rsidR="006470D1" w:rsidRDefault="006470D1" w:rsidP="006E3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F5785D" w14:textId="77777777" w:rsidR="006470D1" w:rsidRDefault="006470D1" w:rsidP="006E3220">
      <w:r>
        <w:separator/>
      </w:r>
    </w:p>
  </w:footnote>
  <w:footnote w:type="continuationSeparator" w:id="0">
    <w:p w14:paraId="7A816C58" w14:textId="77777777" w:rsidR="006470D1" w:rsidRDefault="006470D1" w:rsidP="006E32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66143B"/>
    <w:multiLevelType w:val="hybridMultilevel"/>
    <w:tmpl w:val="F680529A"/>
    <w:lvl w:ilvl="0" w:tplc="8E26CCB6">
      <w:start w:val="1"/>
      <w:numFmt w:val="upperLetter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1DD"/>
    <w:rsid w:val="000A763D"/>
    <w:rsid w:val="000B28CE"/>
    <w:rsid w:val="00156986"/>
    <w:rsid w:val="001B4073"/>
    <w:rsid w:val="0035179F"/>
    <w:rsid w:val="00351DEE"/>
    <w:rsid w:val="004A69B8"/>
    <w:rsid w:val="004F21DD"/>
    <w:rsid w:val="006470D1"/>
    <w:rsid w:val="006E3220"/>
    <w:rsid w:val="00BB5F5D"/>
    <w:rsid w:val="00C72062"/>
    <w:rsid w:val="00D37ED7"/>
    <w:rsid w:val="00E9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B0781E"/>
  <w15:chartTrackingRefBased/>
  <w15:docId w15:val="{09404E22-412E-4042-ACEF-6EC3595DD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32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E322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E322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E3220"/>
    <w:rPr>
      <w:sz w:val="18"/>
      <w:szCs w:val="18"/>
    </w:rPr>
  </w:style>
  <w:style w:type="paragraph" w:styleId="a7">
    <w:name w:val="List Paragraph"/>
    <w:basedOn w:val="a"/>
    <w:uiPriority w:val="34"/>
    <w:qFormat/>
    <w:rsid w:val="006E322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</Pages>
  <Words>150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12</cp:revision>
  <dcterms:created xsi:type="dcterms:W3CDTF">2025-01-19T05:59:00Z</dcterms:created>
  <dcterms:modified xsi:type="dcterms:W3CDTF">2026-07-24T12:40:00Z</dcterms:modified>
</cp:coreProperties>
</file>