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26BAD">
      <w:pPr>
        <w:jc w:val="center"/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045075" cy="5765165"/>
            <wp:effectExtent l="0" t="0" r="14605" b="10795"/>
            <wp:docPr id="4" name="图片 4" descr="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576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2E523">
      <w:pPr>
        <w:jc w:val="left"/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Fig. S1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Analysis of HIF-1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α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and AMPK expression based on public databases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auto"/>
          <w:sz w:val="21"/>
          <w:szCs w:val="21"/>
        </w:rPr>
        <w:t>(</w:t>
      </w:r>
      <w:r>
        <w:rPr>
          <w:rFonts w:hint="eastAsia" w:ascii="Times New Roman" w:hAnsi="Times New Roman"/>
          <w:b/>
          <w:bCs/>
          <w:color w:val="auto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/>
          <w:b/>
          <w:bCs/>
          <w:color w:val="auto"/>
          <w:sz w:val="21"/>
          <w:szCs w:val="21"/>
        </w:rPr>
        <w:t>)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The mRNA levels of </w:t>
      </w:r>
      <w:r>
        <w:rPr>
          <w:rFonts w:hint="eastAsia" w:ascii="Times New Roman" w:hAnsi="Times New Roman"/>
          <w:i/>
          <w:iCs/>
          <w:color w:val="auto"/>
          <w:sz w:val="21"/>
          <w:szCs w:val="21"/>
        </w:rPr>
        <w:t>HIF1A, PRKAA1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, and </w:t>
      </w:r>
      <w:r>
        <w:rPr>
          <w:rFonts w:hint="eastAsia" w:ascii="Times New Roman" w:hAnsi="Times New Roman"/>
          <w:i/>
          <w:iCs/>
          <w:color w:val="auto"/>
          <w:sz w:val="21"/>
          <w:szCs w:val="21"/>
        </w:rPr>
        <w:t>PRKAA2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were analyzed in tumor and normal tissues using the GEPIA database.</w:t>
      </w:r>
      <w:r>
        <w:rPr>
          <w:rFonts w:ascii="Times New Roman" w:hAnsi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/>
          <w:b/>
          <w:bCs/>
          <w:color w:val="auto"/>
          <w:sz w:val="21"/>
          <w:szCs w:val="21"/>
        </w:rPr>
        <w:t>(</w:t>
      </w:r>
      <w:r>
        <w:rPr>
          <w:rFonts w:hint="eastAsia" w:ascii="Times New Roman" w:hAnsi="Times New Roman"/>
          <w:b/>
          <w:bCs/>
          <w:color w:val="auto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/>
          <w:b/>
          <w:bCs/>
          <w:color w:val="auto"/>
          <w:sz w:val="21"/>
          <w:szCs w:val="21"/>
        </w:rPr>
        <w:t>-</w:t>
      </w:r>
      <w:r>
        <w:rPr>
          <w:rFonts w:hint="eastAsia" w:ascii="Times New Roman" w:hAnsi="Times New Roman"/>
          <w:b/>
          <w:bCs/>
          <w:color w:val="auto"/>
          <w:sz w:val="21"/>
          <w:szCs w:val="21"/>
          <w:lang w:val="en-US" w:eastAsia="zh-CN"/>
        </w:rPr>
        <w:t>J</w:t>
      </w:r>
      <w:r>
        <w:rPr>
          <w:rFonts w:hint="eastAsia" w:ascii="Times New Roman" w:hAnsi="Times New Roman"/>
          <w:b/>
          <w:bCs/>
          <w:color w:val="auto"/>
          <w:sz w:val="21"/>
          <w:szCs w:val="21"/>
        </w:rPr>
        <w:t>)</w:t>
      </w:r>
      <w:r>
        <w:rPr>
          <w:rFonts w:ascii="Times New Roman" w:hAnsi="Times New Roman"/>
          <w:color w:val="auto"/>
          <w:sz w:val="21"/>
          <w:szCs w:val="21"/>
        </w:rPr>
        <w:t xml:space="preserve"> Changes in AMPKα1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(</w:t>
      </w:r>
      <w:r>
        <w:rPr>
          <w:rFonts w:hint="eastAsia" w:ascii="Times New Roman" w:hAnsi="Times New Roman"/>
          <w:i/>
          <w:iCs/>
          <w:color w:val="auto"/>
          <w:sz w:val="21"/>
          <w:szCs w:val="21"/>
        </w:rPr>
        <w:t>PRKAA1</w:t>
      </w:r>
      <w:r>
        <w:rPr>
          <w:rFonts w:hint="eastAsia" w:ascii="Times New Roman" w:hAnsi="Times New Roman"/>
          <w:color w:val="auto"/>
          <w:sz w:val="21"/>
          <w:szCs w:val="21"/>
        </w:rPr>
        <w:t>)</w:t>
      </w:r>
      <w:r>
        <w:rPr>
          <w:rFonts w:ascii="Times New Roman" w:hAnsi="Times New Roman"/>
          <w:color w:val="auto"/>
          <w:sz w:val="21"/>
          <w:szCs w:val="21"/>
        </w:rPr>
        <w:t>, AMPKα2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(</w:t>
      </w:r>
      <w:r>
        <w:rPr>
          <w:rFonts w:hint="eastAsia" w:ascii="Times New Roman" w:hAnsi="Times New Roman"/>
          <w:i/>
          <w:iCs/>
          <w:color w:val="auto"/>
          <w:sz w:val="21"/>
          <w:szCs w:val="21"/>
        </w:rPr>
        <w:t>PRKAA2</w:t>
      </w:r>
      <w:r>
        <w:rPr>
          <w:rFonts w:hint="eastAsia" w:ascii="Times New Roman" w:hAnsi="Times New Roman"/>
          <w:color w:val="auto"/>
          <w:sz w:val="21"/>
          <w:szCs w:val="21"/>
        </w:rPr>
        <w:t>)</w:t>
      </w:r>
      <w:r>
        <w:rPr>
          <w:rFonts w:ascii="Times New Roman" w:hAnsi="Times New Roman"/>
          <w:color w:val="auto"/>
          <w:sz w:val="21"/>
          <w:szCs w:val="21"/>
        </w:rPr>
        <w:t>, and HIF-1α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(</w:t>
      </w:r>
      <w:r>
        <w:rPr>
          <w:rFonts w:hint="eastAsia" w:ascii="Times New Roman" w:hAnsi="Times New Roman"/>
          <w:i/>
          <w:iCs/>
          <w:color w:val="auto"/>
          <w:sz w:val="21"/>
          <w:szCs w:val="21"/>
        </w:rPr>
        <w:t>HIF1A</w:t>
      </w:r>
      <w:r>
        <w:rPr>
          <w:rFonts w:hint="eastAsia" w:ascii="Times New Roman" w:hAnsi="Times New Roman"/>
          <w:color w:val="auto"/>
          <w:sz w:val="21"/>
          <w:szCs w:val="21"/>
        </w:rPr>
        <w:t>)</w:t>
      </w:r>
      <w:r>
        <w:rPr>
          <w:rFonts w:ascii="Times New Roman" w:hAnsi="Times New Roman"/>
          <w:color w:val="auto"/>
          <w:sz w:val="21"/>
          <w:szCs w:val="21"/>
        </w:rPr>
        <w:t xml:space="preserve"> protein expression in HNSCC were analyzed using the CPTAC database.Statistical significance is denoted by </w:t>
      </w:r>
      <w:r>
        <w:rPr>
          <w:rFonts w:ascii="Times New Roman" w:hAnsi="Times New Roman"/>
          <w:color w:val="auto"/>
          <w:sz w:val="21"/>
          <w:szCs w:val="21"/>
          <w:vertAlign w:val="superscript"/>
        </w:rPr>
        <w:t>*</w:t>
      </w:r>
      <w:r>
        <w:rPr>
          <w:rFonts w:ascii="Times New Roman" w:hAnsi="Times New Roman"/>
          <w:i/>
          <w:color w:val="auto"/>
          <w:sz w:val="21"/>
          <w:szCs w:val="21"/>
        </w:rPr>
        <w:t>P</w:t>
      </w:r>
      <w:r>
        <w:rPr>
          <w:rFonts w:ascii="Times New Roman" w:hAnsi="Times New Roman"/>
          <w:color w:val="auto"/>
          <w:sz w:val="21"/>
          <w:szCs w:val="21"/>
        </w:rPr>
        <w:t xml:space="preserve"> &lt; 0.05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vs</w:t>
      </w:r>
      <w:r>
        <w:rPr>
          <w:rFonts w:ascii="Times New Roman" w:hAnsi="Times New Roman"/>
          <w:color w:val="auto"/>
          <w:sz w:val="21"/>
          <w:szCs w:val="21"/>
        </w:rPr>
        <w:t>. Normal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 group</w:t>
      </w:r>
      <w:r>
        <w:rPr>
          <w:rFonts w:ascii="Times New Roman" w:hAnsi="Times New Roman"/>
          <w:color w:val="auto"/>
          <w:sz w:val="21"/>
          <w:szCs w:val="21"/>
        </w:rPr>
        <w:t xml:space="preserve">. </w:t>
      </w:r>
    </w:p>
    <w:p w14:paraId="582B9DE7">
      <w:pPr>
        <w:jc w:val="center"/>
        <w:rPr>
          <w:rFonts w:hint="eastAsia" w:ascii="Times New Roman" w:hAnsi="Times New Roman" w:cs="Times New Roman" w:eastAsiaTheme="minorEastAsia"/>
          <w:b/>
          <w:bCs/>
          <w:lang w:eastAsia="zh-CN"/>
        </w:rPr>
      </w:pPr>
    </w:p>
    <w:p w14:paraId="57270CE0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041265" cy="1801495"/>
            <wp:effectExtent l="0" t="0" r="3175" b="12065"/>
            <wp:docPr id="5" name="图片 5" descr="Fig.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S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8E90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Fig.S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Pharmacological inhibition of TRPV1 fails to block CAP-triggered AMPK activation.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(A)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HN6 cells were treated with gradient concentrations of CPZ (0, 5, 10, 15 μM) to determine the optimal intervention condition.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(B)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HN6 and CAL27 cells were subjected to CAP, CPZ, or combined CAP and CPZ treatment. </w:t>
      </w:r>
      <w:r>
        <w:rPr>
          <w:rFonts w:hint="eastAsia" w:ascii="Times New Roman" w:hAnsi="Times New Roman" w:cs="Times New Roman"/>
          <w:lang w:val="en-US" w:eastAsia="zh-CN"/>
        </w:rPr>
        <w:t>TRPV1 and p-AMPK protein expression were analyzed by western blot</w:t>
      </w:r>
      <w:r>
        <w:rPr>
          <w:rFonts w:hint="default" w:ascii="Times New Roman" w:hAnsi="Times New Roman" w:cs="Times New Roman"/>
          <w:lang w:val="en-US" w:eastAsia="zh-CN"/>
        </w:rPr>
        <w:t>. Shown are representative blots from two independent biological replicates.</w:t>
      </w:r>
    </w:p>
    <w:p w14:paraId="67A877D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092D5CB2">
      <w:pPr>
        <w:jc w:val="center"/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1801495" cy="5041265"/>
            <wp:effectExtent l="0" t="0" r="12065" b="317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50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544F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3.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Effects of AMPK knockdown on CAP-induced expression of HIF-1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sym w:font="Symbol" w:char="0061"/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, Claudin-1, and EMT-related proteins in TSCC cells.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The HN6 c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ell were transfected with shAMPK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5'-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vertAlign w:val="baseline"/>
          <w:lang w:val="en-US" w:eastAsia="zh-CN"/>
        </w:rPr>
        <w:t>GCTTGATGCACACATGAATGC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-3'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)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or shCON (control) and then treated with CAP or left untreated (control). Protein expression levels of p-AMPK, total AMPK, HIF-1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sym w:font="Symbol" w:char="0061"/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 Claudin-1, E-cadherin, N-cadherin, and Vimentin were analyzed by western blot. β-Actin served as a loading control. The results demonstrate that AMPK knockdown abrogates CAP-induced HIF-1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sym w:font="Symbol" w:char="0061"/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suppression, Claudin-1 upregulation, and the subsequent EMT phenotype (i.e., restoration of E-cadherin and reduction of N-cadherin and Vimentin). Representative blots from two independent biological replicates (n=2) are shown.</w:t>
      </w:r>
    </w:p>
    <w:p w14:paraId="20E26558">
      <w:pP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br w:type="page"/>
      </w:r>
    </w:p>
    <w:p w14:paraId="69649500">
      <w:pPr>
        <w:jc w:val="center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drawing>
          <wp:inline distT="0" distB="0" distL="114300" distR="114300">
            <wp:extent cx="1801495" cy="3599815"/>
            <wp:effectExtent l="0" t="0" r="12065" b="12065"/>
            <wp:docPr id="3" name="图片 3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6BCADE4">
      <w:pPr>
        <w:rPr>
          <w:rFonts w:hint="eastAsia"/>
        </w:rPr>
      </w:pPr>
      <w:r>
        <w:rPr>
          <w:rFonts w:hint="default" w:ascii="Times New Roman" w:hAnsi="Times New Roman" w:cs="Times New Roman"/>
          <w:b/>
          <w:bCs/>
        </w:rPr>
        <w:t>Fig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</w:rPr>
        <w:t xml:space="preserve">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</w:rPr>
        <w:t xml:space="preserve"> The protein expression levels of HIF-1</w:t>
      </w:r>
      <w:r>
        <w:rPr>
          <w:rFonts w:hint="default" w:ascii="Times New Roman" w:hAnsi="Times New Roman" w:cs="Times New Roman"/>
        </w:rPr>
        <w:sym w:font="Symbol" w:char="0061"/>
      </w:r>
      <w:r>
        <w:rPr>
          <w:rFonts w:hint="default" w:ascii="Times New Roman" w:hAnsi="Times New Roman" w:cs="Times New Roman"/>
        </w:rPr>
        <w:t>, Claudin-1, and EMT-related markers in HN6 cells transfected with a HIF-1</w:t>
      </w:r>
      <w:r>
        <w:rPr>
          <w:rFonts w:hint="default" w:ascii="Times New Roman" w:hAnsi="Times New Roman" w:cs="Times New Roman"/>
        </w:rPr>
        <w:sym w:font="Symbol" w:char="0061"/>
      </w:r>
      <w:r>
        <w:rPr>
          <w:rFonts w:hint="default" w:ascii="Times New Roman" w:hAnsi="Times New Roman" w:cs="Times New Roman"/>
        </w:rPr>
        <w:t xml:space="preserve"> overexpression vector and treated with CAP were analyzed by western blot. Experiments were performed with two independent biological replicates (n=2).</w:t>
      </w:r>
      <w:r>
        <w:rPr>
          <w:rFonts w:hint="eastAsia"/>
        </w:rPr>
        <w:t xml:space="preserve"> </w:t>
      </w:r>
    </w:p>
    <w:p w14:paraId="624DF875">
      <w:pPr>
        <w:rPr>
          <w:rFonts w:hint="eastAsia"/>
        </w:rPr>
      </w:pPr>
      <w:r>
        <w:rPr>
          <w:rFonts w:hint="eastAsia"/>
        </w:rPr>
        <w:br w:type="page"/>
      </w:r>
    </w:p>
    <w:p w14:paraId="61583491">
      <w:pPr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1801495" cy="2880360"/>
            <wp:effectExtent l="0" t="0" r="12065" b="0"/>
            <wp:docPr id="6" name="图片 6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651AB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Fig.S5. </w:t>
      </w:r>
      <w:r>
        <w:rPr>
          <w:rFonts w:hint="eastAsia" w:ascii="Times New Roman" w:hAnsi="Times New Roman" w:cs="Times New Roman"/>
          <w:lang w:val="en-US" w:eastAsia="zh-CN"/>
        </w:rPr>
        <w:t xml:space="preserve">Claudin-1 knockdown reverses CAP-mediated EMT suppression.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The HN6 c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ell</w:t>
      </w:r>
      <w:r>
        <w:rPr>
          <w:rFonts w:hint="eastAsia" w:ascii="Times New Roman" w:hAnsi="Times New Roman" w:cs="Times New Roman"/>
          <w:lang w:val="en-US" w:eastAsia="zh-CN"/>
        </w:rPr>
        <w:t xml:space="preserve"> were transfected with shClaudin-1(5'-GTCTTTGACTCCTTGCTGA-3') or shCON and treated with CAP. Protein expression was analyzed by western blot. </w:t>
      </w: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ascii="Times New Roman" w:hAnsi="Times New Roman" w:cs="Times New Roman"/>
          <w:lang w:val="en-US" w:eastAsia="zh-CN"/>
        </w:rPr>
        <w:t>-Actin was used as loading control. Claudin-1 deficiency abolished CAP-induced upregulation of E-cadherin and downregulation of N-cadherin and Vimentin. Shown are representative blots from two independent biological replicates.</w:t>
      </w:r>
    </w:p>
    <w:p w14:paraId="0736AFC1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3ZmU5ZTc5ZDU0N2ZmOTViMGM0MTM2MTAxNjljM2IifQ=="/>
  </w:docVars>
  <w:rsids>
    <w:rsidRoot w:val="00000000"/>
    <w:rsid w:val="0672740E"/>
    <w:rsid w:val="141B623E"/>
    <w:rsid w:val="1E71779F"/>
    <w:rsid w:val="1FB52813"/>
    <w:rsid w:val="2E5D564A"/>
    <w:rsid w:val="475950F1"/>
    <w:rsid w:val="51D830B6"/>
    <w:rsid w:val="526E55EE"/>
    <w:rsid w:val="528E35C5"/>
    <w:rsid w:val="571D3F95"/>
    <w:rsid w:val="5A903CB5"/>
    <w:rsid w:val="676713D7"/>
    <w:rsid w:val="70C83423"/>
    <w:rsid w:val="7AE5221C"/>
    <w:rsid w:val="7B00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322</Words>
  <Characters>1989</Characters>
  <Lines>0</Lines>
  <Paragraphs>0</Paragraphs>
  <TotalTime>1</TotalTime>
  <ScaleCrop>false</ScaleCrop>
  <LinksUpToDate>false</LinksUpToDate>
  <CharactersWithSpaces>2308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2026-06-02T14:07:00Z</dcterms:created>
  <dc:creator>Administrator</dc:creator>
  <cp:lastModifiedBy>Sesames</cp:lastModifiedBy>
  <dcterms:modified xsi:type="dcterms:W3CDTF">2026-07-23T09:06:09Z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eyJoZGlkIjoiZDdjYzVlNzVlNzE3MGU4MmVkZjc3YmRmY2I0MjkzYWIiLCJ1c2VySWQiOiI2MzYxODYyMTQifQ==</vt:lpwstr>
  </property>
  <property fmtid="{D5CDD505-2E9C-101B-9397-08002B2CF9AE}" pid="4" name="ICV">
    <vt:lpwstr>C4A52EDBAABF4296B0E66D4492A936C4_13</vt:lpwstr>
  </property>
</Properties>
</file>