
<file path=[Content_Types].xml><?xml version="1.0" encoding="utf-8"?>
<Types xmlns="http://schemas.openxmlformats.org/package/2006/content-types">
  <Default Extension="tiff" ContentType="image/tif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E9F08">
      <w:pPr>
        <w:pStyle w:val="10"/>
        <w:spacing w:line="360" w:lineRule="auto"/>
        <w:ind w:firstLine="2249" w:firstLineChars="700"/>
        <w:jc w:val="both"/>
        <w:rPr>
          <w:rFonts w:hint="default" w:ascii="Times New Roman" w:hAnsi="Times New Roman" w:cs="Times New Roman"/>
          <w:b/>
          <w:bCs/>
          <w:sz w:val="24"/>
          <w:szCs w:val="32"/>
          <w:highlight w:val="none"/>
        </w:rPr>
      </w:pPr>
      <w:bookmarkStart w:id="0" w:name="_GoBack"/>
      <w:r>
        <w:rPr>
          <w:rFonts w:hint="default" w:ascii="Times New Roman" w:hAnsi="Times New Roman" w:cs="Times New Roman"/>
          <w:b/>
          <w:bCs/>
          <w:color w:val="000000" w:themeColor="text1"/>
          <w:kern w:val="44"/>
          <w:sz w:val="32"/>
          <w:szCs w:val="32"/>
          <w:highlight w:val="none"/>
          <w14:textFill>
            <w14:solidFill>
              <w14:schemeClr w14:val="tx1"/>
            </w14:solidFill>
          </w14:textFill>
        </w:rPr>
        <w:t>Supplementary Material</w:t>
      </w:r>
    </w:p>
    <w:p w14:paraId="13DFAF9C">
      <w:pPr>
        <w:widowControl/>
        <w:spacing w:line="360" w:lineRule="auto"/>
        <w:jc w:val="both"/>
        <w:rPr>
          <w:rFonts w:hint="eastAsia" w:ascii="Times New Roman" w:hAnsi="Times New Roman" w:cs="Times New Roman"/>
          <w:b/>
          <w:bCs/>
          <w:sz w:val="24"/>
          <w:szCs w:val="32"/>
          <w:highlight w:val="none"/>
        </w:rPr>
      </w:pPr>
      <w:r>
        <w:rPr>
          <w:rFonts w:hint="eastAsia" w:ascii="Times New Roman" w:hAnsi="Times New Roman" w:cs="Times New Roman"/>
          <w:b/>
          <w:bCs/>
          <w:sz w:val="24"/>
          <w:szCs w:val="32"/>
          <w:highlight w:val="none"/>
        </w:rPr>
        <w:t xml:space="preserve">Comprehensive multi-omics analysis reveals a robust transcriptomic signature for biochemical recurrence prediction and identifies SPAG5 as a targetable oncogene with </w:t>
      </w:r>
      <w:r>
        <w:rPr>
          <w:rFonts w:hint="eastAsia" w:ascii="Times New Roman" w:hAnsi="Times New Roman" w:cs="Times New Roman"/>
          <w:b/>
          <w:bCs/>
          <w:sz w:val="24"/>
          <w:szCs w:val="32"/>
          <w:highlight w:val="none"/>
        </w:rPr>
        <w:t>small-molecule compounds</w:t>
      </w:r>
      <w:r>
        <w:rPr>
          <w:rFonts w:hint="eastAsia" w:ascii="Times New Roman" w:hAnsi="Times New Roman" w:cs="Times New Roman"/>
          <w:b/>
          <w:bCs/>
          <w:sz w:val="24"/>
          <w:szCs w:val="32"/>
          <w:highlight w:val="none"/>
        </w:rPr>
        <w:t xml:space="preserve"> in prostate cancer</w:t>
      </w:r>
    </w:p>
    <w:p w14:paraId="2027DE7D">
      <w:pPr>
        <w:widowControl/>
        <w:spacing w:line="360" w:lineRule="auto"/>
        <w:jc w:val="both"/>
        <w:rPr>
          <w:rFonts w:hint="eastAsia" w:ascii="Times New Roman" w:hAnsi="Times New Roman" w:cs="Times New Roman"/>
          <w:b/>
          <w:bCs/>
          <w:sz w:val="24"/>
          <w:szCs w:val="32"/>
          <w:highlight w:val="none"/>
        </w:rPr>
      </w:pPr>
    </w:p>
    <w:p w14:paraId="3353C4D5">
      <w:pPr>
        <w:widowControl/>
        <w:spacing w:line="360" w:lineRule="auto"/>
        <w:jc w:val="both"/>
        <w:rPr>
          <w:rFonts w:ascii="Times New Roman" w:hAnsi="Times New Roman" w:cs="Times New Roman"/>
          <w:kern w:val="44"/>
          <w:sz w:val="22"/>
          <w:szCs w:val="22"/>
          <w:highlight w:val="none"/>
        </w:rPr>
      </w:pPr>
      <w:r>
        <w:rPr>
          <w:rFonts w:ascii="Times New Roman" w:hAnsi="Times New Roman" w:cs="Times New Roman"/>
          <w:kern w:val="44"/>
          <w:sz w:val="22"/>
          <w:szCs w:val="22"/>
          <w:highlight w:val="none"/>
        </w:rPr>
        <w:t>Xianzi Zeng</w:t>
      </w:r>
      <w:r>
        <w:rPr>
          <w:rFonts w:ascii="Times New Roman" w:hAnsi="Times New Roman" w:cs="Times New Roman"/>
          <w:kern w:val="44"/>
          <w:sz w:val="22"/>
          <w:szCs w:val="22"/>
          <w:highlight w:val="none"/>
          <w:vertAlign w:val="superscript"/>
        </w:rPr>
        <w:t xml:space="preserve">1, </w:t>
      </w:r>
      <w:r>
        <w:rPr>
          <w:rFonts w:hint="eastAsia" w:ascii="Times New Roman" w:hAnsi="Times New Roman" w:cs="Times New Roman"/>
          <w:kern w:val="44"/>
          <w:sz w:val="22"/>
          <w:szCs w:val="22"/>
          <w:highlight w:val="none"/>
          <w:vertAlign w:val="superscript"/>
          <w:lang w:val="en-US" w:eastAsia="zh-CN"/>
        </w:rPr>
        <w:t xml:space="preserve">2, </w:t>
      </w:r>
      <w:r>
        <w:rPr>
          <w:rFonts w:ascii="Times New Roman" w:hAnsi="Times New Roman" w:cs="Times New Roman"/>
          <w:kern w:val="44"/>
          <w:sz w:val="22"/>
          <w:szCs w:val="22"/>
          <w:highlight w:val="none"/>
          <w:vertAlign w:val="superscript"/>
        </w:rPr>
        <w:t>#</w:t>
      </w:r>
      <w:r>
        <w:rPr>
          <w:rFonts w:ascii="Times New Roman" w:hAnsi="Times New Roman" w:cs="Times New Roman"/>
          <w:kern w:val="44"/>
          <w:sz w:val="22"/>
          <w:szCs w:val="22"/>
          <w:highlight w:val="none"/>
        </w:rPr>
        <w:t>, Minjia Pan</w:t>
      </w:r>
      <w:r>
        <w:rPr>
          <w:rFonts w:ascii="Times New Roman" w:hAnsi="Times New Roman" w:cs="Times New Roman"/>
          <w:kern w:val="44"/>
          <w:sz w:val="22"/>
          <w:szCs w:val="22"/>
          <w:highlight w:val="none"/>
          <w:vertAlign w:val="superscript"/>
        </w:rPr>
        <w:t>1, #</w:t>
      </w:r>
      <w:r>
        <w:rPr>
          <w:rFonts w:ascii="Times New Roman" w:hAnsi="Times New Roman" w:cs="Times New Roman"/>
          <w:kern w:val="44"/>
          <w:sz w:val="22"/>
          <w:szCs w:val="22"/>
          <w:highlight w:val="none"/>
        </w:rPr>
        <w:t>, Qiuqiu Qiu</w:t>
      </w:r>
      <w:r>
        <w:rPr>
          <w:rFonts w:hint="eastAsia" w:ascii="Times New Roman" w:hAnsi="Times New Roman" w:cs="Times New Roman"/>
          <w:kern w:val="44"/>
          <w:sz w:val="22"/>
          <w:szCs w:val="22"/>
          <w:highlight w:val="none"/>
          <w:vertAlign w:val="superscript"/>
          <w:lang w:val="en-US" w:eastAsia="zh-CN"/>
        </w:rPr>
        <w:t>3</w:t>
      </w:r>
      <w:r>
        <w:rPr>
          <w:rFonts w:ascii="Times New Roman" w:hAnsi="Times New Roman" w:cs="Times New Roman"/>
          <w:kern w:val="44"/>
          <w:sz w:val="22"/>
          <w:szCs w:val="22"/>
          <w:highlight w:val="none"/>
          <w:vertAlign w:val="superscript"/>
        </w:rPr>
        <w:t>, #</w:t>
      </w:r>
      <w:r>
        <w:rPr>
          <w:rFonts w:ascii="Times New Roman" w:hAnsi="Times New Roman" w:cs="Times New Roman"/>
          <w:kern w:val="44"/>
          <w:sz w:val="22"/>
          <w:szCs w:val="22"/>
          <w:highlight w:val="none"/>
        </w:rPr>
        <w:t>, Yaying Hong</w:t>
      </w:r>
      <w:r>
        <w:rPr>
          <w:rFonts w:hint="eastAsia" w:ascii="Times New Roman" w:hAnsi="Times New Roman" w:cs="Times New Roman"/>
          <w:kern w:val="44"/>
          <w:sz w:val="22"/>
          <w:szCs w:val="22"/>
          <w:highlight w:val="none"/>
          <w:vertAlign w:val="superscript"/>
          <w:lang w:val="en-US" w:eastAsia="zh-CN"/>
        </w:rPr>
        <w:t>4</w:t>
      </w:r>
      <w:r>
        <w:rPr>
          <w:rFonts w:ascii="Times New Roman" w:hAnsi="Times New Roman" w:cs="Times New Roman"/>
          <w:kern w:val="44"/>
          <w:sz w:val="22"/>
          <w:szCs w:val="22"/>
          <w:highlight w:val="none"/>
          <w:vertAlign w:val="superscript"/>
        </w:rPr>
        <w:t>, #</w:t>
      </w:r>
      <w:r>
        <w:rPr>
          <w:rFonts w:ascii="Times New Roman" w:hAnsi="Times New Roman" w:cs="Times New Roman"/>
          <w:kern w:val="44"/>
          <w:sz w:val="22"/>
          <w:szCs w:val="22"/>
          <w:highlight w:val="none"/>
        </w:rPr>
        <w:t>, Jiawei Zhou</w:t>
      </w:r>
      <w:r>
        <w:rPr>
          <w:rFonts w:hint="eastAsia" w:ascii="Times New Roman" w:hAnsi="Times New Roman" w:cs="Times New Roman"/>
          <w:kern w:val="44"/>
          <w:sz w:val="22"/>
          <w:szCs w:val="22"/>
          <w:highlight w:val="none"/>
          <w:vertAlign w:val="superscript"/>
          <w:lang w:val="en-US" w:eastAsia="zh-CN"/>
        </w:rPr>
        <w:t>5</w:t>
      </w:r>
      <w:r>
        <w:rPr>
          <w:rFonts w:ascii="Times New Roman" w:hAnsi="Times New Roman" w:cs="Times New Roman"/>
          <w:kern w:val="44"/>
          <w:sz w:val="22"/>
          <w:szCs w:val="22"/>
          <w:highlight w:val="none"/>
        </w:rPr>
        <w:t>, Yangshu Zhou</w:t>
      </w:r>
      <w:r>
        <w:rPr>
          <w:rFonts w:hint="eastAsia" w:ascii="Times New Roman" w:hAnsi="Times New Roman" w:cs="Times New Roman"/>
          <w:kern w:val="44"/>
          <w:sz w:val="22"/>
          <w:szCs w:val="22"/>
          <w:highlight w:val="none"/>
          <w:vertAlign w:val="superscript"/>
          <w:lang w:val="en-US" w:eastAsia="zh-CN"/>
        </w:rPr>
        <w:t>6</w:t>
      </w:r>
      <w:r>
        <w:rPr>
          <w:rFonts w:ascii="Times New Roman" w:hAnsi="Times New Roman" w:cs="Times New Roman"/>
          <w:kern w:val="44"/>
          <w:sz w:val="22"/>
          <w:szCs w:val="22"/>
          <w:highlight w:val="none"/>
        </w:rPr>
        <w:t>, Baiheng Zhu</w:t>
      </w:r>
      <w:r>
        <w:rPr>
          <w:rFonts w:ascii="Times New Roman" w:hAnsi="Times New Roman" w:cs="Times New Roman"/>
          <w:kern w:val="44"/>
          <w:sz w:val="22"/>
          <w:szCs w:val="22"/>
          <w:highlight w:val="none"/>
          <w:vertAlign w:val="superscript"/>
        </w:rPr>
        <w:t>1</w:t>
      </w:r>
      <w:r>
        <w:rPr>
          <w:rFonts w:ascii="Times New Roman" w:hAnsi="Times New Roman" w:cs="Times New Roman"/>
          <w:kern w:val="44"/>
          <w:sz w:val="22"/>
          <w:szCs w:val="22"/>
          <w:highlight w:val="none"/>
        </w:rPr>
        <w:t>, Zichun Zeng</w:t>
      </w:r>
      <w:r>
        <w:rPr>
          <w:rFonts w:ascii="Times New Roman" w:hAnsi="Times New Roman" w:cs="Times New Roman"/>
          <w:kern w:val="44"/>
          <w:sz w:val="22"/>
          <w:szCs w:val="22"/>
          <w:highlight w:val="none"/>
          <w:vertAlign w:val="superscript"/>
        </w:rPr>
        <w:t>1</w:t>
      </w:r>
      <w:r>
        <w:rPr>
          <w:rFonts w:ascii="Times New Roman" w:hAnsi="Times New Roman" w:cs="Times New Roman"/>
          <w:kern w:val="44"/>
          <w:sz w:val="22"/>
          <w:szCs w:val="22"/>
          <w:highlight w:val="none"/>
        </w:rPr>
        <w:t>, Mingkun Chen</w:t>
      </w:r>
      <w:r>
        <w:rPr>
          <w:rFonts w:hint="eastAsia" w:ascii="Times New Roman" w:hAnsi="Times New Roman" w:cs="Times New Roman"/>
          <w:kern w:val="44"/>
          <w:sz w:val="22"/>
          <w:szCs w:val="22"/>
          <w:highlight w:val="none"/>
          <w:vertAlign w:val="superscript"/>
          <w:lang w:val="en-US" w:eastAsia="zh-CN"/>
        </w:rPr>
        <w:t>5</w:t>
      </w:r>
      <w:r>
        <w:rPr>
          <w:rFonts w:ascii="Times New Roman" w:hAnsi="Times New Roman" w:cs="Times New Roman"/>
          <w:kern w:val="44"/>
          <w:sz w:val="22"/>
          <w:szCs w:val="22"/>
          <w:highlight w:val="none"/>
          <w:vertAlign w:val="superscript"/>
        </w:rPr>
        <w:t>,</w:t>
      </w:r>
      <w:r>
        <w:rPr>
          <w:rFonts w:ascii="Times New Roman" w:hAnsi="Times New Roman" w:cs="Times New Roman"/>
          <w:kern w:val="44"/>
          <w:sz w:val="22"/>
          <w:szCs w:val="22"/>
          <w:highlight w:val="none"/>
        </w:rPr>
        <w:t xml:space="preserve"> *, Shan-Chao Zhao</w:t>
      </w:r>
      <w:r>
        <w:rPr>
          <w:rFonts w:ascii="Times New Roman" w:hAnsi="Times New Roman" w:cs="Times New Roman"/>
          <w:kern w:val="44"/>
          <w:sz w:val="22"/>
          <w:szCs w:val="22"/>
          <w:highlight w:val="none"/>
          <w:vertAlign w:val="superscript"/>
        </w:rPr>
        <w:t>1,</w:t>
      </w:r>
      <w:r>
        <w:rPr>
          <w:rFonts w:ascii="Times New Roman" w:hAnsi="Times New Roman" w:cs="Times New Roman"/>
          <w:kern w:val="44"/>
          <w:sz w:val="22"/>
          <w:szCs w:val="22"/>
          <w:highlight w:val="none"/>
        </w:rPr>
        <w:t>*, Jinpeng Cen</w:t>
      </w:r>
      <w:r>
        <w:rPr>
          <w:rFonts w:ascii="Times New Roman" w:hAnsi="Times New Roman" w:cs="Times New Roman"/>
          <w:kern w:val="44"/>
          <w:sz w:val="22"/>
          <w:szCs w:val="22"/>
          <w:highlight w:val="none"/>
          <w:vertAlign w:val="superscript"/>
        </w:rPr>
        <w:t>1,</w:t>
      </w:r>
      <w:r>
        <w:rPr>
          <w:rFonts w:ascii="Times New Roman" w:hAnsi="Times New Roman" w:cs="Times New Roman"/>
          <w:kern w:val="44"/>
          <w:sz w:val="22"/>
          <w:szCs w:val="22"/>
          <w:highlight w:val="none"/>
        </w:rPr>
        <w:t xml:space="preserve"> *</w:t>
      </w:r>
    </w:p>
    <w:p w14:paraId="554C7A67">
      <w:pPr>
        <w:widowControl/>
        <w:spacing w:line="360" w:lineRule="auto"/>
        <w:jc w:val="both"/>
        <w:rPr>
          <w:rFonts w:hint="default" w:ascii="Times New Roman" w:hAnsi="Times New Roman" w:cs="Times New Roman"/>
          <w:kern w:val="44"/>
          <w:sz w:val="22"/>
          <w:szCs w:val="22"/>
          <w:highlight w:val="none"/>
        </w:rPr>
      </w:pPr>
    </w:p>
    <w:p w14:paraId="65EDA0EF">
      <w:pPr>
        <w:widowControl/>
        <w:spacing w:line="360" w:lineRule="auto"/>
        <w:jc w:val="both"/>
        <w:rPr>
          <w:rFonts w:hint="default" w:ascii="Times New Roman" w:hAnsi="Times New Roman" w:eastAsia="等线" w:cs="Times New Roman"/>
          <w:sz w:val="22"/>
          <w:szCs w:val="22"/>
          <w:highlight w:val="none"/>
        </w:rPr>
      </w:pPr>
    </w:p>
    <w:p w14:paraId="02C7999A">
      <w:pPr>
        <w:spacing w:line="360" w:lineRule="auto"/>
        <w:jc w:val="both"/>
        <w:rPr>
          <w:rFonts w:hint="default" w:ascii="Times New Roman" w:hAnsi="Times New Roman" w:cs="Times New Roman"/>
          <w:highlight w:val="none"/>
        </w:rPr>
      </w:pPr>
    </w:p>
    <w:p w14:paraId="2709385A">
      <w:pPr>
        <w:spacing w:line="360" w:lineRule="auto"/>
        <w:jc w:val="both"/>
        <w:rPr>
          <w:rFonts w:hint="default" w:ascii="Times New Roman" w:hAnsi="Times New Roman" w:cs="Times New Roman"/>
          <w:highlight w:val="none"/>
        </w:rPr>
      </w:pPr>
    </w:p>
    <w:p w14:paraId="5C62A245">
      <w:pPr>
        <w:spacing w:line="360" w:lineRule="auto"/>
        <w:jc w:val="both"/>
        <w:rPr>
          <w:rFonts w:hint="default" w:ascii="Times New Roman" w:hAnsi="Times New Roman" w:cs="Times New Roman"/>
          <w:highlight w:val="none"/>
        </w:rPr>
      </w:pPr>
    </w:p>
    <w:p w14:paraId="345A699D">
      <w:pPr>
        <w:spacing w:line="360" w:lineRule="auto"/>
        <w:jc w:val="both"/>
        <w:rPr>
          <w:rFonts w:hint="default" w:ascii="Times New Roman" w:hAnsi="Times New Roman" w:cs="Times New Roman"/>
          <w:highlight w:val="none"/>
        </w:rPr>
      </w:pPr>
    </w:p>
    <w:p w14:paraId="30B5D8B5">
      <w:pPr>
        <w:spacing w:line="360" w:lineRule="auto"/>
        <w:jc w:val="both"/>
        <w:rPr>
          <w:rFonts w:hint="default" w:ascii="Times New Roman" w:hAnsi="Times New Roman" w:cs="Times New Roman"/>
          <w:highlight w:val="none"/>
        </w:rPr>
      </w:pPr>
    </w:p>
    <w:p w14:paraId="6B55D389">
      <w:pPr>
        <w:spacing w:line="360" w:lineRule="auto"/>
        <w:jc w:val="both"/>
        <w:rPr>
          <w:rFonts w:hint="default" w:ascii="Times New Roman" w:hAnsi="Times New Roman" w:cs="Times New Roman"/>
          <w:highlight w:val="none"/>
        </w:rPr>
      </w:pPr>
    </w:p>
    <w:p w14:paraId="0949A3C3">
      <w:pPr>
        <w:spacing w:line="360" w:lineRule="auto"/>
        <w:jc w:val="both"/>
        <w:rPr>
          <w:rFonts w:hint="default" w:ascii="Times New Roman" w:hAnsi="Times New Roman" w:cs="Times New Roman"/>
          <w:highlight w:val="none"/>
        </w:rPr>
      </w:pPr>
    </w:p>
    <w:p w14:paraId="2C6D9764">
      <w:pPr>
        <w:spacing w:line="360" w:lineRule="auto"/>
        <w:jc w:val="both"/>
        <w:rPr>
          <w:rFonts w:hint="default" w:ascii="Times New Roman" w:hAnsi="Times New Roman" w:cs="Times New Roman"/>
          <w:highlight w:val="none"/>
        </w:rPr>
      </w:pPr>
    </w:p>
    <w:p w14:paraId="486610DB">
      <w:pPr>
        <w:spacing w:line="360" w:lineRule="auto"/>
        <w:jc w:val="both"/>
        <w:rPr>
          <w:rFonts w:hint="default" w:ascii="Times New Roman" w:hAnsi="Times New Roman" w:cs="Times New Roman"/>
          <w:highlight w:val="none"/>
        </w:rPr>
      </w:pPr>
    </w:p>
    <w:p w14:paraId="1BE83A51">
      <w:pPr>
        <w:spacing w:line="360" w:lineRule="auto"/>
        <w:jc w:val="both"/>
        <w:rPr>
          <w:rFonts w:hint="default" w:ascii="Times New Roman" w:hAnsi="Times New Roman" w:cs="Times New Roman"/>
          <w:highlight w:val="none"/>
        </w:rPr>
      </w:pPr>
    </w:p>
    <w:p w14:paraId="36B68041">
      <w:pPr>
        <w:spacing w:line="360" w:lineRule="auto"/>
        <w:jc w:val="both"/>
        <w:rPr>
          <w:rFonts w:hint="default" w:ascii="Times New Roman" w:hAnsi="Times New Roman" w:cs="Times New Roman"/>
          <w:highlight w:val="none"/>
        </w:rPr>
      </w:pPr>
    </w:p>
    <w:p w14:paraId="0FD9FA50">
      <w:pPr>
        <w:spacing w:line="360" w:lineRule="auto"/>
        <w:jc w:val="both"/>
        <w:rPr>
          <w:rFonts w:hint="default" w:ascii="Times New Roman" w:hAnsi="Times New Roman" w:cs="Times New Roman"/>
          <w:highlight w:val="none"/>
        </w:rPr>
      </w:pPr>
    </w:p>
    <w:p w14:paraId="6DC4AC95">
      <w:pPr>
        <w:spacing w:line="360" w:lineRule="auto"/>
        <w:jc w:val="both"/>
        <w:rPr>
          <w:rFonts w:hint="default" w:ascii="Times New Roman" w:hAnsi="Times New Roman" w:cs="Times New Roman"/>
          <w:highlight w:val="none"/>
        </w:rPr>
      </w:pPr>
    </w:p>
    <w:p w14:paraId="4B2D1E2C">
      <w:pPr>
        <w:spacing w:line="360" w:lineRule="auto"/>
        <w:jc w:val="both"/>
        <w:rPr>
          <w:rFonts w:hint="default" w:ascii="Times New Roman" w:hAnsi="Times New Roman" w:cs="Times New Roman"/>
          <w:highlight w:val="none"/>
        </w:rPr>
      </w:pPr>
    </w:p>
    <w:p w14:paraId="230AA8C0">
      <w:pPr>
        <w:spacing w:line="360" w:lineRule="auto"/>
        <w:jc w:val="both"/>
        <w:rPr>
          <w:rFonts w:hint="default" w:ascii="Times New Roman" w:hAnsi="Times New Roman" w:cs="Times New Roman"/>
          <w:highlight w:val="none"/>
        </w:rPr>
      </w:pPr>
    </w:p>
    <w:p w14:paraId="572BEBFF">
      <w:pPr>
        <w:spacing w:line="360" w:lineRule="auto"/>
        <w:jc w:val="both"/>
        <w:rPr>
          <w:rFonts w:hint="default" w:ascii="Times New Roman" w:hAnsi="Times New Roman" w:cs="Times New Roman"/>
          <w:highlight w:val="none"/>
        </w:rPr>
      </w:pPr>
    </w:p>
    <w:p w14:paraId="662E1022">
      <w:pPr>
        <w:spacing w:line="360" w:lineRule="auto"/>
        <w:jc w:val="both"/>
        <w:rPr>
          <w:rFonts w:hint="default" w:ascii="Times New Roman" w:hAnsi="Times New Roman" w:cs="Times New Roman"/>
          <w:highlight w:val="none"/>
        </w:rPr>
      </w:pPr>
    </w:p>
    <w:p w14:paraId="179B1089">
      <w:pPr>
        <w:spacing w:line="360" w:lineRule="auto"/>
        <w:jc w:val="both"/>
        <w:rPr>
          <w:rFonts w:hint="default" w:ascii="Times New Roman" w:hAnsi="Times New Roman" w:cs="Times New Roman"/>
          <w:highlight w:val="none"/>
        </w:rPr>
      </w:pPr>
    </w:p>
    <w:p w14:paraId="484B033A">
      <w:pPr>
        <w:spacing w:line="360" w:lineRule="auto"/>
        <w:jc w:val="both"/>
        <w:rPr>
          <w:rFonts w:hint="default" w:ascii="Times New Roman" w:hAnsi="Times New Roman" w:cs="Times New Roman"/>
          <w:sz w:val="24"/>
          <w:szCs w:val="32"/>
          <w:highlight w:val="none"/>
        </w:rPr>
      </w:pPr>
    </w:p>
    <w:p w14:paraId="17CD5F3F">
      <w:pPr>
        <w:spacing w:line="360" w:lineRule="auto"/>
        <w:jc w:val="both"/>
        <w:outlineLvl w:val="0"/>
        <w:rPr>
          <w:rFonts w:hint="default" w:ascii="Times New Roman" w:hAnsi="Times New Roman" w:cs="Times New Roman"/>
          <w:b/>
          <w:bCs/>
          <w:sz w:val="28"/>
          <w:szCs w:val="36"/>
          <w:highlight w:val="none"/>
        </w:rPr>
      </w:pPr>
      <w:r>
        <w:rPr>
          <w:rFonts w:hint="default" w:ascii="Times New Roman" w:hAnsi="Times New Roman" w:cs="Times New Roman"/>
          <w:b/>
          <w:bCs/>
          <w:sz w:val="28"/>
          <w:szCs w:val="36"/>
          <w:highlight w:val="none"/>
        </w:rPr>
        <w:t>Material and Methods</w:t>
      </w:r>
    </w:p>
    <w:p w14:paraId="6F3198E7">
      <w:pPr>
        <w:spacing w:line="360" w:lineRule="auto"/>
        <w:ind w:left="241" w:hanging="241" w:hangingChars="100"/>
        <w:jc w:val="both"/>
        <w:outlineLvl w:val="0"/>
        <w:rPr>
          <w:rFonts w:hint="default" w:ascii="Times New Roman" w:hAnsi="Times New Roman" w:cs="Times New Roman"/>
          <w:b/>
          <w:bCs/>
          <w:sz w:val="24"/>
          <w:szCs w:val="32"/>
          <w:highlight w:val="none"/>
        </w:rPr>
      </w:pPr>
      <w:r>
        <w:rPr>
          <w:rFonts w:hint="default" w:ascii="Times New Roman" w:hAnsi="Times New Roman" w:cs="Times New Roman"/>
          <w:b/>
          <w:bCs/>
          <w:sz w:val="24"/>
          <w:szCs w:val="32"/>
          <w:highlight w:val="none"/>
        </w:rPr>
        <w:t>Nomogram Construction and Evaluation</w:t>
      </w:r>
    </w:p>
    <w:p w14:paraId="1D1DBF4A">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hint="default" w:ascii="Times New Roman" w:hAnsi="Times New Roman" w:cs="Times New Roman"/>
          <w:b w:val="0"/>
          <w:bCs w:val="0"/>
          <w:sz w:val="24"/>
          <w:szCs w:val="32"/>
          <w:highlight w:val="none"/>
        </w:rPr>
      </w:pPr>
      <w:r>
        <w:rPr>
          <w:rFonts w:hint="default" w:ascii="Times New Roman" w:hAnsi="Times New Roman" w:cs="Times New Roman"/>
          <w:b w:val="0"/>
          <w:bCs w:val="0"/>
          <w:sz w:val="24"/>
          <w:szCs w:val="32"/>
          <w:highlight w:val="none"/>
        </w:rPr>
        <w:t>A nomogram integrating clinicopathological factors (age, clinical T stage,pathological T stage, PSA level, Gleason score) and the risk score was constructed</w:t>
      </w:r>
      <w:r>
        <w:rPr>
          <w:rFonts w:hint="eastAsia" w:ascii="Times New Roman" w:hAnsi="Times New Roman" w:cs="Times New Roman"/>
          <w:b w:val="0"/>
          <w:bCs w:val="0"/>
          <w:sz w:val="24"/>
          <w:szCs w:val="32"/>
          <w:highlight w:val="none"/>
          <w:lang w:val="en-US" w:eastAsia="zh-CN"/>
        </w:rPr>
        <w:t xml:space="preserve"> </w:t>
      </w:r>
      <w:r>
        <w:rPr>
          <w:rFonts w:hint="default" w:ascii="Times New Roman" w:hAnsi="Times New Roman" w:cs="Times New Roman"/>
          <w:b w:val="0"/>
          <w:bCs w:val="0"/>
          <w:sz w:val="24"/>
          <w:szCs w:val="32"/>
          <w:highlight w:val="none"/>
        </w:rPr>
        <w:t>using the RMS R package to predict 1-, 3-, and 5-year BCRFS</w:t>
      </w:r>
      <w:r>
        <w:rPr>
          <w:rFonts w:hint="eastAsia" w:ascii="Times New Roman" w:hAnsi="Times New Roman" w:cs="Times New Roman"/>
          <w:b w:val="0"/>
          <w:bCs w:val="0"/>
          <w:sz w:val="24"/>
          <w:szCs w:val="32"/>
          <w:highlight w:val="none"/>
          <w:lang w:val="en-US" w:eastAsia="zh-CN"/>
        </w:rPr>
        <w:t xml:space="preserve"> </w:t>
      </w:r>
      <w:r>
        <w:rPr>
          <w:rFonts w:hint="default" w:ascii="Times New Roman" w:hAnsi="Times New Roman" w:cs="Times New Roman"/>
          <w:b w:val="0"/>
          <w:bCs w:val="0"/>
          <w:sz w:val="24"/>
          <w:szCs w:val="32"/>
          <w:highlight w:val="none"/>
        </w:rPr>
        <w:t>probabilities. Calibration curves were plotted to assess the agreement between</w:t>
      </w:r>
      <w:r>
        <w:rPr>
          <w:rFonts w:hint="eastAsia" w:ascii="Times New Roman" w:hAnsi="Times New Roman" w:cs="Times New Roman"/>
          <w:b w:val="0"/>
          <w:bCs w:val="0"/>
          <w:sz w:val="24"/>
          <w:szCs w:val="32"/>
          <w:highlight w:val="none"/>
          <w:lang w:val="en-US" w:eastAsia="zh-CN"/>
        </w:rPr>
        <w:t xml:space="preserve"> </w:t>
      </w:r>
      <w:r>
        <w:rPr>
          <w:rFonts w:hint="default" w:ascii="Times New Roman" w:hAnsi="Times New Roman" w:cs="Times New Roman"/>
          <w:b w:val="0"/>
          <w:bCs w:val="0"/>
          <w:sz w:val="24"/>
          <w:szCs w:val="32"/>
          <w:highlight w:val="none"/>
        </w:rPr>
        <w:t>predicted and observed survival rates.</w:t>
      </w:r>
    </w:p>
    <w:p w14:paraId="2C3F726C">
      <w:pPr>
        <w:spacing w:line="360" w:lineRule="auto"/>
        <w:ind w:left="240" w:hanging="240" w:hangingChars="100"/>
        <w:jc w:val="both"/>
        <w:rPr>
          <w:rFonts w:hint="default" w:ascii="Times New Roman" w:hAnsi="Times New Roman" w:cs="Times New Roman"/>
          <w:b w:val="0"/>
          <w:bCs w:val="0"/>
          <w:sz w:val="24"/>
          <w:szCs w:val="32"/>
          <w:highlight w:val="none"/>
        </w:rPr>
      </w:pPr>
    </w:p>
    <w:p w14:paraId="7A4D0A64">
      <w:pPr>
        <w:spacing w:line="360" w:lineRule="auto"/>
        <w:jc w:val="both"/>
        <w:outlineLvl w:val="0"/>
        <w:rPr>
          <w:rFonts w:hint="default" w:ascii="Times New Roman" w:hAnsi="Times New Roman" w:cs="Times New Roman"/>
          <w:b w:val="0"/>
          <w:bCs w:val="0"/>
          <w:sz w:val="24"/>
          <w:szCs w:val="32"/>
          <w:highlight w:val="none"/>
        </w:rPr>
      </w:pPr>
      <w:r>
        <w:rPr>
          <w:rFonts w:hint="default" w:ascii="Times New Roman" w:hAnsi="Times New Roman" w:cs="Times New Roman"/>
          <w:b/>
          <w:bCs/>
          <w:sz w:val="24"/>
          <w:szCs w:val="32"/>
          <w:highlight w:val="none"/>
        </w:rPr>
        <w:t>Functional and Immune Infiltration Analysis of the Risk Score</w:t>
      </w:r>
      <w:r>
        <w:rPr>
          <w:rFonts w:hint="default" w:ascii="Times New Roman" w:hAnsi="Times New Roman" w:cs="Times New Roman"/>
          <w:b w:val="0"/>
          <w:bCs w:val="0"/>
          <w:sz w:val="24"/>
          <w:szCs w:val="32"/>
          <w:highlight w:val="none"/>
        </w:rPr>
        <w:br w:type="textWrapping"/>
      </w:r>
      <w:r>
        <w:rPr>
          <w:rFonts w:hint="default" w:ascii="Times New Roman" w:hAnsi="Times New Roman" w:cs="Times New Roman"/>
          <w:b w:val="0"/>
          <w:bCs w:val="0"/>
          <w:sz w:val="24"/>
          <w:szCs w:val="32"/>
          <w:highlight w:val="none"/>
        </w:rPr>
        <w:t>To explore the biological mechanisms associated with the risk score, Spearman correlation analysis was performed between the expression of each gene and the risk score in the TCGA cohort. Genes were ranked by correlation coefficient, and Gene Set Enrichment Analysis (GSEA) was conducted on the MSigDB "Hallmark" gene sets (thresholds: FDR</w:t>
      </w:r>
      <w:r>
        <w:rPr>
          <w:rFonts w:hint="default" w:ascii="Times New Roman" w:hAnsi="Times New Roman" w:cs="Times New Roman"/>
          <w:b w:val="0"/>
          <w:bCs w:val="0"/>
          <w:sz w:val="24"/>
          <w:szCs w:val="32"/>
          <w:highlight w:val="none"/>
          <w:lang w:val="en-US" w:eastAsia="zh-CN"/>
        </w:rPr>
        <w:t xml:space="preserve"> </w:t>
      </w:r>
      <w:r>
        <w:rPr>
          <w:rFonts w:hint="default" w:ascii="Times New Roman" w:hAnsi="Times New Roman" w:cs="Times New Roman"/>
          <w:b w:val="0"/>
          <w:bCs w:val="0"/>
          <w:sz w:val="24"/>
          <w:szCs w:val="32"/>
          <w:highlight w:val="none"/>
        </w:rPr>
        <w:t>&lt;0.</w:t>
      </w:r>
      <w:r>
        <w:rPr>
          <w:rFonts w:hint="default" w:ascii="Times New Roman" w:hAnsi="Times New Roman" w:cs="Times New Roman"/>
          <w:b w:val="0"/>
          <w:bCs w:val="0"/>
          <w:sz w:val="24"/>
          <w:szCs w:val="32"/>
          <w:highlight w:val="none"/>
          <w:lang w:val="en-US" w:eastAsia="zh-CN"/>
        </w:rPr>
        <w:t>0</w:t>
      </w:r>
      <w:r>
        <w:rPr>
          <w:rFonts w:hint="default" w:ascii="Times New Roman" w:hAnsi="Times New Roman" w:cs="Times New Roman"/>
          <w:b w:val="0"/>
          <w:bCs w:val="0"/>
          <w:sz w:val="24"/>
          <w:szCs w:val="32"/>
          <w:highlight w:val="none"/>
        </w:rPr>
        <w:t>5). The relative abundance of 22 immune cell types in high- and low-risk groups was quantified using the CIBERSORT algorithm. Differences in immune cell infiltration between groups were analyzed, and significantly altered immune cells were subjected to Kaplan-Meier survival analysis.</w:t>
      </w:r>
    </w:p>
    <w:p w14:paraId="7B22B8AD">
      <w:pPr>
        <w:spacing w:line="360" w:lineRule="auto"/>
        <w:jc w:val="both"/>
        <w:rPr>
          <w:rFonts w:hint="default" w:ascii="Times New Roman" w:hAnsi="Times New Roman" w:cs="Times New Roman"/>
          <w:b w:val="0"/>
          <w:bCs w:val="0"/>
          <w:sz w:val="24"/>
          <w:szCs w:val="32"/>
          <w:highlight w:val="none"/>
        </w:rPr>
      </w:pPr>
    </w:p>
    <w:p w14:paraId="4ED7D251">
      <w:pPr>
        <w:spacing w:line="360" w:lineRule="auto"/>
        <w:jc w:val="both"/>
        <w:outlineLvl w:val="0"/>
        <w:rPr>
          <w:rFonts w:hint="default" w:ascii="Times New Roman" w:hAnsi="Times New Roman" w:cs="Times New Roman"/>
          <w:b w:val="0"/>
          <w:bCs w:val="0"/>
          <w:sz w:val="24"/>
          <w:szCs w:val="32"/>
          <w:highlight w:val="none"/>
        </w:rPr>
      </w:pPr>
      <w:r>
        <w:rPr>
          <w:rFonts w:hint="default" w:ascii="Times New Roman" w:hAnsi="Times New Roman" w:cs="Times New Roman"/>
          <w:b/>
          <w:bCs/>
          <w:sz w:val="24"/>
          <w:szCs w:val="32"/>
          <w:highlight w:val="none"/>
        </w:rPr>
        <w:t>Clinical Correlation Analysis of Hub Genes</w:t>
      </w:r>
      <w:r>
        <w:rPr>
          <w:rFonts w:hint="default" w:ascii="Times New Roman" w:hAnsi="Times New Roman" w:cs="Times New Roman"/>
          <w:b w:val="0"/>
          <w:bCs w:val="0"/>
          <w:sz w:val="24"/>
          <w:szCs w:val="32"/>
          <w:highlight w:val="none"/>
        </w:rPr>
        <w:br w:type="textWrapping"/>
      </w:r>
      <w:r>
        <w:rPr>
          <w:rFonts w:hint="default" w:ascii="Times New Roman" w:hAnsi="Times New Roman" w:cs="Times New Roman"/>
          <w:b w:val="0"/>
          <w:bCs w:val="0"/>
          <w:sz w:val="24"/>
          <w:szCs w:val="32"/>
          <w:highlight w:val="none"/>
        </w:rPr>
        <w:t>The correlations between the expression levels of the four hub genes (SPAG5, LPL, ASPN, THBS2) and clinicopathological variables (age, PSA level, Gleason score, pathological T stage, clinical T stage) were analyzed. The association of the risk score with these clinical variables was also evaluated.</w:t>
      </w:r>
    </w:p>
    <w:p w14:paraId="694B212C">
      <w:pPr>
        <w:spacing w:line="360" w:lineRule="auto"/>
        <w:jc w:val="both"/>
        <w:rPr>
          <w:rFonts w:hint="default" w:ascii="Times New Roman" w:hAnsi="Times New Roman" w:cs="Times New Roman"/>
          <w:b w:val="0"/>
          <w:bCs w:val="0"/>
          <w:sz w:val="24"/>
          <w:szCs w:val="32"/>
          <w:highlight w:val="none"/>
        </w:rPr>
      </w:pPr>
    </w:p>
    <w:p w14:paraId="3359F826">
      <w:pPr>
        <w:spacing w:line="360" w:lineRule="auto"/>
        <w:jc w:val="both"/>
        <w:outlineLvl w:val="0"/>
        <w:rPr>
          <w:rFonts w:hint="default" w:ascii="Times New Roman" w:hAnsi="Times New Roman" w:cs="Times New Roman"/>
          <w:b/>
          <w:bCs/>
          <w:sz w:val="24"/>
          <w:szCs w:val="32"/>
          <w:highlight w:val="none"/>
        </w:rPr>
      </w:pPr>
      <w:r>
        <w:rPr>
          <w:rFonts w:hint="default" w:ascii="Times New Roman" w:hAnsi="Times New Roman" w:cs="Times New Roman"/>
          <w:b/>
          <w:bCs/>
          <w:sz w:val="24"/>
          <w:szCs w:val="32"/>
          <w:highlight w:val="none"/>
        </w:rPr>
        <w:t>RNA Isolation and Real‑Time Quantitative PCR</w:t>
      </w:r>
    </w:p>
    <w:p w14:paraId="7E9F7E48">
      <w:pPr>
        <w:spacing w:line="360" w:lineRule="auto"/>
        <w:jc w:val="both"/>
        <w:rPr>
          <w:rFonts w:hint="default" w:ascii="Times New Roman" w:hAnsi="Times New Roman" w:cs="Times New Roman"/>
          <w:sz w:val="24"/>
          <w:szCs w:val="32"/>
          <w:highlight w:val="none"/>
        </w:rPr>
      </w:pPr>
      <w:r>
        <w:rPr>
          <w:rFonts w:hint="default" w:ascii="Times New Roman" w:hAnsi="Times New Roman" w:cs="Times New Roman"/>
          <w:sz w:val="24"/>
          <w:szCs w:val="32"/>
          <w:highlight w:val="none"/>
        </w:rPr>
        <w:t>Total RNA was isolated using TRIzol® reagent (Invitrogen, Shanghai, China) according to the manufacturer’s instructions. Reverse transcription was performed to obtain cDNA, followed by qRT‑PCR using TB Green Premix Ex Taq II (TaKaRa) on a real‑PCR system. All primers used in this study are listed in Supplementary Table S1.</w:t>
      </w:r>
    </w:p>
    <w:p w14:paraId="693CC946">
      <w:pPr>
        <w:spacing w:line="360" w:lineRule="auto"/>
        <w:jc w:val="both"/>
        <w:rPr>
          <w:rFonts w:hint="default" w:ascii="Times New Roman" w:hAnsi="Times New Roman" w:cs="Times New Roman"/>
          <w:sz w:val="24"/>
          <w:szCs w:val="32"/>
          <w:highlight w:val="none"/>
        </w:rPr>
      </w:pPr>
    </w:p>
    <w:p w14:paraId="2D4A08B3">
      <w:pPr>
        <w:spacing w:line="360" w:lineRule="auto"/>
        <w:jc w:val="both"/>
        <w:rPr>
          <w:rFonts w:hint="default" w:ascii="Times New Roman" w:hAnsi="Times New Roman" w:cs="Times New Roman"/>
          <w:b/>
          <w:bCs/>
          <w:sz w:val="24"/>
          <w:szCs w:val="32"/>
          <w:highlight w:val="none"/>
        </w:rPr>
      </w:pPr>
      <w:r>
        <w:rPr>
          <w:rFonts w:hint="default" w:ascii="Times New Roman" w:hAnsi="Times New Roman" w:cs="Times New Roman"/>
          <w:b/>
          <w:bCs/>
          <w:sz w:val="24"/>
          <w:szCs w:val="32"/>
          <w:highlight w:val="none"/>
        </w:rPr>
        <w:t>RNA Interference and Overexpression</w:t>
      </w:r>
    </w:p>
    <w:p w14:paraId="0F1551EC">
      <w:pPr>
        <w:spacing w:line="360" w:lineRule="auto"/>
        <w:jc w:val="both"/>
        <w:rPr>
          <w:rFonts w:hint="default" w:ascii="Times New Roman" w:hAnsi="Times New Roman" w:cs="Times New Roman"/>
          <w:sz w:val="24"/>
          <w:szCs w:val="32"/>
          <w:highlight w:val="none"/>
        </w:rPr>
      </w:pPr>
      <w:r>
        <w:rPr>
          <w:rFonts w:hint="default" w:ascii="Times New Roman" w:hAnsi="Times New Roman" w:cs="Times New Roman"/>
          <w:sz w:val="24"/>
          <w:szCs w:val="32"/>
          <w:highlight w:val="none"/>
        </w:rPr>
        <w:t>To modulate SPAG5 expression, transient knockdown, stable knockdown, and overexpression experiments were performed. For transient knockdown, two siRNAs targeting SPAG5 (si-SPAG5#1, si-SPAG5#2) and a negative control (si-NC) were synthesized by GenePharma. Transfection was performed using Lipofectamine 3000 (Invitrogen, L3000008) in PC3 and DU145 cells, and knockdown efficiency was verified by Western blot. For stable knockdown, a short hairpin RNA targeting SPAG5 (sh-SPAG5) was constructed using the targeting sequence listed in Supplementary Table S2, which was cloned into the pLKO.1 lentiviral vector. PC3 and DU145 cells were infected with lentivirus carrying sh-SPAG5 or sh-NC and selected with puromycin (2 μg/mL) for 7 days, and knockdown efficiency was confirmed by Western blot. For overexpression, the full-length coding sequence (CDS) of SPAG5 was cloned into the pLV3-CMV-MCS-3×FLAG-CopGFP-Puro</w:t>
      </w:r>
      <w:r>
        <w:rPr>
          <w:rFonts w:hint="eastAsia" w:ascii="Times New Roman" w:hAnsi="Times New Roman" w:cs="Times New Roman"/>
          <w:sz w:val="24"/>
          <w:szCs w:val="32"/>
          <w:highlight w:val="none"/>
          <w:lang w:val="en-US" w:eastAsia="zh-CN"/>
        </w:rPr>
        <w:t xml:space="preserve"> </w:t>
      </w:r>
      <w:r>
        <w:rPr>
          <w:rFonts w:hint="default" w:ascii="Times New Roman" w:hAnsi="Times New Roman" w:cs="Times New Roman"/>
          <w:sz w:val="24"/>
          <w:szCs w:val="32"/>
          <w:highlight w:val="none"/>
        </w:rPr>
        <w:t>lentiviral vector. PC3 and DU145 cells were infected with lentivirus carrying SPAG5 (SPAG5-OE) or the empty vector (VC) and selected with puromycin (2 μg/mL), and overexpression efficiency was validated by Western blot.</w:t>
      </w:r>
    </w:p>
    <w:p w14:paraId="73BF9907">
      <w:pPr>
        <w:spacing w:line="360" w:lineRule="auto"/>
        <w:ind w:firstLine="240" w:firstLineChars="100"/>
        <w:jc w:val="both"/>
        <w:rPr>
          <w:rFonts w:hint="default" w:ascii="Times New Roman" w:hAnsi="Times New Roman" w:cs="Times New Roman"/>
          <w:sz w:val="24"/>
          <w:szCs w:val="32"/>
          <w:highlight w:val="none"/>
        </w:rPr>
      </w:pPr>
      <w:r>
        <w:rPr>
          <w:rFonts w:hint="default" w:ascii="Times New Roman" w:hAnsi="Times New Roman" w:cs="Times New Roman"/>
          <w:sz w:val="24"/>
          <w:szCs w:val="32"/>
          <w:highlight w:val="none"/>
        </w:rPr>
        <w:t>For rescue experiments, a shRNA-resistant SPAG5 CDS was generated by introducing nine synonymous substitutions (G1534A, T1537C, C1538T, T1540G, G1546A, A1547T, G1548C, C1549A, T1552C) into the sh-SPAG5 target site (nt 1534–155</w:t>
      </w:r>
      <w:r>
        <w:rPr>
          <w:rFonts w:hint="eastAsia" w:ascii="Times New Roman" w:hAnsi="Times New Roman" w:cs="Times New Roman"/>
          <w:sz w:val="24"/>
          <w:szCs w:val="32"/>
          <w:highlight w:val="none"/>
          <w:lang w:val="en-US" w:eastAsia="zh-CN"/>
        </w:rPr>
        <w:t>4</w:t>
      </w:r>
      <w:r>
        <w:rPr>
          <w:rFonts w:hint="default" w:ascii="Times New Roman" w:hAnsi="Times New Roman" w:cs="Times New Roman"/>
          <w:sz w:val="24"/>
          <w:szCs w:val="32"/>
          <w:highlight w:val="none"/>
        </w:rPr>
        <w:t>; NM_006461.4), leaving the protein sequence unchanged. The shRNA-resistant SPAG5 CDS was cloned into pLVX-IRES-Neo and stably expressed in PC3/sh-SPAG5 and DU145/sh-SPAG5 cells, followed by G418 selection, with puromycin maintenance to preserve sh-SPAG5 knockdown. The constructs were verified by Sanger sequencing. All siRNA and shRNA targeting sequences are listed in Supplementary Table S2.</w:t>
      </w:r>
    </w:p>
    <w:p w14:paraId="54EFD85F">
      <w:pPr>
        <w:spacing w:line="360" w:lineRule="auto"/>
        <w:jc w:val="both"/>
        <w:outlineLvl w:val="0"/>
        <w:rPr>
          <w:rFonts w:hint="default" w:ascii="Times New Roman" w:hAnsi="Times New Roman" w:cs="Times New Roman"/>
          <w:b/>
          <w:bCs/>
          <w:sz w:val="24"/>
          <w:szCs w:val="32"/>
          <w:highlight w:val="none"/>
        </w:rPr>
      </w:pPr>
    </w:p>
    <w:p w14:paraId="5A746C48">
      <w:pPr>
        <w:spacing w:line="360" w:lineRule="auto"/>
        <w:jc w:val="both"/>
        <w:outlineLvl w:val="0"/>
        <w:rPr>
          <w:rFonts w:hint="default" w:ascii="Times New Roman" w:hAnsi="Times New Roman" w:cs="Times New Roman"/>
          <w:b/>
          <w:bCs/>
          <w:sz w:val="24"/>
          <w:szCs w:val="32"/>
          <w:highlight w:val="none"/>
        </w:rPr>
      </w:pPr>
      <w:r>
        <w:rPr>
          <w:rFonts w:hint="default" w:ascii="Times New Roman" w:hAnsi="Times New Roman" w:cs="Times New Roman"/>
          <w:b/>
          <w:bCs/>
          <w:sz w:val="24"/>
          <w:szCs w:val="32"/>
          <w:highlight w:val="none"/>
        </w:rPr>
        <w:t>Cell Cycle Analysis</w:t>
      </w:r>
    </w:p>
    <w:p w14:paraId="38088F59">
      <w:pPr>
        <w:spacing w:line="360" w:lineRule="auto"/>
        <w:jc w:val="both"/>
        <w:rPr>
          <w:rFonts w:hint="default" w:ascii="Times New Roman" w:hAnsi="Times New Roman" w:cs="Times New Roman"/>
          <w:sz w:val="24"/>
          <w:szCs w:val="32"/>
          <w:highlight w:val="none"/>
        </w:rPr>
      </w:pPr>
      <w:r>
        <w:rPr>
          <w:rFonts w:hint="default" w:ascii="Times New Roman" w:hAnsi="Times New Roman" w:cs="Times New Roman"/>
          <w:sz w:val="24"/>
          <w:szCs w:val="32"/>
          <w:highlight w:val="none"/>
        </w:rPr>
        <w:t>Cells were harvested, rinsed with cold PBS, and then fixed overnight at 4°C in 70% ethanol. After a wash step, the cells were stained with propidium iodide (PI) containing RNase A and incubated for 30 minutes at 37°C in the dark. Flow cytometry was used to determine cell cycle distribution. Each experiment was performed in triplicate.</w:t>
      </w:r>
    </w:p>
    <w:p w14:paraId="4320321D">
      <w:pPr>
        <w:spacing w:line="360" w:lineRule="auto"/>
        <w:jc w:val="both"/>
        <w:rPr>
          <w:rFonts w:hint="default" w:ascii="Times New Roman" w:hAnsi="Times New Roman" w:cs="Times New Roman"/>
          <w:b/>
          <w:bCs/>
          <w:sz w:val="24"/>
          <w:szCs w:val="32"/>
          <w:highlight w:val="none"/>
        </w:rPr>
      </w:pPr>
    </w:p>
    <w:p w14:paraId="67CB1721">
      <w:pPr>
        <w:spacing w:line="360" w:lineRule="auto"/>
        <w:jc w:val="both"/>
        <w:rPr>
          <w:rFonts w:hint="default" w:ascii="Times New Roman" w:hAnsi="Times New Roman" w:cs="Times New Roman"/>
          <w:b/>
          <w:bCs/>
          <w:sz w:val="28"/>
          <w:szCs w:val="28"/>
          <w:highlight w:val="none"/>
          <w:lang w:val="en-US" w:eastAsia="zh-CN"/>
        </w:rPr>
      </w:pPr>
      <w:r>
        <w:rPr>
          <w:rFonts w:hint="default" w:ascii="Times New Roman" w:hAnsi="Times New Roman" w:cs="Times New Roman"/>
          <w:b/>
          <w:bCs/>
          <w:sz w:val="24"/>
          <w:szCs w:val="32"/>
          <w:highlight w:val="none"/>
        </w:rPr>
        <w:t>Structure-Based Virtual Screening</w:t>
      </w:r>
      <w:r>
        <w:rPr>
          <w:rFonts w:hint="default" w:ascii="Times New Roman" w:hAnsi="Times New Roman" w:cs="Times New Roman"/>
          <w:sz w:val="24"/>
          <w:szCs w:val="32"/>
          <w:highlight w:val="none"/>
        </w:rPr>
        <w:br w:type="textWrapping"/>
      </w:r>
      <w:r>
        <w:rPr>
          <w:rFonts w:hint="default" w:ascii="Times New Roman" w:hAnsi="Times New Roman" w:cs="Times New Roman"/>
          <w:sz w:val="24"/>
          <w:szCs w:val="32"/>
          <w:highlight w:val="none"/>
        </w:rPr>
        <w:t>To identify potential small-molecule inhibitors targeting SPAG5, the protein structure was obtained from the AlphaFold Database (UniProt ID: Q96R06). The protein was prepared using Schrödinger Maestro 14.0 with the Protein Preparation Wizard (hydrogen addition, water removal, energy minimization with OPLS4 force field to RMSD 0.30 Å). A 20 Å × 20 Å × 20 Å docking grid was generated centered on the predicted binding site. Approximately 27,000 small molecules from the Bioactive Compound Library Plus (HY-L001P, MedChemExpress) were prepared as 3D structures using LigPrep at physiological pH. A multi-stage virtual screening cascade was performed with Glide: initial screening with HTVS (retaining the top 30%), followed by SP (retaining the top 10%), and final high-precision docking with XP. Compounds were ranked by Glide XP GScore, and top-ranked compounds were selected for validation.</w:t>
      </w:r>
    </w:p>
    <w:p w14:paraId="3FB86663">
      <w:pPr>
        <w:spacing w:line="360" w:lineRule="auto"/>
        <w:jc w:val="both"/>
        <w:rPr>
          <w:rFonts w:hint="default" w:ascii="Times New Roman" w:hAnsi="Times New Roman" w:cs="Times New Roman"/>
          <w:b/>
          <w:bCs/>
          <w:sz w:val="28"/>
          <w:szCs w:val="28"/>
          <w:highlight w:val="none"/>
          <w:lang w:val="en-US" w:eastAsia="zh-CN"/>
        </w:rPr>
      </w:pPr>
    </w:p>
    <w:p w14:paraId="6784C5D9">
      <w:pPr>
        <w:spacing w:line="360" w:lineRule="auto"/>
        <w:jc w:val="both"/>
        <w:rPr>
          <w:rFonts w:hint="default" w:ascii="Times New Roman" w:hAnsi="Times New Roman" w:cs="Times New Roman"/>
          <w:b/>
          <w:bCs/>
          <w:sz w:val="28"/>
          <w:szCs w:val="28"/>
          <w:highlight w:val="none"/>
          <w:lang w:val="en-US" w:eastAsia="zh-CN"/>
        </w:rPr>
      </w:pPr>
    </w:p>
    <w:p w14:paraId="1E7F51B5">
      <w:pPr>
        <w:spacing w:line="360" w:lineRule="auto"/>
        <w:jc w:val="both"/>
        <w:rPr>
          <w:rFonts w:hint="default" w:ascii="Times New Roman" w:hAnsi="Times New Roman" w:cs="Times New Roman"/>
          <w:b/>
          <w:bCs/>
          <w:sz w:val="28"/>
          <w:szCs w:val="28"/>
          <w:highlight w:val="none"/>
          <w:lang w:val="en-US" w:eastAsia="zh-CN"/>
        </w:rPr>
      </w:pPr>
    </w:p>
    <w:p w14:paraId="3C2016DB">
      <w:pPr>
        <w:spacing w:line="360" w:lineRule="auto"/>
        <w:jc w:val="both"/>
        <w:rPr>
          <w:rFonts w:hint="default" w:ascii="Times New Roman" w:hAnsi="Times New Roman" w:cs="Times New Roman"/>
          <w:b/>
          <w:bCs/>
          <w:sz w:val="28"/>
          <w:szCs w:val="28"/>
          <w:highlight w:val="none"/>
          <w:lang w:val="en-US" w:eastAsia="zh-CN"/>
        </w:rPr>
      </w:pPr>
    </w:p>
    <w:p w14:paraId="0C3C8556">
      <w:pPr>
        <w:spacing w:line="360" w:lineRule="auto"/>
        <w:jc w:val="both"/>
        <w:rPr>
          <w:rFonts w:hint="default" w:ascii="Times New Roman" w:hAnsi="Times New Roman" w:cs="Times New Roman"/>
          <w:b/>
          <w:bCs/>
          <w:sz w:val="28"/>
          <w:szCs w:val="28"/>
          <w:highlight w:val="none"/>
          <w:lang w:val="en-US" w:eastAsia="zh-CN"/>
        </w:rPr>
      </w:pPr>
    </w:p>
    <w:p w14:paraId="033740B1">
      <w:pPr>
        <w:spacing w:line="360" w:lineRule="auto"/>
        <w:jc w:val="both"/>
        <w:rPr>
          <w:rFonts w:hint="default" w:ascii="Times New Roman" w:hAnsi="Times New Roman" w:cs="Times New Roman"/>
          <w:b/>
          <w:bCs/>
          <w:sz w:val="28"/>
          <w:szCs w:val="28"/>
          <w:highlight w:val="none"/>
          <w:lang w:val="en-US" w:eastAsia="zh-CN"/>
        </w:rPr>
      </w:pPr>
    </w:p>
    <w:p w14:paraId="0C093015">
      <w:pPr>
        <w:spacing w:line="360" w:lineRule="auto"/>
        <w:jc w:val="both"/>
        <w:rPr>
          <w:rFonts w:hint="default" w:ascii="Times New Roman" w:hAnsi="Times New Roman" w:cs="Times New Roman"/>
          <w:b/>
          <w:bCs/>
          <w:sz w:val="28"/>
          <w:szCs w:val="28"/>
          <w:highlight w:val="none"/>
          <w:lang w:val="en-US" w:eastAsia="zh-CN"/>
        </w:rPr>
      </w:pPr>
    </w:p>
    <w:p w14:paraId="41F20EDB">
      <w:pPr>
        <w:spacing w:line="360" w:lineRule="auto"/>
        <w:jc w:val="both"/>
        <w:rPr>
          <w:rFonts w:hint="default" w:ascii="Times New Roman" w:hAnsi="Times New Roman" w:cs="Times New Roman"/>
          <w:b/>
          <w:bCs/>
          <w:sz w:val="28"/>
          <w:szCs w:val="28"/>
          <w:highlight w:val="none"/>
          <w:lang w:val="en-US" w:eastAsia="zh-CN"/>
        </w:rPr>
      </w:pPr>
    </w:p>
    <w:p w14:paraId="0331F7C8">
      <w:pPr>
        <w:spacing w:line="360" w:lineRule="auto"/>
        <w:jc w:val="both"/>
        <w:rPr>
          <w:rFonts w:hint="default" w:ascii="Times New Roman" w:hAnsi="Times New Roman" w:cs="Times New Roman"/>
          <w:b/>
          <w:bCs/>
          <w:sz w:val="28"/>
          <w:szCs w:val="28"/>
          <w:highlight w:val="none"/>
          <w:lang w:val="en-US" w:eastAsia="zh-CN"/>
        </w:rPr>
      </w:pPr>
    </w:p>
    <w:p w14:paraId="6D71A1AA">
      <w:pPr>
        <w:spacing w:line="360" w:lineRule="auto"/>
        <w:jc w:val="both"/>
        <w:outlineLvl w:val="0"/>
        <w:rPr>
          <w:rFonts w:hint="default" w:ascii="Times New Roman" w:hAnsi="Times New Roman" w:cs="Times New Roman"/>
          <w:b/>
          <w:bCs/>
          <w:sz w:val="28"/>
          <w:szCs w:val="28"/>
          <w:highlight w:val="none"/>
          <w:lang w:val="en-US" w:eastAsia="zh-CN"/>
        </w:rPr>
      </w:pPr>
      <w:r>
        <w:rPr>
          <w:rFonts w:hint="default" w:ascii="Times New Roman" w:hAnsi="Times New Roman" w:cs="Times New Roman"/>
          <w:b/>
          <w:bCs/>
          <w:sz w:val="28"/>
          <w:szCs w:val="28"/>
          <w:highlight w:val="none"/>
          <w:lang w:val="en-US" w:eastAsia="zh-CN"/>
        </w:rPr>
        <w:t>Supplementary Figure</w:t>
      </w:r>
    </w:p>
    <w:p w14:paraId="3021BB29">
      <w:pPr>
        <w:spacing w:line="360" w:lineRule="auto"/>
        <w:jc w:val="both"/>
        <w:rPr>
          <w:rFonts w:hint="default" w:ascii="Times New Roman" w:hAnsi="Times New Roman" w:cs="Times New Roman" w:eastAsiaTheme="minorEastAsia"/>
          <w:color w:val="FF0000"/>
          <w:highlight w:val="none"/>
          <w:lang w:eastAsia="zh-CN"/>
        </w:rPr>
      </w:pPr>
      <w:r>
        <w:rPr>
          <w:rFonts w:hint="default" w:ascii="Times New Roman" w:hAnsi="Times New Roman" w:cs="Times New Roman" w:eastAsiaTheme="minorEastAsia"/>
          <w:color w:val="FF0000"/>
          <w:highlight w:val="none"/>
          <w:lang w:eastAsia="zh-CN"/>
        </w:rPr>
        <w:drawing>
          <wp:inline distT="0" distB="0" distL="114300" distR="114300">
            <wp:extent cx="5258435" cy="3607435"/>
            <wp:effectExtent l="0" t="0" r="8890" b="2540"/>
            <wp:docPr id="4" name="图片 4" descr="单因素p值显示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单因素p值显示_01"/>
                    <pic:cNvPicPr>
                      <a:picLocks noChangeAspect="1"/>
                    </pic:cNvPicPr>
                  </pic:nvPicPr>
                  <pic:blipFill>
                    <a:blip r:embed="rId4"/>
                    <a:stretch>
                      <a:fillRect/>
                    </a:stretch>
                  </pic:blipFill>
                  <pic:spPr>
                    <a:xfrm>
                      <a:off x="0" y="0"/>
                      <a:ext cx="5258435" cy="3607435"/>
                    </a:xfrm>
                    <a:prstGeom prst="rect">
                      <a:avLst/>
                    </a:prstGeom>
                  </pic:spPr>
                </pic:pic>
              </a:graphicData>
            </a:graphic>
          </wp:inline>
        </w:drawing>
      </w:r>
    </w:p>
    <w:p w14:paraId="62E72FA1">
      <w:pPr>
        <w:spacing w:line="360" w:lineRule="auto"/>
        <w:jc w:val="both"/>
        <w:outlineLvl w:val="0"/>
        <w:rPr>
          <w:rFonts w:hint="default" w:ascii="Times New Roman" w:hAnsi="Times New Roman" w:cs="Times New Roman"/>
          <w:b w:val="0"/>
          <w:bCs w:val="0"/>
          <w:sz w:val="24"/>
          <w:highlight w:val="none"/>
          <w:lang w:val="en-US" w:eastAsia="zh-CN"/>
        </w:rPr>
      </w:pPr>
      <w:r>
        <w:rPr>
          <w:rFonts w:hint="default" w:ascii="Times New Roman" w:hAnsi="Times New Roman" w:cs="Times New Roman"/>
          <w:b/>
          <w:bCs/>
          <w:sz w:val="24"/>
          <w:highlight w:val="none"/>
          <w:lang w:val="en-US" w:eastAsia="zh-CN"/>
        </w:rPr>
        <w:t xml:space="preserve">Supplementary Figure S1. </w:t>
      </w:r>
      <w:r>
        <w:rPr>
          <w:rFonts w:hint="default" w:ascii="Times New Roman" w:hAnsi="Times New Roman" w:cs="Times New Roman"/>
          <w:b w:val="0"/>
          <w:bCs w:val="0"/>
          <w:sz w:val="24"/>
          <w:highlight w:val="none"/>
          <w:lang w:val="en-US" w:eastAsia="zh-CN"/>
        </w:rPr>
        <w:t>Forest plot of univariate Cox regression analysis for 20 core DEGs, identifying 13 genes significantly associated with biochemical recurrence (P&lt;0.01).</w:t>
      </w:r>
    </w:p>
    <w:p w14:paraId="4A113B48">
      <w:pPr>
        <w:spacing w:line="360" w:lineRule="auto"/>
        <w:jc w:val="both"/>
        <w:rPr>
          <w:rFonts w:hint="default" w:ascii="Times New Roman" w:hAnsi="Times New Roman" w:cs="Times New Roman"/>
          <w:b w:val="0"/>
          <w:bCs w:val="0"/>
          <w:sz w:val="24"/>
          <w:highlight w:val="none"/>
          <w:lang w:val="en-US" w:eastAsia="zh-CN"/>
        </w:rPr>
      </w:pPr>
    </w:p>
    <w:p w14:paraId="3185480A">
      <w:pPr>
        <w:spacing w:line="360" w:lineRule="auto"/>
        <w:jc w:val="both"/>
        <w:rPr>
          <w:rFonts w:hint="default" w:ascii="Times New Roman" w:hAnsi="Times New Roman" w:cs="Times New Roman"/>
          <w:b w:val="0"/>
          <w:bCs w:val="0"/>
          <w:sz w:val="24"/>
          <w:highlight w:val="none"/>
          <w:lang w:val="en-US" w:eastAsia="zh-CN"/>
        </w:rPr>
      </w:pPr>
    </w:p>
    <w:p w14:paraId="042EF9C8">
      <w:pPr>
        <w:spacing w:line="360" w:lineRule="auto"/>
        <w:jc w:val="both"/>
        <w:rPr>
          <w:rFonts w:hint="default" w:ascii="Times New Roman" w:hAnsi="Times New Roman" w:cs="Times New Roman"/>
          <w:b w:val="0"/>
          <w:bCs w:val="0"/>
          <w:sz w:val="24"/>
          <w:highlight w:val="none"/>
          <w:lang w:val="en-US" w:eastAsia="zh-CN"/>
        </w:rPr>
      </w:pPr>
    </w:p>
    <w:p w14:paraId="74B32386">
      <w:pPr>
        <w:spacing w:line="360" w:lineRule="auto"/>
        <w:jc w:val="both"/>
        <w:rPr>
          <w:rFonts w:hint="default" w:ascii="Times New Roman" w:hAnsi="Times New Roman" w:cs="Times New Roman"/>
          <w:b w:val="0"/>
          <w:bCs w:val="0"/>
          <w:sz w:val="24"/>
          <w:highlight w:val="none"/>
          <w:lang w:val="en-US" w:eastAsia="zh-CN"/>
        </w:rPr>
      </w:pPr>
    </w:p>
    <w:p w14:paraId="4F4FDF18">
      <w:pPr>
        <w:spacing w:line="360" w:lineRule="auto"/>
        <w:jc w:val="both"/>
        <w:rPr>
          <w:rFonts w:hint="default" w:ascii="Times New Roman" w:hAnsi="Times New Roman" w:cs="Times New Roman"/>
          <w:b w:val="0"/>
          <w:bCs w:val="0"/>
          <w:sz w:val="24"/>
          <w:highlight w:val="none"/>
          <w:lang w:val="en-US" w:eastAsia="zh-CN"/>
        </w:rPr>
      </w:pPr>
    </w:p>
    <w:p w14:paraId="02EF1446">
      <w:pPr>
        <w:spacing w:line="360" w:lineRule="auto"/>
        <w:jc w:val="both"/>
        <w:rPr>
          <w:rFonts w:hint="default" w:ascii="Times New Roman" w:hAnsi="Times New Roman" w:cs="Times New Roman"/>
          <w:b w:val="0"/>
          <w:bCs w:val="0"/>
          <w:sz w:val="24"/>
          <w:highlight w:val="none"/>
          <w:lang w:val="en-US" w:eastAsia="zh-CN"/>
        </w:rPr>
      </w:pPr>
    </w:p>
    <w:p w14:paraId="4289D60D">
      <w:pPr>
        <w:spacing w:line="360" w:lineRule="auto"/>
        <w:jc w:val="both"/>
        <w:rPr>
          <w:rFonts w:hint="default" w:ascii="Times New Roman" w:hAnsi="Times New Roman" w:cs="Times New Roman" w:eastAsiaTheme="minorEastAsia"/>
          <w:color w:val="FF0000"/>
          <w:highlight w:val="none"/>
          <w:lang w:eastAsia="zh-CN"/>
        </w:rPr>
      </w:pPr>
      <w:r>
        <w:rPr>
          <w:rFonts w:hint="default" w:ascii="Times New Roman" w:hAnsi="Times New Roman" w:cs="Times New Roman" w:eastAsiaTheme="minorEastAsia"/>
          <w:color w:val="FF0000"/>
          <w:highlight w:val="none"/>
          <w:lang w:eastAsia="zh-CN"/>
        </w:rPr>
        <w:drawing>
          <wp:inline distT="0" distB="0" distL="114300" distR="114300">
            <wp:extent cx="5269865" cy="3437890"/>
            <wp:effectExtent l="0" t="0" r="6985" b="635"/>
            <wp:docPr id="3" name="图片 3" descr="3.2spa-s1-s2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2spa-s1-s2_01(1)"/>
                    <pic:cNvPicPr>
                      <a:picLocks noChangeAspect="1"/>
                    </pic:cNvPicPr>
                  </pic:nvPicPr>
                  <pic:blipFill>
                    <a:blip r:embed="rId5"/>
                    <a:stretch>
                      <a:fillRect/>
                    </a:stretch>
                  </pic:blipFill>
                  <pic:spPr>
                    <a:xfrm>
                      <a:off x="0" y="0"/>
                      <a:ext cx="5269865" cy="3437890"/>
                    </a:xfrm>
                    <a:prstGeom prst="rect">
                      <a:avLst/>
                    </a:prstGeom>
                  </pic:spPr>
                </pic:pic>
              </a:graphicData>
            </a:graphic>
          </wp:inline>
        </w:drawing>
      </w:r>
    </w:p>
    <w:p w14:paraId="6A4F2485">
      <w:pPr>
        <w:spacing w:line="360" w:lineRule="auto"/>
        <w:jc w:val="both"/>
        <w:outlineLvl w:val="0"/>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b/>
          <w:bCs/>
          <w:sz w:val="24"/>
          <w:szCs w:val="24"/>
          <w:highlight w:val="none"/>
          <w:lang w:val="en-US" w:eastAsia="zh-CN"/>
        </w:rPr>
        <w:t xml:space="preserve">Supplementary </w:t>
      </w:r>
      <w:r>
        <w:rPr>
          <w:rFonts w:hint="default" w:ascii="Times New Roman" w:hAnsi="Times New Roman" w:cs="Times New Roman"/>
          <w:b/>
          <w:bCs/>
          <w:color w:val="auto"/>
          <w:sz w:val="24"/>
          <w:szCs w:val="24"/>
          <w:highlight w:val="none"/>
          <w:lang w:val="en-US" w:eastAsia="zh-CN"/>
        </w:rPr>
        <w:t xml:space="preserve">Figure S2. </w:t>
      </w:r>
      <w:r>
        <w:rPr>
          <w:rFonts w:hint="default" w:ascii="Times New Roman" w:hAnsi="Times New Roman" w:cs="Times New Roman" w:eastAsiaTheme="minorEastAsia"/>
          <w:b/>
          <w:bCs/>
          <w:color w:val="auto"/>
          <w:sz w:val="24"/>
          <w:szCs w:val="24"/>
          <w:highlight w:val="none"/>
          <w:lang w:eastAsia="zh-CN"/>
        </w:rPr>
        <w:t xml:space="preserve">Validation of the four-gene prognostic model in </w:t>
      </w:r>
      <w:r>
        <w:rPr>
          <w:rFonts w:hint="eastAsia" w:ascii="Times New Roman" w:hAnsi="Times New Roman" w:cs="Times New Roman"/>
          <w:b/>
          <w:bCs/>
          <w:color w:val="auto"/>
          <w:sz w:val="24"/>
          <w:szCs w:val="24"/>
          <w:highlight w:val="none"/>
          <w:lang w:val="en-US" w:eastAsia="zh-CN"/>
        </w:rPr>
        <w:t xml:space="preserve">two </w:t>
      </w:r>
      <w:r>
        <w:rPr>
          <w:rFonts w:hint="default" w:ascii="Times New Roman" w:hAnsi="Times New Roman" w:cs="Times New Roman" w:eastAsiaTheme="minorEastAsia"/>
          <w:b/>
          <w:bCs/>
          <w:color w:val="auto"/>
          <w:sz w:val="24"/>
          <w:szCs w:val="24"/>
          <w:highlight w:val="none"/>
          <w:lang w:eastAsia="zh-CN"/>
        </w:rPr>
        <w:t>GEO cohorts</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lang w:eastAsia="zh-CN"/>
        </w:rPr>
        <w:t xml:space="preserve">(A-C) Validation in the GSE46602 cohort. (A) Risk score distribution with patients stratified into high-risk and low-risk groups based on the median risk score. (B) Kaplan-Meier survival curves of biochemical recurrence-free survival (BCRFS) in high-risk and low-risk groups. (C) Time-dependent ROC curves showing AUC values of 0.67, 0.81, and 0.85 for </w:t>
      </w:r>
      <w:r>
        <w:rPr>
          <w:rFonts w:hint="default" w:ascii="Times New Roman" w:hAnsi="Times New Roman" w:cs="Times New Roman"/>
          <w:sz w:val="24"/>
          <w:szCs w:val="24"/>
          <w:highlight w:val="none"/>
        </w:rPr>
        <w:t>1, 3, and 5 years</w:t>
      </w:r>
      <w:r>
        <w:rPr>
          <w:rFonts w:hint="default" w:ascii="Times New Roman" w:hAnsi="Times New Roman" w:cs="Times New Roman" w:eastAsiaTheme="minorEastAsia"/>
          <w:color w:val="auto"/>
          <w:sz w:val="24"/>
          <w:szCs w:val="24"/>
          <w:highlight w:val="none"/>
          <w:lang w:eastAsia="zh-CN"/>
        </w:rPr>
        <w:t xml:space="preserve"> BCRFS prediction, respectively. (D-F) Validation in the GSE21032 cohort. (D) Risk score distribution with patients stratified into high-risk and low-risk groups based on the median risk score. (E) Kaplan-Meier survival curves of BCRFS in high-risk and low-risk groups. (F) Time-dependent ROC curves showing AUC values of 0.79, 0.82, and 0.80 for </w:t>
      </w:r>
      <w:r>
        <w:rPr>
          <w:rFonts w:hint="default" w:ascii="Times New Roman" w:hAnsi="Times New Roman" w:cs="Times New Roman"/>
          <w:sz w:val="24"/>
          <w:szCs w:val="24"/>
          <w:highlight w:val="none"/>
        </w:rPr>
        <w:t>1, 3, and 5 years</w:t>
      </w:r>
      <w:r>
        <w:rPr>
          <w:rFonts w:hint="default" w:ascii="Times New Roman" w:hAnsi="Times New Roman" w:cs="Times New Roman" w:eastAsiaTheme="minorEastAsia"/>
          <w:color w:val="auto"/>
          <w:sz w:val="24"/>
          <w:szCs w:val="24"/>
          <w:highlight w:val="none"/>
          <w:lang w:eastAsia="zh-CN"/>
        </w:rPr>
        <w:t xml:space="preserve"> BCRFS prediction, respectively.</w:t>
      </w:r>
    </w:p>
    <w:p w14:paraId="2A44EFDE">
      <w:pPr>
        <w:spacing w:line="360" w:lineRule="auto"/>
        <w:jc w:val="both"/>
        <w:rPr>
          <w:rFonts w:hint="default" w:ascii="Times New Roman" w:hAnsi="Times New Roman" w:cs="Times New Roman"/>
          <w:b/>
          <w:bCs/>
          <w:sz w:val="24"/>
          <w:szCs w:val="32"/>
          <w:highlight w:val="none"/>
        </w:rPr>
      </w:pPr>
    </w:p>
    <w:p w14:paraId="7665F580">
      <w:pPr>
        <w:spacing w:line="360" w:lineRule="auto"/>
        <w:jc w:val="both"/>
        <w:rPr>
          <w:rFonts w:hint="default" w:ascii="Times New Roman" w:hAnsi="Times New Roman" w:cs="Times New Roman"/>
          <w:b/>
          <w:bCs/>
          <w:sz w:val="24"/>
          <w:szCs w:val="32"/>
          <w:highlight w:val="none"/>
        </w:rPr>
      </w:pPr>
    </w:p>
    <w:p w14:paraId="72F6EA45">
      <w:pPr>
        <w:spacing w:line="360" w:lineRule="auto"/>
        <w:jc w:val="both"/>
        <w:rPr>
          <w:rFonts w:hint="default" w:ascii="Times New Roman" w:hAnsi="Times New Roman" w:cs="Times New Roman"/>
          <w:b/>
          <w:bCs/>
          <w:sz w:val="24"/>
          <w:szCs w:val="32"/>
          <w:highlight w:val="none"/>
        </w:rPr>
      </w:pPr>
    </w:p>
    <w:p w14:paraId="4EE14100">
      <w:pPr>
        <w:spacing w:line="360" w:lineRule="auto"/>
        <w:jc w:val="both"/>
        <w:rPr>
          <w:rFonts w:hint="default" w:ascii="Times New Roman" w:hAnsi="Times New Roman" w:cs="Times New Roman"/>
          <w:b/>
          <w:bCs/>
          <w:sz w:val="24"/>
          <w:szCs w:val="32"/>
          <w:highlight w:val="none"/>
        </w:rPr>
      </w:pPr>
    </w:p>
    <w:p w14:paraId="13364B03">
      <w:pPr>
        <w:spacing w:line="360" w:lineRule="auto"/>
        <w:jc w:val="both"/>
        <w:rPr>
          <w:rFonts w:hint="default" w:ascii="Times New Roman" w:hAnsi="Times New Roman" w:cs="Times New Roman"/>
          <w:b/>
          <w:bCs/>
          <w:sz w:val="24"/>
          <w:szCs w:val="32"/>
          <w:highlight w:val="none"/>
        </w:rPr>
      </w:pPr>
    </w:p>
    <w:p w14:paraId="36D21CAE">
      <w:pPr>
        <w:spacing w:line="360" w:lineRule="auto"/>
        <w:jc w:val="both"/>
        <w:rPr>
          <w:rFonts w:hint="default" w:ascii="Times New Roman" w:hAnsi="Times New Roman" w:cs="Times New Roman"/>
          <w:b/>
          <w:bCs/>
          <w:sz w:val="24"/>
          <w:szCs w:val="32"/>
          <w:highlight w:val="none"/>
        </w:rPr>
      </w:pPr>
    </w:p>
    <w:p w14:paraId="2265FCF1">
      <w:pPr>
        <w:spacing w:line="360" w:lineRule="auto"/>
        <w:jc w:val="both"/>
        <w:rPr>
          <w:rFonts w:hint="default" w:ascii="Times New Roman" w:hAnsi="Times New Roman" w:cs="Times New Roman"/>
          <w:b/>
          <w:bCs/>
          <w:sz w:val="24"/>
          <w:szCs w:val="32"/>
          <w:highlight w:val="none"/>
        </w:rPr>
      </w:pPr>
    </w:p>
    <w:p w14:paraId="03BF5CEF">
      <w:pPr>
        <w:spacing w:line="360" w:lineRule="auto"/>
        <w:jc w:val="both"/>
        <w:rPr>
          <w:rFonts w:hint="eastAsia" w:ascii="Times New Roman" w:hAnsi="Times New Roman" w:eastAsia="宋体" w:cs="Times New Roman"/>
          <w:sz w:val="24"/>
          <w:szCs w:val="32"/>
          <w:highlight w:val="none"/>
          <w:lang w:eastAsia="zh-CN"/>
        </w:rPr>
      </w:pPr>
      <w:r>
        <w:rPr>
          <w:rFonts w:hint="eastAsia" w:ascii="Times New Roman" w:hAnsi="Times New Roman" w:eastAsia="宋体" w:cs="Times New Roman"/>
          <w:sz w:val="24"/>
          <w:szCs w:val="32"/>
          <w:highlight w:val="none"/>
          <w:lang w:eastAsia="zh-CN"/>
        </w:rPr>
        <w:drawing>
          <wp:inline distT="0" distB="0" distL="114300" distR="114300">
            <wp:extent cx="5182870" cy="5687695"/>
            <wp:effectExtent l="0" t="0" r="8255" b="8255"/>
            <wp:docPr id="1" name="图片 1"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2"/>
                    <pic:cNvPicPr>
                      <a:picLocks noChangeAspect="1"/>
                    </pic:cNvPicPr>
                  </pic:nvPicPr>
                  <pic:blipFill>
                    <a:blip r:embed="rId6"/>
                    <a:stretch>
                      <a:fillRect/>
                    </a:stretch>
                  </pic:blipFill>
                  <pic:spPr>
                    <a:xfrm>
                      <a:off x="0" y="0"/>
                      <a:ext cx="5182870" cy="5687695"/>
                    </a:xfrm>
                    <a:prstGeom prst="rect">
                      <a:avLst/>
                    </a:prstGeom>
                  </pic:spPr>
                </pic:pic>
              </a:graphicData>
            </a:graphic>
          </wp:inline>
        </w:drawing>
      </w:r>
    </w:p>
    <w:p w14:paraId="005FB9AD">
      <w:pPr>
        <w:keepNext w:val="0"/>
        <w:keepLines w:val="0"/>
        <w:pageBreakBefore w:val="0"/>
        <w:widowControl w:val="0"/>
        <w:kinsoku/>
        <w:wordWrap/>
        <w:overflowPunct/>
        <w:topLinePunct w:val="0"/>
        <w:autoSpaceDE/>
        <w:autoSpaceDN/>
        <w:bidi w:val="0"/>
        <w:adjustRightInd/>
        <w:snapToGrid/>
        <w:spacing w:line="300" w:lineRule="auto"/>
        <w:jc w:val="both"/>
        <w:textAlignment w:val="auto"/>
        <w:outlineLvl w:val="0"/>
        <w:rPr>
          <w:rFonts w:hint="eastAsia" w:ascii="Times New Roman" w:hAnsi="Times New Roman" w:cs="Times New Roman"/>
          <w:sz w:val="24"/>
          <w:szCs w:val="32"/>
          <w:highlight w:val="none"/>
        </w:rPr>
      </w:pPr>
      <w:r>
        <w:rPr>
          <w:rFonts w:hint="default" w:ascii="Times New Roman" w:hAnsi="Times New Roman" w:cs="Times New Roman"/>
          <w:b/>
          <w:bCs/>
          <w:sz w:val="24"/>
          <w:szCs w:val="24"/>
          <w:highlight w:val="none"/>
          <w:lang w:val="en-US" w:eastAsia="zh-CN"/>
        </w:rPr>
        <w:t xml:space="preserve">Supplementary </w:t>
      </w:r>
      <w:r>
        <w:rPr>
          <w:rFonts w:hint="default" w:ascii="Times New Roman" w:hAnsi="Times New Roman" w:cs="Times New Roman"/>
          <w:b/>
          <w:bCs/>
          <w:color w:val="auto"/>
          <w:sz w:val="24"/>
          <w:szCs w:val="24"/>
          <w:highlight w:val="none"/>
          <w:lang w:val="en-US" w:eastAsia="zh-CN"/>
        </w:rPr>
        <w:t>Figure S</w:t>
      </w:r>
      <w:r>
        <w:rPr>
          <w:rFonts w:hint="eastAsia" w:ascii="Times New Roman" w:hAnsi="Times New Roman" w:cs="Times New Roman"/>
          <w:b/>
          <w:bCs/>
          <w:color w:val="auto"/>
          <w:sz w:val="24"/>
          <w:szCs w:val="24"/>
          <w:highlight w:val="none"/>
          <w:lang w:val="en-US" w:eastAsia="zh-CN"/>
        </w:rPr>
        <w:t>3</w:t>
      </w:r>
      <w:r>
        <w:rPr>
          <w:rFonts w:hint="eastAsia" w:ascii="Times New Roman" w:hAnsi="Times New Roman" w:cs="Times New Roman"/>
          <w:b/>
          <w:bCs/>
          <w:sz w:val="24"/>
          <w:szCs w:val="32"/>
          <w:highlight w:val="none"/>
        </w:rPr>
        <w:t xml:space="preserve">. Biological functions and immune infiltration characteristics of the risk score. </w:t>
      </w:r>
      <w:r>
        <w:rPr>
          <w:rFonts w:hint="eastAsia" w:ascii="Times New Roman" w:hAnsi="Times New Roman" w:cs="Times New Roman"/>
          <w:sz w:val="24"/>
          <w:szCs w:val="32"/>
          <w:highlight w:val="none"/>
        </w:rPr>
        <w:t xml:space="preserve">(A, B) GSEA showing enrichment of oncogenic pathways in the high-risk group. (C) CIBERSORT analysis revealing significant differences in immune cell infiltration between high- and low-risk groups. (D) Kaplan-Meier analysis demonstrating that high M2 macrophage infiltration is associated with poorer prognosis (P&lt;0.01). (E-I) Correlation between core gene expression and clinicopathological features. SPAG5, LPL, ASPN, and THBS2 expression positively correlated with advanced pathological T stage, clinical T stage, age, PSA level, and Gleason score. </w:t>
      </w:r>
      <w:r>
        <w:rPr>
          <w:rFonts w:hint="eastAsia" w:ascii="Times New Roman" w:hAnsi="Times New Roman" w:cs="Times New Roman"/>
          <w:i/>
          <w:iCs/>
          <w:sz w:val="24"/>
          <w:szCs w:val="32"/>
          <w:highlight w:val="none"/>
        </w:rPr>
        <w:t>*P&lt;0.05, **P&lt;0.01, ***P&lt;0.001, ****P&lt;0.0001</w:t>
      </w:r>
      <w:r>
        <w:rPr>
          <w:rFonts w:hint="eastAsia" w:ascii="Times New Roman" w:hAnsi="Times New Roman" w:cs="Times New Roman"/>
          <w:sz w:val="24"/>
          <w:szCs w:val="32"/>
          <w:highlight w:val="none"/>
        </w:rPr>
        <w:t>, ns, not significant.</w:t>
      </w:r>
    </w:p>
    <w:p w14:paraId="529B233A">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Times New Roman" w:hAnsi="Times New Roman" w:cs="Times New Roman"/>
          <w:sz w:val="24"/>
          <w:szCs w:val="32"/>
          <w:highlight w:val="none"/>
        </w:rPr>
      </w:pPr>
      <w:r>
        <w:rPr>
          <w:rFonts w:hint="eastAsia"/>
          <w:highlight w:val="none"/>
          <w:lang w:val="en-US" w:eastAsia="zh-CN"/>
        </w:rPr>
        <w:t xml:space="preserve">                           </w:t>
      </w:r>
    </w:p>
    <w:p w14:paraId="73B465E0">
      <w:pPr>
        <w:keepNext w:val="0"/>
        <w:keepLines w:val="0"/>
        <w:pageBreakBefore w:val="0"/>
        <w:widowControl w:val="0"/>
        <w:kinsoku/>
        <w:wordWrap/>
        <w:overflowPunct/>
        <w:topLinePunct w:val="0"/>
        <w:autoSpaceDE/>
        <w:autoSpaceDN/>
        <w:bidi w:val="0"/>
        <w:adjustRightInd/>
        <w:snapToGrid/>
        <w:spacing w:line="300" w:lineRule="auto"/>
        <w:jc w:val="center"/>
        <w:textAlignment w:val="auto"/>
        <w:outlineLvl w:val="0"/>
        <w:rPr>
          <w:rFonts w:hint="eastAsia" w:ascii="Times New Roman" w:hAnsi="Times New Roman" w:cs="Times New Roman" w:eastAsiaTheme="minorEastAsia"/>
          <w:sz w:val="24"/>
          <w:szCs w:val="32"/>
          <w:highlight w:val="none"/>
          <w:lang w:eastAsia="zh-CN"/>
        </w:rPr>
      </w:pPr>
      <w:r>
        <w:rPr>
          <w:rFonts w:hint="eastAsia" w:ascii="Times New Roman" w:hAnsi="Times New Roman" w:cs="Times New Roman" w:eastAsiaTheme="minorEastAsia"/>
          <w:sz w:val="24"/>
          <w:szCs w:val="32"/>
          <w:highlight w:val="none"/>
          <w:lang w:eastAsia="zh-CN"/>
        </w:rPr>
        <w:drawing>
          <wp:inline distT="0" distB="0" distL="114300" distR="114300">
            <wp:extent cx="4916805" cy="6228080"/>
            <wp:effectExtent l="0" t="0" r="7620" b="1270"/>
            <wp:docPr id="5" name="图片 5" descr="s3-压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3-压缩(1)"/>
                    <pic:cNvPicPr>
                      <a:picLocks noChangeAspect="1"/>
                    </pic:cNvPicPr>
                  </pic:nvPicPr>
                  <pic:blipFill>
                    <a:blip r:embed="rId7"/>
                    <a:stretch>
                      <a:fillRect/>
                    </a:stretch>
                  </pic:blipFill>
                  <pic:spPr>
                    <a:xfrm>
                      <a:off x="0" y="0"/>
                      <a:ext cx="4916805" cy="6228080"/>
                    </a:xfrm>
                    <a:prstGeom prst="rect">
                      <a:avLst/>
                    </a:prstGeom>
                  </pic:spPr>
                </pic:pic>
              </a:graphicData>
            </a:graphic>
          </wp:inline>
        </w:drawing>
      </w:r>
    </w:p>
    <w:p w14:paraId="31A1B94D">
      <w:pPr>
        <w:keepNext w:val="0"/>
        <w:keepLines w:val="0"/>
        <w:pageBreakBefore w:val="0"/>
        <w:widowControl w:val="0"/>
        <w:kinsoku/>
        <w:wordWrap/>
        <w:overflowPunct/>
        <w:topLinePunct w:val="0"/>
        <w:autoSpaceDE/>
        <w:autoSpaceDN/>
        <w:bidi w:val="0"/>
        <w:adjustRightInd/>
        <w:snapToGrid/>
        <w:spacing w:line="300" w:lineRule="auto"/>
        <w:jc w:val="both"/>
        <w:textAlignment w:val="auto"/>
        <w:outlineLvl w:val="0"/>
        <w:rPr>
          <w:rFonts w:hint="eastAsia" w:ascii="Times New Roman" w:hAnsi="Times New Roman" w:cs="Times New Roman"/>
          <w:sz w:val="24"/>
          <w:szCs w:val="32"/>
          <w:highlight w:val="none"/>
        </w:rPr>
      </w:pPr>
    </w:p>
    <w:p w14:paraId="3BBEB75B">
      <w:pPr>
        <w:keepNext w:val="0"/>
        <w:keepLines w:val="0"/>
        <w:pageBreakBefore w:val="0"/>
        <w:widowControl w:val="0"/>
        <w:kinsoku/>
        <w:wordWrap/>
        <w:overflowPunct/>
        <w:topLinePunct w:val="0"/>
        <w:autoSpaceDE/>
        <w:autoSpaceDN/>
        <w:bidi w:val="0"/>
        <w:adjustRightInd/>
        <w:snapToGrid/>
        <w:spacing w:line="300" w:lineRule="auto"/>
        <w:jc w:val="both"/>
        <w:textAlignment w:val="auto"/>
        <w:outlineLvl w:val="0"/>
        <w:rPr>
          <w:rFonts w:hint="eastAsia" w:ascii="Times New Roman" w:hAnsi="Times New Roman" w:cs="Times New Roman"/>
          <w:sz w:val="24"/>
          <w:szCs w:val="32"/>
          <w:highlight w:val="none"/>
        </w:rPr>
      </w:pPr>
      <w:r>
        <w:rPr>
          <w:rFonts w:hint="eastAsia" w:ascii="Times New Roman" w:hAnsi="Times New Roman" w:cs="Times New Roman"/>
          <w:b/>
          <w:bCs/>
          <w:sz w:val="24"/>
          <w:szCs w:val="32"/>
          <w:highlight w:val="none"/>
        </w:rPr>
        <w:t>Supplementary Figure S4</w:t>
      </w:r>
      <w:r>
        <w:rPr>
          <w:rFonts w:hint="eastAsia" w:ascii="Times New Roman" w:hAnsi="Times New Roman" w:cs="Times New Roman"/>
          <w:sz w:val="24"/>
          <w:szCs w:val="32"/>
          <w:highlight w:val="none"/>
        </w:rPr>
        <w:t xml:space="preserve">. </w:t>
      </w:r>
      <w:r>
        <w:rPr>
          <w:rFonts w:hint="eastAsia" w:ascii="Times New Roman" w:hAnsi="Times New Roman" w:cs="Times New Roman"/>
          <w:b/>
          <w:bCs/>
          <w:sz w:val="24"/>
          <w:szCs w:val="32"/>
          <w:highlight w:val="none"/>
        </w:rPr>
        <w:t>Association between SPAG5 expression and somatic mutation landscape in TCGA-PRAD.</w:t>
      </w:r>
      <w:r>
        <w:rPr>
          <w:rFonts w:hint="eastAsia" w:ascii="Times New Roman" w:hAnsi="Times New Roman" w:cs="Times New Roman"/>
          <w:b/>
          <w:bCs/>
          <w:sz w:val="24"/>
          <w:szCs w:val="32"/>
          <w:highlight w:val="none"/>
          <w:lang w:val="en-US" w:eastAsia="zh-CN"/>
        </w:rPr>
        <w:t xml:space="preserve"> </w:t>
      </w:r>
      <w:r>
        <w:rPr>
          <w:rFonts w:hint="eastAsia" w:ascii="Times New Roman" w:hAnsi="Times New Roman" w:cs="Times New Roman"/>
          <w:sz w:val="24"/>
          <w:szCs w:val="32"/>
          <w:highlight w:val="none"/>
        </w:rPr>
        <w:t xml:space="preserve">(A) Mutation profiles of SPAG5-low and SPAG5-high groups. (B) SPAG5 expression in tumors with wild-type or mutant forms of the indicated genes. </w:t>
      </w:r>
    </w:p>
    <w:p w14:paraId="6AC84373">
      <w:pPr>
        <w:keepNext w:val="0"/>
        <w:keepLines w:val="0"/>
        <w:pageBreakBefore w:val="0"/>
        <w:widowControl w:val="0"/>
        <w:kinsoku/>
        <w:wordWrap/>
        <w:overflowPunct/>
        <w:topLinePunct w:val="0"/>
        <w:autoSpaceDE/>
        <w:autoSpaceDN/>
        <w:bidi w:val="0"/>
        <w:adjustRightInd/>
        <w:snapToGrid/>
        <w:spacing w:line="300" w:lineRule="auto"/>
        <w:jc w:val="both"/>
        <w:textAlignment w:val="auto"/>
        <w:outlineLvl w:val="0"/>
        <w:rPr>
          <w:rFonts w:hint="eastAsia" w:ascii="Times New Roman" w:hAnsi="Times New Roman" w:cs="Times New Roman"/>
          <w:sz w:val="24"/>
          <w:szCs w:val="32"/>
          <w:highlight w:val="none"/>
        </w:rPr>
      </w:pPr>
    </w:p>
    <w:p w14:paraId="08273592">
      <w:pPr>
        <w:keepNext w:val="0"/>
        <w:keepLines w:val="0"/>
        <w:pageBreakBefore w:val="0"/>
        <w:widowControl w:val="0"/>
        <w:kinsoku/>
        <w:wordWrap/>
        <w:overflowPunct/>
        <w:topLinePunct w:val="0"/>
        <w:autoSpaceDE/>
        <w:autoSpaceDN/>
        <w:bidi w:val="0"/>
        <w:adjustRightInd/>
        <w:snapToGrid/>
        <w:spacing w:line="300" w:lineRule="auto"/>
        <w:jc w:val="both"/>
        <w:textAlignment w:val="auto"/>
        <w:outlineLvl w:val="0"/>
        <w:rPr>
          <w:rFonts w:hint="eastAsia" w:ascii="Times New Roman" w:hAnsi="Times New Roman" w:cs="Times New Roman"/>
          <w:sz w:val="24"/>
          <w:szCs w:val="32"/>
          <w:highlight w:val="none"/>
        </w:rPr>
      </w:pPr>
    </w:p>
    <w:p w14:paraId="6E7D0381">
      <w:pPr>
        <w:keepNext w:val="0"/>
        <w:keepLines w:val="0"/>
        <w:pageBreakBefore w:val="0"/>
        <w:widowControl w:val="0"/>
        <w:kinsoku/>
        <w:wordWrap/>
        <w:overflowPunct/>
        <w:topLinePunct w:val="0"/>
        <w:autoSpaceDE/>
        <w:autoSpaceDN/>
        <w:bidi w:val="0"/>
        <w:adjustRightInd/>
        <w:snapToGrid/>
        <w:spacing w:line="300" w:lineRule="auto"/>
        <w:jc w:val="both"/>
        <w:textAlignment w:val="auto"/>
        <w:outlineLvl w:val="0"/>
        <w:rPr>
          <w:rFonts w:hint="eastAsia" w:ascii="Times New Roman" w:hAnsi="Times New Roman" w:cs="Times New Roman"/>
          <w:sz w:val="24"/>
          <w:szCs w:val="32"/>
          <w:highlight w:val="none"/>
        </w:rPr>
      </w:pPr>
    </w:p>
    <w:p w14:paraId="2BCEC68C">
      <w:pPr>
        <w:keepNext w:val="0"/>
        <w:keepLines w:val="0"/>
        <w:pageBreakBefore w:val="0"/>
        <w:widowControl w:val="0"/>
        <w:kinsoku/>
        <w:wordWrap/>
        <w:overflowPunct/>
        <w:topLinePunct w:val="0"/>
        <w:autoSpaceDE/>
        <w:autoSpaceDN/>
        <w:bidi w:val="0"/>
        <w:adjustRightInd/>
        <w:snapToGrid/>
        <w:spacing w:line="300" w:lineRule="auto"/>
        <w:jc w:val="both"/>
        <w:textAlignment w:val="auto"/>
        <w:outlineLvl w:val="0"/>
        <w:rPr>
          <w:rFonts w:hint="eastAsia" w:ascii="Times New Roman" w:hAnsi="Times New Roman" w:cs="Times New Roman"/>
          <w:sz w:val="24"/>
          <w:szCs w:val="32"/>
          <w:highlight w:val="none"/>
        </w:rPr>
      </w:pPr>
    </w:p>
    <w:p w14:paraId="002027D8">
      <w:pPr>
        <w:keepNext w:val="0"/>
        <w:keepLines w:val="0"/>
        <w:pageBreakBefore w:val="0"/>
        <w:widowControl w:val="0"/>
        <w:kinsoku/>
        <w:wordWrap/>
        <w:overflowPunct/>
        <w:topLinePunct w:val="0"/>
        <w:autoSpaceDE/>
        <w:autoSpaceDN/>
        <w:bidi w:val="0"/>
        <w:adjustRightInd/>
        <w:snapToGrid/>
        <w:spacing w:line="300" w:lineRule="auto"/>
        <w:jc w:val="both"/>
        <w:textAlignment w:val="auto"/>
        <w:outlineLvl w:val="0"/>
        <w:rPr>
          <w:rFonts w:hint="eastAsia" w:ascii="Times New Roman" w:hAnsi="Times New Roman" w:cs="Times New Roman"/>
          <w:sz w:val="24"/>
          <w:szCs w:val="32"/>
          <w:highlight w:val="none"/>
        </w:rPr>
      </w:pPr>
    </w:p>
    <w:p w14:paraId="75B5CB79">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Times New Roman" w:hAnsi="Times New Roman" w:cs="Times New Roman"/>
          <w:sz w:val="24"/>
          <w:szCs w:val="32"/>
          <w:highlight w:val="none"/>
        </w:rPr>
      </w:pPr>
      <w:r>
        <w:rPr>
          <w:rFonts w:hint="eastAsia"/>
          <w:highlight w:val="none"/>
          <w:lang w:val="en-US" w:eastAsia="zh-CN"/>
        </w:rPr>
        <w:t xml:space="preserve">                           </w:t>
      </w:r>
      <w:r>
        <w:rPr>
          <w:highlight w:val="none"/>
        </w:rPr>
        <w:drawing>
          <wp:inline distT="0" distB="0" distL="114300" distR="114300">
            <wp:extent cx="1817370" cy="1808480"/>
            <wp:effectExtent l="0" t="0" r="0" b="1270"/>
            <wp:docPr id="9" name="图片 8" descr="PC3-BPHspa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PC3-BPHspag5"/>
                    <pic:cNvPicPr>
                      <a:picLocks noChangeAspect="1"/>
                    </pic:cNvPicPr>
                  </pic:nvPicPr>
                  <pic:blipFill>
                    <a:blip r:embed="rId8"/>
                    <a:srcRect r="-14511"/>
                    <a:stretch>
                      <a:fillRect/>
                    </a:stretch>
                  </pic:blipFill>
                  <pic:spPr>
                    <a:xfrm>
                      <a:off x="0" y="0"/>
                      <a:ext cx="1817370" cy="1808480"/>
                    </a:xfrm>
                    <a:prstGeom prst="rect">
                      <a:avLst/>
                    </a:prstGeom>
                  </pic:spPr>
                </pic:pic>
              </a:graphicData>
            </a:graphic>
          </wp:inline>
        </w:drawing>
      </w:r>
    </w:p>
    <w:p w14:paraId="1EB87B70">
      <w:pPr>
        <w:keepNext w:val="0"/>
        <w:keepLines w:val="0"/>
        <w:pageBreakBefore w:val="0"/>
        <w:widowControl w:val="0"/>
        <w:kinsoku/>
        <w:wordWrap/>
        <w:overflowPunct/>
        <w:topLinePunct w:val="0"/>
        <w:autoSpaceDE/>
        <w:autoSpaceDN/>
        <w:bidi w:val="0"/>
        <w:adjustRightInd/>
        <w:snapToGrid/>
        <w:spacing w:line="300" w:lineRule="auto"/>
        <w:jc w:val="both"/>
        <w:textAlignment w:val="auto"/>
        <w:outlineLvl w:val="0"/>
        <w:rPr>
          <w:rFonts w:hint="eastAsia" w:ascii="Times New Roman" w:hAnsi="Times New Roman" w:cs="Times New Roman"/>
          <w:sz w:val="24"/>
          <w:szCs w:val="32"/>
          <w:highlight w:val="none"/>
        </w:rPr>
      </w:pPr>
      <w:r>
        <w:rPr>
          <w:rFonts w:hint="eastAsia" w:ascii="Times New Roman" w:hAnsi="Times New Roman" w:cs="Times New Roman"/>
          <w:b/>
          <w:bCs/>
          <w:sz w:val="24"/>
          <w:szCs w:val="32"/>
          <w:highlight w:val="none"/>
        </w:rPr>
        <w:t>Supplementary Figure S</w:t>
      </w:r>
      <w:r>
        <w:rPr>
          <w:rFonts w:hint="eastAsia" w:ascii="Times New Roman" w:hAnsi="Times New Roman" w:cs="Times New Roman"/>
          <w:b/>
          <w:bCs/>
          <w:sz w:val="24"/>
          <w:szCs w:val="32"/>
          <w:highlight w:val="none"/>
          <w:lang w:val="en-US" w:eastAsia="zh-CN"/>
        </w:rPr>
        <w:t>5</w:t>
      </w:r>
      <w:r>
        <w:rPr>
          <w:rFonts w:hint="eastAsia" w:ascii="Times New Roman" w:hAnsi="Times New Roman" w:cs="Times New Roman"/>
          <w:b/>
          <w:bCs/>
          <w:sz w:val="24"/>
          <w:szCs w:val="32"/>
          <w:highlight w:val="none"/>
        </w:rPr>
        <w:t xml:space="preserve">. Quantitative analysis of SPAG5 expression in BPH and PCa tissues. </w:t>
      </w:r>
      <w:r>
        <w:rPr>
          <w:rFonts w:hint="eastAsia" w:ascii="Times New Roman" w:hAnsi="Times New Roman" w:cs="Times New Roman"/>
          <w:b w:val="0"/>
          <w:bCs w:val="0"/>
          <w:sz w:val="24"/>
          <w:szCs w:val="32"/>
          <w:highlight w:val="none"/>
        </w:rPr>
        <w:t>IRS, immunoreactivity score.</w:t>
      </w:r>
      <w:r>
        <w:rPr>
          <w:rFonts w:hint="eastAsia" w:ascii="Times New Roman" w:hAnsi="Times New Roman" w:cs="Times New Roman"/>
          <w:b w:val="0"/>
          <w:bCs w:val="0"/>
          <w:sz w:val="24"/>
          <w:szCs w:val="32"/>
          <w:highlight w:val="none"/>
          <w:lang w:val="en-US" w:eastAsia="zh-CN"/>
        </w:rPr>
        <w:t xml:space="preserve"> </w:t>
      </w:r>
      <w:r>
        <w:rPr>
          <w:rFonts w:hint="eastAsia" w:ascii="Times New Roman" w:hAnsi="Times New Roman" w:cs="Times New Roman"/>
          <w:b w:val="0"/>
          <w:bCs w:val="0"/>
          <w:sz w:val="24"/>
          <w:szCs w:val="32"/>
          <w:highlight w:val="none"/>
        </w:rPr>
        <w:t>Data are presented as mean ± SD (BPH, n = 3; PCa, n = 3). Statistical analysis was performed using an unpaired two-tailed Student</w:t>
      </w:r>
      <w:r>
        <w:rPr>
          <w:rFonts w:hint="default" w:ascii="Times New Roman" w:hAnsi="Times New Roman" w:cs="Times New Roman"/>
          <w:b w:val="0"/>
          <w:bCs w:val="0"/>
          <w:sz w:val="24"/>
          <w:szCs w:val="32"/>
          <w:highlight w:val="none"/>
          <w:lang w:val="en-US" w:eastAsia="zh-CN"/>
        </w:rPr>
        <w:t>’</w:t>
      </w:r>
      <w:r>
        <w:rPr>
          <w:rFonts w:hint="eastAsia" w:ascii="Times New Roman" w:hAnsi="Times New Roman" w:cs="Times New Roman"/>
          <w:b w:val="0"/>
          <w:bCs w:val="0"/>
          <w:sz w:val="24"/>
          <w:szCs w:val="32"/>
          <w:highlight w:val="none"/>
        </w:rPr>
        <w:t xml:space="preserve">s t-test. </w:t>
      </w:r>
      <w:r>
        <w:rPr>
          <w:rFonts w:hint="eastAsia" w:ascii="Times New Roman" w:hAnsi="Times New Roman" w:cs="Times New Roman"/>
          <w:i/>
          <w:iCs/>
          <w:sz w:val="24"/>
          <w:szCs w:val="32"/>
          <w:highlight w:val="none"/>
        </w:rPr>
        <w:t>*P&lt;0.05, **P&lt;0.01, ***P&lt;0.001, ****P&lt;0.0001</w:t>
      </w:r>
      <w:r>
        <w:rPr>
          <w:rFonts w:hint="eastAsia" w:ascii="Times New Roman" w:hAnsi="Times New Roman" w:cs="Times New Roman"/>
          <w:sz w:val="24"/>
          <w:szCs w:val="32"/>
          <w:highlight w:val="none"/>
        </w:rPr>
        <w:t>, ns, not significant.</w:t>
      </w:r>
    </w:p>
    <w:p w14:paraId="4A2C2025">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Times New Roman" w:hAnsi="Times New Roman" w:cs="Times New Roman"/>
          <w:sz w:val="24"/>
          <w:szCs w:val="32"/>
          <w:highlight w:val="none"/>
        </w:rPr>
      </w:pPr>
    </w:p>
    <w:p w14:paraId="75696340">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Times New Roman" w:hAnsi="Times New Roman" w:cs="Times New Roman"/>
          <w:sz w:val="24"/>
          <w:szCs w:val="32"/>
          <w:highlight w:val="none"/>
        </w:rPr>
      </w:pPr>
    </w:p>
    <w:p w14:paraId="447C0EFF">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Times New Roman" w:hAnsi="Times New Roman" w:cs="Times New Roman"/>
          <w:sz w:val="24"/>
          <w:szCs w:val="32"/>
          <w:highlight w:val="none"/>
        </w:rPr>
      </w:pPr>
    </w:p>
    <w:p w14:paraId="048B3D9F">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Times New Roman" w:hAnsi="Times New Roman" w:cs="Times New Roman"/>
          <w:sz w:val="24"/>
          <w:szCs w:val="32"/>
          <w:highlight w:val="none"/>
        </w:rPr>
      </w:pPr>
    </w:p>
    <w:p w14:paraId="1B33DAD8">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Times New Roman" w:hAnsi="Times New Roman" w:cs="Times New Roman"/>
          <w:sz w:val="24"/>
          <w:szCs w:val="32"/>
          <w:highlight w:val="none"/>
        </w:rPr>
      </w:pPr>
    </w:p>
    <w:p w14:paraId="5F6B50F2">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Times New Roman" w:hAnsi="Times New Roman" w:cs="Times New Roman"/>
          <w:sz w:val="24"/>
          <w:szCs w:val="32"/>
          <w:highlight w:val="none"/>
        </w:rPr>
      </w:pPr>
    </w:p>
    <w:p w14:paraId="3FEAD0C6">
      <w:pPr>
        <w:keepNext w:val="0"/>
        <w:keepLines w:val="0"/>
        <w:pageBreakBefore w:val="0"/>
        <w:widowControl w:val="0"/>
        <w:kinsoku/>
        <w:wordWrap/>
        <w:overflowPunct/>
        <w:topLinePunct w:val="0"/>
        <w:autoSpaceDE/>
        <w:autoSpaceDN/>
        <w:bidi w:val="0"/>
        <w:adjustRightInd/>
        <w:snapToGrid/>
        <w:spacing w:line="300" w:lineRule="auto"/>
        <w:jc w:val="both"/>
        <w:textAlignment w:val="auto"/>
        <w:rPr>
          <w:rFonts w:hint="eastAsia" w:ascii="Times New Roman" w:hAnsi="Times New Roman" w:cs="Times New Roman"/>
          <w:sz w:val="24"/>
          <w:szCs w:val="32"/>
          <w:highlight w:val="none"/>
        </w:rPr>
      </w:pPr>
    </w:p>
    <w:p w14:paraId="0D538A87">
      <w:pPr>
        <w:spacing w:line="300" w:lineRule="auto"/>
        <w:rPr>
          <w:rFonts w:hint="eastAsia" w:ascii="Times New Roman" w:hAnsi="Times New Roman" w:cs="Times New Roman" w:eastAsiaTheme="minorEastAsia"/>
          <w:sz w:val="24"/>
          <w:szCs w:val="32"/>
          <w:highlight w:val="none"/>
          <w:lang w:eastAsia="zh-CN"/>
        </w:rPr>
      </w:pPr>
      <w:r>
        <w:rPr>
          <w:rFonts w:hint="eastAsia" w:ascii="Times New Roman" w:hAnsi="Times New Roman" w:cs="Times New Roman" w:eastAsiaTheme="minorEastAsia"/>
          <w:sz w:val="24"/>
          <w:szCs w:val="32"/>
          <w:highlight w:val="none"/>
          <w:lang w:eastAsia="zh-CN"/>
        </w:rPr>
        <w:drawing>
          <wp:inline distT="0" distB="0" distL="114300" distR="114300">
            <wp:extent cx="5048885" cy="4895850"/>
            <wp:effectExtent l="0" t="0" r="8890" b="0"/>
            <wp:docPr id="7" name="图片 7" descr="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6"/>
                    <pic:cNvPicPr>
                      <a:picLocks noChangeAspect="1"/>
                    </pic:cNvPicPr>
                  </pic:nvPicPr>
                  <pic:blipFill>
                    <a:blip r:embed="rId9"/>
                    <a:stretch>
                      <a:fillRect/>
                    </a:stretch>
                  </pic:blipFill>
                  <pic:spPr>
                    <a:xfrm>
                      <a:off x="0" y="0"/>
                      <a:ext cx="5048885" cy="4895850"/>
                    </a:xfrm>
                    <a:prstGeom prst="rect">
                      <a:avLst/>
                    </a:prstGeom>
                  </pic:spPr>
                </pic:pic>
              </a:graphicData>
            </a:graphic>
          </wp:inline>
        </w:drawing>
      </w:r>
    </w:p>
    <w:p w14:paraId="3C37BA71">
      <w:pPr>
        <w:keepNext w:val="0"/>
        <w:keepLines w:val="0"/>
        <w:pageBreakBefore w:val="0"/>
        <w:widowControl w:val="0"/>
        <w:kinsoku/>
        <w:wordWrap/>
        <w:overflowPunct/>
        <w:topLinePunct w:val="0"/>
        <w:autoSpaceDE/>
        <w:autoSpaceDN/>
        <w:bidi w:val="0"/>
        <w:adjustRightInd/>
        <w:snapToGrid/>
        <w:spacing w:line="300" w:lineRule="auto"/>
        <w:textAlignment w:val="auto"/>
        <w:outlineLvl w:val="0"/>
        <w:rPr>
          <w:rFonts w:ascii="Times New Roman" w:hAnsi="Times New Roman" w:cs="Times New Roman"/>
          <w:sz w:val="24"/>
          <w:szCs w:val="32"/>
          <w:highlight w:val="none"/>
        </w:rPr>
      </w:pPr>
      <w:r>
        <w:rPr>
          <w:rFonts w:hint="default" w:ascii="Times New Roman" w:hAnsi="Times New Roman" w:cs="Times New Roman"/>
          <w:b/>
          <w:bCs/>
          <w:sz w:val="24"/>
          <w:szCs w:val="24"/>
          <w:highlight w:val="none"/>
          <w:lang w:val="en-US" w:eastAsia="zh-CN"/>
        </w:rPr>
        <w:t xml:space="preserve">Supplementary </w:t>
      </w:r>
      <w:r>
        <w:rPr>
          <w:rFonts w:hint="default" w:ascii="Times New Roman" w:hAnsi="Times New Roman" w:cs="Times New Roman"/>
          <w:b/>
          <w:bCs/>
          <w:color w:val="auto"/>
          <w:sz w:val="24"/>
          <w:szCs w:val="24"/>
          <w:highlight w:val="none"/>
          <w:lang w:val="en-US" w:eastAsia="zh-CN"/>
        </w:rPr>
        <w:t>Figure S</w:t>
      </w:r>
      <w:r>
        <w:rPr>
          <w:rFonts w:hint="eastAsia" w:ascii="Times New Roman" w:hAnsi="Times New Roman" w:cs="Times New Roman"/>
          <w:b/>
          <w:bCs/>
          <w:color w:val="auto"/>
          <w:sz w:val="24"/>
          <w:szCs w:val="24"/>
          <w:highlight w:val="none"/>
          <w:lang w:val="en-US" w:eastAsia="zh-CN"/>
        </w:rPr>
        <w:t>6</w:t>
      </w:r>
      <w:r>
        <w:rPr>
          <w:rFonts w:ascii="Times New Roman" w:hAnsi="Times New Roman" w:cs="Times New Roman"/>
          <w:b/>
          <w:bCs/>
          <w:sz w:val="24"/>
          <w:szCs w:val="32"/>
          <w:highlight w:val="none"/>
        </w:rPr>
        <w:t>. SPAG5 promotes PCa cell growth in vivo.</w:t>
      </w:r>
      <w:r>
        <w:rPr>
          <w:rFonts w:hint="eastAsia" w:ascii="Times New Roman" w:hAnsi="Times New Roman" w:cs="Times New Roman"/>
          <w:b/>
          <w:bCs/>
          <w:sz w:val="24"/>
          <w:szCs w:val="32"/>
          <w:highlight w:val="none"/>
        </w:rPr>
        <w:t xml:space="preserve"> </w:t>
      </w:r>
      <w:r>
        <w:rPr>
          <w:rFonts w:ascii="Times New Roman" w:hAnsi="Times New Roman" w:cs="Times New Roman"/>
          <w:sz w:val="24"/>
          <w:szCs w:val="32"/>
          <w:highlight w:val="none"/>
        </w:rPr>
        <w:t>(A) Western blot confirming SPAG5 knockdown in stable PC3/sh‑SPAG5 cells. PC3/sh-NC served as control. β</w:t>
      </w:r>
      <w:r>
        <w:rPr>
          <w:rFonts w:ascii="Times New Roman" w:hAnsi="Times New Roman" w:cs="Times New Roman"/>
          <w:b/>
          <w:bCs/>
          <w:sz w:val="24"/>
          <w:szCs w:val="32"/>
          <w:highlight w:val="none"/>
        </w:rPr>
        <w:t>-</w:t>
      </w:r>
      <w:r>
        <w:rPr>
          <w:rFonts w:ascii="Times New Roman" w:hAnsi="Times New Roman" w:cs="Times New Roman"/>
          <w:sz w:val="24"/>
          <w:szCs w:val="32"/>
          <w:highlight w:val="none"/>
        </w:rPr>
        <w:t xml:space="preserve">Tubulin was used as loading control. </w:t>
      </w:r>
      <w:r>
        <w:rPr>
          <w:rFonts w:ascii="Times New Roman" w:hAnsi="Times New Roman" w:cs="Times New Roman"/>
          <w:sz w:val="24"/>
          <w:szCs w:val="32"/>
          <w:highlight w:val="none"/>
        </w:rPr>
        <w:t>(B) Schematic of in vivo experimental design. PC3/sh-SPAG5 or PC3/sh-NC cells (2×10⁶ cells/mouse) were injected subcutaneously into the right anterior thigh of nude mice (n = 5 per group). Tumor volumes were measured every 2 days.</w:t>
      </w:r>
      <w:r>
        <w:rPr>
          <w:rFonts w:ascii="Times New Roman" w:hAnsi="Times New Roman" w:cs="Times New Roman"/>
          <w:sz w:val="24"/>
          <w:szCs w:val="32"/>
          <w:highlight w:val="none"/>
        </w:rPr>
        <w:t xml:space="preserve"> (C) Tumor growth curves of PC3/sh‑SPAG5 and PC3/sh‑NC xenografts. (D) Representative images of excised tumors at endpoint. (E) Quantification of tumor weights. (F) Representative H&amp;E staining and immunohistochemical images of SPAG5 and Ki‑67 in tumor sections. Scale bars: 100 μm; 50 μm (inset). (G) Quantification of SPAG5 and Ki‑67 expression using immunoreactivity scores (</w:t>
      </w:r>
      <w:r>
        <w:rPr>
          <w:rFonts w:ascii="Times New Roman" w:hAnsi="Times New Roman" w:cs="Times New Roman"/>
          <w:sz w:val="24"/>
          <w:szCs w:val="32"/>
          <w:highlight w:val="none"/>
        </w:rPr>
        <w:t xml:space="preserve">IRS). </w:t>
      </w:r>
      <w:r>
        <w:rPr>
          <w:rFonts w:hint="eastAsia" w:ascii="Times New Roman" w:hAnsi="Times New Roman" w:cs="Times New Roman"/>
          <w:sz w:val="24"/>
          <w:szCs w:val="32"/>
          <w:highlight w:val="none"/>
          <w:lang w:eastAsia="zh-CN"/>
        </w:rPr>
        <w:t>All</w:t>
      </w:r>
      <w:r>
        <w:rPr>
          <w:rFonts w:ascii="Times New Roman" w:hAnsi="Times New Roman" w:cs="Times New Roman"/>
          <w:sz w:val="24"/>
          <w:szCs w:val="32"/>
          <w:highlight w:val="none"/>
        </w:rPr>
        <w:t xml:space="preserve"> </w:t>
      </w:r>
      <w:r>
        <w:rPr>
          <w:rFonts w:hint="eastAsia" w:ascii="Times New Roman" w:hAnsi="Times New Roman" w:cs="Times New Roman"/>
          <w:sz w:val="24"/>
          <w:szCs w:val="32"/>
          <w:highlight w:val="none"/>
          <w:lang w:val="en-US" w:eastAsia="zh-CN"/>
        </w:rPr>
        <w:t>d</w:t>
      </w:r>
      <w:r>
        <w:rPr>
          <w:rFonts w:ascii="Times New Roman" w:hAnsi="Times New Roman" w:cs="Times New Roman"/>
          <w:sz w:val="24"/>
          <w:szCs w:val="32"/>
          <w:highlight w:val="none"/>
        </w:rPr>
        <w:t>ata are presented as mean ± SD (n = 5 mice per group)</w:t>
      </w:r>
      <w:r>
        <w:rPr>
          <w:rFonts w:hint="eastAsia" w:ascii="Times New Roman" w:hAnsi="Times New Roman" w:cs="Times New Roman"/>
          <w:sz w:val="24"/>
          <w:szCs w:val="32"/>
          <w:highlight w:val="none"/>
          <w:lang w:val="en-US" w:eastAsia="zh-CN"/>
        </w:rPr>
        <w:t xml:space="preserve">. </w:t>
      </w:r>
      <w:r>
        <w:rPr>
          <w:rFonts w:ascii="Times New Roman" w:hAnsi="Times New Roman" w:cs="Times New Roman"/>
          <w:i/>
          <w:iCs/>
          <w:sz w:val="24"/>
          <w:szCs w:val="32"/>
          <w:highlight w:val="none"/>
        </w:rPr>
        <w:t xml:space="preserve">*P&lt;0.05,**P&lt;0.01,***P&lt;0.001,****P&lt;0.0001, </w:t>
      </w:r>
      <w:r>
        <w:rPr>
          <w:rFonts w:ascii="Times New Roman" w:hAnsi="Times New Roman" w:cs="Times New Roman"/>
          <w:sz w:val="24"/>
          <w:szCs w:val="32"/>
          <w:highlight w:val="none"/>
        </w:rPr>
        <w:t>ns, not significant.</w:t>
      </w:r>
    </w:p>
    <w:p w14:paraId="299067C3">
      <w:pPr>
        <w:spacing w:line="360" w:lineRule="auto"/>
        <w:jc w:val="both"/>
        <w:rPr>
          <w:rFonts w:hint="default" w:ascii="Times New Roman" w:hAnsi="Times New Roman" w:cs="Times New Roman"/>
          <w:b/>
          <w:bCs/>
          <w:sz w:val="24"/>
          <w:szCs w:val="32"/>
          <w:highlight w:val="none"/>
        </w:rPr>
      </w:pPr>
    </w:p>
    <w:p w14:paraId="42BA0FE2">
      <w:pPr>
        <w:spacing w:line="360" w:lineRule="auto"/>
        <w:jc w:val="both"/>
        <w:rPr>
          <w:rFonts w:hint="default" w:ascii="Times New Roman" w:hAnsi="Times New Roman" w:cs="Times New Roman"/>
          <w:b/>
          <w:bCs/>
          <w:sz w:val="24"/>
          <w:szCs w:val="32"/>
          <w:highlight w:val="none"/>
        </w:rPr>
      </w:pPr>
    </w:p>
    <w:p w14:paraId="61626F80">
      <w:pPr>
        <w:spacing w:line="360" w:lineRule="auto"/>
        <w:jc w:val="both"/>
        <w:rPr>
          <w:rFonts w:hint="eastAsia" w:ascii="Times New Roman" w:hAnsi="Times New Roman" w:cs="Times New Roman" w:eastAsiaTheme="minorEastAsia"/>
          <w:b/>
          <w:bCs/>
          <w:sz w:val="24"/>
          <w:szCs w:val="32"/>
          <w:highlight w:val="none"/>
          <w:lang w:eastAsia="zh-CN"/>
        </w:rPr>
      </w:pPr>
      <w:r>
        <w:rPr>
          <w:rFonts w:hint="eastAsia" w:ascii="Times New Roman" w:hAnsi="Times New Roman" w:cs="Times New Roman" w:eastAsiaTheme="minorEastAsia"/>
          <w:b/>
          <w:bCs/>
          <w:sz w:val="24"/>
          <w:szCs w:val="32"/>
          <w:highlight w:val="none"/>
          <w:lang w:eastAsia="zh-CN"/>
        </w:rPr>
        <w:drawing>
          <wp:inline distT="0" distB="0" distL="114300" distR="114300">
            <wp:extent cx="5271770" cy="1924685"/>
            <wp:effectExtent l="0" t="0" r="5080" b="8890"/>
            <wp:docPr id="6" name="图片 6" descr="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6"/>
                    <pic:cNvPicPr>
                      <a:picLocks noChangeAspect="1"/>
                    </pic:cNvPicPr>
                  </pic:nvPicPr>
                  <pic:blipFill>
                    <a:blip r:embed="rId10"/>
                    <a:stretch>
                      <a:fillRect/>
                    </a:stretch>
                  </pic:blipFill>
                  <pic:spPr>
                    <a:xfrm>
                      <a:off x="0" y="0"/>
                      <a:ext cx="5271770" cy="1924685"/>
                    </a:xfrm>
                    <a:prstGeom prst="rect">
                      <a:avLst/>
                    </a:prstGeom>
                  </pic:spPr>
                </pic:pic>
              </a:graphicData>
            </a:graphic>
          </wp:inline>
        </w:drawing>
      </w:r>
    </w:p>
    <w:p w14:paraId="7959EA61">
      <w:pPr>
        <w:spacing w:line="360" w:lineRule="auto"/>
        <w:jc w:val="both"/>
        <w:outlineLvl w:val="0"/>
        <w:rPr>
          <w:rFonts w:hint="eastAsia" w:ascii="Times New Roman" w:hAnsi="Times New Roman" w:cs="Times New Roman" w:eastAsiaTheme="minorEastAsia"/>
          <w:b/>
          <w:bCs/>
          <w:sz w:val="24"/>
          <w:szCs w:val="32"/>
          <w:highlight w:val="none"/>
          <w:lang w:eastAsia="zh-CN"/>
        </w:rPr>
      </w:pPr>
      <w:r>
        <w:rPr>
          <w:rFonts w:hint="eastAsia" w:ascii="Times New Roman" w:hAnsi="Times New Roman" w:cs="Times New Roman" w:eastAsiaTheme="minorEastAsia"/>
          <w:b/>
          <w:bCs/>
          <w:sz w:val="24"/>
          <w:szCs w:val="32"/>
          <w:highlight w:val="none"/>
          <w:lang w:eastAsia="zh-CN"/>
        </w:rPr>
        <w:t>Supplementary Figure S</w:t>
      </w:r>
      <w:r>
        <w:rPr>
          <w:rFonts w:hint="eastAsia" w:ascii="Times New Roman" w:hAnsi="Times New Roman" w:cs="Times New Roman"/>
          <w:b/>
          <w:bCs/>
          <w:sz w:val="24"/>
          <w:szCs w:val="32"/>
          <w:highlight w:val="none"/>
          <w:lang w:val="en-US" w:eastAsia="zh-CN"/>
        </w:rPr>
        <w:t>7</w:t>
      </w:r>
      <w:r>
        <w:rPr>
          <w:rFonts w:hint="eastAsia" w:ascii="Times New Roman" w:hAnsi="Times New Roman" w:cs="Times New Roman" w:eastAsiaTheme="minorEastAsia"/>
          <w:b/>
          <w:bCs/>
          <w:sz w:val="24"/>
          <w:szCs w:val="32"/>
          <w:highlight w:val="none"/>
          <w:lang w:eastAsia="zh-CN"/>
        </w:rPr>
        <w:t>. Representative images of excised tumors at endpoint.</w:t>
      </w:r>
    </w:p>
    <w:p w14:paraId="76DF6736">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imes New Roman" w:hAnsi="Times New Roman" w:cs="Times New Roman"/>
          <w:sz w:val="24"/>
          <w:szCs w:val="32"/>
          <w:highlight w:val="none"/>
          <w:lang w:eastAsia="zh-CN"/>
        </w:rPr>
      </w:pPr>
      <w:r>
        <w:rPr>
          <w:rFonts w:hint="eastAsia" w:ascii="Times New Roman" w:hAnsi="Times New Roman" w:cs="Times New Roman"/>
          <w:sz w:val="24"/>
          <w:szCs w:val="32"/>
          <w:highlight w:val="none"/>
          <w:lang w:eastAsia="zh-CN"/>
        </w:rPr>
        <w:t>(A) Representative images of excised PC3 tumors from mice injected with sh</w:t>
      </w:r>
      <w:r>
        <w:rPr>
          <w:rFonts w:hint="eastAsia" w:ascii="Times New Roman" w:hAnsi="Times New Roman" w:cs="Times New Roman"/>
          <w:sz w:val="24"/>
          <w:szCs w:val="32"/>
          <w:highlight w:val="none"/>
          <w:lang w:val="en-US" w:eastAsia="zh-CN"/>
        </w:rPr>
        <w:t>-</w:t>
      </w:r>
      <w:r>
        <w:rPr>
          <w:rFonts w:hint="eastAsia" w:ascii="Times New Roman" w:hAnsi="Times New Roman" w:cs="Times New Roman"/>
          <w:sz w:val="24"/>
          <w:szCs w:val="32"/>
          <w:highlight w:val="none"/>
          <w:lang w:eastAsia="zh-CN"/>
        </w:rPr>
        <w:t>NC, sh</w:t>
      </w:r>
      <w:r>
        <w:rPr>
          <w:rFonts w:hint="eastAsia" w:ascii="Times New Roman" w:hAnsi="Times New Roman" w:cs="Times New Roman"/>
          <w:sz w:val="24"/>
          <w:szCs w:val="32"/>
          <w:highlight w:val="none"/>
          <w:lang w:val="en-US" w:eastAsia="zh-CN"/>
        </w:rPr>
        <w:t>-</w:t>
      </w:r>
      <w:r>
        <w:rPr>
          <w:rFonts w:hint="eastAsia" w:ascii="Times New Roman" w:hAnsi="Times New Roman" w:cs="Times New Roman"/>
          <w:sz w:val="24"/>
          <w:szCs w:val="32"/>
          <w:highlight w:val="none"/>
          <w:lang w:eastAsia="zh-CN"/>
        </w:rPr>
        <w:t xml:space="preserve">SPAG5, </w:t>
      </w:r>
      <w:r>
        <w:rPr>
          <w:rFonts w:hint="eastAsia" w:ascii="Times New Roman" w:hAnsi="Times New Roman" w:cs="Times New Roman"/>
          <w:sz w:val="24"/>
          <w:szCs w:val="32"/>
          <w:highlight w:val="none"/>
          <w:lang w:val="en-US" w:eastAsia="zh-CN"/>
        </w:rPr>
        <w:t>and</w:t>
      </w:r>
      <w:r>
        <w:rPr>
          <w:rFonts w:hint="eastAsia" w:ascii="Times New Roman" w:hAnsi="Times New Roman" w:cs="Times New Roman"/>
          <w:sz w:val="24"/>
          <w:szCs w:val="32"/>
          <w:highlight w:val="none"/>
          <w:lang w:eastAsia="zh-CN"/>
        </w:rPr>
        <w:t xml:space="preserve"> sh</w:t>
      </w:r>
      <w:r>
        <w:rPr>
          <w:rFonts w:hint="eastAsia" w:ascii="Times New Roman" w:hAnsi="Times New Roman" w:cs="Times New Roman"/>
          <w:sz w:val="24"/>
          <w:szCs w:val="32"/>
          <w:highlight w:val="none"/>
          <w:lang w:val="en-US" w:eastAsia="zh-CN"/>
        </w:rPr>
        <w:t>-</w:t>
      </w:r>
      <w:r>
        <w:rPr>
          <w:rFonts w:hint="eastAsia" w:ascii="Times New Roman" w:hAnsi="Times New Roman" w:cs="Times New Roman"/>
          <w:sz w:val="24"/>
          <w:szCs w:val="32"/>
          <w:highlight w:val="none"/>
          <w:lang w:eastAsia="zh-CN"/>
        </w:rPr>
        <w:t>SPAG5 plus shRNA-resistant SPAG5 (rescue) cells (n = 5 per group).</w:t>
      </w:r>
      <w:r>
        <w:rPr>
          <w:rFonts w:hint="eastAsia" w:ascii="Times New Roman" w:hAnsi="Times New Roman" w:cs="Times New Roman"/>
          <w:sz w:val="24"/>
          <w:szCs w:val="32"/>
          <w:highlight w:val="none"/>
          <w:lang w:val="en-US" w:eastAsia="zh-CN"/>
        </w:rPr>
        <w:t xml:space="preserve"> </w:t>
      </w:r>
      <w:r>
        <w:rPr>
          <w:rFonts w:hint="eastAsia" w:ascii="Times New Roman" w:hAnsi="Times New Roman" w:cs="Times New Roman"/>
          <w:sz w:val="24"/>
          <w:szCs w:val="32"/>
          <w:highlight w:val="none"/>
          <w:lang w:eastAsia="zh-CN"/>
        </w:rPr>
        <w:t>(B) Representative images of excised DU145 tumors from mice injected with sh</w:t>
      </w:r>
      <w:r>
        <w:rPr>
          <w:rFonts w:hint="eastAsia" w:ascii="Times New Roman" w:hAnsi="Times New Roman" w:cs="Times New Roman"/>
          <w:sz w:val="24"/>
          <w:szCs w:val="32"/>
          <w:highlight w:val="none"/>
          <w:lang w:val="en-US" w:eastAsia="zh-CN"/>
        </w:rPr>
        <w:t>-</w:t>
      </w:r>
      <w:r>
        <w:rPr>
          <w:rFonts w:hint="eastAsia" w:ascii="Times New Roman" w:hAnsi="Times New Roman" w:cs="Times New Roman"/>
          <w:sz w:val="24"/>
          <w:szCs w:val="32"/>
          <w:highlight w:val="none"/>
          <w:lang w:eastAsia="zh-CN"/>
        </w:rPr>
        <w:t>NC, sh</w:t>
      </w:r>
      <w:r>
        <w:rPr>
          <w:rFonts w:hint="eastAsia" w:ascii="Times New Roman" w:hAnsi="Times New Roman" w:cs="Times New Roman"/>
          <w:sz w:val="24"/>
          <w:szCs w:val="32"/>
          <w:highlight w:val="none"/>
          <w:lang w:val="en-US" w:eastAsia="zh-CN"/>
        </w:rPr>
        <w:t>-</w:t>
      </w:r>
      <w:r>
        <w:rPr>
          <w:rFonts w:hint="eastAsia" w:ascii="Times New Roman" w:hAnsi="Times New Roman" w:cs="Times New Roman"/>
          <w:sz w:val="24"/>
          <w:szCs w:val="32"/>
          <w:highlight w:val="none"/>
          <w:lang w:eastAsia="zh-CN"/>
        </w:rPr>
        <w:t xml:space="preserve">SPAG5, </w:t>
      </w:r>
      <w:r>
        <w:rPr>
          <w:rFonts w:hint="eastAsia" w:ascii="Times New Roman" w:hAnsi="Times New Roman" w:cs="Times New Roman"/>
          <w:sz w:val="24"/>
          <w:szCs w:val="32"/>
          <w:highlight w:val="none"/>
          <w:lang w:val="en-US" w:eastAsia="zh-CN"/>
        </w:rPr>
        <w:t>and</w:t>
      </w:r>
      <w:r>
        <w:rPr>
          <w:rFonts w:hint="eastAsia" w:ascii="Times New Roman" w:hAnsi="Times New Roman" w:cs="Times New Roman"/>
          <w:sz w:val="24"/>
          <w:szCs w:val="32"/>
          <w:highlight w:val="none"/>
          <w:lang w:eastAsia="zh-CN"/>
        </w:rPr>
        <w:t xml:space="preserve"> sh</w:t>
      </w:r>
      <w:r>
        <w:rPr>
          <w:rFonts w:hint="eastAsia" w:ascii="Times New Roman" w:hAnsi="Times New Roman" w:cs="Times New Roman"/>
          <w:sz w:val="24"/>
          <w:szCs w:val="32"/>
          <w:highlight w:val="none"/>
          <w:lang w:val="en-US" w:eastAsia="zh-CN"/>
        </w:rPr>
        <w:t>-</w:t>
      </w:r>
      <w:r>
        <w:rPr>
          <w:rFonts w:hint="eastAsia" w:ascii="Times New Roman" w:hAnsi="Times New Roman" w:cs="Times New Roman"/>
          <w:sz w:val="24"/>
          <w:szCs w:val="32"/>
          <w:highlight w:val="none"/>
          <w:lang w:eastAsia="zh-CN"/>
        </w:rPr>
        <w:t>SPAG5 plus shRNA-resistant SPAG5 (rescue) cells (n = 5 per group).</w:t>
      </w:r>
    </w:p>
    <w:p w14:paraId="1E6A4E14">
      <w:pPr>
        <w:spacing w:line="360" w:lineRule="auto"/>
        <w:jc w:val="both"/>
        <w:rPr>
          <w:rFonts w:hint="default" w:ascii="Times New Roman" w:hAnsi="Times New Roman" w:cs="Times New Roman"/>
          <w:b/>
          <w:bCs/>
          <w:sz w:val="24"/>
          <w:szCs w:val="32"/>
          <w:highlight w:val="none"/>
        </w:rPr>
      </w:pPr>
    </w:p>
    <w:p w14:paraId="5C644446">
      <w:pPr>
        <w:spacing w:line="360" w:lineRule="auto"/>
        <w:jc w:val="both"/>
        <w:rPr>
          <w:rFonts w:hint="default" w:ascii="Times New Roman" w:hAnsi="Times New Roman" w:cs="Times New Roman"/>
          <w:b/>
          <w:bCs/>
          <w:sz w:val="24"/>
          <w:szCs w:val="32"/>
          <w:highlight w:val="none"/>
        </w:rPr>
      </w:pPr>
    </w:p>
    <w:p w14:paraId="6F7367D3">
      <w:pPr>
        <w:spacing w:line="360" w:lineRule="auto"/>
        <w:jc w:val="both"/>
        <w:rPr>
          <w:rFonts w:hint="default" w:ascii="Times New Roman" w:hAnsi="Times New Roman" w:cs="Times New Roman"/>
          <w:b/>
          <w:bCs/>
          <w:sz w:val="24"/>
          <w:szCs w:val="32"/>
          <w:highlight w:val="none"/>
        </w:rPr>
      </w:pPr>
    </w:p>
    <w:p w14:paraId="2BA405AF">
      <w:pPr>
        <w:spacing w:line="360" w:lineRule="auto"/>
        <w:jc w:val="both"/>
        <w:rPr>
          <w:rFonts w:hint="default" w:ascii="Times New Roman" w:hAnsi="Times New Roman" w:cs="Times New Roman"/>
          <w:b/>
          <w:bCs/>
          <w:sz w:val="24"/>
          <w:szCs w:val="32"/>
          <w:highlight w:val="none"/>
        </w:rPr>
      </w:pPr>
    </w:p>
    <w:p w14:paraId="0B3E2CB0">
      <w:pPr>
        <w:spacing w:line="360" w:lineRule="auto"/>
        <w:jc w:val="both"/>
        <w:rPr>
          <w:rFonts w:hint="default" w:ascii="Times New Roman" w:hAnsi="Times New Roman" w:cs="Times New Roman"/>
          <w:b/>
          <w:bCs/>
          <w:sz w:val="24"/>
          <w:szCs w:val="32"/>
          <w:highlight w:val="none"/>
        </w:rPr>
      </w:pPr>
    </w:p>
    <w:p w14:paraId="07E37A17">
      <w:pPr>
        <w:spacing w:line="360" w:lineRule="auto"/>
        <w:jc w:val="both"/>
        <w:rPr>
          <w:rFonts w:hint="default" w:ascii="Times New Roman" w:hAnsi="Times New Roman" w:cs="Times New Roman"/>
          <w:b/>
          <w:bCs/>
          <w:sz w:val="24"/>
          <w:szCs w:val="32"/>
          <w:highlight w:val="none"/>
        </w:rPr>
      </w:pPr>
    </w:p>
    <w:p w14:paraId="2B219901">
      <w:pPr>
        <w:spacing w:line="360" w:lineRule="auto"/>
        <w:jc w:val="both"/>
        <w:rPr>
          <w:rFonts w:hint="default" w:ascii="Times New Roman" w:hAnsi="Times New Roman" w:cs="Times New Roman"/>
          <w:b/>
          <w:bCs/>
          <w:sz w:val="24"/>
          <w:szCs w:val="32"/>
          <w:highlight w:val="none"/>
        </w:rPr>
      </w:pPr>
    </w:p>
    <w:p w14:paraId="703D5B36">
      <w:pPr>
        <w:spacing w:line="360" w:lineRule="auto"/>
        <w:jc w:val="both"/>
        <w:rPr>
          <w:rFonts w:hint="default" w:ascii="Times New Roman" w:hAnsi="Times New Roman" w:cs="Times New Roman"/>
          <w:b/>
          <w:bCs/>
          <w:sz w:val="24"/>
          <w:szCs w:val="32"/>
          <w:highlight w:val="none"/>
        </w:rPr>
      </w:pPr>
    </w:p>
    <w:p w14:paraId="121ECF14">
      <w:pPr>
        <w:spacing w:line="360" w:lineRule="auto"/>
        <w:jc w:val="both"/>
        <w:rPr>
          <w:rFonts w:hint="default" w:ascii="Times New Roman" w:hAnsi="Times New Roman" w:cs="Times New Roman"/>
          <w:b/>
          <w:bCs/>
          <w:sz w:val="24"/>
          <w:szCs w:val="32"/>
          <w:highlight w:val="none"/>
        </w:rPr>
      </w:pPr>
    </w:p>
    <w:p w14:paraId="21B09B8A">
      <w:pPr>
        <w:spacing w:line="360" w:lineRule="auto"/>
        <w:jc w:val="both"/>
        <w:rPr>
          <w:rFonts w:hint="default" w:ascii="Times New Roman" w:hAnsi="Times New Roman" w:cs="Times New Roman"/>
          <w:b/>
          <w:bCs/>
          <w:sz w:val="24"/>
          <w:szCs w:val="32"/>
          <w:highlight w:val="none"/>
        </w:rPr>
      </w:pPr>
    </w:p>
    <w:p w14:paraId="709665DB">
      <w:pPr>
        <w:spacing w:line="360" w:lineRule="auto"/>
        <w:jc w:val="both"/>
        <w:rPr>
          <w:rFonts w:hint="default" w:ascii="Times New Roman" w:hAnsi="Times New Roman" w:cs="Times New Roman"/>
          <w:b/>
          <w:bCs/>
          <w:sz w:val="24"/>
          <w:szCs w:val="32"/>
          <w:highlight w:val="none"/>
        </w:rPr>
      </w:pPr>
    </w:p>
    <w:p w14:paraId="0686E5B2">
      <w:pPr>
        <w:spacing w:line="360" w:lineRule="auto"/>
        <w:jc w:val="both"/>
        <w:rPr>
          <w:rFonts w:hint="default" w:ascii="Times New Roman" w:hAnsi="Times New Roman" w:cs="Times New Roman"/>
          <w:b/>
          <w:bCs/>
          <w:sz w:val="24"/>
          <w:szCs w:val="32"/>
          <w:highlight w:val="none"/>
        </w:rPr>
      </w:pPr>
      <w:r>
        <w:rPr>
          <w:rFonts w:hint="eastAsia" w:ascii="Times New Roman" w:hAnsi="Times New Roman" w:cs="Times New Roman"/>
          <w:b/>
          <w:bCs/>
          <w:sz w:val="24"/>
          <w:szCs w:val="32"/>
          <w:highlight w:val="none"/>
          <w:lang w:val="en-US" w:eastAsia="zh-CN"/>
        </w:rPr>
        <w:t xml:space="preserve">          </w:t>
      </w:r>
      <w:r>
        <w:rPr>
          <w:rFonts w:hint="default" w:ascii="Times New Roman" w:hAnsi="Times New Roman" w:cs="Times New Roman"/>
          <w:b/>
          <w:bCs/>
          <w:sz w:val="24"/>
          <w:szCs w:val="32"/>
          <w:highlight w:val="none"/>
        </w:rPr>
        <w:drawing>
          <wp:inline distT="0" distB="0" distL="114300" distR="114300">
            <wp:extent cx="4185920" cy="2592070"/>
            <wp:effectExtent l="0" t="0" r="5080" b="8255"/>
            <wp:docPr id="2" name="图片 2"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7"/>
                    <pic:cNvPicPr>
                      <a:picLocks noChangeAspect="1"/>
                    </pic:cNvPicPr>
                  </pic:nvPicPr>
                  <pic:blipFill>
                    <a:blip r:embed="rId11"/>
                    <a:stretch>
                      <a:fillRect/>
                    </a:stretch>
                  </pic:blipFill>
                  <pic:spPr>
                    <a:xfrm>
                      <a:off x="0" y="0"/>
                      <a:ext cx="4185920" cy="2592070"/>
                    </a:xfrm>
                    <a:prstGeom prst="rect">
                      <a:avLst/>
                    </a:prstGeom>
                  </pic:spPr>
                </pic:pic>
              </a:graphicData>
            </a:graphic>
          </wp:inline>
        </w:drawing>
      </w:r>
    </w:p>
    <w:p w14:paraId="783E5D5E">
      <w:pPr>
        <w:spacing w:line="360" w:lineRule="auto"/>
        <w:jc w:val="both"/>
        <w:outlineLvl w:val="0"/>
        <w:rPr>
          <w:rFonts w:hint="default" w:ascii="Times New Roman" w:hAnsi="Times New Roman" w:cs="Times New Roman"/>
          <w:b/>
          <w:bCs/>
          <w:sz w:val="24"/>
          <w:szCs w:val="32"/>
          <w:highlight w:val="none"/>
        </w:rPr>
      </w:pPr>
      <w:r>
        <w:rPr>
          <w:rFonts w:hint="default" w:ascii="Times New Roman" w:hAnsi="Times New Roman" w:cs="Times New Roman"/>
          <w:b/>
          <w:bCs/>
          <w:sz w:val="24"/>
          <w:szCs w:val="32"/>
          <w:highlight w:val="none"/>
        </w:rPr>
        <w:t>Supplementary Figure S</w:t>
      </w:r>
      <w:r>
        <w:rPr>
          <w:rFonts w:hint="eastAsia" w:ascii="Times New Roman" w:hAnsi="Times New Roman" w:cs="Times New Roman"/>
          <w:b/>
          <w:bCs/>
          <w:sz w:val="24"/>
          <w:szCs w:val="32"/>
          <w:highlight w:val="none"/>
          <w:lang w:val="en-US" w:eastAsia="zh-CN"/>
        </w:rPr>
        <w:t>8</w:t>
      </w:r>
      <w:r>
        <w:rPr>
          <w:rFonts w:hint="default" w:ascii="Times New Roman" w:hAnsi="Times New Roman" w:cs="Times New Roman"/>
          <w:b/>
          <w:bCs/>
          <w:sz w:val="24"/>
          <w:szCs w:val="32"/>
          <w:highlight w:val="none"/>
        </w:rPr>
        <w:t>. Concentration-dependent thermal stabilization of SPAG5 by candidate compounds at a fixed temperature.</w:t>
      </w:r>
      <w:r>
        <w:rPr>
          <w:rFonts w:hint="eastAsia" w:ascii="Times New Roman" w:hAnsi="Times New Roman" w:cs="Times New Roman"/>
          <w:b/>
          <w:bCs/>
          <w:sz w:val="24"/>
          <w:szCs w:val="32"/>
          <w:highlight w:val="none"/>
          <w:lang w:val="en-US" w:eastAsia="zh-CN"/>
        </w:rPr>
        <w:t xml:space="preserve"> </w:t>
      </w:r>
      <w:r>
        <w:rPr>
          <w:rFonts w:hint="default" w:ascii="Times New Roman" w:hAnsi="Times New Roman" w:cs="Times New Roman"/>
          <w:sz w:val="24"/>
          <w:szCs w:val="32"/>
          <w:highlight w:val="none"/>
          <w:lang w:val="en-US" w:eastAsia="zh-CN"/>
        </w:rPr>
        <w:t xml:space="preserve">(A) Representative Western blot showing soluble SPAG5 levels in PC3 cell lysates treated with increasing concentrations of </w:t>
      </w:r>
      <w:r>
        <w:rPr>
          <w:rFonts w:hint="eastAsia" w:ascii="Times New Roman" w:hAnsi="Times New Roman" w:cs="Times New Roman"/>
          <w:sz w:val="24"/>
          <w:szCs w:val="32"/>
          <w:highlight w:val="none"/>
          <w:lang w:val="en-US" w:eastAsia="zh-CN"/>
        </w:rPr>
        <w:t>(-)-Hydroxycitric acid lactone</w:t>
      </w:r>
      <w:r>
        <w:rPr>
          <w:rFonts w:hint="default" w:ascii="Times New Roman" w:hAnsi="Times New Roman" w:cs="Times New Roman"/>
          <w:sz w:val="24"/>
          <w:szCs w:val="32"/>
          <w:highlight w:val="none"/>
          <w:lang w:val="en-US" w:eastAsia="zh-CN"/>
        </w:rPr>
        <w:t>.</w:t>
      </w:r>
      <w:r>
        <w:rPr>
          <w:rFonts w:hint="eastAsia" w:ascii="Times New Roman" w:hAnsi="Times New Roman" w:cs="Times New Roman"/>
          <w:sz w:val="24"/>
          <w:szCs w:val="32"/>
          <w:highlight w:val="none"/>
          <w:lang w:val="en-US" w:eastAsia="zh-CN"/>
        </w:rPr>
        <w:t xml:space="preserve"> </w:t>
      </w:r>
      <w:r>
        <w:rPr>
          <w:rFonts w:hint="default" w:ascii="Times New Roman" w:hAnsi="Times New Roman" w:cs="Times New Roman"/>
          <w:sz w:val="24"/>
          <w:szCs w:val="32"/>
          <w:highlight w:val="none"/>
          <w:lang w:val="en-US" w:eastAsia="zh-CN"/>
        </w:rPr>
        <w:t>(B) Densitometric quantification of soluble SPAG5 levels from (A).</w:t>
      </w:r>
      <w:r>
        <w:rPr>
          <w:rFonts w:hint="eastAsia" w:ascii="Times New Roman" w:hAnsi="Times New Roman" w:cs="Times New Roman"/>
          <w:sz w:val="24"/>
          <w:szCs w:val="32"/>
          <w:highlight w:val="none"/>
          <w:lang w:val="en-US" w:eastAsia="zh-CN"/>
        </w:rPr>
        <w:t xml:space="preserve"> </w:t>
      </w:r>
      <w:r>
        <w:rPr>
          <w:rFonts w:hint="default" w:ascii="Times New Roman" w:hAnsi="Times New Roman" w:cs="Times New Roman"/>
          <w:sz w:val="24"/>
          <w:szCs w:val="32"/>
          <w:highlight w:val="none"/>
          <w:lang w:val="en-US" w:eastAsia="zh-CN"/>
        </w:rPr>
        <w:t xml:space="preserve">(C) Representative Western blot showing soluble SPAG5 levels in PC3 cell lysates treated with increasing concentrations of </w:t>
      </w:r>
      <w:r>
        <w:rPr>
          <w:rFonts w:hint="eastAsia" w:ascii="Times New Roman" w:hAnsi="Times New Roman" w:cs="Times New Roman"/>
          <w:sz w:val="24"/>
          <w:szCs w:val="32"/>
          <w:highlight w:val="none"/>
          <w:lang w:val="en-US" w:eastAsia="zh-CN"/>
        </w:rPr>
        <w:t>2,4,6-Trihydroxybenzoic_acid</w:t>
      </w:r>
      <w:r>
        <w:rPr>
          <w:rFonts w:hint="default" w:ascii="Times New Roman" w:hAnsi="Times New Roman" w:cs="Times New Roman"/>
          <w:sz w:val="24"/>
          <w:szCs w:val="32"/>
          <w:highlight w:val="none"/>
          <w:lang w:val="en-US" w:eastAsia="zh-CN"/>
        </w:rPr>
        <w:t>.</w:t>
      </w:r>
      <w:r>
        <w:rPr>
          <w:rFonts w:hint="eastAsia" w:ascii="Times New Roman" w:hAnsi="Times New Roman" w:cs="Times New Roman"/>
          <w:sz w:val="24"/>
          <w:szCs w:val="32"/>
          <w:highlight w:val="none"/>
          <w:lang w:val="en-US" w:eastAsia="zh-CN"/>
        </w:rPr>
        <w:t xml:space="preserve"> </w:t>
      </w:r>
      <w:r>
        <w:rPr>
          <w:rFonts w:hint="default" w:ascii="Times New Roman" w:hAnsi="Times New Roman" w:cs="Times New Roman"/>
          <w:sz w:val="24"/>
          <w:szCs w:val="32"/>
          <w:highlight w:val="none"/>
          <w:lang w:val="en-US" w:eastAsia="zh-CN"/>
        </w:rPr>
        <w:t>(D) Densitometric quantification of soluble SPAG5 levels from (C).</w:t>
      </w:r>
      <w:r>
        <w:rPr>
          <w:rFonts w:hint="eastAsia" w:ascii="Times New Roman" w:hAnsi="Times New Roman" w:cs="Times New Roman"/>
          <w:sz w:val="24"/>
          <w:szCs w:val="32"/>
          <w:highlight w:val="none"/>
          <w:lang w:val="en-US" w:eastAsia="zh-CN"/>
        </w:rPr>
        <w:t xml:space="preserve"> </w:t>
      </w:r>
      <w:r>
        <w:rPr>
          <w:rFonts w:hint="default" w:ascii="Times New Roman" w:hAnsi="Times New Roman" w:cs="Times New Roman"/>
          <w:sz w:val="24"/>
          <w:szCs w:val="32"/>
          <w:highlight w:val="none"/>
          <w:lang w:val="en-US" w:eastAsia="zh-CN"/>
        </w:rPr>
        <w:t xml:space="preserve">Data are presented as mean ± SD from three independent experiments. </w:t>
      </w:r>
      <w:r>
        <w:rPr>
          <w:rFonts w:hint="default" w:ascii="Times New Roman" w:hAnsi="Times New Roman" w:cs="Times New Roman"/>
          <w:i/>
          <w:iCs/>
          <w:sz w:val="24"/>
          <w:szCs w:val="32"/>
          <w:highlight w:val="none"/>
          <w:lang w:val="en-US" w:eastAsia="zh-CN"/>
        </w:rPr>
        <w:t>*P &lt; 0.05, **P &lt; 0.01, ***P &lt; 0.001</w:t>
      </w:r>
      <w:r>
        <w:rPr>
          <w:rFonts w:hint="eastAsia" w:ascii="Times New Roman" w:hAnsi="Times New Roman" w:cs="Times New Roman"/>
          <w:i/>
          <w:iCs/>
          <w:sz w:val="24"/>
          <w:szCs w:val="32"/>
          <w:highlight w:val="none"/>
          <w:lang w:val="en-US" w:eastAsia="zh-CN"/>
        </w:rPr>
        <w:t>,</w:t>
      </w:r>
      <w:r>
        <w:rPr>
          <w:rFonts w:ascii="Times New Roman" w:hAnsi="Times New Roman" w:cs="Times New Roman"/>
          <w:i/>
          <w:iCs/>
          <w:sz w:val="24"/>
          <w:szCs w:val="32"/>
          <w:highlight w:val="none"/>
        </w:rPr>
        <w:t>****P&lt;0.0001</w:t>
      </w:r>
      <w:r>
        <w:rPr>
          <w:rFonts w:hint="default" w:ascii="Times New Roman" w:hAnsi="Times New Roman" w:cs="Times New Roman"/>
          <w:sz w:val="24"/>
          <w:szCs w:val="32"/>
          <w:highlight w:val="none"/>
          <w:lang w:val="en-US" w:eastAsia="zh-CN"/>
        </w:rPr>
        <w:t>; ns, not significant.</w:t>
      </w:r>
    </w:p>
    <w:p w14:paraId="1509302D">
      <w:pPr>
        <w:spacing w:line="360" w:lineRule="auto"/>
        <w:jc w:val="both"/>
        <w:rPr>
          <w:rFonts w:hint="default" w:ascii="Times New Roman" w:hAnsi="Times New Roman" w:cs="Times New Roman"/>
          <w:b/>
          <w:bCs/>
          <w:sz w:val="24"/>
          <w:szCs w:val="32"/>
          <w:highlight w:val="none"/>
        </w:rPr>
      </w:pPr>
    </w:p>
    <w:p w14:paraId="02AE30A7">
      <w:pPr>
        <w:spacing w:line="360" w:lineRule="auto"/>
        <w:jc w:val="both"/>
        <w:rPr>
          <w:rFonts w:hint="default" w:ascii="Times New Roman" w:hAnsi="Times New Roman" w:cs="Times New Roman"/>
          <w:b/>
          <w:bCs/>
          <w:sz w:val="24"/>
          <w:szCs w:val="32"/>
          <w:highlight w:val="none"/>
        </w:rPr>
      </w:pPr>
    </w:p>
    <w:p w14:paraId="7C6F0F34">
      <w:pPr>
        <w:spacing w:line="360" w:lineRule="auto"/>
        <w:jc w:val="both"/>
        <w:rPr>
          <w:rFonts w:hint="default" w:ascii="Times New Roman" w:hAnsi="Times New Roman" w:cs="Times New Roman"/>
          <w:b/>
          <w:bCs/>
          <w:sz w:val="24"/>
          <w:szCs w:val="32"/>
          <w:highlight w:val="none"/>
        </w:rPr>
      </w:pPr>
    </w:p>
    <w:p w14:paraId="70DEA59A">
      <w:pPr>
        <w:spacing w:line="360" w:lineRule="auto"/>
        <w:jc w:val="both"/>
        <w:rPr>
          <w:rFonts w:hint="default" w:ascii="Times New Roman" w:hAnsi="Times New Roman" w:cs="Times New Roman"/>
          <w:b/>
          <w:bCs/>
          <w:sz w:val="24"/>
          <w:szCs w:val="32"/>
          <w:highlight w:val="none"/>
        </w:rPr>
      </w:pPr>
    </w:p>
    <w:p w14:paraId="66B9EBDA">
      <w:pPr>
        <w:spacing w:line="360" w:lineRule="auto"/>
        <w:jc w:val="both"/>
        <w:rPr>
          <w:rFonts w:hint="default" w:ascii="Times New Roman" w:hAnsi="Times New Roman" w:cs="Times New Roman"/>
          <w:b/>
          <w:bCs/>
          <w:sz w:val="24"/>
          <w:szCs w:val="32"/>
          <w:highlight w:val="none"/>
        </w:rPr>
      </w:pPr>
    </w:p>
    <w:p w14:paraId="7EC16973">
      <w:pPr>
        <w:spacing w:line="360" w:lineRule="auto"/>
        <w:jc w:val="both"/>
        <w:rPr>
          <w:rFonts w:hint="default" w:ascii="Times New Roman" w:hAnsi="Times New Roman" w:cs="Times New Roman"/>
          <w:b/>
          <w:bCs/>
          <w:sz w:val="24"/>
          <w:szCs w:val="32"/>
          <w:highlight w:val="none"/>
        </w:rPr>
      </w:pPr>
    </w:p>
    <w:p w14:paraId="34A6B257">
      <w:pPr>
        <w:spacing w:line="360" w:lineRule="auto"/>
        <w:jc w:val="both"/>
        <w:rPr>
          <w:rFonts w:hint="default" w:ascii="Times New Roman" w:hAnsi="Times New Roman" w:cs="Times New Roman"/>
          <w:b/>
          <w:bCs/>
          <w:sz w:val="24"/>
          <w:szCs w:val="32"/>
          <w:highlight w:val="none"/>
        </w:rPr>
      </w:pPr>
    </w:p>
    <w:p w14:paraId="4C0132A2">
      <w:pPr>
        <w:spacing w:line="360" w:lineRule="auto"/>
        <w:jc w:val="both"/>
        <w:rPr>
          <w:rFonts w:hint="default" w:ascii="Times New Roman" w:hAnsi="Times New Roman" w:cs="Times New Roman"/>
          <w:b/>
          <w:bCs/>
          <w:sz w:val="24"/>
          <w:szCs w:val="32"/>
          <w:highlight w:val="none"/>
        </w:rPr>
      </w:pPr>
    </w:p>
    <w:p w14:paraId="1B6D58A3">
      <w:pPr>
        <w:spacing w:line="360" w:lineRule="auto"/>
        <w:jc w:val="both"/>
        <w:rPr>
          <w:rFonts w:hint="default" w:ascii="Times New Roman" w:hAnsi="Times New Roman" w:cs="Times New Roman"/>
          <w:b/>
          <w:bCs/>
          <w:sz w:val="24"/>
          <w:szCs w:val="32"/>
          <w:highlight w:val="none"/>
        </w:rPr>
      </w:pPr>
    </w:p>
    <w:p w14:paraId="6B9C4A27">
      <w:pPr>
        <w:spacing w:line="360" w:lineRule="auto"/>
        <w:jc w:val="both"/>
        <w:rPr>
          <w:rFonts w:hint="default" w:ascii="Times New Roman" w:hAnsi="Times New Roman" w:cs="Times New Roman"/>
          <w:b/>
          <w:bCs/>
          <w:sz w:val="24"/>
          <w:szCs w:val="32"/>
          <w:highlight w:val="none"/>
        </w:rPr>
      </w:pPr>
    </w:p>
    <w:p w14:paraId="0888C0EC">
      <w:pPr>
        <w:spacing w:line="360" w:lineRule="auto"/>
        <w:jc w:val="center"/>
        <w:rPr>
          <w:rFonts w:hint="default" w:ascii="Times New Roman" w:hAnsi="Times New Roman" w:cs="Times New Roman"/>
          <w:b/>
          <w:bCs/>
          <w:sz w:val="24"/>
          <w:szCs w:val="32"/>
          <w:highlight w:val="none"/>
        </w:rPr>
      </w:pPr>
      <w:r>
        <w:rPr>
          <w:rFonts w:hint="eastAsia" w:ascii="Times New Roman" w:hAnsi="Times New Roman" w:cs="Times New Roman" w:eastAsiaTheme="minorEastAsia"/>
          <w:b/>
          <w:bCs/>
          <w:sz w:val="24"/>
          <w:szCs w:val="32"/>
          <w:highlight w:val="none"/>
          <w:lang w:eastAsia="zh-CN"/>
        </w:rPr>
        <w:drawing>
          <wp:inline distT="0" distB="0" distL="114300" distR="114300">
            <wp:extent cx="4497070" cy="2016125"/>
            <wp:effectExtent l="0" t="0" r="8255" b="3175"/>
            <wp:docPr id="12" name="图片 12" descr="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8"/>
                    <pic:cNvPicPr>
                      <a:picLocks noChangeAspect="1"/>
                    </pic:cNvPicPr>
                  </pic:nvPicPr>
                  <pic:blipFill>
                    <a:blip r:embed="rId12"/>
                    <a:stretch>
                      <a:fillRect/>
                    </a:stretch>
                  </pic:blipFill>
                  <pic:spPr>
                    <a:xfrm>
                      <a:off x="0" y="0"/>
                      <a:ext cx="4497070" cy="2016125"/>
                    </a:xfrm>
                    <a:prstGeom prst="rect">
                      <a:avLst/>
                    </a:prstGeom>
                  </pic:spPr>
                </pic:pic>
              </a:graphicData>
            </a:graphic>
          </wp:inline>
        </w:drawing>
      </w:r>
    </w:p>
    <w:p w14:paraId="4B5C4ABB">
      <w:pPr>
        <w:spacing w:line="360" w:lineRule="auto"/>
        <w:jc w:val="both"/>
        <w:rPr>
          <w:rFonts w:hint="default" w:ascii="Times New Roman" w:hAnsi="Times New Roman" w:cs="Times New Roman"/>
          <w:b w:val="0"/>
          <w:bCs w:val="0"/>
          <w:sz w:val="24"/>
          <w:szCs w:val="32"/>
          <w:highlight w:val="none"/>
        </w:rPr>
      </w:pPr>
      <w:r>
        <w:rPr>
          <w:rFonts w:hint="default" w:ascii="Times New Roman" w:hAnsi="Times New Roman" w:cs="Times New Roman"/>
          <w:b/>
          <w:bCs/>
          <w:sz w:val="24"/>
          <w:szCs w:val="32"/>
          <w:highlight w:val="none"/>
        </w:rPr>
        <w:t>Supplementary Figure S9. CCK-8 assays evaluating the sensitivity of PC3 cells expressing sh-NC, sh-SPAG5, and sh-SPAG5 plus shRNA-resistant SPAG5 (rescue) to candidate compounds.</w:t>
      </w:r>
      <w:r>
        <w:rPr>
          <w:rFonts w:hint="eastAsia" w:ascii="Times New Roman" w:hAnsi="Times New Roman" w:cs="Times New Roman"/>
          <w:b/>
          <w:bCs/>
          <w:sz w:val="24"/>
          <w:szCs w:val="32"/>
          <w:highlight w:val="none"/>
          <w:lang w:val="en-US" w:eastAsia="zh-CN"/>
        </w:rPr>
        <w:t xml:space="preserve"> </w:t>
      </w:r>
      <w:r>
        <w:rPr>
          <w:rFonts w:hint="default" w:ascii="Times New Roman" w:hAnsi="Times New Roman" w:cs="Times New Roman"/>
          <w:b w:val="0"/>
          <w:bCs w:val="0"/>
          <w:sz w:val="24"/>
          <w:szCs w:val="32"/>
          <w:highlight w:val="none"/>
        </w:rPr>
        <w:t>(A) Dose-response curves for (-)-Hydroxycitric acid lactone in PC3 cells expressing sh-NC, sh-SPAG5, and rescue, with IC50 values of 58.45, 620.5, and 109.9 μM, respectively.</w:t>
      </w:r>
      <w:r>
        <w:rPr>
          <w:rFonts w:hint="eastAsia" w:ascii="Times New Roman" w:hAnsi="Times New Roman" w:cs="Times New Roman"/>
          <w:b w:val="0"/>
          <w:bCs w:val="0"/>
          <w:sz w:val="24"/>
          <w:szCs w:val="32"/>
          <w:highlight w:val="none"/>
          <w:lang w:val="en-US" w:eastAsia="zh-CN"/>
        </w:rPr>
        <w:t xml:space="preserve"> </w:t>
      </w:r>
      <w:r>
        <w:rPr>
          <w:rFonts w:hint="default" w:ascii="Times New Roman" w:hAnsi="Times New Roman" w:cs="Times New Roman"/>
          <w:b w:val="0"/>
          <w:bCs w:val="0"/>
          <w:sz w:val="24"/>
          <w:szCs w:val="32"/>
          <w:highlight w:val="none"/>
        </w:rPr>
        <w:t>(B) Dose-response curves for 2,4,6-Trihydroxybenzoic_acid in the same cells, with IC50 values of 146.8, 1964, and 748.8 μM, respectively.</w:t>
      </w:r>
      <w:r>
        <w:rPr>
          <w:rFonts w:hint="eastAsia" w:ascii="Times New Roman" w:hAnsi="Times New Roman" w:cs="Times New Roman"/>
          <w:b w:val="0"/>
          <w:bCs w:val="0"/>
          <w:sz w:val="24"/>
          <w:szCs w:val="32"/>
          <w:highlight w:val="none"/>
          <w:lang w:val="en-US" w:eastAsia="zh-CN"/>
        </w:rPr>
        <w:t xml:space="preserve"> </w:t>
      </w:r>
      <w:r>
        <w:rPr>
          <w:rFonts w:hint="default" w:ascii="Times New Roman" w:hAnsi="Times New Roman" w:cs="Times New Roman"/>
          <w:b w:val="0"/>
          <w:bCs w:val="0"/>
          <w:sz w:val="24"/>
          <w:szCs w:val="32"/>
          <w:highlight w:val="none"/>
        </w:rPr>
        <w:t>Data are presented as mean ± SD from three independent experiments, *P &lt; 0.05, **P &lt; 0.01, ***P &lt; 0.001, ****P &lt; 0.0001; ns, not significant.</w:t>
      </w:r>
    </w:p>
    <w:p w14:paraId="496D0086">
      <w:pPr>
        <w:spacing w:line="360" w:lineRule="auto"/>
        <w:jc w:val="both"/>
        <w:rPr>
          <w:rFonts w:hint="default" w:ascii="Times New Roman" w:hAnsi="Times New Roman" w:cs="Times New Roman"/>
          <w:b/>
          <w:bCs/>
          <w:sz w:val="24"/>
          <w:szCs w:val="32"/>
          <w:highlight w:val="none"/>
        </w:rPr>
      </w:pPr>
    </w:p>
    <w:p w14:paraId="55F80FF7">
      <w:pPr>
        <w:spacing w:line="360" w:lineRule="auto"/>
        <w:jc w:val="both"/>
        <w:rPr>
          <w:rFonts w:hint="default" w:ascii="Times New Roman" w:hAnsi="Times New Roman" w:cs="Times New Roman"/>
          <w:b/>
          <w:bCs/>
          <w:sz w:val="24"/>
          <w:szCs w:val="32"/>
          <w:highlight w:val="none"/>
        </w:rPr>
      </w:pPr>
    </w:p>
    <w:p w14:paraId="1E9F3982">
      <w:pPr>
        <w:spacing w:line="360" w:lineRule="auto"/>
        <w:jc w:val="both"/>
        <w:rPr>
          <w:rFonts w:hint="default" w:ascii="Times New Roman" w:hAnsi="Times New Roman" w:cs="Times New Roman"/>
          <w:b/>
          <w:bCs/>
          <w:sz w:val="24"/>
          <w:szCs w:val="32"/>
          <w:highlight w:val="none"/>
        </w:rPr>
      </w:pPr>
    </w:p>
    <w:p w14:paraId="407A896A">
      <w:pPr>
        <w:spacing w:line="360" w:lineRule="auto"/>
        <w:jc w:val="both"/>
        <w:rPr>
          <w:rFonts w:hint="default" w:ascii="Times New Roman" w:hAnsi="Times New Roman" w:cs="Times New Roman"/>
          <w:b/>
          <w:bCs/>
          <w:sz w:val="24"/>
          <w:szCs w:val="32"/>
          <w:highlight w:val="none"/>
        </w:rPr>
      </w:pPr>
    </w:p>
    <w:p w14:paraId="18891911">
      <w:pPr>
        <w:spacing w:line="360" w:lineRule="auto"/>
        <w:jc w:val="both"/>
        <w:rPr>
          <w:rFonts w:hint="default" w:ascii="Times New Roman" w:hAnsi="Times New Roman" w:cs="Times New Roman"/>
          <w:b/>
          <w:bCs/>
          <w:sz w:val="24"/>
          <w:szCs w:val="32"/>
          <w:highlight w:val="none"/>
        </w:rPr>
      </w:pPr>
    </w:p>
    <w:p w14:paraId="0CEC1AEC">
      <w:pPr>
        <w:spacing w:line="360" w:lineRule="auto"/>
        <w:jc w:val="both"/>
        <w:rPr>
          <w:rFonts w:hint="default" w:ascii="Times New Roman" w:hAnsi="Times New Roman" w:cs="Times New Roman"/>
          <w:b/>
          <w:bCs/>
          <w:sz w:val="24"/>
          <w:szCs w:val="32"/>
          <w:highlight w:val="none"/>
        </w:rPr>
      </w:pPr>
    </w:p>
    <w:p w14:paraId="5824EC4F">
      <w:pPr>
        <w:spacing w:line="360" w:lineRule="auto"/>
        <w:jc w:val="both"/>
        <w:rPr>
          <w:rFonts w:hint="default" w:ascii="Times New Roman" w:hAnsi="Times New Roman" w:cs="Times New Roman"/>
          <w:b/>
          <w:bCs/>
          <w:sz w:val="24"/>
          <w:szCs w:val="32"/>
          <w:highlight w:val="none"/>
        </w:rPr>
      </w:pPr>
    </w:p>
    <w:p w14:paraId="5A815D1A">
      <w:pPr>
        <w:spacing w:line="360" w:lineRule="auto"/>
        <w:jc w:val="both"/>
        <w:rPr>
          <w:rFonts w:hint="default" w:ascii="Times New Roman" w:hAnsi="Times New Roman" w:cs="Times New Roman"/>
          <w:b/>
          <w:bCs/>
          <w:sz w:val="24"/>
          <w:szCs w:val="32"/>
          <w:highlight w:val="none"/>
        </w:rPr>
      </w:pPr>
    </w:p>
    <w:p w14:paraId="3C614657">
      <w:pPr>
        <w:spacing w:line="360" w:lineRule="auto"/>
        <w:jc w:val="both"/>
        <w:rPr>
          <w:rFonts w:hint="default" w:ascii="Times New Roman" w:hAnsi="Times New Roman" w:cs="Times New Roman"/>
          <w:b/>
          <w:bCs/>
          <w:sz w:val="24"/>
          <w:szCs w:val="32"/>
          <w:highlight w:val="none"/>
        </w:rPr>
      </w:pPr>
    </w:p>
    <w:p w14:paraId="7735DD1F">
      <w:pPr>
        <w:spacing w:line="360" w:lineRule="auto"/>
        <w:jc w:val="both"/>
        <w:rPr>
          <w:rFonts w:hint="default" w:ascii="Times New Roman" w:hAnsi="Times New Roman" w:cs="Times New Roman"/>
          <w:b/>
          <w:bCs/>
          <w:sz w:val="24"/>
          <w:highlight w:val="none"/>
        </w:rPr>
      </w:pPr>
    </w:p>
    <w:p w14:paraId="102E271F">
      <w:pPr>
        <w:spacing w:line="360" w:lineRule="auto"/>
        <w:jc w:val="both"/>
        <w:rPr>
          <w:rFonts w:hint="default" w:ascii="Times New Roman" w:hAnsi="Times New Roman" w:cs="Times New Roman"/>
          <w:b/>
          <w:bCs/>
          <w:sz w:val="24"/>
          <w:highlight w:val="none"/>
        </w:rPr>
      </w:pPr>
    </w:p>
    <w:p w14:paraId="07F6E3FA">
      <w:pPr>
        <w:spacing w:line="360" w:lineRule="auto"/>
        <w:jc w:val="both"/>
        <w:rPr>
          <w:rFonts w:hint="default" w:ascii="Times New Roman" w:hAnsi="Times New Roman" w:cs="Times New Roman"/>
          <w:b/>
          <w:bCs/>
          <w:sz w:val="24"/>
          <w:highlight w:val="none"/>
        </w:rPr>
      </w:pPr>
    </w:p>
    <w:p w14:paraId="672E4A46">
      <w:pPr>
        <w:spacing w:line="360" w:lineRule="auto"/>
        <w:jc w:val="both"/>
        <w:rPr>
          <w:rFonts w:hint="default" w:ascii="Times New Roman" w:hAnsi="Times New Roman" w:cs="Times New Roman"/>
          <w:b/>
          <w:bCs/>
          <w:sz w:val="24"/>
          <w:highlight w:val="none"/>
        </w:rPr>
      </w:pPr>
    </w:p>
    <w:p w14:paraId="3BCBC2E5">
      <w:pPr>
        <w:spacing w:line="360" w:lineRule="auto"/>
        <w:jc w:val="both"/>
        <w:rPr>
          <w:rFonts w:hint="default" w:ascii="Times New Roman" w:hAnsi="Times New Roman" w:cs="Times New Roman"/>
          <w:b/>
          <w:bCs/>
          <w:sz w:val="24"/>
          <w:highlight w:val="none"/>
          <w:lang w:val="en-US" w:eastAsia="zh-CN"/>
        </w:rPr>
      </w:pPr>
      <w:r>
        <w:rPr>
          <w:rFonts w:hint="default" w:ascii="Times New Roman" w:hAnsi="Times New Roman" w:cs="Times New Roman"/>
          <w:b/>
          <w:bCs/>
          <w:sz w:val="28"/>
          <w:szCs w:val="28"/>
          <w:highlight w:val="none"/>
        </w:rPr>
        <w:t xml:space="preserve"> Supplementary Table </w:t>
      </w:r>
    </w:p>
    <w:p w14:paraId="4247AE09">
      <w:pPr>
        <w:spacing w:line="360" w:lineRule="auto"/>
        <w:jc w:val="both"/>
        <w:rPr>
          <w:rFonts w:hint="default" w:ascii="Times New Roman" w:hAnsi="Times New Roman" w:cs="Times New Roman"/>
          <w:b/>
          <w:bCs/>
          <w:sz w:val="24"/>
          <w:highlight w:val="none"/>
        </w:rPr>
      </w:pPr>
      <w:r>
        <w:rPr>
          <w:rFonts w:hint="default" w:ascii="Times New Roman" w:hAnsi="Times New Roman" w:cs="Times New Roman"/>
          <w:b/>
          <w:bCs/>
          <w:sz w:val="24"/>
          <w:highlight w:val="none"/>
        </w:rPr>
        <w:t xml:space="preserve">Supplementary Table </w:t>
      </w:r>
      <w:r>
        <w:rPr>
          <w:rFonts w:hint="default" w:ascii="Times New Roman" w:hAnsi="Times New Roman" w:cs="Times New Roman"/>
          <w:b/>
          <w:bCs/>
          <w:sz w:val="24"/>
          <w:highlight w:val="none"/>
          <w:lang w:val="en-US" w:eastAsia="zh-CN"/>
        </w:rPr>
        <w:t>S1</w:t>
      </w:r>
      <w:r>
        <w:rPr>
          <w:rFonts w:hint="default" w:ascii="Times New Roman" w:hAnsi="Times New Roman" w:cs="Times New Roman"/>
          <w:b/>
          <w:bCs/>
          <w:sz w:val="24"/>
          <w:highlight w:val="none"/>
        </w:rPr>
        <w:t xml:space="preserve">: Sequences of Primers Used for RT-qPCR </w:t>
      </w:r>
    </w:p>
    <w:tbl>
      <w:tblPr>
        <w:tblStyle w:val="9"/>
        <w:tblW w:w="5772"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5"/>
        <w:gridCol w:w="3916"/>
        <w:gridCol w:w="4047"/>
      </w:tblGrid>
      <w:tr w14:paraId="25B96A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098" w:type="dxa"/>
            <w:tcBorders>
              <w:top w:val="single" w:color="auto" w:sz="4" w:space="0"/>
              <w:bottom w:val="single" w:color="auto" w:sz="4" w:space="0"/>
            </w:tcBorders>
            <w:vAlign w:val="center"/>
          </w:tcPr>
          <w:p w14:paraId="52EC57F3">
            <w:pPr>
              <w:widowControl/>
              <w:spacing w:line="360" w:lineRule="auto"/>
              <w:jc w:val="both"/>
              <w:rPr>
                <w:rFonts w:hint="default" w:ascii="Times New Roman" w:hAnsi="Times New Roman" w:eastAsia="宋体" w:cs="Times New Roman"/>
                <w:b w:val="0"/>
                <w:bCs w:val="0"/>
                <w:kern w:val="0"/>
                <w:szCs w:val="21"/>
                <w:highlight w:val="none"/>
                <w:lang w:bidi="ar"/>
              </w:rPr>
            </w:pPr>
            <w:r>
              <w:rPr>
                <w:rFonts w:hint="default" w:ascii="Times New Roman" w:hAnsi="Times New Roman" w:eastAsia="宋体" w:cs="Times New Roman"/>
                <w:b/>
                <w:bCs/>
                <w:kern w:val="0"/>
                <w:szCs w:val="21"/>
                <w:highlight w:val="none"/>
                <w:lang w:bidi="ar"/>
              </w:rPr>
              <w:t>Gene Name</w:t>
            </w:r>
          </w:p>
        </w:tc>
        <w:tc>
          <w:tcPr>
            <w:tcW w:w="3543" w:type="dxa"/>
            <w:tcBorders>
              <w:top w:val="single" w:color="auto" w:sz="4" w:space="0"/>
              <w:bottom w:val="single" w:color="auto" w:sz="4" w:space="0"/>
            </w:tcBorders>
            <w:vAlign w:val="center"/>
          </w:tcPr>
          <w:p w14:paraId="4FF6E675">
            <w:pPr>
              <w:widowControl/>
              <w:spacing w:line="360" w:lineRule="auto"/>
              <w:jc w:val="both"/>
              <w:rPr>
                <w:rFonts w:hint="default" w:ascii="Times New Roman" w:hAnsi="Times New Roman" w:eastAsia="宋体" w:cs="Times New Roman"/>
                <w:b w:val="0"/>
                <w:bCs w:val="0"/>
                <w:kern w:val="0"/>
                <w:szCs w:val="21"/>
                <w:highlight w:val="none"/>
                <w:lang w:bidi="ar"/>
              </w:rPr>
            </w:pPr>
            <w:r>
              <w:rPr>
                <w:rFonts w:hint="default" w:ascii="Times New Roman" w:hAnsi="Times New Roman" w:eastAsia="宋体" w:cs="Times New Roman"/>
                <w:b/>
                <w:bCs/>
                <w:kern w:val="0"/>
                <w:szCs w:val="21"/>
                <w:highlight w:val="none"/>
                <w:lang w:bidi="ar"/>
              </w:rPr>
              <w:t>Forward (F) Primer</w:t>
            </w:r>
            <w:r>
              <w:rPr>
                <w:rFonts w:hint="default" w:ascii="Times New Roman" w:hAnsi="Times New Roman" w:eastAsia="宋体" w:cs="Times New Roman"/>
                <w:b/>
                <w:bCs/>
                <w:kern w:val="0"/>
                <w:szCs w:val="21"/>
                <w:highlight w:val="none"/>
                <w:lang w:val="en-US" w:eastAsia="zh-CN" w:bidi="ar"/>
              </w:rPr>
              <w:t xml:space="preserve"> </w:t>
            </w:r>
            <w:r>
              <w:rPr>
                <w:rFonts w:hint="default" w:ascii="Times New Roman" w:hAnsi="Times New Roman" w:eastAsia="宋体" w:cs="Times New Roman"/>
                <w:b/>
                <w:bCs/>
                <w:kern w:val="0"/>
                <w:szCs w:val="21"/>
                <w:highlight w:val="none"/>
                <w:lang w:bidi="ar"/>
              </w:rPr>
              <w:t>(5'-3')</w:t>
            </w:r>
          </w:p>
        </w:tc>
        <w:tc>
          <w:tcPr>
            <w:tcW w:w="4197" w:type="dxa"/>
            <w:tcBorders>
              <w:top w:val="single" w:color="auto" w:sz="4" w:space="0"/>
              <w:bottom w:val="single" w:color="auto" w:sz="4" w:space="0"/>
            </w:tcBorders>
            <w:vAlign w:val="center"/>
          </w:tcPr>
          <w:p w14:paraId="4DF406E5">
            <w:pPr>
              <w:widowControl/>
              <w:spacing w:line="360" w:lineRule="auto"/>
              <w:jc w:val="both"/>
              <w:rPr>
                <w:rFonts w:hint="default" w:ascii="Times New Roman" w:hAnsi="Times New Roman" w:eastAsia="宋体" w:cs="Times New Roman"/>
                <w:b w:val="0"/>
                <w:bCs w:val="0"/>
                <w:kern w:val="0"/>
                <w:szCs w:val="21"/>
                <w:highlight w:val="none"/>
                <w:lang w:bidi="ar"/>
              </w:rPr>
            </w:pPr>
            <w:r>
              <w:rPr>
                <w:rFonts w:hint="default" w:ascii="Times New Roman" w:hAnsi="Times New Roman" w:eastAsia="宋体" w:cs="Times New Roman"/>
                <w:b/>
                <w:bCs/>
                <w:kern w:val="0"/>
                <w:szCs w:val="21"/>
                <w:highlight w:val="none"/>
                <w:lang w:bidi="ar"/>
              </w:rPr>
              <w:t>Reverse (R) Primer</w:t>
            </w:r>
            <w:r>
              <w:rPr>
                <w:rFonts w:hint="default" w:ascii="Times New Roman" w:hAnsi="Times New Roman" w:eastAsia="宋体" w:cs="Times New Roman"/>
                <w:b/>
                <w:bCs/>
                <w:kern w:val="0"/>
                <w:szCs w:val="21"/>
                <w:highlight w:val="none"/>
                <w:lang w:val="en-US" w:eastAsia="zh-CN" w:bidi="ar"/>
              </w:rPr>
              <w:t xml:space="preserve"> </w:t>
            </w:r>
            <w:r>
              <w:rPr>
                <w:rFonts w:hint="default" w:ascii="Times New Roman" w:hAnsi="Times New Roman" w:eastAsia="宋体" w:cs="Times New Roman"/>
                <w:b/>
                <w:bCs/>
                <w:kern w:val="0"/>
                <w:szCs w:val="21"/>
                <w:highlight w:val="none"/>
                <w:lang w:bidi="ar"/>
              </w:rPr>
              <w:t>(5'-3')</w:t>
            </w:r>
          </w:p>
        </w:tc>
      </w:tr>
      <w:tr w14:paraId="00BEC1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098" w:type="dxa"/>
            <w:tcBorders>
              <w:top w:val="single" w:color="auto" w:sz="4" w:space="0"/>
              <w:bottom w:val="nil"/>
            </w:tcBorders>
          </w:tcPr>
          <w:p w14:paraId="553FBB0E">
            <w:pPr>
              <w:widowControl/>
              <w:spacing w:line="360" w:lineRule="auto"/>
              <w:jc w:val="both"/>
              <w:rPr>
                <w:rFonts w:hint="default" w:ascii="Times New Roman" w:hAnsi="Times New Roman" w:eastAsia="宋体" w:cs="Times New Roman"/>
                <w:b w:val="0"/>
                <w:bCs w:val="0"/>
                <w:kern w:val="0"/>
                <w:sz w:val="20"/>
                <w:szCs w:val="20"/>
                <w:highlight w:val="none"/>
                <w:lang w:val="en-US" w:eastAsia="zh-CN" w:bidi="ar"/>
              </w:rPr>
            </w:pPr>
            <w:r>
              <w:rPr>
                <w:rFonts w:hint="default" w:ascii="Times New Roman" w:hAnsi="Times New Roman" w:eastAsia="宋体" w:cs="Times New Roman"/>
                <w:b/>
                <w:bCs/>
                <w:kern w:val="0"/>
                <w:sz w:val="20"/>
                <w:szCs w:val="20"/>
                <w:highlight w:val="none"/>
                <w:lang w:val="en-US" w:eastAsia="zh-CN" w:bidi="ar"/>
              </w:rPr>
              <w:t xml:space="preserve">SPAG5 </w:t>
            </w:r>
            <w:r>
              <w:rPr>
                <w:rFonts w:hint="default" w:ascii="Times New Roman" w:hAnsi="Times New Roman" w:eastAsia="宋体" w:cs="Times New Roman"/>
                <w:b/>
                <w:bCs/>
                <w:kern w:val="0"/>
                <w:szCs w:val="21"/>
                <w:highlight w:val="none"/>
                <w:lang w:bidi="ar"/>
              </w:rPr>
              <w:t>(</w:t>
            </w:r>
            <w:r>
              <w:rPr>
                <w:rFonts w:hint="default" w:ascii="Times New Roman" w:hAnsi="Times New Roman" w:eastAsia="宋体" w:cs="Times New Roman"/>
                <w:b/>
                <w:bCs/>
                <w:kern w:val="0"/>
                <w:szCs w:val="21"/>
                <w:highlight w:val="none"/>
                <w:lang w:val="en-US" w:eastAsia="zh-CN" w:bidi="ar"/>
              </w:rPr>
              <w:t>human</w:t>
            </w:r>
            <w:r>
              <w:rPr>
                <w:rFonts w:hint="default" w:ascii="Times New Roman" w:hAnsi="Times New Roman" w:eastAsia="宋体" w:cs="Times New Roman"/>
                <w:b/>
                <w:bCs/>
                <w:kern w:val="0"/>
                <w:szCs w:val="21"/>
                <w:highlight w:val="none"/>
                <w:lang w:bidi="ar"/>
              </w:rPr>
              <w:t>)</w:t>
            </w:r>
          </w:p>
        </w:tc>
        <w:tc>
          <w:tcPr>
            <w:tcW w:w="3543" w:type="dxa"/>
            <w:tcBorders>
              <w:top w:val="single" w:color="auto" w:sz="4" w:space="0"/>
              <w:bottom w:val="nil"/>
            </w:tcBorders>
          </w:tcPr>
          <w:p w14:paraId="08F7FA5B">
            <w:pPr>
              <w:widowControl/>
              <w:spacing w:line="360" w:lineRule="auto"/>
              <w:jc w:val="both"/>
              <w:rPr>
                <w:rFonts w:hint="default" w:ascii="Times New Roman" w:hAnsi="Times New Roman" w:eastAsia="宋体" w:cs="Times New Roman"/>
                <w:color w:val="FF0000"/>
                <w:kern w:val="0"/>
                <w:sz w:val="20"/>
                <w:szCs w:val="20"/>
                <w:highlight w:val="none"/>
                <w:lang w:bidi="ar"/>
              </w:rPr>
            </w:pPr>
            <w:r>
              <w:rPr>
                <w:rFonts w:hint="default" w:ascii="Times New Roman" w:hAnsi="Times New Roman" w:eastAsia="宋体" w:cs="Times New Roman"/>
                <w:color w:val="auto"/>
                <w:kern w:val="0"/>
                <w:sz w:val="20"/>
                <w:szCs w:val="20"/>
                <w:highlight w:val="none"/>
                <w:lang w:bidi="ar"/>
              </w:rPr>
              <w:t>CATCTCACAGTGGGATAACTAATAAAC</w:t>
            </w:r>
          </w:p>
        </w:tc>
        <w:tc>
          <w:tcPr>
            <w:tcW w:w="4197" w:type="dxa"/>
            <w:tcBorders>
              <w:top w:val="single" w:color="auto" w:sz="4" w:space="0"/>
              <w:bottom w:val="nil"/>
            </w:tcBorders>
          </w:tcPr>
          <w:p w14:paraId="2C4C289C">
            <w:pPr>
              <w:widowControl/>
              <w:spacing w:line="360" w:lineRule="auto"/>
              <w:jc w:val="both"/>
              <w:rPr>
                <w:rFonts w:hint="default" w:ascii="Times New Roman" w:hAnsi="Times New Roman" w:eastAsia="宋体" w:cs="Times New Roman"/>
                <w:color w:val="auto"/>
                <w:kern w:val="0"/>
                <w:sz w:val="20"/>
                <w:szCs w:val="20"/>
                <w:highlight w:val="none"/>
                <w:lang w:bidi="ar"/>
              </w:rPr>
            </w:pPr>
            <w:r>
              <w:rPr>
                <w:rFonts w:hint="default" w:ascii="Times New Roman" w:hAnsi="Times New Roman" w:eastAsia="宋体" w:cs="Times New Roman"/>
                <w:color w:val="auto"/>
                <w:kern w:val="0"/>
                <w:sz w:val="20"/>
                <w:szCs w:val="20"/>
                <w:highlight w:val="none"/>
                <w:lang w:bidi="ar"/>
              </w:rPr>
              <w:t>CAGGGATAGGTGAAGCAAGGATA</w:t>
            </w:r>
          </w:p>
        </w:tc>
      </w:tr>
      <w:tr w14:paraId="6DDF96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098" w:type="dxa"/>
            <w:tcBorders>
              <w:top w:val="nil"/>
              <w:bottom w:val="single" w:color="auto" w:sz="4" w:space="0"/>
            </w:tcBorders>
          </w:tcPr>
          <w:p w14:paraId="310AEF55">
            <w:pPr>
              <w:widowControl/>
              <w:spacing w:line="360" w:lineRule="auto"/>
              <w:jc w:val="both"/>
              <w:rPr>
                <w:rFonts w:hint="default" w:ascii="Times New Roman" w:hAnsi="Times New Roman" w:eastAsia="宋体" w:cs="Times New Roman"/>
                <w:b w:val="0"/>
                <w:bCs w:val="0"/>
                <w:kern w:val="0"/>
                <w:sz w:val="20"/>
                <w:szCs w:val="20"/>
                <w:highlight w:val="none"/>
                <w:lang w:bidi="ar"/>
              </w:rPr>
            </w:pPr>
            <w:r>
              <w:rPr>
                <w:rFonts w:hint="default" w:ascii="Times New Roman" w:hAnsi="Times New Roman" w:eastAsia="宋体" w:cs="Times New Roman"/>
                <w:b/>
                <w:bCs/>
                <w:kern w:val="0"/>
                <w:sz w:val="20"/>
                <w:szCs w:val="20"/>
                <w:highlight w:val="none"/>
                <w:lang w:val="en-US" w:eastAsia="zh-CN" w:bidi="ar"/>
              </w:rPr>
              <w:t xml:space="preserve">GAPDH </w:t>
            </w:r>
            <w:r>
              <w:rPr>
                <w:rFonts w:hint="default" w:ascii="Times New Roman" w:hAnsi="Times New Roman" w:eastAsia="宋体" w:cs="Times New Roman"/>
                <w:b/>
                <w:bCs/>
                <w:kern w:val="0"/>
                <w:szCs w:val="21"/>
                <w:highlight w:val="none"/>
                <w:lang w:bidi="ar"/>
              </w:rPr>
              <w:t>(</w:t>
            </w:r>
            <w:r>
              <w:rPr>
                <w:rFonts w:hint="default" w:ascii="Times New Roman" w:hAnsi="Times New Roman" w:eastAsia="宋体" w:cs="Times New Roman"/>
                <w:b/>
                <w:bCs/>
                <w:kern w:val="0"/>
                <w:szCs w:val="21"/>
                <w:highlight w:val="none"/>
                <w:lang w:val="en-US" w:eastAsia="zh-CN" w:bidi="ar"/>
              </w:rPr>
              <w:t>human</w:t>
            </w:r>
            <w:r>
              <w:rPr>
                <w:rFonts w:hint="default" w:ascii="Times New Roman" w:hAnsi="Times New Roman" w:eastAsia="宋体" w:cs="Times New Roman"/>
                <w:b/>
                <w:bCs/>
                <w:kern w:val="0"/>
                <w:szCs w:val="21"/>
                <w:highlight w:val="none"/>
                <w:lang w:bidi="ar"/>
              </w:rPr>
              <w:t>)</w:t>
            </w:r>
          </w:p>
        </w:tc>
        <w:tc>
          <w:tcPr>
            <w:tcW w:w="3543" w:type="dxa"/>
            <w:tcBorders>
              <w:top w:val="nil"/>
              <w:bottom w:val="single" w:color="auto" w:sz="4" w:space="0"/>
            </w:tcBorders>
          </w:tcPr>
          <w:p w14:paraId="0B8C5E7C">
            <w:pPr>
              <w:widowControl/>
              <w:spacing w:line="360" w:lineRule="auto"/>
              <w:jc w:val="both"/>
              <w:rPr>
                <w:rFonts w:hint="default" w:ascii="Times New Roman" w:hAnsi="Times New Roman" w:eastAsia="宋体" w:cs="Times New Roman"/>
                <w:color w:val="auto"/>
                <w:kern w:val="0"/>
                <w:sz w:val="20"/>
                <w:szCs w:val="20"/>
                <w:highlight w:val="none"/>
                <w:lang w:bidi="ar"/>
              </w:rPr>
            </w:pPr>
            <w:r>
              <w:rPr>
                <w:rFonts w:hint="default" w:ascii="Times New Roman" w:hAnsi="Times New Roman" w:eastAsia="宋体" w:cs="Times New Roman"/>
                <w:color w:val="auto"/>
                <w:kern w:val="0"/>
                <w:sz w:val="20"/>
                <w:szCs w:val="20"/>
                <w:highlight w:val="none"/>
                <w:lang w:bidi="ar"/>
              </w:rPr>
              <w:t>CCAGGTGGTCTCCTCTGACTTC</w:t>
            </w:r>
          </w:p>
        </w:tc>
        <w:tc>
          <w:tcPr>
            <w:tcW w:w="4197" w:type="dxa"/>
            <w:tcBorders>
              <w:top w:val="nil"/>
              <w:bottom w:val="single" w:color="auto" w:sz="4" w:space="0"/>
            </w:tcBorders>
          </w:tcPr>
          <w:p w14:paraId="2311686B">
            <w:pPr>
              <w:widowControl/>
              <w:spacing w:line="360" w:lineRule="auto"/>
              <w:jc w:val="both"/>
              <w:rPr>
                <w:rFonts w:hint="default" w:ascii="Times New Roman" w:hAnsi="Times New Roman" w:eastAsia="宋体" w:cs="Times New Roman"/>
                <w:color w:val="FF0000"/>
                <w:kern w:val="0"/>
                <w:sz w:val="20"/>
                <w:szCs w:val="20"/>
                <w:highlight w:val="none"/>
                <w:lang w:bidi="ar"/>
              </w:rPr>
            </w:pPr>
            <w:r>
              <w:rPr>
                <w:rFonts w:hint="default" w:ascii="Times New Roman" w:hAnsi="Times New Roman" w:eastAsia="宋体" w:cs="Times New Roman"/>
                <w:color w:val="auto"/>
                <w:kern w:val="0"/>
                <w:sz w:val="20"/>
                <w:szCs w:val="20"/>
                <w:highlight w:val="none"/>
                <w:lang w:bidi="ar"/>
              </w:rPr>
              <w:t>GTGGTCGTTGAGGGCAATG</w:t>
            </w:r>
          </w:p>
        </w:tc>
      </w:tr>
    </w:tbl>
    <w:p w14:paraId="104BDE21">
      <w:pPr>
        <w:spacing w:line="360" w:lineRule="auto"/>
        <w:jc w:val="both"/>
        <w:rPr>
          <w:rFonts w:hint="default" w:ascii="Times New Roman" w:hAnsi="Times New Roman" w:cs="Times New Roman"/>
          <w:highlight w:val="none"/>
        </w:rPr>
      </w:pPr>
    </w:p>
    <w:p w14:paraId="06F336BF">
      <w:pPr>
        <w:spacing w:line="360" w:lineRule="auto"/>
        <w:jc w:val="both"/>
        <w:rPr>
          <w:rFonts w:hint="default" w:ascii="Times New Roman" w:hAnsi="Times New Roman" w:cs="Times New Roman"/>
          <w:highlight w:val="none"/>
        </w:rPr>
      </w:pPr>
    </w:p>
    <w:p w14:paraId="28391D19">
      <w:pPr>
        <w:spacing w:line="360" w:lineRule="auto"/>
        <w:jc w:val="both"/>
        <w:rPr>
          <w:rFonts w:hint="default" w:ascii="Times New Roman" w:hAnsi="Times New Roman" w:cs="Times New Roman"/>
          <w:b/>
          <w:bCs/>
          <w:sz w:val="24"/>
          <w:highlight w:val="none"/>
        </w:rPr>
      </w:pPr>
      <w:r>
        <w:rPr>
          <w:rFonts w:hint="default" w:ascii="Times New Roman" w:hAnsi="Times New Roman" w:cs="Times New Roman"/>
          <w:b/>
          <w:bCs/>
          <w:sz w:val="24"/>
          <w:highlight w:val="none"/>
        </w:rPr>
        <w:t xml:space="preserve">Supplementary Table </w:t>
      </w:r>
      <w:r>
        <w:rPr>
          <w:rFonts w:hint="default" w:ascii="Times New Roman" w:hAnsi="Times New Roman" w:cs="Times New Roman"/>
          <w:b/>
          <w:bCs/>
          <w:sz w:val="24"/>
          <w:highlight w:val="none"/>
          <w:lang w:val="en-US" w:eastAsia="zh-CN"/>
        </w:rPr>
        <w:t>S2</w:t>
      </w:r>
      <w:r>
        <w:rPr>
          <w:rFonts w:hint="default" w:ascii="Times New Roman" w:hAnsi="Times New Roman" w:cs="Times New Roman"/>
          <w:b/>
          <w:bCs/>
          <w:sz w:val="24"/>
          <w:highlight w:val="none"/>
        </w:rPr>
        <w:t>:</w:t>
      </w:r>
      <w:r>
        <w:rPr>
          <w:rFonts w:hint="default" w:ascii="Times New Roman" w:hAnsi="Times New Roman" w:cs="Times New Roman"/>
          <w:b/>
          <w:bCs/>
          <w:sz w:val="24"/>
          <w:highlight w:val="none"/>
          <w:lang w:val="en-US" w:eastAsia="zh-CN"/>
        </w:rPr>
        <w:t xml:space="preserve">SPAG5 </w:t>
      </w:r>
      <w:r>
        <w:rPr>
          <w:rFonts w:hint="default" w:ascii="Times New Roman" w:hAnsi="Times New Roman" w:cs="Times New Roman"/>
          <w:b/>
          <w:bCs/>
          <w:sz w:val="24"/>
          <w:highlight w:val="none"/>
        </w:rPr>
        <w:t>siRNA</w:t>
      </w:r>
      <w:r>
        <w:rPr>
          <w:rFonts w:hint="default" w:ascii="Times New Roman" w:hAnsi="Times New Roman" w:cs="Times New Roman"/>
          <w:b/>
          <w:bCs/>
          <w:sz w:val="24"/>
          <w:highlight w:val="none"/>
          <w:lang w:val="en-US" w:eastAsia="zh-CN"/>
        </w:rPr>
        <w:t>/shRNA</w:t>
      </w:r>
      <w:r>
        <w:rPr>
          <w:rFonts w:hint="default" w:ascii="Times New Roman" w:hAnsi="Times New Roman" w:cs="Times New Roman"/>
          <w:b/>
          <w:bCs/>
          <w:sz w:val="24"/>
          <w:highlight w:val="none"/>
        </w:rPr>
        <w:t xml:space="preserve"> Fragment Sequences</w:t>
      </w:r>
    </w:p>
    <w:tbl>
      <w:tblPr>
        <w:tblStyle w:val="5"/>
        <w:tblW w:w="91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7586"/>
      </w:tblGrid>
      <w:tr w14:paraId="106B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97" w:type="dxa"/>
            <w:tcBorders>
              <w:top w:val="single" w:color="auto" w:sz="4" w:space="0"/>
              <w:left w:val="nil"/>
              <w:bottom w:val="single" w:color="auto" w:sz="4" w:space="0"/>
              <w:right w:val="nil"/>
            </w:tcBorders>
          </w:tcPr>
          <w:p w14:paraId="2CF4D285">
            <w:pPr>
              <w:spacing w:line="360" w:lineRule="auto"/>
              <w:jc w:val="both"/>
              <w:rPr>
                <w:rFonts w:hint="default" w:ascii="Times New Roman" w:hAnsi="Times New Roman" w:cs="Times New Roman" w:eastAsiaTheme="minorEastAsia"/>
                <w:b/>
                <w:bCs/>
                <w:highlight w:val="none"/>
                <w:vertAlign w:val="baseline"/>
                <w:lang w:val="en-US" w:eastAsia="zh-CN"/>
              </w:rPr>
            </w:pPr>
            <w:r>
              <w:rPr>
                <w:rFonts w:hint="default" w:ascii="Times New Roman" w:hAnsi="Times New Roman" w:cs="Times New Roman"/>
                <w:b/>
                <w:bCs/>
                <w:highlight w:val="none"/>
                <w:vertAlign w:val="baseline"/>
                <w:lang w:val="en-US" w:eastAsia="zh-CN"/>
              </w:rPr>
              <w:t>siRNA/shRNA</w:t>
            </w:r>
          </w:p>
        </w:tc>
        <w:tc>
          <w:tcPr>
            <w:tcW w:w="7586" w:type="dxa"/>
            <w:tcBorders>
              <w:top w:val="single" w:color="auto" w:sz="4" w:space="0"/>
              <w:left w:val="nil"/>
              <w:bottom w:val="single" w:color="auto" w:sz="4" w:space="0"/>
              <w:right w:val="nil"/>
            </w:tcBorders>
          </w:tcPr>
          <w:p w14:paraId="26380B61">
            <w:pPr>
              <w:spacing w:line="360" w:lineRule="auto"/>
              <w:jc w:val="both"/>
              <w:rPr>
                <w:rFonts w:hint="default" w:ascii="Times New Roman" w:hAnsi="Times New Roman" w:cs="Times New Roman"/>
                <w:b/>
                <w:bCs/>
                <w:highlight w:val="none"/>
                <w:vertAlign w:val="baseline"/>
              </w:rPr>
            </w:pPr>
            <w:r>
              <w:rPr>
                <w:rFonts w:hint="default" w:ascii="Times New Roman" w:hAnsi="Times New Roman" w:cs="Times New Roman"/>
                <w:b/>
                <w:bCs/>
                <w:highlight w:val="none"/>
                <w:vertAlign w:val="baseline"/>
              </w:rPr>
              <w:t>Sequence (5'-3')</w:t>
            </w:r>
          </w:p>
        </w:tc>
      </w:tr>
      <w:tr w14:paraId="2304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Borders>
              <w:top w:val="single" w:color="auto" w:sz="4" w:space="0"/>
              <w:left w:val="nil"/>
              <w:bottom w:val="nil"/>
              <w:right w:val="nil"/>
            </w:tcBorders>
          </w:tcPr>
          <w:p w14:paraId="0A4B0452">
            <w:pPr>
              <w:spacing w:line="360" w:lineRule="auto"/>
              <w:jc w:val="both"/>
              <w:rPr>
                <w:rFonts w:hint="default" w:ascii="Times New Roman" w:hAnsi="Times New Roman" w:cs="Times New Roman" w:eastAsiaTheme="minorEastAsia"/>
                <w:b/>
                <w:bCs/>
                <w:highlight w:val="none"/>
                <w:vertAlign w:val="baseline"/>
                <w:lang w:val="en-US" w:eastAsia="zh-CN"/>
              </w:rPr>
            </w:pPr>
            <w:r>
              <w:rPr>
                <w:rFonts w:hint="default" w:ascii="Times New Roman" w:hAnsi="Times New Roman" w:cs="Times New Roman"/>
                <w:b/>
                <w:bCs/>
                <w:highlight w:val="none"/>
                <w:vertAlign w:val="baseline"/>
                <w:lang w:val="en-US" w:eastAsia="zh-CN"/>
              </w:rPr>
              <w:t>si-SPAG5#1</w:t>
            </w:r>
          </w:p>
        </w:tc>
        <w:tc>
          <w:tcPr>
            <w:tcW w:w="7586" w:type="dxa"/>
            <w:tcBorders>
              <w:top w:val="single" w:color="auto" w:sz="4" w:space="0"/>
              <w:left w:val="nil"/>
              <w:bottom w:val="nil"/>
              <w:right w:val="nil"/>
            </w:tcBorders>
          </w:tcPr>
          <w:p w14:paraId="016C22C5">
            <w:pPr>
              <w:spacing w:line="360" w:lineRule="auto"/>
              <w:jc w:val="both"/>
              <w:rPr>
                <w:rFonts w:hint="default" w:ascii="Times New Roman" w:hAnsi="Times New Roman" w:cs="Times New Roman"/>
                <w:highlight w:val="none"/>
                <w:vertAlign w:val="baseline"/>
              </w:rPr>
            </w:pPr>
            <w:r>
              <w:rPr>
                <w:rFonts w:hint="default" w:ascii="Times New Roman" w:hAnsi="Times New Roman" w:cs="Times New Roman"/>
                <w:highlight w:val="none"/>
                <w:vertAlign w:val="baseline"/>
              </w:rPr>
              <w:t>GGAGGAAAUUGUAGAGCAUTT</w:t>
            </w:r>
          </w:p>
        </w:tc>
      </w:tr>
      <w:tr w14:paraId="1C92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Borders>
              <w:top w:val="nil"/>
              <w:left w:val="nil"/>
              <w:bottom w:val="nil"/>
              <w:right w:val="nil"/>
            </w:tcBorders>
          </w:tcPr>
          <w:p w14:paraId="5CC7F059">
            <w:pPr>
              <w:spacing w:line="360" w:lineRule="auto"/>
              <w:jc w:val="both"/>
              <w:rPr>
                <w:rFonts w:hint="default" w:ascii="Times New Roman" w:hAnsi="Times New Roman" w:cs="Times New Roman"/>
                <w:b/>
                <w:bCs/>
                <w:highlight w:val="none"/>
                <w:vertAlign w:val="baseline"/>
              </w:rPr>
            </w:pPr>
            <w:r>
              <w:rPr>
                <w:rFonts w:hint="default" w:ascii="Times New Roman" w:hAnsi="Times New Roman" w:cs="Times New Roman"/>
                <w:b/>
                <w:bCs/>
                <w:highlight w:val="none"/>
                <w:vertAlign w:val="baseline"/>
                <w:lang w:val="en-US" w:eastAsia="zh-CN"/>
              </w:rPr>
              <w:t>si-SPAG5#2</w:t>
            </w:r>
          </w:p>
        </w:tc>
        <w:tc>
          <w:tcPr>
            <w:tcW w:w="7586" w:type="dxa"/>
            <w:tcBorders>
              <w:top w:val="nil"/>
              <w:left w:val="nil"/>
              <w:bottom w:val="nil"/>
              <w:right w:val="nil"/>
            </w:tcBorders>
          </w:tcPr>
          <w:p w14:paraId="5965D36D">
            <w:pPr>
              <w:spacing w:line="360" w:lineRule="auto"/>
              <w:jc w:val="both"/>
              <w:rPr>
                <w:rFonts w:hint="default" w:ascii="Times New Roman" w:hAnsi="Times New Roman" w:cs="Times New Roman"/>
                <w:highlight w:val="none"/>
                <w:vertAlign w:val="baseline"/>
              </w:rPr>
            </w:pPr>
            <w:r>
              <w:rPr>
                <w:rFonts w:hint="default" w:ascii="Times New Roman" w:hAnsi="Times New Roman" w:cs="Times New Roman"/>
                <w:highlight w:val="none"/>
                <w:vertAlign w:val="baseline"/>
              </w:rPr>
              <w:t>CCUUGUCUCGACAUGACUUTT</w:t>
            </w:r>
          </w:p>
        </w:tc>
      </w:tr>
      <w:tr w14:paraId="6B07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7" w:type="dxa"/>
            <w:tcBorders>
              <w:top w:val="nil"/>
              <w:left w:val="nil"/>
              <w:bottom w:val="single" w:color="auto" w:sz="4" w:space="0"/>
              <w:right w:val="nil"/>
            </w:tcBorders>
          </w:tcPr>
          <w:p w14:paraId="413F95F7">
            <w:pPr>
              <w:spacing w:line="360" w:lineRule="auto"/>
              <w:jc w:val="both"/>
              <w:rPr>
                <w:rFonts w:hint="default" w:ascii="Times New Roman" w:hAnsi="Times New Roman" w:cs="Times New Roman"/>
                <w:b/>
                <w:bCs/>
                <w:highlight w:val="none"/>
                <w:vertAlign w:val="baseline"/>
                <w:lang w:val="en-US" w:eastAsia="zh-CN"/>
              </w:rPr>
            </w:pPr>
            <w:r>
              <w:rPr>
                <w:rFonts w:hint="default" w:ascii="Times New Roman" w:hAnsi="Times New Roman" w:cs="Times New Roman"/>
                <w:b/>
                <w:bCs/>
                <w:highlight w:val="none"/>
                <w:vertAlign w:val="baseline"/>
                <w:lang w:val="en-US" w:eastAsia="zh-CN"/>
              </w:rPr>
              <w:t>sh-SPAG5</w:t>
            </w:r>
          </w:p>
        </w:tc>
        <w:tc>
          <w:tcPr>
            <w:tcW w:w="7586" w:type="dxa"/>
            <w:tcBorders>
              <w:top w:val="nil"/>
              <w:left w:val="nil"/>
              <w:bottom w:val="single" w:color="auto" w:sz="4" w:space="0"/>
              <w:right w:val="nil"/>
            </w:tcBorders>
          </w:tcPr>
          <w:p w14:paraId="0D202D9D">
            <w:pPr>
              <w:spacing w:line="360" w:lineRule="auto"/>
              <w:jc w:val="both"/>
              <w:rPr>
                <w:rFonts w:hint="default" w:ascii="Times New Roman" w:hAnsi="Times New Roman" w:cs="Times New Roman"/>
                <w:highlight w:val="none"/>
                <w:vertAlign w:val="baseline"/>
              </w:rPr>
            </w:pPr>
            <w:r>
              <w:rPr>
                <w:rFonts w:hint="default" w:ascii="Times New Roman" w:hAnsi="Times New Roman" w:cs="Times New Roman"/>
                <w:highlight w:val="none"/>
                <w:vertAlign w:val="baseline"/>
              </w:rPr>
              <w:t>GCATCTTAAGGAGAGCCATGATTCAAGAGATCATGGCTCTCCTTAAGATGC</w:t>
            </w:r>
          </w:p>
        </w:tc>
      </w:tr>
    </w:tbl>
    <w:p w14:paraId="56DA6DAD">
      <w:pPr>
        <w:spacing w:line="360" w:lineRule="auto"/>
        <w:jc w:val="both"/>
        <w:rPr>
          <w:rFonts w:hint="default" w:ascii="Times New Roman" w:hAnsi="Times New Roman" w:cs="Times New Roman"/>
          <w:color w:val="FF0000"/>
          <w:highlight w:val="none"/>
        </w:rPr>
      </w:pPr>
    </w:p>
    <w:p w14:paraId="7D3E617B">
      <w:pPr>
        <w:spacing w:line="360" w:lineRule="auto"/>
        <w:jc w:val="both"/>
        <w:rPr>
          <w:rFonts w:hint="default" w:ascii="Times New Roman" w:hAnsi="Times New Roman" w:cs="Times New Roman"/>
          <w:color w:val="FF0000"/>
          <w:highlight w:val="none"/>
        </w:rPr>
      </w:pPr>
    </w:p>
    <w:p w14:paraId="3290CFF9">
      <w:pPr>
        <w:spacing w:line="360" w:lineRule="auto"/>
        <w:jc w:val="both"/>
        <w:rPr>
          <w:rFonts w:hint="default" w:ascii="Times New Roman" w:hAnsi="Times New Roman" w:cs="Times New Roman"/>
          <w:color w:val="FF0000"/>
          <w:highlight w:val="none"/>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930236"/>
    <w:rsid w:val="00032291"/>
    <w:rsid w:val="010A3DC7"/>
    <w:rsid w:val="019978BC"/>
    <w:rsid w:val="03766107"/>
    <w:rsid w:val="053142BB"/>
    <w:rsid w:val="053463C3"/>
    <w:rsid w:val="055943D7"/>
    <w:rsid w:val="057E74F5"/>
    <w:rsid w:val="060F639F"/>
    <w:rsid w:val="06992C2A"/>
    <w:rsid w:val="073A01C3"/>
    <w:rsid w:val="08712966"/>
    <w:rsid w:val="09063A89"/>
    <w:rsid w:val="0B962E47"/>
    <w:rsid w:val="0C114EFD"/>
    <w:rsid w:val="0DDF2AFB"/>
    <w:rsid w:val="0DEE2D3E"/>
    <w:rsid w:val="0F72491A"/>
    <w:rsid w:val="0F847DFE"/>
    <w:rsid w:val="0FF74F88"/>
    <w:rsid w:val="103F5AD3"/>
    <w:rsid w:val="10B1077E"/>
    <w:rsid w:val="111E1B8C"/>
    <w:rsid w:val="123C49C0"/>
    <w:rsid w:val="12ED5CBA"/>
    <w:rsid w:val="13267F94"/>
    <w:rsid w:val="13294F44"/>
    <w:rsid w:val="134A6C68"/>
    <w:rsid w:val="13904FC3"/>
    <w:rsid w:val="14833235"/>
    <w:rsid w:val="14A82170"/>
    <w:rsid w:val="14AE3227"/>
    <w:rsid w:val="14C021B2"/>
    <w:rsid w:val="16A11295"/>
    <w:rsid w:val="16A90789"/>
    <w:rsid w:val="172872C1"/>
    <w:rsid w:val="17797B1C"/>
    <w:rsid w:val="181B5077"/>
    <w:rsid w:val="199E7D0E"/>
    <w:rsid w:val="1A974E89"/>
    <w:rsid w:val="1AFE1D64"/>
    <w:rsid w:val="1B2129A5"/>
    <w:rsid w:val="1C1F5136"/>
    <w:rsid w:val="1C4032FE"/>
    <w:rsid w:val="1E1176E2"/>
    <w:rsid w:val="1E560BB7"/>
    <w:rsid w:val="1E9F430C"/>
    <w:rsid w:val="1F6B68E4"/>
    <w:rsid w:val="20A57AF4"/>
    <w:rsid w:val="21336F8E"/>
    <w:rsid w:val="21C30312"/>
    <w:rsid w:val="22166AFA"/>
    <w:rsid w:val="22405740"/>
    <w:rsid w:val="228D7546"/>
    <w:rsid w:val="2297354C"/>
    <w:rsid w:val="22D757D3"/>
    <w:rsid w:val="240750AB"/>
    <w:rsid w:val="244A6AFB"/>
    <w:rsid w:val="24D942F0"/>
    <w:rsid w:val="2613738E"/>
    <w:rsid w:val="269009DE"/>
    <w:rsid w:val="269F685E"/>
    <w:rsid w:val="26EE3450"/>
    <w:rsid w:val="287B3E4C"/>
    <w:rsid w:val="29C8077F"/>
    <w:rsid w:val="29D86924"/>
    <w:rsid w:val="29E31A75"/>
    <w:rsid w:val="2C1537A6"/>
    <w:rsid w:val="2C87095E"/>
    <w:rsid w:val="2D3227EF"/>
    <w:rsid w:val="2E3A51B2"/>
    <w:rsid w:val="2F302D5E"/>
    <w:rsid w:val="2F631386"/>
    <w:rsid w:val="2F730D0F"/>
    <w:rsid w:val="307F5D4C"/>
    <w:rsid w:val="30F5600E"/>
    <w:rsid w:val="318F2126"/>
    <w:rsid w:val="32513718"/>
    <w:rsid w:val="33B0192E"/>
    <w:rsid w:val="33E764F4"/>
    <w:rsid w:val="34A5186D"/>
    <w:rsid w:val="35BE6916"/>
    <w:rsid w:val="36DA1F2E"/>
    <w:rsid w:val="378B3228"/>
    <w:rsid w:val="37BA1D5F"/>
    <w:rsid w:val="37C87E10"/>
    <w:rsid w:val="37E17227"/>
    <w:rsid w:val="3B245E6D"/>
    <w:rsid w:val="3B273268"/>
    <w:rsid w:val="3B6D336F"/>
    <w:rsid w:val="3C153CA2"/>
    <w:rsid w:val="3C964B49"/>
    <w:rsid w:val="3CA32DC2"/>
    <w:rsid w:val="3CAA0C2A"/>
    <w:rsid w:val="3CD937FC"/>
    <w:rsid w:val="3CF655E7"/>
    <w:rsid w:val="3D65276D"/>
    <w:rsid w:val="3E0E3BBA"/>
    <w:rsid w:val="3FD00372"/>
    <w:rsid w:val="3FD87871"/>
    <w:rsid w:val="3FFA79B3"/>
    <w:rsid w:val="40994C08"/>
    <w:rsid w:val="409F5F96"/>
    <w:rsid w:val="418A4550"/>
    <w:rsid w:val="424566C9"/>
    <w:rsid w:val="424B0183"/>
    <w:rsid w:val="42957321"/>
    <w:rsid w:val="436832A5"/>
    <w:rsid w:val="44BA15F0"/>
    <w:rsid w:val="44FE4843"/>
    <w:rsid w:val="4557347D"/>
    <w:rsid w:val="46883812"/>
    <w:rsid w:val="46D405B4"/>
    <w:rsid w:val="47E23A00"/>
    <w:rsid w:val="48013092"/>
    <w:rsid w:val="48A57EC2"/>
    <w:rsid w:val="48F0738F"/>
    <w:rsid w:val="4C883D82"/>
    <w:rsid w:val="4CBB4158"/>
    <w:rsid w:val="4D471547"/>
    <w:rsid w:val="4D6126EF"/>
    <w:rsid w:val="4FF4763C"/>
    <w:rsid w:val="516B0889"/>
    <w:rsid w:val="5199324D"/>
    <w:rsid w:val="51D44FE0"/>
    <w:rsid w:val="52BC67CA"/>
    <w:rsid w:val="536C61AC"/>
    <w:rsid w:val="54280325"/>
    <w:rsid w:val="542E16B3"/>
    <w:rsid w:val="546D50AA"/>
    <w:rsid w:val="547E7F44"/>
    <w:rsid w:val="54866DF9"/>
    <w:rsid w:val="55AC78C2"/>
    <w:rsid w:val="56CF7EF9"/>
    <w:rsid w:val="579F6A64"/>
    <w:rsid w:val="58021570"/>
    <w:rsid w:val="59796F2C"/>
    <w:rsid w:val="5A7C097F"/>
    <w:rsid w:val="5C294C3A"/>
    <w:rsid w:val="5C9D2F32"/>
    <w:rsid w:val="5DA6050C"/>
    <w:rsid w:val="5E0771FD"/>
    <w:rsid w:val="5E48511F"/>
    <w:rsid w:val="5E6006BB"/>
    <w:rsid w:val="5F6441DB"/>
    <w:rsid w:val="5F930236"/>
    <w:rsid w:val="60813B63"/>
    <w:rsid w:val="60913E6F"/>
    <w:rsid w:val="60D62EB6"/>
    <w:rsid w:val="62E24E41"/>
    <w:rsid w:val="62FE0ECD"/>
    <w:rsid w:val="63706AC5"/>
    <w:rsid w:val="637A4717"/>
    <w:rsid w:val="638B442C"/>
    <w:rsid w:val="63C55B29"/>
    <w:rsid w:val="64C37BF6"/>
    <w:rsid w:val="65C92FEA"/>
    <w:rsid w:val="66A575B3"/>
    <w:rsid w:val="66F978FF"/>
    <w:rsid w:val="689F50D4"/>
    <w:rsid w:val="68CF0917"/>
    <w:rsid w:val="69456C9D"/>
    <w:rsid w:val="6975655B"/>
    <w:rsid w:val="6B6048CC"/>
    <w:rsid w:val="6BFA3EFD"/>
    <w:rsid w:val="6C165841"/>
    <w:rsid w:val="6D745F31"/>
    <w:rsid w:val="6E9028F6"/>
    <w:rsid w:val="6FC674E6"/>
    <w:rsid w:val="6FED3D79"/>
    <w:rsid w:val="70EE5FFA"/>
    <w:rsid w:val="71151F93"/>
    <w:rsid w:val="71B92164"/>
    <w:rsid w:val="71C31235"/>
    <w:rsid w:val="734C0DB6"/>
    <w:rsid w:val="737A0503"/>
    <w:rsid w:val="74273CFD"/>
    <w:rsid w:val="749061BE"/>
    <w:rsid w:val="749C6319"/>
    <w:rsid w:val="75023E22"/>
    <w:rsid w:val="751F2C26"/>
    <w:rsid w:val="76442B95"/>
    <w:rsid w:val="765D3A06"/>
    <w:rsid w:val="76612DCA"/>
    <w:rsid w:val="76AE24B4"/>
    <w:rsid w:val="76C53359"/>
    <w:rsid w:val="7A3C2136"/>
    <w:rsid w:val="7AE213CC"/>
    <w:rsid w:val="7AE64082"/>
    <w:rsid w:val="7B9F23CB"/>
    <w:rsid w:val="7BBA7205"/>
    <w:rsid w:val="7BD209F2"/>
    <w:rsid w:val="7C817D22"/>
    <w:rsid w:val="7C9838F9"/>
    <w:rsid w:val="7CE74AD7"/>
    <w:rsid w:val="7D1F350A"/>
    <w:rsid w:val="7EA667AD"/>
    <w:rsid w:val="7F1B445E"/>
    <w:rsid w:val="7FAC155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Title"/>
    <w:basedOn w:val="1"/>
    <w:next w:val="1"/>
    <w:qFormat/>
    <w:uiPriority w:val="0"/>
    <w:pPr>
      <w:suppressLineNumbers/>
      <w:spacing w:before="240" w:after="360"/>
      <w:jc w:val="center"/>
    </w:pPr>
    <w:rPr>
      <w:rFonts w:cs="Times New Roman"/>
      <w:b/>
      <w:sz w:val="32"/>
      <w:szCs w:val="32"/>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table" w:customStyle="1" w:styleId="8">
    <w:name w:val="无格式表格 41"/>
    <w:basedOn w:val="4"/>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9">
    <w:name w:val="无格式表格 21"/>
    <w:basedOn w:val="4"/>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10">
    <w:name w:val="Supplementary Material"/>
    <w:basedOn w:val="3"/>
    <w:next w:val="3"/>
    <w:qFormat/>
    <w:uiPriority w:val="0"/>
    <w:pPr>
      <w:spacing w:after="120"/>
    </w:pPr>
    <w:rPr>
      <w:i/>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jpeg"/><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1508</Words>
  <Characters>9305</Characters>
  <Lines>0</Lines>
  <Paragraphs>0</Paragraphs>
  <TotalTime>7</TotalTime>
  <ScaleCrop>false</ScaleCrop>
  <LinksUpToDate>false</LinksUpToDate>
  <CharactersWithSpaces>10831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2026-03-31T16:54:00Z</dcterms:created>
  <dc:creator>所有的雨都会停的</dc:creator>
  <cp:lastModifiedBy>所有的雨都会停的</cp:lastModifiedBy>
  <dcterms:modified xsi:type="dcterms:W3CDTF">2026-10-05T05:18:04Z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9BD3E3E0C28C4CA792338A0FA3AE94FF_11</vt:lpwstr>
  </property>
  <property fmtid="{D5CDD505-2E9C-101B-9397-08002B2CF9AE}" pid="4" name="KSOTemplateDocerSaveRecord">
    <vt:lpwstr>eyJoZGlkIjoiYWFjZjhjYzYwMmQ5OGZiNzljZTRlOTZjYTdiOWQxYzMiLCJ1c2VySWQiOiIyNjAyMDY5MzcifQ==</vt:lpwstr>
  </property>
</Properties>
</file>