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307" w:rsidRDefault="00D74667" w:rsidP="00465307">
      <w:pPr>
        <w:spacing w:after="0" w:line="240" w:lineRule="auto"/>
        <w:ind w:left="567" w:hanging="567"/>
        <w:jc w:val="center"/>
        <w:rPr>
          <w:rFonts w:ascii="Arial" w:hAnsi="Arial" w:cs="Arial"/>
          <w:b/>
          <w:sz w:val="20"/>
          <w:szCs w:val="20"/>
        </w:rPr>
      </w:pPr>
      <w:r w:rsidRPr="009A0902">
        <w:rPr>
          <w:rFonts w:ascii="Arial" w:hAnsi="Arial" w:cs="Arial"/>
          <w:b/>
          <w:sz w:val="20"/>
          <w:szCs w:val="20"/>
        </w:rPr>
        <w:t>References for the t</w:t>
      </w:r>
      <w:r w:rsidR="00465307" w:rsidRPr="009A0902">
        <w:rPr>
          <w:rFonts w:ascii="Arial" w:hAnsi="Arial" w:cs="Arial"/>
          <w:b/>
          <w:sz w:val="20"/>
          <w:szCs w:val="20"/>
        </w:rPr>
        <w:t>rials included</w:t>
      </w:r>
      <w:r w:rsidRPr="009A0902">
        <w:rPr>
          <w:rFonts w:ascii="Arial" w:hAnsi="Arial" w:cs="Arial"/>
          <w:b/>
          <w:sz w:val="20"/>
          <w:szCs w:val="20"/>
        </w:rPr>
        <w:t xml:space="preserve"> in the analysis</w:t>
      </w:r>
    </w:p>
    <w:p w:rsidR="009A0902" w:rsidRPr="009A0902" w:rsidRDefault="009A0902" w:rsidP="00465307">
      <w:pPr>
        <w:spacing w:after="0" w:line="240" w:lineRule="auto"/>
        <w:ind w:left="567" w:hanging="567"/>
        <w:jc w:val="center"/>
        <w:rPr>
          <w:rFonts w:ascii="Arial" w:hAnsi="Arial" w:cs="Arial"/>
          <w:b/>
          <w:sz w:val="20"/>
          <w:szCs w:val="20"/>
        </w:rPr>
      </w:pPr>
    </w:p>
    <w:p w:rsidR="00465307" w:rsidRPr="009A0902" w:rsidRDefault="00465307" w:rsidP="00465307">
      <w:pPr>
        <w:spacing w:after="0" w:line="240" w:lineRule="auto"/>
        <w:ind w:left="567" w:hanging="567"/>
        <w:rPr>
          <w:rFonts w:ascii="Arial" w:hAnsi="Arial" w:cs="Arial"/>
          <w:noProof/>
          <w:sz w:val="20"/>
          <w:szCs w:val="20"/>
        </w:rPr>
      </w:pPr>
      <w:r w:rsidRPr="009A0902">
        <w:rPr>
          <w:rFonts w:ascii="Arial" w:hAnsi="Arial" w:cs="Arial"/>
          <w:sz w:val="20"/>
          <w:szCs w:val="20"/>
        </w:rPr>
        <w:fldChar w:fldCharType="begin"/>
      </w:r>
      <w:r w:rsidRPr="009A0902">
        <w:rPr>
          <w:rFonts w:ascii="Arial" w:hAnsi="Arial" w:cs="Arial"/>
          <w:sz w:val="20"/>
          <w:szCs w:val="20"/>
        </w:rPr>
        <w:instrText xml:space="preserve"> ADDIN EN.REFLIST </w:instrText>
      </w:r>
      <w:r w:rsidRPr="009A0902">
        <w:rPr>
          <w:rFonts w:ascii="Arial" w:hAnsi="Arial" w:cs="Arial"/>
          <w:sz w:val="20"/>
          <w:szCs w:val="20"/>
        </w:rPr>
        <w:fldChar w:fldCharType="separate"/>
      </w:r>
      <w:bookmarkStart w:id="0" w:name="_ENREF_1"/>
      <w:r w:rsidRPr="009A0902">
        <w:rPr>
          <w:rFonts w:ascii="Arial" w:hAnsi="Arial" w:cs="Arial"/>
          <w:noProof/>
          <w:sz w:val="20"/>
          <w:szCs w:val="20"/>
        </w:rPr>
        <w:t>1.</w:t>
      </w:r>
      <w:r w:rsidRPr="009A0902">
        <w:rPr>
          <w:rFonts w:ascii="Arial" w:hAnsi="Arial" w:cs="Arial"/>
          <w:noProof/>
          <w:sz w:val="20"/>
          <w:szCs w:val="20"/>
        </w:rPr>
        <w:tab/>
        <w:t>Abdool Karim S, Naidoo K, Grobler A, Padayatchi N, Baxter C, Gray A, et al. Integration of antiretroviral therapy with tuberculosis treatment. The New England journal of medicine.365(16):1492-501.</w:t>
      </w:r>
      <w:bookmarkEnd w:id="0"/>
    </w:p>
    <w:p w:rsidR="00465307" w:rsidRPr="009A0902" w:rsidRDefault="00465307" w:rsidP="00465307">
      <w:pPr>
        <w:spacing w:after="0" w:line="240" w:lineRule="auto"/>
        <w:ind w:left="567" w:hanging="567"/>
        <w:rPr>
          <w:rFonts w:ascii="Arial" w:hAnsi="Arial" w:cs="Arial"/>
          <w:noProof/>
          <w:sz w:val="20"/>
          <w:szCs w:val="20"/>
        </w:rPr>
      </w:pPr>
      <w:bookmarkStart w:id="1" w:name="_ENREF_2"/>
      <w:r w:rsidRPr="009A0902">
        <w:rPr>
          <w:rFonts w:ascii="Arial" w:hAnsi="Arial" w:cs="Arial"/>
          <w:noProof/>
          <w:sz w:val="20"/>
          <w:szCs w:val="20"/>
        </w:rPr>
        <w:t>2.</w:t>
      </w:r>
      <w:r w:rsidRPr="009A0902">
        <w:rPr>
          <w:rFonts w:ascii="Arial" w:hAnsi="Arial" w:cs="Arial"/>
          <w:noProof/>
          <w:sz w:val="20"/>
          <w:szCs w:val="20"/>
        </w:rPr>
        <w:tab/>
        <w:t>Aberle D, Adams A, Berg C, Black W, Clapp J, Fagerstrom R, et al. Reduced lung-cancer mortality with low-dose computed tomographic screening. The New England journal of medicine.365(5):395-409.</w:t>
      </w:r>
      <w:bookmarkEnd w:id="1"/>
    </w:p>
    <w:p w:rsidR="00465307" w:rsidRPr="009A0902" w:rsidRDefault="00465307" w:rsidP="00465307">
      <w:pPr>
        <w:spacing w:after="0" w:line="240" w:lineRule="auto"/>
        <w:ind w:left="567" w:hanging="567"/>
        <w:rPr>
          <w:rFonts w:ascii="Arial" w:hAnsi="Arial" w:cs="Arial"/>
          <w:noProof/>
          <w:sz w:val="20"/>
          <w:szCs w:val="20"/>
        </w:rPr>
      </w:pPr>
      <w:bookmarkStart w:id="2" w:name="_ENREF_3"/>
      <w:r w:rsidRPr="009A0902">
        <w:rPr>
          <w:rFonts w:ascii="Arial" w:hAnsi="Arial" w:cs="Arial"/>
          <w:noProof/>
          <w:sz w:val="20"/>
          <w:szCs w:val="20"/>
        </w:rPr>
        <w:t>3.</w:t>
      </w:r>
      <w:r w:rsidRPr="009A0902">
        <w:rPr>
          <w:rFonts w:ascii="Arial" w:hAnsi="Arial" w:cs="Arial"/>
          <w:noProof/>
          <w:sz w:val="20"/>
          <w:szCs w:val="20"/>
        </w:rPr>
        <w:tab/>
        <w:t>Agnandji S, Lell B, Soulanoudjingar S, Fernandes J, Abossolo B, Conzelmann C, et al. First results of phase 3 trial of RTS,S/AS01 malaria vaccine in African children. The New England journal of medicine.365(20):1863-75.</w:t>
      </w:r>
      <w:bookmarkEnd w:id="2"/>
    </w:p>
    <w:p w:rsidR="00465307" w:rsidRPr="009A0902" w:rsidRDefault="00465307" w:rsidP="00465307">
      <w:pPr>
        <w:spacing w:after="0" w:line="240" w:lineRule="auto"/>
        <w:ind w:left="567" w:hanging="567"/>
        <w:rPr>
          <w:rFonts w:ascii="Arial" w:hAnsi="Arial" w:cs="Arial"/>
          <w:noProof/>
          <w:sz w:val="20"/>
          <w:szCs w:val="20"/>
        </w:rPr>
      </w:pPr>
      <w:bookmarkStart w:id="3" w:name="_ENREF_4"/>
      <w:r w:rsidRPr="009A0902">
        <w:rPr>
          <w:rFonts w:ascii="Arial" w:hAnsi="Arial" w:cs="Arial"/>
          <w:noProof/>
          <w:sz w:val="20"/>
          <w:szCs w:val="20"/>
        </w:rPr>
        <w:t>4.</w:t>
      </w:r>
      <w:r w:rsidRPr="009A0902">
        <w:rPr>
          <w:rFonts w:ascii="Arial" w:hAnsi="Arial" w:cs="Arial"/>
          <w:noProof/>
          <w:sz w:val="20"/>
          <w:szCs w:val="20"/>
        </w:rPr>
        <w:tab/>
        <w:t>Albert R, Connett J, Bailey W, Casaburi R, Cooper JAD, Criner G, et al. Azithromycin for prevention of exacerbations of COPD. The New England journal of medicine.365(8):689-98.</w:t>
      </w:r>
      <w:bookmarkEnd w:id="3"/>
    </w:p>
    <w:p w:rsidR="00465307" w:rsidRPr="009A0902" w:rsidRDefault="00465307" w:rsidP="00465307">
      <w:pPr>
        <w:spacing w:after="0" w:line="240" w:lineRule="auto"/>
        <w:ind w:left="567" w:hanging="567"/>
        <w:rPr>
          <w:rFonts w:ascii="Arial" w:hAnsi="Arial" w:cs="Arial"/>
          <w:noProof/>
          <w:sz w:val="20"/>
          <w:szCs w:val="20"/>
        </w:rPr>
      </w:pPr>
      <w:bookmarkStart w:id="4" w:name="_ENREF_5"/>
      <w:r w:rsidRPr="009A0902">
        <w:rPr>
          <w:rFonts w:ascii="Arial" w:hAnsi="Arial" w:cs="Arial"/>
          <w:noProof/>
          <w:sz w:val="20"/>
          <w:szCs w:val="20"/>
        </w:rPr>
        <w:t>5.</w:t>
      </w:r>
      <w:r w:rsidRPr="009A0902">
        <w:rPr>
          <w:rFonts w:ascii="Arial" w:hAnsi="Arial" w:cs="Arial"/>
          <w:noProof/>
          <w:sz w:val="20"/>
          <w:szCs w:val="20"/>
        </w:rPr>
        <w:tab/>
        <w:t>Alexander J, Lopes R, James S, Kilaru R, He Y, Mohan P, et al. Apixaban with antiplatelet therapy after acute coronary syndrome. The New England journal of medicine.365(8):699-708.</w:t>
      </w:r>
      <w:bookmarkEnd w:id="4"/>
    </w:p>
    <w:p w:rsidR="00465307" w:rsidRPr="009A0902" w:rsidRDefault="00465307" w:rsidP="00465307">
      <w:pPr>
        <w:spacing w:after="0" w:line="240" w:lineRule="auto"/>
        <w:ind w:left="567" w:hanging="567"/>
        <w:rPr>
          <w:rFonts w:ascii="Arial" w:hAnsi="Arial" w:cs="Arial"/>
          <w:noProof/>
          <w:sz w:val="20"/>
          <w:szCs w:val="20"/>
        </w:rPr>
      </w:pPr>
      <w:bookmarkStart w:id="5" w:name="_ENREF_6"/>
      <w:r w:rsidRPr="009A0902">
        <w:rPr>
          <w:rFonts w:ascii="Arial" w:hAnsi="Arial" w:cs="Arial"/>
          <w:noProof/>
          <w:sz w:val="20"/>
          <w:szCs w:val="20"/>
        </w:rPr>
        <w:t>6.</w:t>
      </w:r>
      <w:r w:rsidRPr="009A0902">
        <w:rPr>
          <w:rFonts w:ascii="Arial" w:hAnsi="Arial" w:cs="Arial"/>
          <w:noProof/>
          <w:sz w:val="20"/>
          <w:szCs w:val="20"/>
        </w:rPr>
        <w:tab/>
        <w:t>Andrews PJD, Avenell A, Noble DW, Campbell MK, Croal BL, Simpson WG, et al. Randomised trial of glutamine, selenium, or both, to supplement parenteral nutrition for critically ill patients. BMJ.  2011-03-17 00:00:00;342.</w:t>
      </w:r>
      <w:bookmarkEnd w:id="5"/>
    </w:p>
    <w:p w:rsidR="00465307" w:rsidRPr="009A0902" w:rsidRDefault="00465307" w:rsidP="00465307">
      <w:pPr>
        <w:spacing w:after="0" w:line="240" w:lineRule="auto"/>
        <w:ind w:left="567" w:hanging="567"/>
        <w:rPr>
          <w:rFonts w:ascii="Arial" w:hAnsi="Arial" w:cs="Arial"/>
          <w:noProof/>
          <w:sz w:val="20"/>
          <w:szCs w:val="20"/>
        </w:rPr>
      </w:pPr>
      <w:bookmarkStart w:id="6" w:name="_ENREF_7"/>
      <w:r w:rsidRPr="009A0902">
        <w:rPr>
          <w:rFonts w:ascii="Arial" w:hAnsi="Arial" w:cs="Arial"/>
          <w:noProof/>
          <w:sz w:val="20"/>
          <w:szCs w:val="20"/>
        </w:rPr>
        <w:t>7.</w:t>
      </w:r>
      <w:r w:rsidRPr="009A0902">
        <w:rPr>
          <w:rFonts w:ascii="Arial" w:hAnsi="Arial" w:cs="Arial"/>
          <w:noProof/>
          <w:sz w:val="20"/>
          <w:szCs w:val="20"/>
        </w:rPr>
        <w:tab/>
        <w:t>Atmar R, Bernstein D, Harro C, Al Ibrahim M, Chen W, Ferreira J, et al. Norovirus vaccine against experimental human Norwalk Virus illness. The New England journal of medicine.365(23):2178-87.</w:t>
      </w:r>
      <w:bookmarkEnd w:id="6"/>
    </w:p>
    <w:p w:rsidR="00465307" w:rsidRPr="009A0902" w:rsidRDefault="00465307" w:rsidP="00465307">
      <w:pPr>
        <w:spacing w:after="0" w:line="240" w:lineRule="auto"/>
        <w:ind w:left="567" w:hanging="567"/>
        <w:rPr>
          <w:rFonts w:ascii="Arial" w:hAnsi="Arial" w:cs="Arial"/>
          <w:noProof/>
          <w:sz w:val="20"/>
          <w:szCs w:val="20"/>
        </w:rPr>
      </w:pPr>
      <w:bookmarkStart w:id="7" w:name="_ENREF_8"/>
      <w:r w:rsidRPr="009A0902">
        <w:rPr>
          <w:rFonts w:ascii="Arial" w:hAnsi="Arial" w:cs="Arial"/>
          <w:noProof/>
          <w:sz w:val="20"/>
          <w:szCs w:val="20"/>
        </w:rPr>
        <w:t>8.</w:t>
      </w:r>
      <w:r w:rsidRPr="009A0902">
        <w:rPr>
          <w:rFonts w:ascii="Arial" w:hAnsi="Arial" w:cs="Arial"/>
          <w:noProof/>
          <w:sz w:val="20"/>
          <w:szCs w:val="20"/>
        </w:rPr>
        <w:tab/>
        <w:t>Bacon B, Gordon S, Lawitz E, Marcellin P, Vierling J, Zeuzem S, et al. Boceprevir for previously treated chronic HCV genotype 1 infection. The New England journal of medicine.364(13):1207-17.</w:t>
      </w:r>
      <w:bookmarkEnd w:id="7"/>
    </w:p>
    <w:p w:rsidR="00465307" w:rsidRPr="009A0902" w:rsidRDefault="00465307" w:rsidP="00465307">
      <w:pPr>
        <w:spacing w:after="0" w:line="240" w:lineRule="auto"/>
        <w:ind w:left="567" w:hanging="567"/>
        <w:rPr>
          <w:rFonts w:ascii="Arial" w:hAnsi="Arial" w:cs="Arial"/>
          <w:noProof/>
          <w:sz w:val="20"/>
          <w:szCs w:val="20"/>
        </w:rPr>
      </w:pPr>
      <w:bookmarkStart w:id="8" w:name="_ENREF_9"/>
      <w:r w:rsidRPr="009A0902">
        <w:rPr>
          <w:rFonts w:ascii="Arial" w:hAnsi="Arial" w:cs="Arial"/>
          <w:noProof/>
          <w:sz w:val="20"/>
          <w:szCs w:val="20"/>
        </w:rPr>
        <w:t>9.</w:t>
      </w:r>
      <w:r w:rsidRPr="009A0902">
        <w:rPr>
          <w:rFonts w:ascii="Arial" w:hAnsi="Arial" w:cs="Arial"/>
          <w:noProof/>
          <w:sz w:val="20"/>
          <w:szCs w:val="20"/>
        </w:rPr>
        <w:tab/>
        <w:t>Baigent C, Landray M, Reith C, Emberson J, Wheeler D, Tomson C, et al. The effects of lowering LDL cholesterol with simvastatin plus ezetimibe in patients with chronic kidney disease (Study of Heart and Renal Protection): a randomised placebo-controlled trial. Lancet.377(9784):2181-92.</w:t>
      </w:r>
      <w:bookmarkEnd w:id="8"/>
    </w:p>
    <w:p w:rsidR="00465307" w:rsidRPr="009A0902" w:rsidRDefault="00465307" w:rsidP="00465307">
      <w:pPr>
        <w:spacing w:after="0" w:line="240" w:lineRule="auto"/>
        <w:ind w:left="567" w:hanging="567"/>
        <w:rPr>
          <w:rFonts w:ascii="Arial" w:hAnsi="Arial" w:cs="Arial"/>
          <w:noProof/>
          <w:sz w:val="20"/>
          <w:szCs w:val="20"/>
        </w:rPr>
      </w:pPr>
      <w:bookmarkStart w:id="9" w:name="_ENREF_10"/>
      <w:r w:rsidRPr="009A0902">
        <w:rPr>
          <w:rFonts w:ascii="Arial" w:hAnsi="Arial" w:cs="Arial"/>
          <w:noProof/>
          <w:sz w:val="20"/>
          <w:szCs w:val="20"/>
        </w:rPr>
        <w:t>10.</w:t>
      </w:r>
      <w:r w:rsidRPr="009A0902">
        <w:rPr>
          <w:rFonts w:ascii="Arial" w:hAnsi="Arial" w:cs="Arial"/>
          <w:noProof/>
          <w:sz w:val="20"/>
          <w:szCs w:val="20"/>
        </w:rPr>
        <w:tab/>
        <w:t>Banerjee S, Hellier J, Dewey M, Romeo R, Ballard C, Baldwin R, et al. Sertraline or mirtazapine for depression in dementia (HTA-SADD): a randomised, multicentre, double-blind, placebo-controlled trial. Lancet.378(9789):403-11.</w:t>
      </w:r>
      <w:bookmarkEnd w:id="9"/>
    </w:p>
    <w:p w:rsidR="00465307" w:rsidRPr="009A0902" w:rsidRDefault="00465307" w:rsidP="00465307">
      <w:pPr>
        <w:spacing w:after="0" w:line="240" w:lineRule="auto"/>
        <w:ind w:left="567" w:hanging="567"/>
        <w:rPr>
          <w:rFonts w:ascii="Arial" w:hAnsi="Arial" w:cs="Arial"/>
          <w:noProof/>
          <w:sz w:val="20"/>
          <w:szCs w:val="20"/>
        </w:rPr>
      </w:pPr>
      <w:bookmarkStart w:id="10" w:name="_ENREF_11"/>
      <w:r w:rsidRPr="009A0902">
        <w:rPr>
          <w:rFonts w:ascii="Arial" w:hAnsi="Arial" w:cs="Arial"/>
          <w:noProof/>
          <w:sz w:val="20"/>
          <w:szCs w:val="20"/>
        </w:rPr>
        <w:t>11.</w:t>
      </w:r>
      <w:r w:rsidRPr="009A0902">
        <w:rPr>
          <w:rFonts w:ascii="Arial" w:hAnsi="Arial" w:cs="Arial"/>
          <w:noProof/>
          <w:sz w:val="20"/>
          <w:szCs w:val="20"/>
        </w:rPr>
        <w:tab/>
        <w:t>Bari A, Sadruddin S, Khan A, Khan IuH, Lehri I, Macleod W, et al. Community case management of severe pneumonia with oral amoxicillin in children aged 2-59 months in Haripur district, Pakistan: a cluster randomised trial. Lancet.378(9805):1796-803.</w:t>
      </w:r>
      <w:bookmarkEnd w:id="10"/>
    </w:p>
    <w:p w:rsidR="00465307" w:rsidRPr="009A0902" w:rsidRDefault="00465307" w:rsidP="00465307">
      <w:pPr>
        <w:spacing w:after="0" w:line="240" w:lineRule="auto"/>
        <w:ind w:left="567" w:hanging="567"/>
        <w:rPr>
          <w:rFonts w:ascii="Arial" w:hAnsi="Arial" w:cs="Arial"/>
          <w:noProof/>
          <w:sz w:val="20"/>
          <w:szCs w:val="20"/>
        </w:rPr>
      </w:pPr>
      <w:bookmarkStart w:id="11" w:name="_ENREF_12"/>
      <w:r w:rsidRPr="009A0902">
        <w:rPr>
          <w:rFonts w:ascii="Arial" w:hAnsi="Arial" w:cs="Arial"/>
          <w:noProof/>
          <w:sz w:val="20"/>
          <w:szCs w:val="20"/>
        </w:rPr>
        <w:t>12.</w:t>
      </w:r>
      <w:r w:rsidRPr="009A0902">
        <w:rPr>
          <w:rFonts w:ascii="Arial" w:hAnsi="Arial" w:cs="Arial"/>
          <w:noProof/>
          <w:sz w:val="20"/>
          <w:szCs w:val="20"/>
        </w:rPr>
        <w:tab/>
        <w:t>Barrett PN, Berezuk G, Fritsch S, Aichinger G, Hart M, El Amin W, et al. Efficacy, safety, and immunogenicity of a Vero-cell-culture-derived trivalent influenza vaccine: a multicentre, double-blind, randomised, placebo-controlled trial. Lancet.377(9767):751-9.</w:t>
      </w:r>
      <w:bookmarkEnd w:id="11"/>
    </w:p>
    <w:p w:rsidR="00465307" w:rsidRPr="009A0902" w:rsidRDefault="00465307" w:rsidP="00465307">
      <w:pPr>
        <w:spacing w:after="0" w:line="240" w:lineRule="auto"/>
        <w:ind w:left="567" w:hanging="567"/>
        <w:rPr>
          <w:rFonts w:ascii="Arial" w:hAnsi="Arial" w:cs="Arial"/>
          <w:noProof/>
          <w:sz w:val="20"/>
          <w:szCs w:val="20"/>
        </w:rPr>
      </w:pPr>
      <w:bookmarkStart w:id="12" w:name="_ENREF_13"/>
      <w:r w:rsidRPr="009A0902">
        <w:rPr>
          <w:rFonts w:ascii="Arial" w:hAnsi="Arial" w:cs="Arial"/>
          <w:noProof/>
          <w:sz w:val="20"/>
          <w:szCs w:val="20"/>
        </w:rPr>
        <w:t>13.</w:t>
      </w:r>
      <w:r w:rsidRPr="009A0902">
        <w:rPr>
          <w:rFonts w:ascii="Arial" w:hAnsi="Arial" w:cs="Arial"/>
          <w:noProof/>
          <w:sz w:val="20"/>
          <w:szCs w:val="20"/>
        </w:rPr>
        <w:tab/>
        <w:t>Bawaskar HS, Bawaskar PH. Efficacy and safety of scorpion antivenom plus prazosin compared with prazosin alone for venomous scorpion (Mesobuthus tamulus) sting: randomised open label clinical trial. BMJ.  2011-01-05 00:00:00;342.</w:t>
      </w:r>
      <w:bookmarkEnd w:id="12"/>
    </w:p>
    <w:p w:rsidR="00465307" w:rsidRPr="009A0902" w:rsidRDefault="00465307" w:rsidP="00465307">
      <w:pPr>
        <w:spacing w:after="0" w:line="240" w:lineRule="auto"/>
        <w:ind w:left="567" w:hanging="567"/>
        <w:rPr>
          <w:rFonts w:ascii="Arial" w:hAnsi="Arial" w:cs="Arial"/>
          <w:noProof/>
          <w:sz w:val="20"/>
          <w:szCs w:val="20"/>
        </w:rPr>
      </w:pPr>
      <w:bookmarkStart w:id="13" w:name="_ENREF_14"/>
      <w:r w:rsidRPr="009A0902">
        <w:rPr>
          <w:rFonts w:ascii="Arial" w:hAnsi="Arial" w:cs="Arial"/>
          <w:noProof/>
          <w:sz w:val="20"/>
          <w:szCs w:val="20"/>
        </w:rPr>
        <w:t>14.</w:t>
      </w:r>
      <w:r w:rsidRPr="009A0902">
        <w:rPr>
          <w:rFonts w:ascii="Arial" w:hAnsi="Arial" w:cs="Arial"/>
          <w:noProof/>
          <w:sz w:val="20"/>
          <w:szCs w:val="20"/>
        </w:rPr>
        <w:tab/>
        <w:t>Belch J, Hiatt W, Baumgartner I, Driver IV, Nikol S, Norgren L, et al. Effect of fibroblast growth factor NV1FGF on amputation and death: a randomised placebo-controlled trial of gene therapy in critical limb ischaemia. Lancet.377(9781):1929-37.</w:t>
      </w:r>
      <w:bookmarkEnd w:id="13"/>
    </w:p>
    <w:p w:rsidR="00465307" w:rsidRPr="009A0902" w:rsidRDefault="00465307" w:rsidP="00465307">
      <w:pPr>
        <w:spacing w:after="0" w:line="240" w:lineRule="auto"/>
        <w:ind w:left="567" w:hanging="567"/>
        <w:rPr>
          <w:rFonts w:ascii="Arial" w:hAnsi="Arial" w:cs="Arial"/>
          <w:noProof/>
          <w:sz w:val="20"/>
          <w:szCs w:val="20"/>
        </w:rPr>
      </w:pPr>
      <w:bookmarkStart w:id="14" w:name="_ENREF_15"/>
      <w:r w:rsidRPr="009A0902">
        <w:rPr>
          <w:rFonts w:ascii="Arial" w:hAnsi="Arial" w:cs="Arial"/>
          <w:noProof/>
          <w:sz w:val="20"/>
          <w:szCs w:val="20"/>
        </w:rPr>
        <w:t>15.</w:t>
      </w:r>
      <w:r w:rsidRPr="009A0902">
        <w:rPr>
          <w:rFonts w:ascii="Arial" w:hAnsi="Arial" w:cs="Arial"/>
          <w:noProof/>
          <w:sz w:val="20"/>
          <w:szCs w:val="20"/>
        </w:rPr>
        <w:tab/>
        <w:t>Blanc F-X, Sok T, Laureillard D, Borand L, Rekacewicz C, Nerrienet E, et al. Earlier versus later start of antiretroviral therapy in HIV-infected adults with tuberculosis. The New England journal of medicine.365(16):1471-81.</w:t>
      </w:r>
      <w:bookmarkEnd w:id="14"/>
    </w:p>
    <w:p w:rsidR="00465307" w:rsidRPr="009A0902" w:rsidRDefault="00465307" w:rsidP="00465307">
      <w:pPr>
        <w:spacing w:after="0" w:line="240" w:lineRule="auto"/>
        <w:ind w:left="567" w:hanging="567"/>
        <w:rPr>
          <w:rFonts w:ascii="Arial" w:hAnsi="Arial" w:cs="Arial"/>
          <w:noProof/>
          <w:sz w:val="20"/>
          <w:szCs w:val="20"/>
        </w:rPr>
      </w:pPr>
      <w:bookmarkStart w:id="15" w:name="_ENREF_16"/>
      <w:r w:rsidRPr="009A0902">
        <w:rPr>
          <w:rFonts w:ascii="Arial" w:hAnsi="Arial" w:cs="Arial"/>
          <w:noProof/>
          <w:sz w:val="20"/>
          <w:szCs w:val="20"/>
        </w:rPr>
        <w:t>16.</w:t>
      </w:r>
      <w:r w:rsidRPr="009A0902">
        <w:rPr>
          <w:rFonts w:ascii="Arial" w:hAnsi="Arial" w:cs="Arial"/>
          <w:noProof/>
          <w:sz w:val="20"/>
          <w:szCs w:val="20"/>
        </w:rPr>
        <w:tab/>
        <w:t>Boden W, Probstfield J, Anderson T, Chaitman B, Desvignes Nickens P, Koprowicz K, et al. Niacin in patients with low HDL cholesterol levels receiving intensive statin therapy. The New England journal of medicine.365(24):2255-67.</w:t>
      </w:r>
      <w:bookmarkEnd w:id="15"/>
    </w:p>
    <w:p w:rsidR="00465307" w:rsidRPr="009A0902" w:rsidRDefault="00465307" w:rsidP="00465307">
      <w:pPr>
        <w:spacing w:after="0" w:line="240" w:lineRule="auto"/>
        <w:ind w:left="567" w:hanging="567"/>
        <w:rPr>
          <w:rFonts w:ascii="Arial" w:hAnsi="Arial" w:cs="Arial"/>
          <w:noProof/>
          <w:sz w:val="20"/>
          <w:szCs w:val="20"/>
        </w:rPr>
      </w:pPr>
      <w:bookmarkStart w:id="16" w:name="_ENREF_17"/>
      <w:r w:rsidRPr="009A0902">
        <w:rPr>
          <w:rFonts w:ascii="Arial" w:hAnsi="Arial" w:cs="Arial"/>
          <w:noProof/>
          <w:sz w:val="20"/>
          <w:szCs w:val="20"/>
        </w:rPr>
        <w:t>17.</w:t>
      </w:r>
      <w:r w:rsidRPr="009A0902">
        <w:rPr>
          <w:rFonts w:ascii="Arial" w:hAnsi="Arial" w:cs="Arial"/>
          <w:noProof/>
          <w:sz w:val="20"/>
          <w:szCs w:val="20"/>
        </w:rPr>
        <w:tab/>
        <w:t>Bojang K, Akor F, Conteh L, Webb E, Bittaye O, Conway D, et al. Two strategies for the delivery of IPTc in an area of seasonal malaria transmission in the Gambia: a randomised controlled trial. PLoS Medicine.8(2):e1000409-e.</w:t>
      </w:r>
      <w:bookmarkEnd w:id="16"/>
    </w:p>
    <w:p w:rsidR="00465307" w:rsidRPr="009A0902" w:rsidRDefault="00465307" w:rsidP="00465307">
      <w:pPr>
        <w:spacing w:after="0" w:line="240" w:lineRule="auto"/>
        <w:ind w:left="567" w:hanging="567"/>
        <w:rPr>
          <w:rFonts w:ascii="Arial" w:hAnsi="Arial" w:cs="Arial"/>
          <w:noProof/>
          <w:sz w:val="20"/>
          <w:szCs w:val="20"/>
        </w:rPr>
      </w:pPr>
      <w:bookmarkStart w:id="17" w:name="_ENREF_18"/>
      <w:r w:rsidRPr="009A0902">
        <w:rPr>
          <w:rFonts w:ascii="Arial" w:hAnsi="Arial" w:cs="Arial"/>
          <w:noProof/>
          <w:sz w:val="20"/>
          <w:szCs w:val="20"/>
        </w:rPr>
        <w:t>18.</w:t>
      </w:r>
      <w:r w:rsidRPr="009A0902">
        <w:rPr>
          <w:rFonts w:ascii="Arial" w:hAnsi="Arial" w:cs="Arial"/>
          <w:noProof/>
          <w:sz w:val="20"/>
          <w:szCs w:val="20"/>
        </w:rPr>
        <w:tab/>
        <w:t>Bousser M-G, Amarenco P, Chamorro A, Fisher M, Ford I, Fox K, et al. Terutroban versus aspirin in patients with cerebral ischaemic events (PERFORM): a randomised, double-blind, parallel-group trial. Lancet.377(9782):2013-22.</w:t>
      </w:r>
      <w:bookmarkEnd w:id="17"/>
    </w:p>
    <w:p w:rsidR="00465307" w:rsidRPr="009A0902" w:rsidRDefault="00465307" w:rsidP="00465307">
      <w:pPr>
        <w:spacing w:after="0" w:line="240" w:lineRule="auto"/>
        <w:ind w:left="567" w:hanging="567"/>
        <w:rPr>
          <w:rFonts w:ascii="Arial" w:hAnsi="Arial" w:cs="Arial"/>
          <w:noProof/>
          <w:sz w:val="20"/>
          <w:szCs w:val="20"/>
        </w:rPr>
      </w:pPr>
      <w:bookmarkStart w:id="18" w:name="_ENREF_19"/>
      <w:r w:rsidRPr="009A0902">
        <w:rPr>
          <w:rFonts w:ascii="Arial" w:hAnsi="Arial" w:cs="Arial"/>
          <w:noProof/>
          <w:sz w:val="20"/>
          <w:szCs w:val="20"/>
        </w:rPr>
        <w:t>19.</w:t>
      </w:r>
      <w:r w:rsidRPr="009A0902">
        <w:rPr>
          <w:rFonts w:ascii="Arial" w:hAnsi="Arial" w:cs="Arial"/>
          <w:noProof/>
          <w:sz w:val="20"/>
          <w:szCs w:val="20"/>
        </w:rPr>
        <w:tab/>
        <w:t>Brocklehurst P, Farrell B, King A, Juszczak E, Darlow B, Haque K, et al. Treatment of neonatal sepsis with intravenous immune globulin. The New England journal of medicine.365(13):1201-11.</w:t>
      </w:r>
      <w:bookmarkEnd w:id="18"/>
    </w:p>
    <w:p w:rsidR="00465307" w:rsidRPr="009A0902" w:rsidRDefault="00465307" w:rsidP="00465307">
      <w:pPr>
        <w:spacing w:after="0" w:line="240" w:lineRule="auto"/>
        <w:ind w:left="567" w:hanging="567"/>
        <w:rPr>
          <w:rFonts w:ascii="Arial" w:hAnsi="Arial" w:cs="Arial"/>
          <w:noProof/>
          <w:sz w:val="20"/>
          <w:szCs w:val="20"/>
        </w:rPr>
      </w:pPr>
      <w:bookmarkStart w:id="19" w:name="_ENREF_20"/>
      <w:r w:rsidRPr="009A0902">
        <w:rPr>
          <w:rFonts w:ascii="Arial" w:hAnsi="Arial" w:cs="Arial"/>
          <w:noProof/>
          <w:sz w:val="20"/>
          <w:szCs w:val="20"/>
        </w:rPr>
        <w:t>20.</w:t>
      </w:r>
      <w:r w:rsidRPr="009A0902">
        <w:rPr>
          <w:rFonts w:ascii="Arial" w:hAnsi="Arial" w:cs="Arial"/>
          <w:noProof/>
          <w:sz w:val="20"/>
          <w:szCs w:val="20"/>
        </w:rPr>
        <w:tab/>
        <w:t>Brown M, McInnes G, Papst C, Zhang J, MacDonald T. Aliskiren and the calcium channel blocker amlodipine combination as an initial treatment strategy for hypertension control (ACCELERATE): a randomised, parallel-group trial. Lancet.377(9762):312-20.</w:t>
      </w:r>
      <w:bookmarkEnd w:id="19"/>
    </w:p>
    <w:p w:rsidR="00465307" w:rsidRPr="009A0902" w:rsidRDefault="00465307" w:rsidP="00465307">
      <w:pPr>
        <w:spacing w:after="0" w:line="240" w:lineRule="auto"/>
        <w:ind w:left="567" w:hanging="567"/>
        <w:rPr>
          <w:rFonts w:ascii="Arial" w:hAnsi="Arial" w:cs="Arial"/>
          <w:noProof/>
          <w:sz w:val="20"/>
          <w:szCs w:val="20"/>
        </w:rPr>
      </w:pPr>
      <w:bookmarkStart w:id="20" w:name="_ENREF_21"/>
      <w:r w:rsidRPr="009A0902">
        <w:rPr>
          <w:rFonts w:ascii="Arial" w:hAnsi="Arial" w:cs="Arial"/>
          <w:noProof/>
          <w:sz w:val="20"/>
          <w:szCs w:val="20"/>
        </w:rPr>
        <w:t>21.</w:t>
      </w:r>
      <w:r w:rsidRPr="009A0902">
        <w:rPr>
          <w:rFonts w:ascii="Arial" w:hAnsi="Arial" w:cs="Arial"/>
          <w:noProof/>
          <w:sz w:val="20"/>
          <w:szCs w:val="20"/>
        </w:rPr>
        <w:tab/>
        <w:t>Budde K, Becker T, Arns W, Sommerer C, Reinke P, Eisenberger U, et al. Everolimus-based, calcineurin-inhibitor-free regimen in recipients of de-novo kidney transplants: an open-label, randomised, controlled trial. Lancet.377(9768):837-47.</w:t>
      </w:r>
      <w:bookmarkEnd w:id="20"/>
    </w:p>
    <w:p w:rsidR="00465307" w:rsidRPr="009A0902" w:rsidRDefault="00465307" w:rsidP="00465307">
      <w:pPr>
        <w:spacing w:after="0" w:line="240" w:lineRule="auto"/>
        <w:ind w:left="567" w:hanging="567"/>
        <w:rPr>
          <w:rFonts w:ascii="Arial" w:hAnsi="Arial" w:cs="Arial"/>
          <w:noProof/>
          <w:sz w:val="20"/>
          <w:szCs w:val="20"/>
        </w:rPr>
      </w:pPr>
      <w:bookmarkStart w:id="21" w:name="_ENREF_22"/>
      <w:r w:rsidRPr="009A0902">
        <w:rPr>
          <w:rFonts w:ascii="Arial" w:hAnsi="Arial" w:cs="Arial"/>
          <w:noProof/>
          <w:sz w:val="20"/>
          <w:szCs w:val="20"/>
        </w:rPr>
        <w:t>22.</w:t>
      </w:r>
      <w:r w:rsidRPr="009A0902">
        <w:rPr>
          <w:rFonts w:ascii="Arial" w:hAnsi="Arial" w:cs="Arial"/>
          <w:noProof/>
          <w:sz w:val="20"/>
          <w:szCs w:val="20"/>
        </w:rPr>
        <w:tab/>
        <w:t>Bulbulia R, Bowman L, Wallendszus K, Parish S, Armitage J, Peto R, et al. Effects on 11-year mortality and morbidity of lowering LDL cholesterol with simvastatin for about 5 years in 20,536 high-risk individuals: a randomised controlled trial. Lancet.378(9808):2013-20.</w:t>
      </w:r>
      <w:bookmarkEnd w:id="21"/>
    </w:p>
    <w:p w:rsidR="00465307" w:rsidRPr="009A0902" w:rsidRDefault="00465307" w:rsidP="00465307">
      <w:pPr>
        <w:spacing w:after="0" w:line="240" w:lineRule="auto"/>
        <w:ind w:left="567" w:hanging="567"/>
        <w:rPr>
          <w:rFonts w:ascii="Arial" w:hAnsi="Arial" w:cs="Arial"/>
          <w:noProof/>
          <w:sz w:val="20"/>
          <w:szCs w:val="20"/>
        </w:rPr>
      </w:pPr>
      <w:bookmarkStart w:id="22" w:name="_ENREF_23"/>
      <w:r w:rsidRPr="009A0902">
        <w:rPr>
          <w:rFonts w:ascii="Arial" w:hAnsi="Arial" w:cs="Arial"/>
          <w:noProof/>
          <w:sz w:val="20"/>
          <w:szCs w:val="20"/>
        </w:rPr>
        <w:t>23.</w:t>
      </w:r>
      <w:r w:rsidRPr="009A0902">
        <w:rPr>
          <w:rFonts w:ascii="Arial" w:hAnsi="Arial" w:cs="Arial"/>
          <w:noProof/>
          <w:sz w:val="20"/>
          <w:szCs w:val="20"/>
        </w:rPr>
        <w:tab/>
        <w:t>Burger R, Brady M, Bookman M, Fleming G, Monk B, Huang H, et al. Incorporation of bevacizumab in the primary treatment of ovarian cancer. The New England journal of medicine.365(26):2473-83.</w:t>
      </w:r>
      <w:bookmarkEnd w:id="22"/>
    </w:p>
    <w:p w:rsidR="00465307" w:rsidRPr="009A0902" w:rsidRDefault="00465307" w:rsidP="00465307">
      <w:pPr>
        <w:spacing w:after="0" w:line="240" w:lineRule="auto"/>
        <w:ind w:left="567" w:hanging="567"/>
        <w:rPr>
          <w:rFonts w:ascii="Arial" w:hAnsi="Arial" w:cs="Arial"/>
          <w:noProof/>
          <w:sz w:val="20"/>
          <w:szCs w:val="20"/>
        </w:rPr>
      </w:pPr>
      <w:bookmarkStart w:id="23" w:name="_ENREF_24"/>
      <w:r w:rsidRPr="009A0902">
        <w:rPr>
          <w:rFonts w:ascii="Arial" w:hAnsi="Arial" w:cs="Arial"/>
          <w:noProof/>
          <w:sz w:val="20"/>
          <w:szCs w:val="20"/>
        </w:rPr>
        <w:lastRenderedPageBreak/>
        <w:t>24.</w:t>
      </w:r>
      <w:r w:rsidRPr="009A0902">
        <w:rPr>
          <w:rFonts w:ascii="Arial" w:hAnsi="Arial" w:cs="Arial"/>
          <w:noProof/>
          <w:sz w:val="20"/>
          <w:szCs w:val="20"/>
        </w:rPr>
        <w:tab/>
        <w:t>Burn J, Gerdes A-M, Macrae F, Mecklin J-P, Moeslein G, Olschwang S, et al. Long-term effect of aspirin on cancer risk in carriers of hereditary colorectal cancer: an analysis from the CAPP2 randomised controlled trial. Lancet.378(9809):2081-7.</w:t>
      </w:r>
      <w:bookmarkEnd w:id="23"/>
    </w:p>
    <w:p w:rsidR="00465307" w:rsidRPr="009A0902" w:rsidRDefault="00465307" w:rsidP="00465307">
      <w:pPr>
        <w:spacing w:after="0" w:line="240" w:lineRule="auto"/>
        <w:ind w:left="567" w:hanging="567"/>
        <w:rPr>
          <w:rFonts w:ascii="Arial" w:hAnsi="Arial" w:cs="Arial"/>
          <w:noProof/>
          <w:sz w:val="20"/>
          <w:szCs w:val="20"/>
        </w:rPr>
      </w:pPr>
      <w:bookmarkStart w:id="24" w:name="_ENREF_25"/>
      <w:r w:rsidRPr="009A0902">
        <w:rPr>
          <w:rFonts w:ascii="Arial" w:hAnsi="Arial" w:cs="Arial"/>
          <w:noProof/>
          <w:sz w:val="20"/>
          <w:szCs w:val="20"/>
        </w:rPr>
        <w:t>25.</w:t>
      </w:r>
      <w:r w:rsidRPr="009A0902">
        <w:rPr>
          <w:rFonts w:ascii="Arial" w:hAnsi="Arial" w:cs="Arial"/>
          <w:noProof/>
          <w:sz w:val="20"/>
          <w:szCs w:val="20"/>
        </w:rPr>
        <w:tab/>
        <w:t>Burt R, Shah S, Dill K, Grant T, Gheorghiade M, Schroeder J, et al. Autologous non-myeloablative haemopoietic stem-cell transplantation compared with pulse cyclophosphamide once per month for systemic sclerosis (ASSIST): an open-label, randomised phase 2 trial. Lancet.378(9790):498-506.</w:t>
      </w:r>
      <w:bookmarkEnd w:id="24"/>
    </w:p>
    <w:p w:rsidR="00465307" w:rsidRPr="009A0902" w:rsidRDefault="00465307" w:rsidP="00465307">
      <w:pPr>
        <w:spacing w:after="0" w:line="240" w:lineRule="auto"/>
        <w:ind w:left="567" w:hanging="567"/>
        <w:rPr>
          <w:rFonts w:ascii="Arial" w:hAnsi="Arial" w:cs="Arial"/>
          <w:noProof/>
          <w:sz w:val="20"/>
          <w:szCs w:val="20"/>
        </w:rPr>
      </w:pPr>
      <w:bookmarkStart w:id="25" w:name="_ENREF_26"/>
      <w:r w:rsidRPr="009A0902">
        <w:rPr>
          <w:rFonts w:ascii="Arial" w:hAnsi="Arial" w:cs="Arial"/>
          <w:noProof/>
          <w:sz w:val="20"/>
          <w:szCs w:val="20"/>
        </w:rPr>
        <w:t>26.</w:t>
      </w:r>
      <w:r w:rsidRPr="009A0902">
        <w:rPr>
          <w:rFonts w:ascii="Arial" w:hAnsi="Arial" w:cs="Arial"/>
          <w:noProof/>
          <w:sz w:val="20"/>
          <w:szCs w:val="20"/>
        </w:rPr>
        <w:tab/>
        <w:t>Busse W, Morgan W, Gergen P, Mitchell H, Gern J, Liu A, et al. Randomized trial of omalizumab (anti-IgE) for asthma in inner-city children. The New England journal of medicine.364(11):1005-15.</w:t>
      </w:r>
      <w:bookmarkEnd w:id="25"/>
    </w:p>
    <w:p w:rsidR="00465307" w:rsidRPr="009A0902" w:rsidRDefault="00465307" w:rsidP="00465307">
      <w:pPr>
        <w:spacing w:after="0" w:line="240" w:lineRule="auto"/>
        <w:ind w:left="567" w:hanging="567"/>
        <w:rPr>
          <w:rFonts w:ascii="Arial" w:hAnsi="Arial" w:cs="Arial"/>
          <w:noProof/>
          <w:sz w:val="20"/>
          <w:szCs w:val="20"/>
        </w:rPr>
      </w:pPr>
      <w:bookmarkStart w:id="26" w:name="_ENREF_27"/>
      <w:r w:rsidRPr="009A0902">
        <w:rPr>
          <w:rFonts w:ascii="Arial" w:hAnsi="Arial" w:cs="Arial"/>
          <w:noProof/>
          <w:sz w:val="20"/>
          <w:szCs w:val="20"/>
        </w:rPr>
        <w:t>27.</w:t>
      </w:r>
      <w:r w:rsidRPr="009A0902">
        <w:rPr>
          <w:rFonts w:ascii="Arial" w:hAnsi="Arial" w:cs="Arial"/>
          <w:noProof/>
          <w:sz w:val="20"/>
          <w:szCs w:val="20"/>
        </w:rPr>
        <w:tab/>
        <w:t>Chapman P, Hauschild A, Robert C, Haanen J, Ascierto P, Larkin J, et al. Improved survival with vemurafenib in melanoma with BRAF V600E mutation. The New England journal of medicine.364(26):2507-16.</w:t>
      </w:r>
      <w:bookmarkEnd w:id="26"/>
    </w:p>
    <w:p w:rsidR="00465307" w:rsidRPr="009A0902" w:rsidRDefault="00465307" w:rsidP="00465307">
      <w:pPr>
        <w:spacing w:after="0" w:line="240" w:lineRule="auto"/>
        <w:ind w:left="567" w:hanging="567"/>
        <w:rPr>
          <w:rFonts w:ascii="Arial" w:hAnsi="Arial" w:cs="Arial"/>
          <w:noProof/>
          <w:sz w:val="20"/>
          <w:szCs w:val="20"/>
        </w:rPr>
      </w:pPr>
      <w:bookmarkStart w:id="27" w:name="_ENREF_28"/>
      <w:r w:rsidRPr="009A0902">
        <w:rPr>
          <w:rFonts w:ascii="Arial" w:hAnsi="Arial" w:cs="Arial"/>
          <w:noProof/>
          <w:sz w:val="20"/>
          <w:szCs w:val="20"/>
        </w:rPr>
        <w:t>28.</w:t>
      </w:r>
      <w:r w:rsidRPr="009A0902">
        <w:rPr>
          <w:rFonts w:ascii="Arial" w:hAnsi="Arial" w:cs="Arial"/>
          <w:noProof/>
          <w:sz w:val="20"/>
          <w:szCs w:val="20"/>
        </w:rPr>
        <w:tab/>
        <w:t>Cheng G, Saleh M, Marcher C, Vasey S, Mayer B, Aivado M, et al. Eltrombopag for management of chronic immune thrombocytopenia (RAISE): a 6-month, randomised, phase 3 study. Lancet.377(9763):393-402.</w:t>
      </w:r>
      <w:bookmarkEnd w:id="27"/>
    </w:p>
    <w:p w:rsidR="00465307" w:rsidRPr="009A0902" w:rsidRDefault="00465307" w:rsidP="00465307">
      <w:pPr>
        <w:spacing w:after="0" w:line="240" w:lineRule="auto"/>
        <w:ind w:left="567" w:hanging="567"/>
        <w:rPr>
          <w:rFonts w:ascii="Arial" w:hAnsi="Arial" w:cs="Arial"/>
          <w:noProof/>
          <w:sz w:val="20"/>
          <w:szCs w:val="20"/>
        </w:rPr>
      </w:pPr>
      <w:bookmarkStart w:id="28" w:name="_ENREF_29"/>
      <w:r w:rsidRPr="009A0902">
        <w:rPr>
          <w:rFonts w:ascii="Arial" w:hAnsi="Arial" w:cs="Arial"/>
          <w:noProof/>
          <w:sz w:val="20"/>
          <w:szCs w:val="20"/>
        </w:rPr>
        <w:t>29.</w:t>
      </w:r>
      <w:r w:rsidRPr="009A0902">
        <w:rPr>
          <w:rFonts w:ascii="Arial" w:hAnsi="Arial" w:cs="Arial"/>
          <w:noProof/>
          <w:sz w:val="20"/>
          <w:szCs w:val="20"/>
        </w:rPr>
        <w:tab/>
        <w:t>Chimowitz M, Lynn M, Derdeyn C, Turan T, Fiorella D, Lane B, et al. Stenting versus aggressive medical therapy for intracranial arterial stenosis. The New England journal of medicine.365(11):993-1003.</w:t>
      </w:r>
      <w:bookmarkEnd w:id="28"/>
    </w:p>
    <w:p w:rsidR="00465307" w:rsidRPr="009A0902" w:rsidRDefault="00465307" w:rsidP="00465307">
      <w:pPr>
        <w:spacing w:after="0" w:line="240" w:lineRule="auto"/>
        <w:ind w:left="567" w:hanging="567"/>
        <w:rPr>
          <w:rFonts w:ascii="Arial" w:hAnsi="Arial" w:cs="Arial"/>
          <w:noProof/>
          <w:sz w:val="20"/>
          <w:szCs w:val="20"/>
        </w:rPr>
      </w:pPr>
      <w:bookmarkStart w:id="29" w:name="_ENREF_30"/>
      <w:r w:rsidRPr="009A0902">
        <w:rPr>
          <w:rFonts w:ascii="Arial" w:hAnsi="Arial" w:cs="Arial"/>
          <w:noProof/>
          <w:sz w:val="20"/>
          <w:szCs w:val="20"/>
        </w:rPr>
        <w:t>30.</w:t>
      </w:r>
      <w:r w:rsidRPr="009A0902">
        <w:rPr>
          <w:rFonts w:ascii="Arial" w:hAnsi="Arial" w:cs="Arial"/>
          <w:noProof/>
          <w:sz w:val="20"/>
          <w:szCs w:val="20"/>
        </w:rPr>
        <w:tab/>
        <w:t>Cockayne S, Hewitt C, Hicks K, Jayakody S, Kangâ€™ombe AR, Stamuli E, et al. Cryotherapy versus salicylic acid for the treatment of plantar warts (verrucae): a randomised controlled trial. BMJ.  2011-06-07 00:00:00;342.</w:t>
      </w:r>
      <w:bookmarkEnd w:id="29"/>
    </w:p>
    <w:p w:rsidR="00465307" w:rsidRPr="009A0902" w:rsidRDefault="00465307" w:rsidP="00465307">
      <w:pPr>
        <w:spacing w:after="0" w:line="240" w:lineRule="auto"/>
        <w:ind w:left="567" w:hanging="567"/>
        <w:rPr>
          <w:rFonts w:ascii="Arial" w:hAnsi="Arial" w:cs="Arial"/>
          <w:noProof/>
          <w:sz w:val="20"/>
          <w:szCs w:val="20"/>
        </w:rPr>
      </w:pPr>
      <w:bookmarkStart w:id="30" w:name="_ENREF_31"/>
      <w:r w:rsidRPr="009A0902">
        <w:rPr>
          <w:rFonts w:ascii="Arial" w:hAnsi="Arial" w:cs="Arial"/>
          <w:noProof/>
          <w:sz w:val="20"/>
          <w:szCs w:val="20"/>
        </w:rPr>
        <w:t>31.</w:t>
      </w:r>
      <w:r w:rsidRPr="009A0902">
        <w:rPr>
          <w:rFonts w:ascii="Arial" w:hAnsi="Arial" w:cs="Arial"/>
          <w:noProof/>
          <w:sz w:val="20"/>
          <w:szCs w:val="20"/>
        </w:rPr>
        <w:tab/>
        <w:t>Cohen C, Andrade Villanueva J, Clotet B, Fourie J, Johnson M, Ruxrungtham K, et al. Rilpivirine versus efavirenz with two background nucleoside or nucleotide reverse transcriptase inhibitors in treatment-naive adults infected with HIV-1 (THRIVE): a phase 3, randomised, non-inferiority trial. Lancet.378(9787):229-37.</w:t>
      </w:r>
      <w:bookmarkEnd w:id="30"/>
    </w:p>
    <w:p w:rsidR="00465307" w:rsidRPr="009A0902" w:rsidRDefault="00465307" w:rsidP="00465307">
      <w:pPr>
        <w:spacing w:after="0" w:line="240" w:lineRule="auto"/>
        <w:ind w:left="567" w:hanging="567"/>
        <w:rPr>
          <w:rFonts w:ascii="Arial" w:hAnsi="Arial" w:cs="Arial"/>
          <w:noProof/>
          <w:sz w:val="20"/>
          <w:szCs w:val="20"/>
        </w:rPr>
      </w:pPr>
      <w:bookmarkStart w:id="31" w:name="_ENREF_32"/>
      <w:r w:rsidRPr="009A0902">
        <w:rPr>
          <w:rFonts w:ascii="Arial" w:hAnsi="Arial" w:cs="Arial"/>
          <w:noProof/>
          <w:sz w:val="20"/>
          <w:szCs w:val="20"/>
        </w:rPr>
        <w:t>32.</w:t>
      </w:r>
      <w:r w:rsidRPr="009A0902">
        <w:rPr>
          <w:rFonts w:ascii="Arial" w:hAnsi="Arial" w:cs="Arial"/>
          <w:noProof/>
          <w:sz w:val="20"/>
          <w:szCs w:val="20"/>
        </w:rPr>
        <w:tab/>
        <w:t>Cohen D, Van Hout B, Serruys P, Mohr F, Macaya C, den Heijer P, et al. Quality of life after PCI with drug-eluting stents or coronary-artery bypass surgery. The New England journal of medicine.364(11):1016-26.</w:t>
      </w:r>
      <w:bookmarkEnd w:id="31"/>
    </w:p>
    <w:p w:rsidR="00465307" w:rsidRPr="009A0902" w:rsidRDefault="00465307" w:rsidP="00465307">
      <w:pPr>
        <w:spacing w:after="0" w:line="240" w:lineRule="auto"/>
        <w:ind w:left="567" w:hanging="567"/>
        <w:rPr>
          <w:rFonts w:ascii="Arial" w:hAnsi="Arial" w:cs="Arial"/>
          <w:noProof/>
          <w:sz w:val="20"/>
          <w:szCs w:val="20"/>
        </w:rPr>
      </w:pPr>
      <w:bookmarkStart w:id="32" w:name="_ENREF_33"/>
      <w:r w:rsidRPr="009A0902">
        <w:rPr>
          <w:rFonts w:ascii="Arial" w:hAnsi="Arial" w:cs="Arial"/>
          <w:noProof/>
          <w:sz w:val="20"/>
          <w:szCs w:val="20"/>
        </w:rPr>
        <w:t>33.</w:t>
      </w:r>
      <w:r w:rsidRPr="009A0902">
        <w:rPr>
          <w:rFonts w:ascii="Arial" w:hAnsi="Arial" w:cs="Arial"/>
          <w:noProof/>
          <w:sz w:val="20"/>
          <w:szCs w:val="20"/>
        </w:rPr>
        <w:tab/>
        <w:t>Cohen M, Chen Y, McCauley M, Gamble T, Hosseinipour M, Kumarasamy N, et al. Prevention of HIV-1 infection with early antiretroviral therapy. The New England journal of medicine.365(6):493-505.</w:t>
      </w:r>
      <w:bookmarkEnd w:id="32"/>
    </w:p>
    <w:p w:rsidR="00465307" w:rsidRPr="009A0902" w:rsidRDefault="00465307" w:rsidP="00465307">
      <w:pPr>
        <w:spacing w:after="0" w:line="240" w:lineRule="auto"/>
        <w:ind w:left="567" w:hanging="567"/>
        <w:rPr>
          <w:rFonts w:ascii="Arial" w:hAnsi="Arial" w:cs="Arial"/>
          <w:noProof/>
          <w:sz w:val="20"/>
          <w:szCs w:val="20"/>
        </w:rPr>
      </w:pPr>
      <w:bookmarkStart w:id="33" w:name="_ENREF_34"/>
      <w:r w:rsidRPr="009A0902">
        <w:rPr>
          <w:rFonts w:ascii="Arial" w:hAnsi="Arial" w:cs="Arial"/>
          <w:noProof/>
          <w:sz w:val="20"/>
          <w:szCs w:val="20"/>
        </w:rPr>
        <w:t>34.</w:t>
      </w:r>
      <w:r w:rsidRPr="009A0902">
        <w:rPr>
          <w:rFonts w:ascii="Arial" w:hAnsi="Arial" w:cs="Arial"/>
          <w:noProof/>
          <w:sz w:val="20"/>
          <w:szCs w:val="20"/>
        </w:rPr>
        <w:tab/>
        <w:t>Coleman R, Marshall H, Cameron D, Dodwell D, Burkinshaw R, Keane M, et al. Breast-cancer adjuvant therapy with zoledronic acid. The New England journal of medicine.365(15):1396-405.</w:t>
      </w:r>
      <w:bookmarkEnd w:id="33"/>
    </w:p>
    <w:p w:rsidR="00465307" w:rsidRPr="009A0902" w:rsidRDefault="00465307" w:rsidP="00465307">
      <w:pPr>
        <w:spacing w:after="0" w:line="240" w:lineRule="auto"/>
        <w:ind w:left="567" w:hanging="567"/>
        <w:rPr>
          <w:rFonts w:ascii="Arial" w:hAnsi="Arial" w:cs="Arial"/>
          <w:noProof/>
          <w:sz w:val="20"/>
          <w:szCs w:val="20"/>
        </w:rPr>
      </w:pPr>
      <w:bookmarkStart w:id="34" w:name="_ENREF_35"/>
      <w:r w:rsidRPr="009A0902">
        <w:rPr>
          <w:rFonts w:ascii="Arial" w:hAnsi="Arial" w:cs="Arial"/>
          <w:noProof/>
          <w:sz w:val="20"/>
          <w:szCs w:val="20"/>
        </w:rPr>
        <w:t>35.</w:t>
      </w:r>
      <w:r w:rsidRPr="009A0902">
        <w:rPr>
          <w:rFonts w:ascii="Arial" w:hAnsi="Arial" w:cs="Arial"/>
          <w:noProof/>
          <w:sz w:val="20"/>
          <w:szCs w:val="20"/>
        </w:rPr>
        <w:tab/>
        <w:t>Collaborators C-. Effect of tranexamic acid in traumatic brain injury: a nested randomised, placebo controlled trial (CRASH-2 Intracranial Bleeding Study). BMJ.  2011-07-01 00:00:00;343.</w:t>
      </w:r>
      <w:bookmarkEnd w:id="34"/>
    </w:p>
    <w:p w:rsidR="00465307" w:rsidRPr="009A0902" w:rsidRDefault="00465307" w:rsidP="00465307">
      <w:pPr>
        <w:spacing w:after="0" w:line="240" w:lineRule="auto"/>
        <w:ind w:left="567" w:hanging="567"/>
        <w:rPr>
          <w:rFonts w:ascii="Arial" w:hAnsi="Arial" w:cs="Arial"/>
          <w:noProof/>
          <w:sz w:val="20"/>
          <w:szCs w:val="20"/>
        </w:rPr>
      </w:pPr>
      <w:bookmarkStart w:id="35" w:name="_ENREF_36"/>
      <w:r w:rsidRPr="009A0902">
        <w:rPr>
          <w:rFonts w:ascii="Arial" w:hAnsi="Arial" w:cs="Arial"/>
          <w:noProof/>
          <w:sz w:val="20"/>
          <w:szCs w:val="20"/>
        </w:rPr>
        <w:t>36.</w:t>
      </w:r>
      <w:r w:rsidRPr="009A0902">
        <w:rPr>
          <w:rFonts w:ascii="Arial" w:hAnsi="Arial" w:cs="Arial"/>
          <w:noProof/>
          <w:sz w:val="20"/>
          <w:szCs w:val="20"/>
        </w:rPr>
        <w:tab/>
        <w:t>Connolly S, Camm AJ, Halperin J, Joyner C, Alings M, Amerena J, et al. Dronedarone in high-risk permanent atrial fibrillation. The New England journal of medicine.365(24):2268-76.</w:t>
      </w:r>
      <w:bookmarkEnd w:id="35"/>
    </w:p>
    <w:p w:rsidR="00465307" w:rsidRPr="009A0902" w:rsidRDefault="00465307" w:rsidP="00465307">
      <w:pPr>
        <w:spacing w:after="0" w:line="240" w:lineRule="auto"/>
        <w:ind w:left="567" w:hanging="567"/>
        <w:rPr>
          <w:rFonts w:ascii="Arial" w:hAnsi="Arial" w:cs="Arial"/>
          <w:noProof/>
          <w:sz w:val="20"/>
          <w:szCs w:val="20"/>
        </w:rPr>
      </w:pPr>
      <w:bookmarkStart w:id="36" w:name="_ENREF_37"/>
      <w:r w:rsidRPr="009A0902">
        <w:rPr>
          <w:rFonts w:ascii="Arial" w:hAnsi="Arial" w:cs="Arial"/>
          <w:noProof/>
          <w:sz w:val="20"/>
          <w:szCs w:val="20"/>
        </w:rPr>
        <w:t>37.</w:t>
      </w:r>
      <w:r w:rsidRPr="009A0902">
        <w:rPr>
          <w:rFonts w:ascii="Arial" w:hAnsi="Arial" w:cs="Arial"/>
          <w:noProof/>
          <w:sz w:val="20"/>
          <w:szCs w:val="20"/>
        </w:rPr>
        <w:tab/>
        <w:t>Connolly S, Eikelboom J, Joyner C, Diener H-C, Hart R, Golitsyn S, et al. Apixaban in patients with atrial fibrillation. The New England journal of medicine.364(9):806-17.</w:t>
      </w:r>
      <w:bookmarkEnd w:id="36"/>
    </w:p>
    <w:p w:rsidR="00465307" w:rsidRPr="009A0902" w:rsidRDefault="00465307" w:rsidP="00465307">
      <w:pPr>
        <w:spacing w:after="0" w:line="240" w:lineRule="auto"/>
        <w:ind w:left="567" w:hanging="567"/>
        <w:rPr>
          <w:rFonts w:ascii="Arial" w:hAnsi="Arial" w:cs="Arial"/>
          <w:noProof/>
          <w:sz w:val="20"/>
          <w:szCs w:val="20"/>
        </w:rPr>
      </w:pPr>
      <w:bookmarkStart w:id="37" w:name="_ENREF_38"/>
      <w:r w:rsidRPr="009A0902">
        <w:rPr>
          <w:rFonts w:ascii="Arial" w:hAnsi="Arial" w:cs="Arial"/>
          <w:noProof/>
          <w:sz w:val="20"/>
          <w:szCs w:val="20"/>
        </w:rPr>
        <w:t>38.</w:t>
      </w:r>
      <w:r w:rsidRPr="009A0902">
        <w:rPr>
          <w:rFonts w:ascii="Arial" w:hAnsi="Arial" w:cs="Arial"/>
          <w:noProof/>
          <w:sz w:val="20"/>
          <w:szCs w:val="20"/>
        </w:rPr>
        <w:tab/>
        <w:t>Conroy T, Desseigne F, Ychou M, Bouch O, Guimbaud R, Bcouarn Y, et al. FOLFIRINOX versus gemcitabine for metastatic pancreatic cancer. The New England journal of medicine.364(19):1817-25.</w:t>
      </w:r>
      <w:bookmarkEnd w:id="37"/>
    </w:p>
    <w:p w:rsidR="00465307" w:rsidRPr="009A0902" w:rsidRDefault="00465307" w:rsidP="00465307">
      <w:pPr>
        <w:spacing w:after="0" w:line="240" w:lineRule="auto"/>
        <w:ind w:left="567" w:hanging="567"/>
        <w:rPr>
          <w:rFonts w:ascii="Arial" w:hAnsi="Arial" w:cs="Arial"/>
          <w:noProof/>
          <w:sz w:val="20"/>
          <w:szCs w:val="20"/>
        </w:rPr>
      </w:pPr>
      <w:bookmarkStart w:id="38" w:name="_ENREF_39"/>
      <w:r w:rsidRPr="009A0902">
        <w:rPr>
          <w:rFonts w:ascii="Arial" w:hAnsi="Arial" w:cs="Arial"/>
          <w:noProof/>
          <w:sz w:val="20"/>
          <w:szCs w:val="20"/>
        </w:rPr>
        <w:t>39.</w:t>
      </w:r>
      <w:r w:rsidRPr="009A0902">
        <w:rPr>
          <w:rFonts w:ascii="Arial" w:hAnsi="Arial" w:cs="Arial"/>
          <w:noProof/>
          <w:sz w:val="20"/>
          <w:szCs w:val="20"/>
        </w:rPr>
        <w:tab/>
        <w:t>Cook D, Meade M, Guyatt G, Walter S, Heels Ansdell D, Warkentin T, et al. Dalteparin versus unfractionated heparin in critically ill patients. The New England journal of medicine.364(14):1305-14.</w:t>
      </w:r>
      <w:bookmarkEnd w:id="38"/>
    </w:p>
    <w:p w:rsidR="00465307" w:rsidRPr="009A0902" w:rsidRDefault="00465307" w:rsidP="00465307">
      <w:pPr>
        <w:spacing w:after="0" w:line="240" w:lineRule="auto"/>
        <w:ind w:left="567" w:hanging="567"/>
        <w:rPr>
          <w:rFonts w:ascii="Arial" w:hAnsi="Arial" w:cs="Arial"/>
          <w:noProof/>
          <w:sz w:val="20"/>
          <w:szCs w:val="20"/>
        </w:rPr>
      </w:pPr>
      <w:bookmarkStart w:id="39" w:name="_ENREF_40"/>
      <w:r w:rsidRPr="009A0902">
        <w:rPr>
          <w:rFonts w:ascii="Arial" w:hAnsi="Arial" w:cs="Arial"/>
          <w:noProof/>
          <w:sz w:val="20"/>
          <w:szCs w:val="20"/>
        </w:rPr>
        <w:t>40.</w:t>
      </w:r>
      <w:r w:rsidRPr="009A0902">
        <w:rPr>
          <w:rFonts w:ascii="Arial" w:hAnsi="Arial" w:cs="Arial"/>
          <w:noProof/>
          <w:sz w:val="20"/>
          <w:szCs w:val="20"/>
        </w:rPr>
        <w:tab/>
        <w:t>Corren J, Lemanske R, Hanania N, Korenblat P, Parsey M, Arron J, et al. Lebrikizumab treatment in adults with asthma. The New England journal of medicine.365(12):1088-98.</w:t>
      </w:r>
      <w:bookmarkEnd w:id="39"/>
    </w:p>
    <w:p w:rsidR="00465307" w:rsidRPr="009A0902" w:rsidRDefault="00465307" w:rsidP="00465307">
      <w:pPr>
        <w:spacing w:after="0" w:line="240" w:lineRule="auto"/>
        <w:ind w:left="567" w:hanging="567"/>
        <w:rPr>
          <w:rFonts w:ascii="Arial" w:hAnsi="Arial" w:cs="Arial"/>
          <w:noProof/>
          <w:sz w:val="20"/>
          <w:szCs w:val="20"/>
        </w:rPr>
      </w:pPr>
      <w:bookmarkStart w:id="40" w:name="_ENREF_41"/>
      <w:r w:rsidRPr="009A0902">
        <w:rPr>
          <w:rFonts w:ascii="Arial" w:hAnsi="Arial" w:cs="Arial"/>
          <w:noProof/>
          <w:sz w:val="20"/>
          <w:szCs w:val="20"/>
        </w:rPr>
        <w:t>41.</w:t>
      </w:r>
      <w:r w:rsidRPr="009A0902">
        <w:rPr>
          <w:rFonts w:ascii="Arial" w:hAnsi="Arial" w:cs="Arial"/>
          <w:noProof/>
          <w:sz w:val="20"/>
          <w:szCs w:val="20"/>
        </w:rPr>
        <w:tab/>
        <w:t>Cortes J, O'Shaughnessy J, Loesch D, Blum J, Vahdat L, Petrakova K, et al. Eribulin monotherapy versus treatment of physician's choice in patients with metastatic breast cancer (EMBRACE): a phase 3 open-label randomised study. Lancet.377(9769):914-23.</w:t>
      </w:r>
      <w:bookmarkEnd w:id="40"/>
    </w:p>
    <w:p w:rsidR="00465307" w:rsidRPr="009A0902" w:rsidRDefault="00465307" w:rsidP="00465307">
      <w:pPr>
        <w:spacing w:after="0" w:line="240" w:lineRule="auto"/>
        <w:ind w:left="567" w:hanging="567"/>
        <w:rPr>
          <w:rFonts w:ascii="Arial" w:hAnsi="Arial" w:cs="Arial"/>
          <w:noProof/>
          <w:sz w:val="20"/>
          <w:szCs w:val="20"/>
        </w:rPr>
      </w:pPr>
      <w:bookmarkStart w:id="41" w:name="_ENREF_42"/>
      <w:r w:rsidRPr="009A0902">
        <w:rPr>
          <w:rFonts w:ascii="Arial" w:hAnsi="Arial" w:cs="Arial"/>
          <w:noProof/>
          <w:sz w:val="20"/>
          <w:szCs w:val="20"/>
        </w:rPr>
        <w:t>42.</w:t>
      </w:r>
      <w:r w:rsidRPr="009A0902">
        <w:rPr>
          <w:rFonts w:ascii="Arial" w:hAnsi="Arial" w:cs="Arial"/>
          <w:noProof/>
          <w:sz w:val="20"/>
          <w:szCs w:val="20"/>
        </w:rPr>
        <w:tab/>
        <w:t>Crescenti A, Borghi G, Bignami E, Bertarelli G, Landoni G, Casiraghi GM, et al. Intraoperative use of tranexamic acid to reduce transfusion rate in patients undergoing radical retropubic prostatectomy: double blind, randomised, placebo controlled trial. BMJ.  2011-10-19 00:00:00;343.</w:t>
      </w:r>
      <w:bookmarkEnd w:id="41"/>
    </w:p>
    <w:p w:rsidR="00465307" w:rsidRPr="009A0902" w:rsidRDefault="00465307" w:rsidP="00465307">
      <w:pPr>
        <w:spacing w:after="0" w:line="240" w:lineRule="auto"/>
        <w:ind w:left="567" w:hanging="567"/>
        <w:rPr>
          <w:rFonts w:ascii="Arial" w:hAnsi="Arial" w:cs="Arial"/>
          <w:noProof/>
          <w:sz w:val="20"/>
          <w:szCs w:val="20"/>
        </w:rPr>
      </w:pPr>
      <w:bookmarkStart w:id="42" w:name="_ENREF_43"/>
      <w:r w:rsidRPr="009A0902">
        <w:rPr>
          <w:rFonts w:ascii="Arial" w:hAnsi="Arial" w:cs="Arial"/>
          <w:noProof/>
          <w:sz w:val="20"/>
          <w:szCs w:val="20"/>
        </w:rPr>
        <w:t>43.</w:t>
      </w:r>
      <w:r w:rsidRPr="009A0902">
        <w:rPr>
          <w:rFonts w:ascii="Arial" w:hAnsi="Arial" w:cs="Arial"/>
          <w:noProof/>
          <w:sz w:val="20"/>
          <w:szCs w:val="20"/>
        </w:rPr>
        <w:tab/>
        <w:t>de Bono J, Logothetis C, Molina A, Fizazi K, North S, Chu L, et al. Abiraterone and increased survival in metastatic prostate cancer. The New England journal of medicine.364(21):1995-2005.</w:t>
      </w:r>
      <w:bookmarkEnd w:id="42"/>
    </w:p>
    <w:p w:rsidR="00465307" w:rsidRPr="009A0902" w:rsidRDefault="00465307" w:rsidP="00465307">
      <w:pPr>
        <w:spacing w:after="0" w:line="240" w:lineRule="auto"/>
        <w:ind w:left="567" w:hanging="567"/>
        <w:rPr>
          <w:rFonts w:ascii="Arial" w:hAnsi="Arial" w:cs="Arial"/>
          <w:noProof/>
          <w:sz w:val="20"/>
          <w:szCs w:val="20"/>
        </w:rPr>
      </w:pPr>
      <w:bookmarkStart w:id="43" w:name="_ENREF_44"/>
      <w:r w:rsidRPr="009A0902">
        <w:rPr>
          <w:rFonts w:ascii="Arial" w:hAnsi="Arial" w:cs="Arial"/>
          <w:noProof/>
          <w:sz w:val="20"/>
          <w:szCs w:val="20"/>
        </w:rPr>
        <w:t>44.</w:t>
      </w:r>
      <w:r w:rsidRPr="009A0902">
        <w:rPr>
          <w:rFonts w:ascii="Arial" w:hAnsi="Arial" w:cs="Arial"/>
          <w:noProof/>
          <w:sz w:val="20"/>
          <w:szCs w:val="20"/>
        </w:rPr>
        <w:tab/>
        <w:t>DeFronzo R, Tripathy D, Schwenke D, Banerji M, Bray G, Buchanan T, et al. Pioglitazone for diabetes prevention in impaired glucose tolerance. The New England journal of medicine.364(12):1104-15.</w:t>
      </w:r>
      <w:bookmarkEnd w:id="43"/>
    </w:p>
    <w:p w:rsidR="00465307" w:rsidRPr="009A0902" w:rsidRDefault="00465307" w:rsidP="00465307">
      <w:pPr>
        <w:spacing w:after="0" w:line="240" w:lineRule="auto"/>
        <w:ind w:left="567" w:hanging="567"/>
        <w:rPr>
          <w:rFonts w:ascii="Arial" w:hAnsi="Arial" w:cs="Arial"/>
          <w:noProof/>
          <w:sz w:val="20"/>
          <w:szCs w:val="20"/>
        </w:rPr>
      </w:pPr>
      <w:bookmarkStart w:id="44" w:name="_ENREF_45"/>
      <w:r w:rsidRPr="009A0902">
        <w:rPr>
          <w:rFonts w:ascii="Arial" w:hAnsi="Arial" w:cs="Arial"/>
          <w:noProof/>
          <w:sz w:val="20"/>
          <w:szCs w:val="20"/>
        </w:rPr>
        <w:t>45.</w:t>
      </w:r>
      <w:r w:rsidRPr="009A0902">
        <w:rPr>
          <w:rFonts w:ascii="Arial" w:hAnsi="Arial" w:cs="Arial"/>
          <w:noProof/>
          <w:sz w:val="20"/>
          <w:szCs w:val="20"/>
        </w:rPr>
        <w:tab/>
        <w:t>Del Mastro L, Boni L, Michelotti A, Gamucci T, Olmeo N, Gori S, et al. Effect of the gonadotropin-releasing hormone analogue triptorelin on the occurrence of chemotherapy-induced early menopause in premenopausal women with breast cancer: a randomized trial. JAMA (Chicago, Ill).306(3):269-76.</w:t>
      </w:r>
      <w:bookmarkEnd w:id="44"/>
    </w:p>
    <w:p w:rsidR="00465307" w:rsidRPr="009A0902" w:rsidRDefault="00465307" w:rsidP="00465307">
      <w:pPr>
        <w:spacing w:after="0" w:line="240" w:lineRule="auto"/>
        <w:ind w:left="567" w:hanging="567"/>
        <w:rPr>
          <w:rFonts w:ascii="Arial" w:hAnsi="Arial" w:cs="Arial"/>
          <w:noProof/>
          <w:sz w:val="20"/>
          <w:szCs w:val="20"/>
        </w:rPr>
      </w:pPr>
      <w:bookmarkStart w:id="45" w:name="_ENREF_46"/>
      <w:r w:rsidRPr="009A0902">
        <w:rPr>
          <w:rFonts w:ascii="Arial" w:hAnsi="Arial" w:cs="Arial"/>
          <w:noProof/>
          <w:sz w:val="20"/>
          <w:szCs w:val="20"/>
        </w:rPr>
        <w:t>46.</w:t>
      </w:r>
      <w:r w:rsidRPr="009A0902">
        <w:rPr>
          <w:rFonts w:ascii="Arial" w:hAnsi="Arial" w:cs="Arial"/>
          <w:noProof/>
          <w:sz w:val="20"/>
          <w:szCs w:val="20"/>
        </w:rPr>
        <w:tab/>
        <w:t>Dicko A, Diallo A, Tembine I, Dicko Y, Dara N, Sidibe Y, et al. Intermittent preventive treatment of malaria provides substantial protection against malaria in children already protected by an insecticide-treated bednet in Mali: a randomised, double-blind, placebo-controlled trial. PLoS Medicine.8(2):e1000407-e.</w:t>
      </w:r>
      <w:bookmarkEnd w:id="45"/>
    </w:p>
    <w:p w:rsidR="00465307" w:rsidRPr="009A0902" w:rsidRDefault="00465307" w:rsidP="00465307">
      <w:pPr>
        <w:spacing w:after="0" w:line="240" w:lineRule="auto"/>
        <w:ind w:left="567" w:hanging="567"/>
        <w:rPr>
          <w:rFonts w:ascii="Arial" w:hAnsi="Arial" w:cs="Arial"/>
          <w:noProof/>
          <w:sz w:val="20"/>
          <w:szCs w:val="20"/>
        </w:rPr>
      </w:pPr>
      <w:bookmarkStart w:id="46" w:name="_ENREF_47"/>
      <w:r w:rsidRPr="009A0902">
        <w:rPr>
          <w:rFonts w:ascii="Arial" w:hAnsi="Arial" w:cs="Arial"/>
          <w:noProof/>
          <w:sz w:val="20"/>
          <w:szCs w:val="20"/>
        </w:rPr>
        <w:t>47.</w:t>
      </w:r>
      <w:r w:rsidRPr="009A0902">
        <w:rPr>
          <w:rFonts w:ascii="Arial" w:hAnsi="Arial" w:cs="Arial"/>
          <w:noProof/>
          <w:sz w:val="20"/>
          <w:szCs w:val="20"/>
        </w:rPr>
        <w:tab/>
        <w:t>Dooley M, Jayne D, Ginzler E, Isenberg D, Olsen N, Wofsy D, et al. Mycophenolate versus azathioprine as maintenance therapy for lupus nephritis. The New England journal of medicine.365(20):1886-95.</w:t>
      </w:r>
      <w:bookmarkEnd w:id="46"/>
    </w:p>
    <w:p w:rsidR="00465307" w:rsidRPr="009A0902" w:rsidRDefault="00465307" w:rsidP="00465307">
      <w:pPr>
        <w:spacing w:after="0" w:line="240" w:lineRule="auto"/>
        <w:ind w:left="567" w:hanging="567"/>
        <w:rPr>
          <w:rFonts w:ascii="Arial" w:hAnsi="Arial" w:cs="Arial"/>
          <w:noProof/>
          <w:sz w:val="20"/>
          <w:szCs w:val="20"/>
        </w:rPr>
      </w:pPr>
      <w:bookmarkStart w:id="47" w:name="_ENREF_48"/>
      <w:r w:rsidRPr="009A0902">
        <w:rPr>
          <w:rFonts w:ascii="Arial" w:hAnsi="Arial" w:cs="Arial"/>
          <w:noProof/>
          <w:sz w:val="20"/>
          <w:szCs w:val="20"/>
        </w:rPr>
        <w:lastRenderedPageBreak/>
        <w:t>48.</w:t>
      </w:r>
      <w:r w:rsidRPr="009A0902">
        <w:rPr>
          <w:rFonts w:ascii="Arial" w:hAnsi="Arial" w:cs="Arial"/>
          <w:noProof/>
          <w:sz w:val="20"/>
          <w:szCs w:val="20"/>
        </w:rPr>
        <w:tab/>
        <w:t>Fayad Z, Mani V, Woodward M, Kallend D, Abt M, Burgess T, et al. Safety and efficacy of dalcetrapib on atherosclerotic disease using novel non-invasive multimodality imaging (dal-PLAQUE): a randomised clinical trial. Lancet.378(9802):1547-59.</w:t>
      </w:r>
      <w:bookmarkEnd w:id="47"/>
    </w:p>
    <w:p w:rsidR="00465307" w:rsidRPr="009A0902" w:rsidRDefault="00465307" w:rsidP="00465307">
      <w:pPr>
        <w:spacing w:after="0" w:line="240" w:lineRule="auto"/>
        <w:ind w:left="567" w:hanging="567"/>
        <w:rPr>
          <w:rFonts w:ascii="Arial" w:hAnsi="Arial" w:cs="Arial"/>
          <w:noProof/>
          <w:sz w:val="20"/>
          <w:szCs w:val="20"/>
        </w:rPr>
      </w:pPr>
      <w:bookmarkStart w:id="48" w:name="_ENREF_49"/>
      <w:r w:rsidRPr="009A0902">
        <w:rPr>
          <w:rFonts w:ascii="Arial" w:hAnsi="Arial" w:cs="Arial"/>
          <w:noProof/>
          <w:sz w:val="20"/>
          <w:szCs w:val="20"/>
        </w:rPr>
        <w:t>49.</w:t>
      </w:r>
      <w:r w:rsidRPr="009A0902">
        <w:rPr>
          <w:rFonts w:ascii="Arial" w:hAnsi="Arial" w:cs="Arial"/>
          <w:noProof/>
          <w:sz w:val="20"/>
          <w:szCs w:val="20"/>
        </w:rPr>
        <w:tab/>
        <w:t>Felker GM, Lee K, Bull D, Redfield M, Stevenson L, Goldsmith S, et al. Diuretic strategies in patients with acute decompensated heart failure. The New England journal of medicine.364(9):797-805.</w:t>
      </w:r>
      <w:bookmarkEnd w:id="48"/>
    </w:p>
    <w:p w:rsidR="00465307" w:rsidRPr="009A0902" w:rsidRDefault="00465307" w:rsidP="00465307">
      <w:pPr>
        <w:spacing w:after="0" w:line="240" w:lineRule="auto"/>
        <w:ind w:left="567" w:hanging="567"/>
        <w:rPr>
          <w:rFonts w:ascii="Arial" w:hAnsi="Arial" w:cs="Arial"/>
          <w:noProof/>
          <w:sz w:val="20"/>
          <w:szCs w:val="20"/>
        </w:rPr>
      </w:pPr>
      <w:bookmarkStart w:id="49" w:name="_ENREF_50"/>
      <w:r w:rsidRPr="009A0902">
        <w:rPr>
          <w:rFonts w:ascii="Arial" w:hAnsi="Arial" w:cs="Arial"/>
          <w:noProof/>
          <w:sz w:val="20"/>
          <w:szCs w:val="20"/>
        </w:rPr>
        <w:t>50.</w:t>
      </w:r>
      <w:r w:rsidRPr="009A0902">
        <w:rPr>
          <w:rFonts w:ascii="Arial" w:hAnsi="Arial" w:cs="Arial"/>
          <w:noProof/>
          <w:sz w:val="20"/>
          <w:szCs w:val="20"/>
        </w:rPr>
        <w:tab/>
        <w:t>Fizazi K, Carducci M, Smith M, Damio R, Brown J, Karsh L, et al. Denosumab versus zoledronic acid for treatment of bone metastases in men with castration-resistant prostate cancer: a randomised, double-blind study. Lancet.377(9768):813-22.</w:t>
      </w:r>
      <w:bookmarkEnd w:id="49"/>
    </w:p>
    <w:p w:rsidR="00465307" w:rsidRPr="009A0902" w:rsidRDefault="00465307" w:rsidP="00465307">
      <w:pPr>
        <w:spacing w:after="0" w:line="240" w:lineRule="auto"/>
        <w:ind w:left="567" w:hanging="567"/>
        <w:rPr>
          <w:rFonts w:ascii="Arial" w:hAnsi="Arial" w:cs="Arial"/>
          <w:noProof/>
          <w:sz w:val="20"/>
          <w:szCs w:val="20"/>
        </w:rPr>
      </w:pPr>
      <w:bookmarkStart w:id="50" w:name="_ENREF_51"/>
      <w:r w:rsidRPr="009A0902">
        <w:rPr>
          <w:rFonts w:ascii="Arial" w:hAnsi="Arial" w:cs="Arial"/>
          <w:noProof/>
          <w:sz w:val="20"/>
          <w:szCs w:val="20"/>
        </w:rPr>
        <w:t>51.</w:t>
      </w:r>
      <w:r w:rsidRPr="009A0902">
        <w:rPr>
          <w:rFonts w:ascii="Arial" w:hAnsi="Arial" w:cs="Arial"/>
          <w:noProof/>
          <w:sz w:val="20"/>
          <w:szCs w:val="20"/>
        </w:rPr>
        <w:tab/>
        <w:t>Freeman E, Guthrie K, Caan B, Sternfeld B, Cohen L, Joffe H, et al. Efficacy of escitalopram for hot flashes in healthy menopausal women: a randomized controlled trial. JAMA (Chicago, Ill).305(3):267-74.</w:t>
      </w:r>
      <w:bookmarkEnd w:id="50"/>
    </w:p>
    <w:p w:rsidR="00465307" w:rsidRPr="009A0902" w:rsidRDefault="00465307" w:rsidP="00465307">
      <w:pPr>
        <w:spacing w:after="0" w:line="240" w:lineRule="auto"/>
        <w:ind w:left="567" w:hanging="567"/>
        <w:rPr>
          <w:rFonts w:ascii="Arial" w:hAnsi="Arial" w:cs="Arial"/>
          <w:noProof/>
          <w:sz w:val="20"/>
          <w:szCs w:val="20"/>
        </w:rPr>
      </w:pPr>
      <w:bookmarkStart w:id="51" w:name="_ENREF_52"/>
      <w:r w:rsidRPr="009A0902">
        <w:rPr>
          <w:rFonts w:ascii="Arial" w:hAnsi="Arial" w:cs="Arial"/>
          <w:noProof/>
          <w:sz w:val="20"/>
          <w:szCs w:val="20"/>
        </w:rPr>
        <w:t>52.</w:t>
      </w:r>
      <w:r w:rsidRPr="009A0902">
        <w:rPr>
          <w:rFonts w:ascii="Arial" w:hAnsi="Arial" w:cs="Arial"/>
          <w:noProof/>
          <w:sz w:val="20"/>
          <w:szCs w:val="20"/>
        </w:rPr>
        <w:tab/>
        <w:t>Gadde K, Allison D, Ryan D, Peterson C, Troupin B, Schwiers M, et al. Effects of low-dose, controlled-release, phentermine plus topiramate combination on weight and associated comorbidities in overweight and obese adults (CONQUER): a randomised, placebo-controlled, phase 3 trial. Lancet.377(9774):1341-52.</w:t>
      </w:r>
      <w:bookmarkEnd w:id="51"/>
    </w:p>
    <w:p w:rsidR="00465307" w:rsidRPr="009A0902" w:rsidRDefault="00465307" w:rsidP="00465307">
      <w:pPr>
        <w:spacing w:after="0" w:line="240" w:lineRule="auto"/>
        <w:ind w:left="567" w:hanging="567"/>
        <w:rPr>
          <w:rFonts w:ascii="Arial" w:hAnsi="Arial" w:cs="Arial"/>
          <w:noProof/>
          <w:sz w:val="20"/>
          <w:szCs w:val="20"/>
        </w:rPr>
      </w:pPr>
      <w:bookmarkStart w:id="52" w:name="_ENREF_53"/>
      <w:r w:rsidRPr="009A0902">
        <w:rPr>
          <w:rFonts w:ascii="Arial" w:hAnsi="Arial" w:cs="Arial"/>
          <w:noProof/>
          <w:sz w:val="20"/>
          <w:szCs w:val="20"/>
        </w:rPr>
        <w:t>53.</w:t>
      </w:r>
      <w:r w:rsidRPr="009A0902">
        <w:rPr>
          <w:rFonts w:ascii="Arial" w:hAnsi="Arial" w:cs="Arial"/>
          <w:noProof/>
          <w:sz w:val="20"/>
          <w:szCs w:val="20"/>
        </w:rPr>
        <w:tab/>
        <w:t>Galmiche J-P, Hatlebakk J, Attwood S, Ell C, Fiocca R, Eklund S, et al. Laparoscopic antireflux surgery vs esomeprazole treatment for chronic GERD: the LOTUS randomized clinical trial. JAMA (Chicago, Ill).305(19):1969-77.</w:t>
      </w:r>
      <w:bookmarkEnd w:id="52"/>
    </w:p>
    <w:p w:rsidR="00465307" w:rsidRPr="009A0902" w:rsidRDefault="00465307" w:rsidP="00465307">
      <w:pPr>
        <w:spacing w:after="0" w:line="240" w:lineRule="auto"/>
        <w:ind w:left="567" w:hanging="567"/>
        <w:rPr>
          <w:rFonts w:ascii="Arial" w:hAnsi="Arial" w:cs="Arial"/>
          <w:noProof/>
          <w:sz w:val="20"/>
          <w:szCs w:val="20"/>
        </w:rPr>
      </w:pPr>
      <w:bookmarkStart w:id="53" w:name="_ENREF_54"/>
      <w:r w:rsidRPr="009A0902">
        <w:rPr>
          <w:rFonts w:ascii="Arial" w:hAnsi="Arial" w:cs="Arial"/>
          <w:noProof/>
          <w:sz w:val="20"/>
          <w:szCs w:val="20"/>
        </w:rPr>
        <w:t>54.</w:t>
      </w:r>
      <w:r w:rsidRPr="009A0902">
        <w:rPr>
          <w:rFonts w:ascii="Arial" w:hAnsi="Arial" w:cs="Arial"/>
          <w:noProof/>
          <w:sz w:val="20"/>
          <w:szCs w:val="20"/>
        </w:rPr>
        <w:tab/>
        <w:t>Gao Smith F, Perkins G, Gates S, Young D, McAuley D, Tunnicliffe W, et al. Effect of intravenous β-2 agonist treatment on clinical outcomes in acute respiratory distress syndrome (BALTI-2): a multicentre, randomised controlled trial. Lancet.379(9812):229-35.</w:t>
      </w:r>
      <w:bookmarkEnd w:id="53"/>
    </w:p>
    <w:p w:rsidR="00465307" w:rsidRPr="009A0902" w:rsidRDefault="00465307" w:rsidP="00465307">
      <w:pPr>
        <w:spacing w:after="0" w:line="240" w:lineRule="auto"/>
        <w:ind w:left="567" w:hanging="567"/>
        <w:rPr>
          <w:rFonts w:ascii="Arial" w:hAnsi="Arial" w:cs="Arial"/>
          <w:noProof/>
          <w:sz w:val="20"/>
          <w:szCs w:val="20"/>
        </w:rPr>
      </w:pPr>
      <w:bookmarkStart w:id="54" w:name="_ENREF_55"/>
      <w:r w:rsidRPr="009A0902">
        <w:rPr>
          <w:rFonts w:ascii="Arial" w:hAnsi="Arial" w:cs="Arial"/>
          <w:noProof/>
          <w:sz w:val="20"/>
          <w:szCs w:val="20"/>
        </w:rPr>
        <w:t>55.</w:t>
      </w:r>
      <w:r w:rsidRPr="009A0902">
        <w:rPr>
          <w:rFonts w:ascii="Arial" w:hAnsi="Arial" w:cs="Arial"/>
          <w:noProof/>
          <w:sz w:val="20"/>
          <w:szCs w:val="20"/>
        </w:rPr>
        <w:tab/>
        <w:t>Gault EJ, Perry RJ, Cole TJ, Casey S, Paterson WF, Hindmarsh PC, et al. Effect of oxandrolone and timing of pubertal induction on final height in Turnerâ€™s syndrome: randomised, double blind, placebo controlled trial. BMJ.  2011-04-14 00:00:00;342.</w:t>
      </w:r>
      <w:bookmarkEnd w:id="54"/>
    </w:p>
    <w:p w:rsidR="00465307" w:rsidRPr="009A0902" w:rsidRDefault="00465307" w:rsidP="00465307">
      <w:pPr>
        <w:spacing w:after="0" w:line="240" w:lineRule="auto"/>
        <w:ind w:left="567" w:hanging="567"/>
        <w:rPr>
          <w:rFonts w:ascii="Arial" w:hAnsi="Arial" w:cs="Arial"/>
          <w:noProof/>
          <w:sz w:val="20"/>
          <w:szCs w:val="20"/>
        </w:rPr>
      </w:pPr>
      <w:bookmarkStart w:id="55" w:name="_ENREF_56"/>
      <w:r w:rsidRPr="009A0902">
        <w:rPr>
          <w:rFonts w:ascii="Arial" w:hAnsi="Arial" w:cs="Arial"/>
          <w:noProof/>
          <w:sz w:val="20"/>
          <w:szCs w:val="20"/>
        </w:rPr>
        <w:t>56.</w:t>
      </w:r>
      <w:r w:rsidRPr="009A0902">
        <w:rPr>
          <w:rFonts w:ascii="Arial" w:hAnsi="Arial" w:cs="Arial"/>
          <w:noProof/>
          <w:sz w:val="20"/>
          <w:szCs w:val="20"/>
        </w:rPr>
        <w:tab/>
        <w:t>Gerstein H, Miller M, Genuth S, Ismail Beigi F, Buse J, Goff D, et al. Long-term effects of intensive glucose lowering on cardiovascular outcomes. The New England journal of medicine.364(9):818-28.</w:t>
      </w:r>
      <w:bookmarkEnd w:id="55"/>
    </w:p>
    <w:p w:rsidR="00465307" w:rsidRPr="009A0902" w:rsidRDefault="00465307" w:rsidP="00465307">
      <w:pPr>
        <w:spacing w:after="0" w:line="240" w:lineRule="auto"/>
        <w:ind w:left="567" w:hanging="567"/>
        <w:rPr>
          <w:rFonts w:ascii="Arial" w:hAnsi="Arial" w:cs="Arial"/>
          <w:noProof/>
          <w:sz w:val="20"/>
          <w:szCs w:val="20"/>
        </w:rPr>
      </w:pPr>
      <w:bookmarkStart w:id="56" w:name="_ENREF_57"/>
      <w:r w:rsidRPr="009A0902">
        <w:rPr>
          <w:rFonts w:ascii="Arial" w:hAnsi="Arial" w:cs="Arial"/>
          <w:noProof/>
          <w:sz w:val="20"/>
          <w:szCs w:val="20"/>
        </w:rPr>
        <w:t>57.</w:t>
      </w:r>
      <w:r w:rsidRPr="009A0902">
        <w:rPr>
          <w:rFonts w:ascii="Arial" w:hAnsi="Arial" w:cs="Arial"/>
          <w:noProof/>
          <w:sz w:val="20"/>
          <w:szCs w:val="20"/>
        </w:rPr>
        <w:tab/>
        <w:t>Giuliano A, Palefsky J, Goldstone S, Moreira E, Penny M, Aranda C, et al. Efficacy of quadrivalent HPV vaccine against HPV Infection and disease in males. The New England journal of medicine.364(5):401-11.</w:t>
      </w:r>
      <w:bookmarkEnd w:id="56"/>
    </w:p>
    <w:p w:rsidR="00465307" w:rsidRPr="009A0902" w:rsidRDefault="00465307" w:rsidP="00465307">
      <w:pPr>
        <w:spacing w:after="0" w:line="240" w:lineRule="auto"/>
        <w:ind w:left="567" w:hanging="567"/>
        <w:rPr>
          <w:rFonts w:ascii="Arial" w:hAnsi="Arial" w:cs="Arial"/>
          <w:noProof/>
          <w:sz w:val="20"/>
          <w:szCs w:val="20"/>
        </w:rPr>
      </w:pPr>
      <w:bookmarkStart w:id="57" w:name="_ENREF_58"/>
      <w:r w:rsidRPr="009A0902">
        <w:rPr>
          <w:rFonts w:ascii="Arial" w:hAnsi="Arial" w:cs="Arial"/>
          <w:noProof/>
          <w:sz w:val="20"/>
          <w:szCs w:val="20"/>
        </w:rPr>
        <w:t>58.</w:t>
      </w:r>
      <w:r w:rsidRPr="009A0902">
        <w:rPr>
          <w:rFonts w:ascii="Arial" w:hAnsi="Arial" w:cs="Arial"/>
          <w:noProof/>
          <w:sz w:val="20"/>
          <w:szCs w:val="20"/>
        </w:rPr>
        <w:tab/>
        <w:t>Gladwin M, Kato G, Weiner D, Onyekwere O, Dampier C, Hsu L, et al. Nitric oxide for inhalation in the acute treatment of sickle cell pain crisis: a randomized controlled trial. JAMA (Chicago, Ill).305(9):893-902.</w:t>
      </w:r>
      <w:bookmarkEnd w:id="57"/>
    </w:p>
    <w:p w:rsidR="00465307" w:rsidRPr="009A0902" w:rsidRDefault="00465307" w:rsidP="00465307">
      <w:pPr>
        <w:spacing w:after="0" w:line="240" w:lineRule="auto"/>
        <w:ind w:left="567" w:hanging="567"/>
        <w:rPr>
          <w:rFonts w:ascii="Arial" w:hAnsi="Arial" w:cs="Arial"/>
          <w:noProof/>
          <w:sz w:val="20"/>
          <w:szCs w:val="20"/>
        </w:rPr>
      </w:pPr>
      <w:bookmarkStart w:id="58" w:name="_ENREF_59"/>
      <w:r w:rsidRPr="009A0902">
        <w:rPr>
          <w:rFonts w:ascii="Arial" w:hAnsi="Arial" w:cs="Arial"/>
          <w:noProof/>
          <w:sz w:val="20"/>
          <w:szCs w:val="20"/>
        </w:rPr>
        <w:t>59.</w:t>
      </w:r>
      <w:r w:rsidRPr="009A0902">
        <w:rPr>
          <w:rFonts w:ascii="Arial" w:hAnsi="Arial" w:cs="Arial"/>
          <w:noProof/>
          <w:sz w:val="20"/>
          <w:szCs w:val="20"/>
        </w:rPr>
        <w:tab/>
        <w:t>Goldhaber S, Leizorovicz A, Kakkar A, Haas S, Merli G, Knabb R, et al. Apixaban versus enoxaparin for thromboprophylaxis in medically ill patients. The New England journal of medicine.365(23):2167-77.</w:t>
      </w:r>
      <w:bookmarkEnd w:id="58"/>
    </w:p>
    <w:p w:rsidR="00465307" w:rsidRPr="009A0902" w:rsidRDefault="00465307" w:rsidP="00465307">
      <w:pPr>
        <w:spacing w:after="0" w:line="240" w:lineRule="auto"/>
        <w:ind w:left="567" w:hanging="567"/>
        <w:rPr>
          <w:rFonts w:ascii="Arial" w:hAnsi="Arial" w:cs="Arial"/>
          <w:noProof/>
          <w:sz w:val="20"/>
          <w:szCs w:val="20"/>
        </w:rPr>
      </w:pPr>
      <w:bookmarkStart w:id="59" w:name="_ENREF_60"/>
      <w:r w:rsidRPr="009A0902">
        <w:rPr>
          <w:rFonts w:ascii="Arial" w:hAnsi="Arial" w:cs="Arial"/>
          <w:noProof/>
          <w:sz w:val="20"/>
          <w:szCs w:val="20"/>
        </w:rPr>
        <w:t>60.</w:t>
      </w:r>
      <w:r w:rsidRPr="009A0902">
        <w:rPr>
          <w:rFonts w:ascii="Arial" w:hAnsi="Arial" w:cs="Arial"/>
          <w:noProof/>
          <w:sz w:val="20"/>
          <w:szCs w:val="20"/>
        </w:rPr>
        <w:tab/>
        <w:t>Goss P, Ingle J, Als-Martnez J, Cheung A, Chlebowski R, Wactawski Wende J, et al. Exemestane for breast-cancer prevention in postmenopausal women. The New England journal of medicine.364(25):2381-91.</w:t>
      </w:r>
      <w:bookmarkEnd w:id="59"/>
    </w:p>
    <w:p w:rsidR="00465307" w:rsidRPr="009A0902" w:rsidRDefault="00465307" w:rsidP="00465307">
      <w:pPr>
        <w:spacing w:after="0" w:line="240" w:lineRule="auto"/>
        <w:ind w:left="567" w:hanging="567"/>
        <w:rPr>
          <w:rFonts w:ascii="Arial" w:hAnsi="Arial" w:cs="Arial"/>
          <w:noProof/>
          <w:sz w:val="20"/>
          <w:szCs w:val="20"/>
        </w:rPr>
      </w:pPr>
      <w:bookmarkStart w:id="60" w:name="_ENREF_61"/>
      <w:r w:rsidRPr="009A0902">
        <w:rPr>
          <w:rFonts w:ascii="Arial" w:hAnsi="Arial" w:cs="Arial"/>
          <w:noProof/>
          <w:sz w:val="20"/>
          <w:szCs w:val="20"/>
        </w:rPr>
        <w:t>61.</w:t>
      </w:r>
      <w:r w:rsidRPr="009A0902">
        <w:rPr>
          <w:rFonts w:ascii="Arial" w:hAnsi="Arial" w:cs="Arial"/>
          <w:noProof/>
          <w:sz w:val="20"/>
          <w:szCs w:val="20"/>
        </w:rPr>
        <w:tab/>
        <w:t>Gpel W, Kribs A, Ziegler A, Laux R, Hoehn T, Wieg C, et al. Avoidance of mechanical ventilation by surfactant treatment of spontaneously breathing preterm infants (AMV): an open-label, randomised, controlled trial. Lancet.378(9803):1627-34.</w:t>
      </w:r>
      <w:bookmarkEnd w:id="60"/>
    </w:p>
    <w:p w:rsidR="00465307" w:rsidRPr="009A0902" w:rsidRDefault="00465307" w:rsidP="00465307">
      <w:pPr>
        <w:spacing w:after="0" w:line="240" w:lineRule="auto"/>
        <w:ind w:left="567" w:hanging="567"/>
        <w:rPr>
          <w:rFonts w:ascii="Arial" w:hAnsi="Arial" w:cs="Arial"/>
          <w:noProof/>
          <w:sz w:val="20"/>
          <w:szCs w:val="20"/>
        </w:rPr>
      </w:pPr>
      <w:bookmarkStart w:id="61" w:name="_ENREF_62"/>
      <w:r w:rsidRPr="009A0902">
        <w:rPr>
          <w:rFonts w:ascii="Arial" w:hAnsi="Arial" w:cs="Arial"/>
          <w:noProof/>
          <w:sz w:val="20"/>
          <w:szCs w:val="20"/>
        </w:rPr>
        <w:t>62.</w:t>
      </w:r>
      <w:r w:rsidRPr="009A0902">
        <w:rPr>
          <w:rFonts w:ascii="Arial" w:hAnsi="Arial" w:cs="Arial"/>
          <w:noProof/>
          <w:sz w:val="20"/>
          <w:szCs w:val="20"/>
        </w:rPr>
        <w:tab/>
        <w:t>Graf W, Mellgren A, Matzel K, Hull T, Johansson C, Bernstein M. Efficacy of dextranomer in stabilised hyaluronic acid for treatment of faecal incontinence: a randomised, sham-controlled trial. Lancet.377(9770):997-1003.</w:t>
      </w:r>
      <w:bookmarkEnd w:id="61"/>
    </w:p>
    <w:p w:rsidR="00465307" w:rsidRPr="009A0902" w:rsidRDefault="00465307" w:rsidP="00465307">
      <w:pPr>
        <w:spacing w:after="0" w:line="240" w:lineRule="auto"/>
        <w:ind w:left="567" w:hanging="567"/>
        <w:rPr>
          <w:rFonts w:ascii="Arial" w:hAnsi="Arial" w:cs="Arial"/>
          <w:noProof/>
          <w:sz w:val="20"/>
          <w:szCs w:val="20"/>
        </w:rPr>
      </w:pPr>
      <w:bookmarkStart w:id="62" w:name="_ENREF_63"/>
      <w:r w:rsidRPr="009A0902">
        <w:rPr>
          <w:rFonts w:ascii="Arial" w:hAnsi="Arial" w:cs="Arial"/>
          <w:noProof/>
          <w:sz w:val="20"/>
          <w:szCs w:val="20"/>
        </w:rPr>
        <w:t>63.</w:t>
      </w:r>
      <w:r w:rsidRPr="009A0902">
        <w:rPr>
          <w:rFonts w:ascii="Arial" w:hAnsi="Arial" w:cs="Arial"/>
          <w:noProof/>
          <w:sz w:val="20"/>
          <w:szCs w:val="20"/>
        </w:rPr>
        <w:tab/>
        <w:t>Granger C, Alexander J, McMurray JJV, Lopes R, Hylek E, Hanna M, et al. Apixaban versus warfarin in patients with atrial fibrillation. The New England journal of medicine.365(11):981-92.</w:t>
      </w:r>
      <w:bookmarkEnd w:id="62"/>
    </w:p>
    <w:p w:rsidR="00465307" w:rsidRPr="009A0902" w:rsidRDefault="00465307" w:rsidP="00465307">
      <w:pPr>
        <w:spacing w:after="0" w:line="240" w:lineRule="auto"/>
        <w:ind w:left="567" w:hanging="567"/>
        <w:rPr>
          <w:rFonts w:ascii="Arial" w:hAnsi="Arial" w:cs="Arial"/>
          <w:noProof/>
          <w:sz w:val="20"/>
          <w:szCs w:val="20"/>
        </w:rPr>
      </w:pPr>
      <w:bookmarkStart w:id="63" w:name="_ENREF_64"/>
      <w:r w:rsidRPr="009A0902">
        <w:rPr>
          <w:rFonts w:ascii="Arial" w:hAnsi="Arial" w:cs="Arial"/>
          <w:noProof/>
          <w:sz w:val="20"/>
          <w:szCs w:val="20"/>
        </w:rPr>
        <w:t>64.</w:t>
      </w:r>
      <w:r w:rsidRPr="009A0902">
        <w:rPr>
          <w:rFonts w:ascii="Arial" w:hAnsi="Arial" w:cs="Arial"/>
          <w:noProof/>
          <w:sz w:val="20"/>
          <w:szCs w:val="20"/>
        </w:rPr>
        <w:tab/>
        <w:t>Greenberg ER, Anderson G, Morgan D, Torres J, Chey W, Bravo L, et al. 14-day triple, 5-day concomitant, and 10-day sequential therapies for Helicobacter pylori infection in seven Latin American sites: a randomised trial. Lancet.378(9790):507-14.</w:t>
      </w:r>
      <w:bookmarkEnd w:id="63"/>
    </w:p>
    <w:p w:rsidR="00465307" w:rsidRPr="009A0902" w:rsidRDefault="00465307" w:rsidP="00465307">
      <w:pPr>
        <w:spacing w:after="0" w:line="240" w:lineRule="auto"/>
        <w:ind w:left="567" w:hanging="567"/>
        <w:rPr>
          <w:rFonts w:ascii="Arial" w:hAnsi="Arial" w:cs="Arial"/>
          <w:noProof/>
          <w:sz w:val="20"/>
          <w:szCs w:val="20"/>
        </w:rPr>
      </w:pPr>
      <w:bookmarkStart w:id="64" w:name="_ENREF_65"/>
      <w:r w:rsidRPr="009A0902">
        <w:rPr>
          <w:rFonts w:ascii="Arial" w:hAnsi="Arial" w:cs="Arial"/>
          <w:noProof/>
          <w:sz w:val="20"/>
          <w:szCs w:val="20"/>
        </w:rPr>
        <w:t>65.</w:t>
      </w:r>
      <w:r w:rsidRPr="009A0902">
        <w:rPr>
          <w:rFonts w:ascii="Arial" w:hAnsi="Arial" w:cs="Arial"/>
          <w:noProof/>
          <w:sz w:val="20"/>
          <w:szCs w:val="20"/>
        </w:rPr>
        <w:tab/>
        <w:t>Griffiths P, Stanton A, McCarrell E, Smith C, Osman M, Harber M, et al. Cytomegalovirus glycoprotein-B vaccine with MF59 adjuvant in transplant recipients: a phase 2 randomised placebo-controlled trial. Lancet.377(9773):1256-63.</w:t>
      </w:r>
      <w:bookmarkEnd w:id="64"/>
    </w:p>
    <w:p w:rsidR="00465307" w:rsidRPr="009A0902" w:rsidRDefault="00465307" w:rsidP="00465307">
      <w:pPr>
        <w:spacing w:after="0" w:line="240" w:lineRule="auto"/>
        <w:ind w:left="567" w:hanging="567"/>
        <w:rPr>
          <w:rFonts w:ascii="Arial" w:hAnsi="Arial" w:cs="Arial"/>
          <w:noProof/>
          <w:sz w:val="20"/>
          <w:szCs w:val="20"/>
        </w:rPr>
      </w:pPr>
      <w:bookmarkStart w:id="65" w:name="_ENREF_66"/>
      <w:r w:rsidRPr="009A0902">
        <w:rPr>
          <w:rFonts w:ascii="Arial" w:hAnsi="Arial" w:cs="Arial"/>
          <w:noProof/>
          <w:sz w:val="20"/>
          <w:szCs w:val="20"/>
        </w:rPr>
        <w:t>66.</w:t>
      </w:r>
      <w:r w:rsidRPr="009A0902">
        <w:rPr>
          <w:rFonts w:ascii="Arial" w:hAnsi="Arial" w:cs="Arial"/>
          <w:noProof/>
          <w:sz w:val="20"/>
          <w:szCs w:val="20"/>
        </w:rPr>
        <w:tab/>
        <w:t>Haller H, Ito S, Izzo J, Januszewicz A, Katayama S, Menne J, et al. Olmesartan for the delay or prevention of microalbuminuria in type 2 diabetes. The New England journal of medicine.364(10):907-17.</w:t>
      </w:r>
      <w:bookmarkEnd w:id="65"/>
    </w:p>
    <w:p w:rsidR="00465307" w:rsidRPr="009A0902" w:rsidRDefault="00465307" w:rsidP="00465307">
      <w:pPr>
        <w:spacing w:after="0" w:line="240" w:lineRule="auto"/>
        <w:ind w:left="567" w:hanging="567"/>
        <w:rPr>
          <w:rFonts w:ascii="Arial" w:hAnsi="Arial" w:cs="Arial"/>
          <w:noProof/>
          <w:sz w:val="20"/>
          <w:szCs w:val="20"/>
        </w:rPr>
      </w:pPr>
      <w:bookmarkStart w:id="66" w:name="_ENREF_67"/>
      <w:r w:rsidRPr="009A0902">
        <w:rPr>
          <w:rFonts w:ascii="Arial" w:hAnsi="Arial" w:cs="Arial"/>
          <w:noProof/>
          <w:sz w:val="20"/>
          <w:szCs w:val="20"/>
        </w:rPr>
        <w:t>67.</w:t>
      </w:r>
      <w:r w:rsidRPr="009A0902">
        <w:rPr>
          <w:rFonts w:ascii="Arial" w:hAnsi="Arial" w:cs="Arial"/>
          <w:noProof/>
          <w:sz w:val="20"/>
          <w:szCs w:val="20"/>
        </w:rPr>
        <w:tab/>
        <w:t>Hanania N, Alpan O, Hamilos D, Condemi J, Reyes Rivera I, Zhu J, et al. Omalizumab in severe allergic asthma inadequately controlled with standard therapy: a randomized trial. Annals of Internal Medicine.154(9):573-82.</w:t>
      </w:r>
      <w:bookmarkEnd w:id="66"/>
    </w:p>
    <w:p w:rsidR="00465307" w:rsidRPr="009A0902" w:rsidRDefault="00465307" w:rsidP="00465307">
      <w:pPr>
        <w:spacing w:after="0" w:line="240" w:lineRule="auto"/>
        <w:ind w:left="567" w:hanging="567"/>
        <w:rPr>
          <w:rFonts w:ascii="Arial" w:hAnsi="Arial" w:cs="Arial"/>
          <w:noProof/>
          <w:sz w:val="20"/>
          <w:szCs w:val="20"/>
        </w:rPr>
      </w:pPr>
      <w:bookmarkStart w:id="67" w:name="_ENREF_68"/>
      <w:r w:rsidRPr="009A0902">
        <w:rPr>
          <w:rFonts w:ascii="Arial" w:hAnsi="Arial" w:cs="Arial"/>
          <w:noProof/>
          <w:sz w:val="20"/>
          <w:szCs w:val="20"/>
        </w:rPr>
        <w:t>68.</w:t>
      </w:r>
      <w:r w:rsidRPr="009A0902">
        <w:rPr>
          <w:rFonts w:ascii="Arial" w:hAnsi="Arial" w:cs="Arial"/>
          <w:noProof/>
          <w:sz w:val="20"/>
          <w:szCs w:val="20"/>
        </w:rPr>
        <w:tab/>
        <w:t>Hanaway M, Woodle ES, Mulgaonkar S, Peddi VR, Kaufman D, First MR, et al. Alemtuzumab induction in renal transplantation. The New England journal of medicine.364(20):1909-19.</w:t>
      </w:r>
      <w:bookmarkEnd w:id="67"/>
    </w:p>
    <w:p w:rsidR="00465307" w:rsidRPr="009A0902" w:rsidRDefault="00465307" w:rsidP="00465307">
      <w:pPr>
        <w:spacing w:after="0" w:line="240" w:lineRule="auto"/>
        <w:ind w:left="567" w:hanging="567"/>
        <w:rPr>
          <w:rFonts w:ascii="Arial" w:hAnsi="Arial" w:cs="Arial"/>
          <w:noProof/>
          <w:sz w:val="20"/>
          <w:szCs w:val="20"/>
        </w:rPr>
      </w:pPr>
      <w:bookmarkStart w:id="68" w:name="_ENREF_69"/>
      <w:r w:rsidRPr="009A0902">
        <w:rPr>
          <w:rFonts w:ascii="Arial" w:hAnsi="Arial" w:cs="Arial"/>
          <w:noProof/>
          <w:sz w:val="20"/>
          <w:szCs w:val="20"/>
        </w:rPr>
        <w:t>69.</w:t>
      </w:r>
      <w:r w:rsidRPr="009A0902">
        <w:rPr>
          <w:rFonts w:ascii="Arial" w:hAnsi="Arial" w:cs="Arial"/>
          <w:noProof/>
          <w:sz w:val="20"/>
          <w:szCs w:val="20"/>
        </w:rPr>
        <w:tab/>
        <w:t>Havlir D, Kendall M, Ive P, Kumwenda J, Swindells S, Qasba S, et al. Timing of antiretroviral therapy for HIV-1 infection and tuberculosis. The New England journal of medicine.365(16):1482-91.</w:t>
      </w:r>
      <w:bookmarkEnd w:id="68"/>
    </w:p>
    <w:p w:rsidR="00465307" w:rsidRPr="009A0902" w:rsidRDefault="00465307" w:rsidP="00465307">
      <w:pPr>
        <w:spacing w:after="0" w:line="240" w:lineRule="auto"/>
        <w:ind w:left="567" w:hanging="567"/>
        <w:rPr>
          <w:rFonts w:ascii="Arial" w:hAnsi="Arial" w:cs="Arial"/>
          <w:noProof/>
          <w:sz w:val="20"/>
          <w:szCs w:val="20"/>
        </w:rPr>
      </w:pPr>
      <w:bookmarkStart w:id="69" w:name="_ENREF_70"/>
      <w:r w:rsidRPr="009A0902">
        <w:rPr>
          <w:rFonts w:ascii="Arial" w:hAnsi="Arial" w:cs="Arial"/>
          <w:noProof/>
          <w:sz w:val="20"/>
          <w:szCs w:val="20"/>
        </w:rPr>
        <w:lastRenderedPageBreak/>
        <w:t>70.</w:t>
      </w:r>
      <w:r w:rsidRPr="009A0902">
        <w:rPr>
          <w:rFonts w:ascii="Arial" w:hAnsi="Arial" w:cs="Arial"/>
          <w:noProof/>
          <w:sz w:val="20"/>
          <w:szCs w:val="20"/>
        </w:rPr>
        <w:tab/>
        <w:t>Hemmelgarn B, Moist L, Lok C, Tonelli M, Manns B, Holden R, et al. Prevention of dialysis catheter malfunction with recombinant tissue plasminogen activator. The New England journal of medicine.364(4):303-12.</w:t>
      </w:r>
      <w:bookmarkEnd w:id="69"/>
    </w:p>
    <w:p w:rsidR="00465307" w:rsidRPr="009A0902" w:rsidRDefault="00465307" w:rsidP="00465307">
      <w:pPr>
        <w:spacing w:after="0" w:line="240" w:lineRule="auto"/>
        <w:ind w:left="567" w:hanging="567"/>
        <w:rPr>
          <w:rFonts w:ascii="Arial" w:hAnsi="Arial" w:cs="Arial"/>
          <w:noProof/>
          <w:sz w:val="20"/>
          <w:szCs w:val="20"/>
        </w:rPr>
      </w:pPr>
      <w:bookmarkStart w:id="70" w:name="_ENREF_71"/>
      <w:r w:rsidRPr="009A0902">
        <w:rPr>
          <w:rFonts w:ascii="Arial" w:hAnsi="Arial" w:cs="Arial"/>
          <w:noProof/>
          <w:sz w:val="20"/>
          <w:szCs w:val="20"/>
        </w:rPr>
        <w:t>71.</w:t>
      </w:r>
      <w:r w:rsidRPr="009A0902">
        <w:rPr>
          <w:rFonts w:ascii="Arial" w:hAnsi="Arial" w:cs="Arial"/>
          <w:noProof/>
          <w:sz w:val="20"/>
          <w:szCs w:val="20"/>
        </w:rPr>
        <w:tab/>
        <w:t>Herbst R, Ansari R, Bustin F, Flynn P, Hart L, Otterson G, et al. Efficacy of bevacizumab plus erlotinib versus erlotinib alone in advanced non-small-cell lung cancer after failure of standard first-line chemotherapy (BeTa): a double-blind, placebo-controlled, phase 3 trial. Lancet.377(9780):1846-54.</w:t>
      </w:r>
      <w:bookmarkEnd w:id="70"/>
    </w:p>
    <w:p w:rsidR="00465307" w:rsidRPr="009A0902" w:rsidRDefault="00465307" w:rsidP="00465307">
      <w:pPr>
        <w:spacing w:after="0" w:line="240" w:lineRule="auto"/>
        <w:ind w:left="567" w:hanging="567"/>
        <w:rPr>
          <w:rFonts w:ascii="Arial" w:hAnsi="Arial" w:cs="Arial"/>
          <w:noProof/>
          <w:sz w:val="20"/>
          <w:szCs w:val="20"/>
        </w:rPr>
      </w:pPr>
      <w:bookmarkStart w:id="71" w:name="_ENREF_72"/>
      <w:r w:rsidRPr="009A0902">
        <w:rPr>
          <w:rFonts w:ascii="Arial" w:hAnsi="Arial" w:cs="Arial"/>
          <w:noProof/>
          <w:sz w:val="20"/>
          <w:szCs w:val="20"/>
        </w:rPr>
        <w:t>72.</w:t>
      </w:r>
      <w:r w:rsidRPr="009A0902">
        <w:rPr>
          <w:rFonts w:ascii="Arial" w:hAnsi="Arial" w:cs="Arial"/>
          <w:noProof/>
          <w:sz w:val="20"/>
          <w:szCs w:val="20"/>
        </w:rPr>
        <w:tab/>
        <w:t>Hoberman A, Paradise J, Rockette H, Shaikh N, Wald E, Kearney D, et al. Treatment of acute otitis media in children under 2 years of age. The New England journal of medicine.364(2):105-15.</w:t>
      </w:r>
      <w:bookmarkEnd w:id="71"/>
    </w:p>
    <w:p w:rsidR="00465307" w:rsidRPr="009A0902" w:rsidRDefault="00465307" w:rsidP="00465307">
      <w:pPr>
        <w:spacing w:after="0" w:line="240" w:lineRule="auto"/>
        <w:ind w:left="567" w:hanging="567"/>
        <w:rPr>
          <w:rFonts w:ascii="Arial" w:hAnsi="Arial" w:cs="Arial"/>
          <w:noProof/>
          <w:sz w:val="20"/>
          <w:szCs w:val="20"/>
        </w:rPr>
      </w:pPr>
      <w:bookmarkStart w:id="72" w:name="_ENREF_73"/>
      <w:r w:rsidRPr="009A0902">
        <w:rPr>
          <w:rFonts w:ascii="Arial" w:hAnsi="Arial" w:cs="Arial"/>
          <w:noProof/>
          <w:sz w:val="20"/>
          <w:szCs w:val="20"/>
        </w:rPr>
        <w:t>73.</w:t>
      </w:r>
      <w:r w:rsidRPr="009A0902">
        <w:rPr>
          <w:rFonts w:ascii="Arial" w:hAnsi="Arial" w:cs="Arial"/>
          <w:noProof/>
          <w:sz w:val="20"/>
          <w:szCs w:val="20"/>
        </w:rPr>
        <w:tab/>
        <w:t>Hovorka R, Kumareswaran K, Harris J, Allen JM, Elleri D, Xing D, et al. Overnight closed loop insulin delivery (artificial pancreas) in adults with type 1 diabetes: crossover randomised controlled studies. BMJ.  2011-04-14 00:00:00;342.</w:t>
      </w:r>
      <w:bookmarkEnd w:id="72"/>
    </w:p>
    <w:p w:rsidR="00465307" w:rsidRPr="009A0902" w:rsidRDefault="00465307" w:rsidP="00465307">
      <w:pPr>
        <w:spacing w:after="0" w:line="240" w:lineRule="auto"/>
        <w:ind w:left="567" w:hanging="567"/>
        <w:rPr>
          <w:rFonts w:ascii="Arial" w:hAnsi="Arial" w:cs="Arial"/>
          <w:noProof/>
          <w:sz w:val="20"/>
          <w:szCs w:val="20"/>
        </w:rPr>
      </w:pPr>
      <w:bookmarkStart w:id="73" w:name="_ENREF_74"/>
      <w:r w:rsidRPr="009A0902">
        <w:rPr>
          <w:rFonts w:ascii="Arial" w:hAnsi="Arial" w:cs="Arial"/>
          <w:noProof/>
          <w:sz w:val="20"/>
          <w:szCs w:val="20"/>
        </w:rPr>
        <w:t>74.</w:t>
      </w:r>
      <w:r w:rsidRPr="009A0902">
        <w:rPr>
          <w:rFonts w:ascii="Arial" w:hAnsi="Arial" w:cs="Arial"/>
          <w:noProof/>
          <w:sz w:val="20"/>
          <w:szCs w:val="20"/>
        </w:rPr>
        <w:tab/>
        <w:t>Imazio M, Brucato A, Cemin R, Ferrua S, Belli R, Maestroni S, et al. Colchicine for recurrent pericarditis (CORP): a randomized trial. Annals of Internal Medicine.155(7):409-14.</w:t>
      </w:r>
      <w:bookmarkEnd w:id="73"/>
    </w:p>
    <w:p w:rsidR="00465307" w:rsidRPr="009A0902" w:rsidRDefault="00465307" w:rsidP="00465307">
      <w:pPr>
        <w:spacing w:after="0" w:line="240" w:lineRule="auto"/>
        <w:ind w:left="567" w:hanging="567"/>
        <w:rPr>
          <w:rFonts w:ascii="Arial" w:hAnsi="Arial" w:cs="Arial"/>
          <w:noProof/>
          <w:sz w:val="20"/>
          <w:szCs w:val="20"/>
        </w:rPr>
      </w:pPr>
      <w:bookmarkStart w:id="74" w:name="_ENREF_75"/>
      <w:r w:rsidRPr="009A0902">
        <w:rPr>
          <w:rFonts w:ascii="Arial" w:hAnsi="Arial" w:cs="Arial"/>
          <w:noProof/>
          <w:sz w:val="20"/>
          <w:szCs w:val="20"/>
        </w:rPr>
        <w:t>75.</w:t>
      </w:r>
      <w:r w:rsidRPr="009A0902">
        <w:rPr>
          <w:rFonts w:ascii="Arial" w:hAnsi="Arial" w:cs="Arial"/>
          <w:noProof/>
          <w:sz w:val="20"/>
          <w:szCs w:val="20"/>
        </w:rPr>
        <w:tab/>
        <w:t>Iversen T, Solberg TK, Romner B, Wilsgaard T, Twisk J, Anke A, et al. Effect of caudal epidural steroid or saline injection in chronic lumbar radiculopathy: multicentre, blinded, randomised controlled trial. BMJ.  2011-09-13 00:00:00;343.</w:t>
      </w:r>
      <w:bookmarkEnd w:id="74"/>
    </w:p>
    <w:p w:rsidR="00465307" w:rsidRPr="009A0902" w:rsidRDefault="00465307" w:rsidP="00465307">
      <w:pPr>
        <w:spacing w:after="0" w:line="240" w:lineRule="auto"/>
        <w:ind w:left="567" w:hanging="567"/>
        <w:rPr>
          <w:rFonts w:ascii="Arial" w:hAnsi="Arial" w:cs="Arial"/>
          <w:noProof/>
          <w:sz w:val="20"/>
          <w:szCs w:val="20"/>
        </w:rPr>
      </w:pPr>
      <w:bookmarkStart w:id="75" w:name="_ENREF_76"/>
      <w:r w:rsidRPr="009A0902">
        <w:rPr>
          <w:rFonts w:ascii="Arial" w:hAnsi="Arial" w:cs="Arial"/>
          <w:noProof/>
          <w:sz w:val="20"/>
          <w:szCs w:val="20"/>
        </w:rPr>
        <w:t>76.</w:t>
      </w:r>
      <w:r w:rsidRPr="009A0902">
        <w:rPr>
          <w:rFonts w:ascii="Arial" w:hAnsi="Arial" w:cs="Arial"/>
          <w:noProof/>
          <w:sz w:val="20"/>
          <w:szCs w:val="20"/>
        </w:rPr>
        <w:tab/>
        <w:t>Jacobson I, McHutchison J, Dusheiko G, Di Bisceglie A, Reddy KR, Bzowej N, et al. Telaprevir for previously untreated chronic hepatitis C virus infection. The New England journal of medicine.364(25):2405-16.</w:t>
      </w:r>
      <w:bookmarkEnd w:id="75"/>
    </w:p>
    <w:p w:rsidR="00465307" w:rsidRPr="009A0902" w:rsidRDefault="00465307" w:rsidP="00465307">
      <w:pPr>
        <w:spacing w:after="0" w:line="240" w:lineRule="auto"/>
        <w:ind w:left="567" w:hanging="567"/>
        <w:rPr>
          <w:rFonts w:ascii="Arial" w:hAnsi="Arial" w:cs="Arial"/>
          <w:noProof/>
          <w:sz w:val="20"/>
          <w:szCs w:val="20"/>
        </w:rPr>
      </w:pPr>
      <w:bookmarkStart w:id="76" w:name="_ENREF_77"/>
      <w:r w:rsidRPr="009A0902">
        <w:rPr>
          <w:rFonts w:ascii="Arial" w:hAnsi="Arial" w:cs="Arial"/>
          <w:noProof/>
          <w:sz w:val="20"/>
          <w:szCs w:val="20"/>
        </w:rPr>
        <w:t>77.</w:t>
      </w:r>
      <w:r w:rsidRPr="009A0902">
        <w:rPr>
          <w:rFonts w:ascii="Arial" w:hAnsi="Arial" w:cs="Arial"/>
          <w:noProof/>
          <w:sz w:val="20"/>
          <w:szCs w:val="20"/>
        </w:rPr>
        <w:tab/>
        <w:t>Jamal S, Hamilton C, Eastell R, Cummings S. Effect of nitroglycerin ointment on bone density and strength in postmenopausal women: a randomized trial. JAMA (Chicago, Ill).305(8):800-7.</w:t>
      </w:r>
      <w:bookmarkEnd w:id="76"/>
    </w:p>
    <w:p w:rsidR="00465307" w:rsidRPr="009A0902" w:rsidRDefault="00465307" w:rsidP="00465307">
      <w:pPr>
        <w:spacing w:after="0" w:line="240" w:lineRule="auto"/>
        <w:ind w:left="567" w:hanging="567"/>
        <w:rPr>
          <w:rFonts w:ascii="Arial" w:hAnsi="Arial" w:cs="Arial"/>
          <w:noProof/>
          <w:sz w:val="20"/>
          <w:szCs w:val="20"/>
        </w:rPr>
      </w:pPr>
      <w:bookmarkStart w:id="77" w:name="_ENREF_78"/>
      <w:r w:rsidRPr="009A0902">
        <w:rPr>
          <w:rFonts w:ascii="Arial" w:hAnsi="Arial" w:cs="Arial"/>
          <w:noProof/>
          <w:sz w:val="20"/>
          <w:szCs w:val="20"/>
        </w:rPr>
        <w:t>78.</w:t>
      </w:r>
      <w:r w:rsidRPr="009A0902">
        <w:rPr>
          <w:rFonts w:ascii="Arial" w:hAnsi="Arial" w:cs="Arial"/>
          <w:noProof/>
          <w:sz w:val="20"/>
          <w:szCs w:val="20"/>
        </w:rPr>
        <w:tab/>
        <w:t>Jonathan E, Derrick B, Emma L, Sarah P, John D, Jane A, et al. C-reactive protein concentration and the vascular benefits of statin therapy: an analysis of 20,536 patients in the Heart Protection Study. Lancet.377(9764):469-76.</w:t>
      </w:r>
      <w:bookmarkEnd w:id="77"/>
    </w:p>
    <w:p w:rsidR="00465307" w:rsidRPr="009A0902" w:rsidRDefault="00465307" w:rsidP="00465307">
      <w:pPr>
        <w:spacing w:after="0" w:line="240" w:lineRule="auto"/>
        <w:ind w:left="567" w:hanging="567"/>
        <w:rPr>
          <w:rFonts w:ascii="Arial" w:hAnsi="Arial" w:cs="Arial"/>
          <w:noProof/>
          <w:sz w:val="20"/>
          <w:szCs w:val="20"/>
        </w:rPr>
      </w:pPr>
      <w:bookmarkStart w:id="78" w:name="_ENREF_79"/>
      <w:r w:rsidRPr="009A0902">
        <w:rPr>
          <w:rFonts w:ascii="Arial" w:hAnsi="Arial" w:cs="Arial"/>
          <w:noProof/>
          <w:sz w:val="20"/>
          <w:szCs w:val="20"/>
        </w:rPr>
        <w:t>79.</w:t>
      </w:r>
      <w:r w:rsidRPr="009A0902">
        <w:rPr>
          <w:rFonts w:ascii="Arial" w:hAnsi="Arial" w:cs="Arial"/>
          <w:noProof/>
          <w:sz w:val="20"/>
          <w:szCs w:val="20"/>
        </w:rPr>
        <w:tab/>
        <w:t>Jones C, Hunt D, McGowan D, Amin M, Chetner M, Bruner D, et al. Radiotherapy and short-term androgen deprivation for localized prostate cancer. The New England journal of medicine.365(2):107-18.</w:t>
      </w:r>
      <w:bookmarkEnd w:id="78"/>
    </w:p>
    <w:p w:rsidR="00465307" w:rsidRPr="009A0902" w:rsidRDefault="00465307" w:rsidP="00465307">
      <w:pPr>
        <w:spacing w:after="0" w:line="240" w:lineRule="auto"/>
        <w:ind w:left="567" w:hanging="567"/>
        <w:rPr>
          <w:rFonts w:ascii="Arial" w:hAnsi="Arial" w:cs="Arial"/>
          <w:noProof/>
          <w:sz w:val="20"/>
          <w:szCs w:val="20"/>
        </w:rPr>
      </w:pPr>
      <w:bookmarkStart w:id="79" w:name="_ENREF_80"/>
      <w:r w:rsidRPr="009A0902">
        <w:rPr>
          <w:rFonts w:ascii="Arial" w:hAnsi="Arial" w:cs="Arial"/>
          <w:noProof/>
          <w:sz w:val="20"/>
          <w:szCs w:val="20"/>
        </w:rPr>
        <w:t>80.</w:t>
      </w:r>
      <w:r w:rsidRPr="009A0902">
        <w:rPr>
          <w:rFonts w:ascii="Arial" w:hAnsi="Arial" w:cs="Arial"/>
          <w:noProof/>
          <w:sz w:val="20"/>
          <w:szCs w:val="20"/>
        </w:rPr>
        <w:tab/>
        <w:t>Jozwiak M, Oude Rengerink K, Benthem M, van Beek E, Dijksterhuis MGK, de Graaf I, et al. Foley catheter versus vaginal prostaglandin E2 gel for induction of labour at term (PROBAAT trial): an open-label, randomised controlled trial. Lancet.378(9809):2095-103.</w:t>
      </w:r>
      <w:bookmarkEnd w:id="79"/>
    </w:p>
    <w:p w:rsidR="00465307" w:rsidRPr="009A0902" w:rsidRDefault="00465307" w:rsidP="00465307">
      <w:pPr>
        <w:spacing w:after="0" w:line="240" w:lineRule="auto"/>
        <w:ind w:left="567" w:hanging="567"/>
        <w:rPr>
          <w:rFonts w:ascii="Arial" w:hAnsi="Arial" w:cs="Arial"/>
          <w:noProof/>
          <w:sz w:val="20"/>
          <w:szCs w:val="20"/>
        </w:rPr>
      </w:pPr>
      <w:bookmarkStart w:id="80" w:name="_ENREF_81"/>
      <w:r w:rsidRPr="009A0902">
        <w:rPr>
          <w:rFonts w:ascii="Arial" w:hAnsi="Arial" w:cs="Arial"/>
          <w:noProof/>
          <w:sz w:val="20"/>
          <w:szCs w:val="20"/>
        </w:rPr>
        <w:t>81.</w:t>
      </w:r>
      <w:r w:rsidRPr="009A0902">
        <w:rPr>
          <w:rFonts w:ascii="Arial" w:hAnsi="Arial" w:cs="Arial"/>
          <w:noProof/>
          <w:sz w:val="20"/>
          <w:szCs w:val="20"/>
        </w:rPr>
        <w:tab/>
        <w:t>Kakkar A, Cimminiello C, Goldhaber S, Parakh R, Wang C, Bergmann J-F. Low-molecular-weight heparin and mortality in acutely ill medical patients. The New England journal of medicine.365(26):2463-72.</w:t>
      </w:r>
      <w:bookmarkEnd w:id="80"/>
    </w:p>
    <w:p w:rsidR="00465307" w:rsidRPr="009A0902" w:rsidRDefault="00465307" w:rsidP="00465307">
      <w:pPr>
        <w:spacing w:after="0" w:line="240" w:lineRule="auto"/>
        <w:ind w:left="567" w:hanging="567"/>
        <w:rPr>
          <w:rFonts w:ascii="Arial" w:hAnsi="Arial" w:cs="Arial"/>
          <w:noProof/>
          <w:sz w:val="20"/>
          <w:szCs w:val="20"/>
        </w:rPr>
      </w:pPr>
      <w:bookmarkStart w:id="81" w:name="_ENREF_82"/>
      <w:r w:rsidRPr="009A0902">
        <w:rPr>
          <w:rFonts w:ascii="Arial" w:hAnsi="Arial" w:cs="Arial"/>
          <w:noProof/>
          <w:sz w:val="20"/>
          <w:szCs w:val="20"/>
        </w:rPr>
        <w:t>82.</w:t>
      </w:r>
      <w:r w:rsidRPr="009A0902">
        <w:rPr>
          <w:rFonts w:ascii="Arial" w:hAnsi="Arial" w:cs="Arial"/>
          <w:noProof/>
          <w:sz w:val="20"/>
          <w:szCs w:val="20"/>
        </w:rPr>
        <w:tab/>
        <w:t>Kappos L, Li D, Calabresi P, O'Connor P, Bar Or A, Barkhof F, et al. Ocrelizumab in relapsing-remitting multiple sclerosis: a phase 2, randomised, placebo-controlled, multicentre trial. Lancet.378(9805):1779-87.</w:t>
      </w:r>
      <w:bookmarkEnd w:id="81"/>
    </w:p>
    <w:p w:rsidR="00465307" w:rsidRPr="009A0902" w:rsidRDefault="00465307" w:rsidP="00465307">
      <w:pPr>
        <w:spacing w:after="0" w:line="240" w:lineRule="auto"/>
        <w:ind w:left="567" w:hanging="567"/>
        <w:rPr>
          <w:rFonts w:ascii="Arial" w:hAnsi="Arial" w:cs="Arial"/>
          <w:noProof/>
          <w:sz w:val="20"/>
          <w:szCs w:val="20"/>
        </w:rPr>
      </w:pPr>
      <w:bookmarkStart w:id="82" w:name="_ENREF_83"/>
      <w:r w:rsidRPr="009A0902">
        <w:rPr>
          <w:rFonts w:ascii="Arial" w:hAnsi="Arial" w:cs="Arial"/>
          <w:noProof/>
          <w:sz w:val="20"/>
          <w:szCs w:val="20"/>
        </w:rPr>
        <w:t>83.</w:t>
      </w:r>
      <w:r w:rsidRPr="009A0902">
        <w:rPr>
          <w:rFonts w:ascii="Arial" w:hAnsi="Arial" w:cs="Arial"/>
          <w:noProof/>
          <w:sz w:val="20"/>
          <w:szCs w:val="20"/>
        </w:rPr>
        <w:tab/>
        <w:t>Kastrati A, Neumann F-J, Schulz S, Massberg S, Byrne R, Ferenc M, et al. Abciximab and heparin versus bivalirudin for non-ST-elevation myocardial infarction. The New England journal of medicine.365(21):1980-9.</w:t>
      </w:r>
      <w:bookmarkEnd w:id="82"/>
    </w:p>
    <w:p w:rsidR="00465307" w:rsidRPr="009A0902" w:rsidRDefault="00465307" w:rsidP="00465307">
      <w:pPr>
        <w:spacing w:after="0" w:line="240" w:lineRule="auto"/>
        <w:ind w:left="567" w:hanging="567"/>
        <w:rPr>
          <w:rFonts w:ascii="Arial" w:hAnsi="Arial" w:cs="Arial"/>
          <w:noProof/>
          <w:sz w:val="20"/>
          <w:szCs w:val="20"/>
        </w:rPr>
      </w:pPr>
      <w:bookmarkStart w:id="83" w:name="_ENREF_84"/>
      <w:r w:rsidRPr="009A0902">
        <w:rPr>
          <w:rFonts w:ascii="Arial" w:hAnsi="Arial" w:cs="Arial"/>
          <w:noProof/>
          <w:sz w:val="20"/>
          <w:szCs w:val="20"/>
        </w:rPr>
        <w:t>84.</w:t>
      </w:r>
      <w:r w:rsidRPr="009A0902">
        <w:rPr>
          <w:rFonts w:ascii="Arial" w:hAnsi="Arial" w:cs="Arial"/>
          <w:noProof/>
          <w:sz w:val="20"/>
          <w:szCs w:val="20"/>
        </w:rPr>
        <w:tab/>
        <w:t>Kimberlin D, Whitley R, Wan W, Powell D, Storch G, Ahmed A, et al. Oral acyclovir suppression and neurodevelopment after neonatal herpes. The New England journal of medicine.365(14):1284-92.</w:t>
      </w:r>
      <w:bookmarkEnd w:id="83"/>
    </w:p>
    <w:p w:rsidR="00465307" w:rsidRPr="009A0902" w:rsidRDefault="00465307" w:rsidP="00465307">
      <w:pPr>
        <w:spacing w:after="0" w:line="240" w:lineRule="auto"/>
        <w:ind w:left="567" w:hanging="567"/>
        <w:rPr>
          <w:rFonts w:ascii="Arial" w:hAnsi="Arial" w:cs="Arial"/>
          <w:noProof/>
          <w:sz w:val="20"/>
          <w:szCs w:val="20"/>
        </w:rPr>
      </w:pPr>
      <w:bookmarkStart w:id="84" w:name="_ENREF_85"/>
      <w:r w:rsidRPr="009A0902">
        <w:rPr>
          <w:rFonts w:ascii="Arial" w:hAnsi="Arial" w:cs="Arial"/>
          <w:noProof/>
          <w:sz w:val="20"/>
          <w:szCs w:val="20"/>
        </w:rPr>
        <w:t>85.</w:t>
      </w:r>
      <w:r w:rsidRPr="009A0902">
        <w:rPr>
          <w:rFonts w:ascii="Arial" w:hAnsi="Arial" w:cs="Arial"/>
          <w:noProof/>
          <w:sz w:val="20"/>
          <w:szCs w:val="20"/>
        </w:rPr>
        <w:tab/>
        <w:t>Klein E, Thompson I, Tangen C, Crowley J, Lucia MS, Goodman P, et al. Vitamin E and the risk of prostate cancer: the Selenium and Vitamin E Cancer Prevention Trial (SELECT). JAMA (Chicago, Ill).306(14):1549-56.</w:t>
      </w:r>
      <w:bookmarkEnd w:id="84"/>
    </w:p>
    <w:p w:rsidR="00465307" w:rsidRPr="009A0902" w:rsidRDefault="00465307" w:rsidP="00465307">
      <w:pPr>
        <w:spacing w:after="0" w:line="240" w:lineRule="auto"/>
        <w:ind w:left="567" w:hanging="567"/>
        <w:rPr>
          <w:rFonts w:ascii="Arial" w:hAnsi="Arial" w:cs="Arial"/>
          <w:noProof/>
          <w:sz w:val="20"/>
          <w:szCs w:val="20"/>
        </w:rPr>
      </w:pPr>
      <w:bookmarkStart w:id="85" w:name="_ENREF_86"/>
      <w:r w:rsidRPr="009A0902">
        <w:rPr>
          <w:rFonts w:ascii="Arial" w:hAnsi="Arial" w:cs="Arial"/>
          <w:noProof/>
          <w:sz w:val="20"/>
          <w:szCs w:val="20"/>
        </w:rPr>
        <w:t>86.</w:t>
      </w:r>
      <w:r w:rsidRPr="009A0902">
        <w:rPr>
          <w:rFonts w:ascii="Arial" w:hAnsi="Arial" w:cs="Arial"/>
          <w:noProof/>
          <w:sz w:val="20"/>
          <w:szCs w:val="20"/>
        </w:rPr>
        <w:tab/>
        <w:t>Konat A, Yaro J, Oudraogo A, Diarra A, Gansan A, Soulama I, et al. Intermittent preventive treatment of malaria provides substantial protection against malaria in children already protected by an insecticide-treated bednet in Burkina Faso: a randomised, double-blind, placebo-controlled trial. PLoS Medicine.8(2):e1000408-e.</w:t>
      </w:r>
      <w:bookmarkEnd w:id="85"/>
    </w:p>
    <w:p w:rsidR="00465307" w:rsidRPr="009A0902" w:rsidRDefault="00465307" w:rsidP="00465307">
      <w:pPr>
        <w:spacing w:after="0" w:line="240" w:lineRule="auto"/>
        <w:ind w:left="567" w:hanging="567"/>
        <w:rPr>
          <w:rFonts w:ascii="Arial" w:hAnsi="Arial" w:cs="Arial"/>
          <w:noProof/>
          <w:sz w:val="20"/>
          <w:szCs w:val="20"/>
        </w:rPr>
      </w:pPr>
      <w:bookmarkStart w:id="86" w:name="_ENREF_87"/>
      <w:r w:rsidRPr="009A0902">
        <w:rPr>
          <w:rFonts w:ascii="Arial" w:hAnsi="Arial" w:cs="Arial"/>
          <w:noProof/>
          <w:sz w:val="20"/>
          <w:szCs w:val="20"/>
        </w:rPr>
        <w:t>87.</w:t>
      </w:r>
      <w:r w:rsidRPr="009A0902">
        <w:rPr>
          <w:rFonts w:ascii="Arial" w:hAnsi="Arial" w:cs="Arial"/>
          <w:noProof/>
          <w:sz w:val="20"/>
          <w:szCs w:val="20"/>
        </w:rPr>
        <w:tab/>
        <w:t>Krupitsky E, Nunes E, Ling W, Illeperuma A, Gastfriend D, Silverman B. Injectable extended-release naltrexone for opioid dependence: a double-blind, placebo-controlled, multicentre randomised trial. Lancet.377(9776):1506-13.</w:t>
      </w:r>
      <w:bookmarkEnd w:id="86"/>
    </w:p>
    <w:p w:rsidR="00465307" w:rsidRPr="009A0902" w:rsidRDefault="00465307" w:rsidP="00465307">
      <w:pPr>
        <w:spacing w:after="0" w:line="240" w:lineRule="auto"/>
        <w:ind w:left="567" w:hanging="567"/>
        <w:rPr>
          <w:rFonts w:ascii="Arial" w:hAnsi="Arial" w:cs="Arial"/>
          <w:noProof/>
          <w:sz w:val="20"/>
          <w:szCs w:val="20"/>
        </w:rPr>
      </w:pPr>
      <w:bookmarkStart w:id="87" w:name="_ENREF_88"/>
      <w:r w:rsidRPr="009A0902">
        <w:rPr>
          <w:rFonts w:ascii="Arial" w:hAnsi="Arial" w:cs="Arial"/>
          <w:noProof/>
          <w:sz w:val="20"/>
          <w:szCs w:val="20"/>
        </w:rPr>
        <w:t>88.</w:t>
      </w:r>
      <w:r w:rsidRPr="009A0902">
        <w:rPr>
          <w:rFonts w:ascii="Arial" w:hAnsi="Arial" w:cs="Arial"/>
          <w:noProof/>
          <w:sz w:val="20"/>
          <w:szCs w:val="20"/>
        </w:rPr>
        <w:tab/>
        <w:t>Krystal J, Rosenheck R, Cramer J, Vessicchio J, Jones K, Vertrees J, et al. Adjunctive risperidone treatment for antidepressant-resistant symptoms of chronic military service-related PTSD: a randomized trial. JAMA (Chicago, Ill).306(5):493-502.</w:t>
      </w:r>
      <w:bookmarkEnd w:id="87"/>
    </w:p>
    <w:p w:rsidR="00465307" w:rsidRPr="009A0902" w:rsidRDefault="00465307" w:rsidP="00465307">
      <w:pPr>
        <w:spacing w:after="0" w:line="240" w:lineRule="auto"/>
        <w:ind w:left="567" w:hanging="567"/>
        <w:rPr>
          <w:rFonts w:ascii="Arial" w:hAnsi="Arial" w:cs="Arial"/>
          <w:noProof/>
          <w:sz w:val="20"/>
          <w:szCs w:val="20"/>
        </w:rPr>
      </w:pPr>
      <w:bookmarkStart w:id="88" w:name="_ENREF_89"/>
      <w:r w:rsidRPr="009A0902">
        <w:rPr>
          <w:rFonts w:ascii="Arial" w:hAnsi="Arial" w:cs="Arial"/>
          <w:noProof/>
          <w:sz w:val="20"/>
          <w:szCs w:val="20"/>
        </w:rPr>
        <w:t>89.</w:t>
      </w:r>
      <w:r w:rsidRPr="009A0902">
        <w:rPr>
          <w:rFonts w:ascii="Arial" w:hAnsi="Arial" w:cs="Arial"/>
          <w:noProof/>
          <w:sz w:val="20"/>
          <w:szCs w:val="20"/>
        </w:rPr>
        <w:tab/>
        <w:t>Kumar GT, Sachdev HS, Chellani H, Rehman AM, Singh V, Arora H, et al. Effect of weekly vitamin D supplements on mortality, morbidity, and growth of low birthweight term infants in India up to age 6 months: randomised controlled trial. BMJ.  2011-05-31 00:00:00;342.</w:t>
      </w:r>
      <w:bookmarkEnd w:id="88"/>
    </w:p>
    <w:p w:rsidR="00465307" w:rsidRPr="009A0902" w:rsidRDefault="00465307" w:rsidP="00465307">
      <w:pPr>
        <w:spacing w:after="0" w:line="240" w:lineRule="auto"/>
        <w:ind w:left="567" w:hanging="567"/>
        <w:rPr>
          <w:rFonts w:ascii="Arial" w:hAnsi="Arial" w:cs="Arial"/>
          <w:noProof/>
          <w:sz w:val="20"/>
          <w:szCs w:val="20"/>
        </w:rPr>
      </w:pPr>
      <w:bookmarkStart w:id="89" w:name="_ENREF_90"/>
      <w:r w:rsidRPr="009A0902">
        <w:rPr>
          <w:rFonts w:ascii="Arial" w:hAnsi="Arial" w:cs="Arial"/>
          <w:noProof/>
          <w:sz w:val="20"/>
          <w:szCs w:val="20"/>
        </w:rPr>
        <w:t>90.</w:t>
      </w:r>
      <w:r w:rsidRPr="009A0902">
        <w:rPr>
          <w:rFonts w:ascii="Arial" w:hAnsi="Arial" w:cs="Arial"/>
          <w:noProof/>
          <w:sz w:val="20"/>
          <w:szCs w:val="20"/>
        </w:rPr>
        <w:tab/>
        <w:t>Launay O, van der Vliet D, Rosenberg A, Michel M-L, Piroth L, Rey D, et al. Safety and immunogenicity of 4 intramuscular double doses and 4 intradermal low doses vs standard hepatitis B vaccine regimen in adults with HIV-1: a randomized controlled trial. JAMA (Chicago, Ill).305(14):1432-40.</w:t>
      </w:r>
      <w:bookmarkEnd w:id="89"/>
    </w:p>
    <w:p w:rsidR="00465307" w:rsidRPr="009A0902" w:rsidRDefault="00465307" w:rsidP="00465307">
      <w:pPr>
        <w:spacing w:after="0" w:line="240" w:lineRule="auto"/>
        <w:ind w:left="567" w:hanging="567"/>
        <w:rPr>
          <w:rFonts w:ascii="Arial" w:hAnsi="Arial" w:cs="Arial"/>
          <w:noProof/>
          <w:sz w:val="20"/>
          <w:szCs w:val="20"/>
        </w:rPr>
      </w:pPr>
      <w:bookmarkStart w:id="90" w:name="_ENREF_91"/>
      <w:r w:rsidRPr="009A0902">
        <w:rPr>
          <w:rFonts w:ascii="Arial" w:hAnsi="Arial" w:cs="Arial"/>
          <w:noProof/>
          <w:sz w:val="20"/>
          <w:szCs w:val="20"/>
        </w:rPr>
        <w:t>91.</w:t>
      </w:r>
      <w:r w:rsidRPr="009A0902">
        <w:rPr>
          <w:rFonts w:ascii="Arial" w:hAnsi="Arial" w:cs="Arial"/>
          <w:noProof/>
          <w:sz w:val="20"/>
          <w:szCs w:val="20"/>
        </w:rPr>
        <w:tab/>
        <w:t>Lavine J, Schwimmer J, Van Natta M, Molleston J, Murray K, Rosenthal P, et al. Effect of vitamin E or metformin for treatment of nonalcoholic fatty liver disease in children and adolescents: the TONIC randomized controlled trial. JAMA (Chicago, Ill).305(16):1659-68.</w:t>
      </w:r>
      <w:bookmarkEnd w:id="90"/>
    </w:p>
    <w:p w:rsidR="00465307" w:rsidRPr="009A0902" w:rsidRDefault="00465307" w:rsidP="00465307">
      <w:pPr>
        <w:spacing w:after="0" w:line="240" w:lineRule="auto"/>
        <w:ind w:left="567" w:hanging="567"/>
        <w:rPr>
          <w:rFonts w:ascii="Arial" w:hAnsi="Arial" w:cs="Arial"/>
          <w:noProof/>
          <w:sz w:val="20"/>
          <w:szCs w:val="20"/>
        </w:rPr>
      </w:pPr>
      <w:bookmarkStart w:id="91" w:name="_ENREF_92"/>
      <w:r w:rsidRPr="009A0902">
        <w:rPr>
          <w:rFonts w:ascii="Arial" w:hAnsi="Arial" w:cs="Arial"/>
          <w:noProof/>
          <w:sz w:val="20"/>
          <w:szCs w:val="20"/>
        </w:rPr>
        <w:lastRenderedPageBreak/>
        <w:t>92.</w:t>
      </w:r>
      <w:r w:rsidRPr="009A0902">
        <w:rPr>
          <w:rFonts w:ascii="Arial" w:hAnsi="Arial" w:cs="Arial"/>
          <w:noProof/>
          <w:sz w:val="20"/>
          <w:szCs w:val="20"/>
        </w:rPr>
        <w:tab/>
        <w:t>Leissinger C, Gringeri A, Antmen B, Berntorp E, Biasoli C, Carpenter S, et al. Anti-inhibitor coagulant complex prophylaxis in hemophilia with inhibitors. The New England journal of medicine.365(18):1684-92.</w:t>
      </w:r>
      <w:bookmarkEnd w:id="91"/>
    </w:p>
    <w:p w:rsidR="00465307" w:rsidRPr="009A0902" w:rsidRDefault="00465307" w:rsidP="00465307">
      <w:pPr>
        <w:spacing w:after="0" w:line="240" w:lineRule="auto"/>
        <w:ind w:left="567" w:hanging="567"/>
        <w:rPr>
          <w:rFonts w:ascii="Arial" w:hAnsi="Arial" w:cs="Arial"/>
          <w:noProof/>
          <w:sz w:val="20"/>
          <w:szCs w:val="20"/>
        </w:rPr>
      </w:pPr>
      <w:bookmarkStart w:id="92" w:name="_ENREF_93"/>
      <w:r w:rsidRPr="009A0902">
        <w:rPr>
          <w:rFonts w:ascii="Arial" w:hAnsi="Arial" w:cs="Arial"/>
          <w:noProof/>
          <w:sz w:val="20"/>
          <w:szCs w:val="20"/>
        </w:rPr>
        <w:t>93.</w:t>
      </w:r>
      <w:r w:rsidRPr="009A0902">
        <w:rPr>
          <w:rFonts w:ascii="Arial" w:hAnsi="Arial" w:cs="Arial"/>
          <w:noProof/>
          <w:sz w:val="20"/>
          <w:szCs w:val="20"/>
        </w:rPr>
        <w:tab/>
        <w:t>Lembo A, Schneier H, Shiff S, Kurtz C, MacDougall J, Jia X, et al. Two randomized trials of linaclotide for chronic constipation. The New England journal of medicine.365(6):527-36.</w:t>
      </w:r>
      <w:bookmarkEnd w:id="92"/>
    </w:p>
    <w:p w:rsidR="00465307" w:rsidRPr="009A0902" w:rsidRDefault="00465307" w:rsidP="00465307">
      <w:pPr>
        <w:spacing w:after="0" w:line="240" w:lineRule="auto"/>
        <w:ind w:left="567" w:hanging="567"/>
        <w:rPr>
          <w:rFonts w:ascii="Arial" w:hAnsi="Arial" w:cs="Arial"/>
          <w:noProof/>
          <w:sz w:val="20"/>
          <w:szCs w:val="20"/>
        </w:rPr>
      </w:pPr>
      <w:bookmarkStart w:id="93" w:name="_ENREF_94"/>
      <w:r w:rsidRPr="009A0902">
        <w:rPr>
          <w:rFonts w:ascii="Arial" w:hAnsi="Arial" w:cs="Arial"/>
          <w:noProof/>
          <w:sz w:val="20"/>
          <w:szCs w:val="20"/>
        </w:rPr>
        <w:t>94.</w:t>
      </w:r>
      <w:r w:rsidRPr="009A0902">
        <w:rPr>
          <w:rFonts w:ascii="Arial" w:hAnsi="Arial" w:cs="Arial"/>
          <w:noProof/>
          <w:sz w:val="20"/>
          <w:szCs w:val="20"/>
        </w:rPr>
        <w:tab/>
        <w:t>Lienhardt C, Cook S, Burgos M, Yorke Edwards V, Rigouts L, Anyo G, et al. Efficacy and safety of a 4-drug fixed-dose combination regimen compared with separate drugs for treatment of pulmonary tuberculosis: the Study C randomized controlled trial. JAMA (Chicago, Ill).305(14):1415-23.</w:t>
      </w:r>
      <w:bookmarkEnd w:id="93"/>
    </w:p>
    <w:p w:rsidR="00465307" w:rsidRPr="009A0902" w:rsidRDefault="00465307" w:rsidP="00465307">
      <w:pPr>
        <w:spacing w:after="0" w:line="240" w:lineRule="auto"/>
        <w:ind w:left="567" w:hanging="567"/>
        <w:rPr>
          <w:rFonts w:ascii="Arial" w:hAnsi="Arial" w:cs="Arial"/>
          <w:noProof/>
          <w:sz w:val="20"/>
          <w:szCs w:val="20"/>
        </w:rPr>
      </w:pPr>
      <w:bookmarkStart w:id="94" w:name="_ENREF_95"/>
      <w:r w:rsidRPr="009A0902">
        <w:rPr>
          <w:rFonts w:ascii="Arial" w:hAnsi="Arial" w:cs="Arial"/>
          <w:noProof/>
          <w:sz w:val="20"/>
          <w:szCs w:val="20"/>
        </w:rPr>
        <w:t>95.</w:t>
      </w:r>
      <w:r w:rsidRPr="009A0902">
        <w:rPr>
          <w:rFonts w:ascii="Arial" w:hAnsi="Arial" w:cs="Arial"/>
          <w:noProof/>
          <w:sz w:val="20"/>
          <w:szCs w:val="20"/>
        </w:rPr>
        <w:tab/>
        <w:t>Louie T, Miller M, Mullane K, Weiss K, Lentnek A, Golan Y, et al. Fidaxomicin versus vancomycin for Clostridium difficile infection. The New England journal of medicine.364(5):422-31.</w:t>
      </w:r>
      <w:bookmarkEnd w:id="94"/>
    </w:p>
    <w:p w:rsidR="00465307" w:rsidRPr="009A0902" w:rsidRDefault="00465307" w:rsidP="00465307">
      <w:pPr>
        <w:spacing w:after="0" w:line="240" w:lineRule="auto"/>
        <w:ind w:left="567" w:hanging="567"/>
        <w:rPr>
          <w:rFonts w:ascii="Arial" w:hAnsi="Arial" w:cs="Arial"/>
          <w:noProof/>
          <w:sz w:val="20"/>
          <w:szCs w:val="20"/>
        </w:rPr>
      </w:pPr>
      <w:bookmarkStart w:id="95" w:name="_ENREF_96"/>
      <w:r w:rsidRPr="009A0902">
        <w:rPr>
          <w:rFonts w:ascii="Arial" w:hAnsi="Arial" w:cs="Arial"/>
          <w:noProof/>
          <w:sz w:val="20"/>
          <w:szCs w:val="20"/>
        </w:rPr>
        <w:t>96.</w:t>
      </w:r>
      <w:r w:rsidRPr="009A0902">
        <w:rPr>
          <w:rFonts w:ascii="Arial" w:hAnsi="Arial" w:cs="Arial"/>
          <w:noProof/>
          <w:sz w:val="20"/>
          <w:szCs w:val="20"/>
        </w:rPr>
        <w:tab/>
        <w:t>Lwenberg B, Pabst T, Vellenga E, van Putten W, Schouten H, Graux C, et al. Cytarabine dose for acute myeloid leukemia. The New England journal of medicine.364(11):1027-36.</w:t>
      </w:r>
      <w:bookmarkEnd w:id="95"/>
    </w:p>
    <w:p w:rsidR="00465307" w:rsidRPr="009A0902" w:rsidRDefault="00465307" w:rsidP="00465307">
      <w:pPr>
        <w:spacing w:after="0" w:line="240" w:lineRule="auto"/>
        <w:ind w:left="567" w:hanging="567"/>
        <w:rPr>
          <w:rFonts w:ascii="Arial" w:hAnsi="Arial" w:cs="Arial"/>
          <w:noProof/>
          <w:sz w:val="20"/>
          <w:szCs w:val="20"/>
        </w:rPr>
      </w:pPr>
      <w:bookmarkStart w:id="96" w:name="_ENREF_97"/>
      <w:r w:rsidRPr="009A0902">
        <w:rPr>
          <w:rFonts w:ascii="Arial" w:hAnsi="Arial" w:cs="Arial"/>
          <w:noProof/>
          <w:sz w:val="20"/>
          <w:szCs w:val="20"/>
        </w:rPr>
        <w:t>97.</w:t>
      </w:r>
      <w:r w:rsidRPr="009A0902">
        <w:rPr>
          <w:rFonts w:ascii="Arial" w:hAnsi="Arial" w:cs="Arial"/>
          <w:noProof/>
          <w:sz w:val="20"/>
          <w:szCs w:val="20"/>
        </w:rPr>
        <w:tab/>
        <w:t>Madhi S, Nachman S, Violari A, Kim S, Cotton M, Bobat R, et al. Primary isoniazid prophylaxis against tuberculosis in HIV-exposed children. The New England journal of medicine.365(1):21-31.</w:t>
      </w:r>
      <w:bookmarkEnd w:id="96"/>
    </w:p>
    <w:p w:rsidR="00465307" w:rsidRPr="009A0902" w:rsidRDefault="00465307" w:rsidP="00465307">
      <w:pPr>
        <w:spacing w:after="0" w:line="240" w:lineRule="auto"/>
        <w:ind w:left="567" w:hanging="567"/>
        <w:rPr>
          <w:rFonts w:ascii="Arial" w:hAnsi="Arial" w:cs="Arial"/>
          <w:noProof/>
          <w:sz w:val="20"/>
          <w:szCs w:val="20"/>
        </w:rPr>
      </w:pPr>
      <w:bookmarkStart w:id="97" w:name="_ENREF_98"/>
      <w:r w:rsidRPr="009A0902">
        <w:rPr>
          <w:rFonts w:ascii="Arial" w:hAnsi="Arial" w:cs="Arial"/>
          <w:noProof/>
          <w:sz w:val="20"/>
          <w:szCs w:val="20"/>
        </w:rPr>
        <w:t>98.</w:t>
      </w:r>
      <w:r w:rsidRPr="009A0902">
        <w:rPr>
          <w:rFonts w:ascii="Arial" w:hAnsi="Arial" w:cs="Arial"/>
          <w:noProof/>
          <w:sz w:val="20"/>
          <w:szCs w:val="20"/>
        </w:rPr>
        <w:tab/>
        <w:t>Maitland K, Kiguli S, Opoka R, Engoru C, Olupot Olupot P, Akech S, et al. Mortality after fluid bolus in African children with severe infection. The New England journal of medicine.364(26):2483-95.</w:t>
      </w:r>
      <w:bookmarkEnd w:id="97"/>
    </w:p>
    <w:p w:rsidR="00465307" w:rsidRPr="009A0902" w:rsidRDefault="00465307" w:rsidP="00465307">
      <w:pPr>
        <w:spacing w:after="0" w:line="240" w:lineRule="auto"/>
        <w:ind w:left="567" w:hanging="567"/>
        <w:rPr>
          <w:rFonts w:ascii="Arial" w:hAnsi="Arial" w:cs="Arial"/>
          <w:noProof/>
          <w:sz w:val="20"/>
          <w:szCs w:val="20"/>
        </w:rPr>
      </w:pPr>
      <w:bookmarkStart w:id="98" w:name="_ENREF_99"/>
      <w:r w:rsidRPr="009A0902">
        <w:rPr>
          <w:rFonts w:ascii="Arial" w:hAnsi="Arial" w:cs="Arial"/>
          <w:noProof/>
          <w:sz w:val="20"/>
          <w:szCs w:val="20"/>
        </w:rPr>
        <w:t>99.</w:t>
      </w:r>
      <w:r w:rsidRPr="009A0902">
        <w:rPr>
          <w:rFonts w:ascii="Arial" w:hAnsi="Arial" w:cs="Arial"/>
          <w:noProof/>
          <w:sz w:val="20"/>
          <w:szCs w:val="20"/>
        </w:rPr>
        <w:tab/>
        <w:t>Malfertheiner P, Bazzoli F, Delchier J-C, Celiski K, Gigure M, Rivire M, et al. Helicobacter pylori eradication with a capsule containing bismuth subcitrate potassium, metronidazole, and tetracycline given with omeprazole versus clarithromycin-based triple therapy: a randomised, open-label, non-inferiority, phase 3 trial. Lancet.377(9769):905-13.</w:t>
      </w:r>
      <w:bookmarkEnd w:id="98"/>
    </w:p>
    <w:p w:rsidR="00465307" w:rsidRPr="009A0902" w:rsidRDefault="00465307" w:rsidP="00465307">
      <w:pPr>
        <w:spacing w:after="0" w:line="240" w:lineRule="auto"/>
        <w:ind w:left="567" w:hanging="567"/>
        <w:rPr>
          <w:rFonts w:ascii="Arial" w:hAnsi="Arial" w:cs="Arial"/>
          <w:noProof/>
          <w:sz w:val="20"/>
          <w:szCs w:val="20"/>
        </w:rPr>
      </w:pPr>
      <w:bookmarkStart w:id="99" w:name="_ENREF_100"/>
      <w:r w:rsidRPr="009A0902">
        <w:rPr>
          <w:rFonts w:ascii="Arial" w:hAnsi="Arial" w:cs="Arial"/>
          <w:noProof/>
          <w:sz w:val="20"/>
          <w:szCs w:val="20"/>
        </w:rPr>
        <w:t>100.</w:t>
      </w:r>
      <w:r w:rsidRPr="009A0902">
        <w:rPr>
          <w:rFonts w:ascii="Arial" w:hAnsi="Arial" w:cs="Arial"/>
          <w:noProof/>
          <w:sz w:val="20"/>
          <w:szCs w:val="20"/>
        </w:rPr>
        <w:tab/>
        <w:t>Marcocci C, Kahaly G, Krassas G, Bartalena L, Prummel M, Stahl M, et al. Selenium and the course of mild Graves' orbitopathy. The New England journal of medicine.364(20):1920-31.</w:t>
      </w:r>
      <w:bookmarkEnd w:id="99"/>
    </w:p>
    <w:p w:rsidR="00465307" w:rsidRPr="009A0902" w:rsidRDefault="00465307" w:rsidP="00465307">
      <w:pPr>
        <w:spacing w:after="0" w:line="240" w:lineRule="auto"/>
        <w:ind w:left="567" w:hanging="567"/>
        <w:rPr>
          <w:rFonts w:ascii="Arial" w:hAnsi="Arial" w:cs="Arial"/>
          <w:noProof/>
          <w:sz w:val="20"/>
          <w:szCs w:val="20"/>
        </w:rPr>
      </w:pPr>
      <w:bookmarkStart w:id="100" w:name="_ENREF_101"/>
      <w:r w:rsidRPr="009A0902">
        <w:rPr>
          <w:rFonts w:ascii="Arial" w:hAnsi="Arial" w:cs="Arial"/>
          <w:noProof/>
          <w:sz w:val="20"/>
          <w:szCs w:val="20"/>
        </w:rPr>
        <w:t>101.</w:t>
      </w:r>
      <w:r w:rsidRPr="009A0902">
        <w:rPr>
          <w:rFonts w:ascii="Arial" w:hAnsi="Arial" w:cs="Arial"/>
          <w:noProof/>
          <w:sz w:val="20"/>
          <w:szCs w:val="20"/>
        </w:rPr>
        <w:tab/>
        <w:t>Martin D, Maguire M, Ying G-s, Grunwald J, Fine S, Jaffe G. Ranibizumab and bevacizumab for neovascular age-related macular degeneration. The New England journal of medicine.364(20):1897-908.</w:t>
      </w:r>
      <w:bookmarkEnd w:id="100"/>
    </w:p>
    <w:p w:rsidR="00465307" w:rsidRPr="009A0902" w:rsidRDefault="00465307" w:rsidP="00465307">
      <w:pPr>
        <w:spacing w:after="0" w:line="240" w:lineRule="auto"/>
        <w:ind w:left="567" w:hanging="567"/>
        <w:rPr>
          <w:rFonts w:ascii="Arial" w:hAnsi="Arial" w:cs="Arial"/>
          <w:noProof/>
          <w:sz w:val="20"/>
          <w:szCs w:val="20"/>
        </w:rPr>
      </w:pPr>
      <w:bookmarkStart w:id="101" w:name="_ENREF_102"/>
      <w:r w:rsidRPr="009A0902">
        <w:rPr>
          <w:rFonts w:ascii="Arial" w:hAnsi="Arial" w:cs="Arial"/>
          <w:noProof/>
          <w:sz w:val="20"/>
          <w:szCs w:val="20"/>
        </w:rPr>
        <w:t>102.</w:t>
      </w:r>
      <w:r w:rsidRPr="009A0902">
        <w:rPr>
          <w:rFonts w:ascii="Arial" w:hAnsi="Arial" w:cs="Arial"/>
          <w:noProof/>
          <w:sz w:val="20"/>
          <w:szCs w:val="20"/>
        </w:rPr>
        <w:tab/>
        <w:t>Martineau A, Timms P, Bothamley G, Hanifa Y, Islam K, Claxton A, et al. High-dose vitamin D(3) during intensive-phase antimicrobial treatment of pulmonary tuberculosis: a double-blind randomised controlled trial. Lancet.377(9761):242-50.</w:t>
      </w:r>
      <w:bookmarkEnd w:id="101"/>
    </w:p>
    <w:p w:rsidR="00465307" w:rsidRPr="009A0902" w:rsidRDefault="00465307" w:rsidP="00465307">
      <w:pPr>
        <w:spacing w:after="0" w:line="240" w:lineRule="auto"/>
        <w:ind w:left="567" w:hanging="567"/>
        <w:rPr>
          <w:rFonts w:ascii="Arial" w:hAnsi="Arial" w:cs="Arial"/>
          <w:noProof/>
          <w:sz w:val="20"/>
          <w:szCs w:val="20"/>
        </w:rPr>
      </w:pPr>
      <w:bookmarkStart w:id="102" w:name="_ENREF_103"/>
      <w:r w:rsidRPr="009A0902">
        <w:rPr>
          <w:rFonts w:ascii="Arial" w:hAnsi="Arial" w:cs="Arial"/>
          <w:noProof/>
          <w:sz w:val="20"/>
          <w:szCs w:val="20"/>
        </w:rPr>
        <w:t>103.</w:t>
      </w:r>
      <w:r w:rsidRPr="009A0902">
        <w:rPr>
          <w:rFonts w:ascii="Arial" w:hAnsi="Arial" w:cs="Arial"/>
          <w:noProof/>
          <w:sz w:val="20"/>
          <w:szCs w:val="20"/>
        </w:rPr>
        <w:tab/>
        <w:t>Martinez F, Chinchilli V, Morgan W, Boehmer S, Lemanske R, Mauger D, et al. Use of beclomethasone dipropionate as rescue treatment for children with mild persistent asthma (TREXA): a randomised, double-blind, placebo-controlled trial. Lancet.377(9766):650-7.</w:t>
      </w:r>
      <w:bookmarkEnd w:id="102"/>
    </w:p>
    <w:p w:rsidR="00465307" w:rsidRPr="009A0902" w:rsidRDefault="00465307" w:rsidP="00465307">
      <w:pPr>
        <w:spacing w:after="0" w:line="240" w:lineRule="auto"/>
        <w:ind w:left="567" w:hanging="567"/>
        <w:rPr>
          <w:rFonts w:ascii="Arial" w:hAnsi="Arial" w:cs="Arial"/>
          <w:noProof/>
          <w:sz w:val="20"/>
          <w:szCs w:val="20"/>
        </w:rPr>
      </w:pPr>
      <w:bookmarkStart w:id="103" w:name="_ENREF_104"/>
      <w:r w:rsidRPr="009A0902">
        <w:rPr>
          <w:rFonts w:ascii="Arial" w:hAnsi="Arial" w:cs="Arial"/>
          <w:noProof/>
          <w:sz w:val="20"/>
          <w:szCs w:val="20"/>
        </w:rPr>
        <w:t>104.</w:t>
      </w:r>
      <w:r w:rsidRPr="009A0902">
        <w:rPr>
          <w:rFonts w:ascii="Arial" w:hAnsi="Arial" w:cs="Arial"/>
          <w:noProof/>
          <w:sz w:val="20"/>
          <w:szCs w:val="20"/>
        </w:rPr>
        <w:tab/>
        <w:t>Martinson N, Barnes G, Moulton L, Msandiwa R, Hausler H, Ram M, et al. New regimens to prevent tuberculosis in adults with HIV infection. The New England journal of medicine.365(1):11-20.</w:t>
      </w:r>
      <w:bookmarkEnd w:id="103"/>
    </w:p>
    <w:p w:rsidR="00465307" w:rsidRPr="009A0902" w:rsidRDefault="00465307" w:rsidP="00465307">
      <w:pPr>
        <w:spacing w:after="0" w:line="240" w:lineRule="auto"/>
        <w:ind w:left="567" w:hanging="567"/>
        <w:rPr>
          <w:rFonts w:ascii="Arial" w:hAnsi="Arial" w:cs="Arial"/>
          <w:noProof/>
          <w:sz w:val="20"/>
          <w:szCs w:val="20"/>
        </w:rPr>
      </w:pPr>
      <w:bookmarkStart w:id="104" w:name="_ENREF_105"/>
      <w:r w:rsidRPr="009A0902">
        <w:rPr>
          <w:rFonts w:ascii="Arial" w:hAnsi="Arial" w:cs="Arial"/>
          <w:noProof/>
          <w:sz w:val="20"/>
          <w:szCs w:val="20"/>
        </w:rPr>
        <w:t>105.</w:t>
      </w:r>
      <w:r w:rsidRPr="009A0902">
        <w:rPr>
          <w:rFonts w:ascii="Arial" w:hAnsi="Arial" w:cs="Arial"/>
          <w:noProof/>
          <w:sz w:val="20"/>
          <w:szCs w:val="20"/>
        </w:rPr>
        <w:tab/>
        <w:t>Maughan T, Adams R, Smith C, Meade A, Seymour M, Wilson R, et al. Addition of cetuximab to oxaliplatin-based first-line combination chemotherapy for treatment of advanced colorectal cancer: results of the randomised phase 3 MRC COIN trial. Lancet.377(9783):2103-14.</w:t>
      </w:r>
      <w:bookmarkEnd w:id="104"/>
    </w:p>
    <w:p w:rsidR="00465307" w:rsidRPr="009A0902" w:rsidRDefault="00465307" w:rsidP="00465307">
      <w:pPr>
        <w:spacing w:after="0" w:line="240" w:lineRule="auto"/>
        <w:ind w:left="567" w:hanging="567"/>
        <w:rPr>
          <w:rFonts w:ascii="Arial" w:hAnsi="Arial" w:cs="Arial"/>
          <w:noProof/>
          <w:sz w:val="20"/>
          <w:szCs w:val="20"/>
        </w:rPr>
      </w:pPr>
      <w:bookmarkStart w:id="105" w:name="_ENREF_106"/>
      <w:r w:rsidRPr="009A0902">
        <w:rPr>
          <w:rFonts w:ascii="Arial" w:hAnsi="Arial" w:cs="Arial"/>
          <w:noProof/>
          <w:sz w:val="20"/>
          <w:szCs w:val="20"/>
        </w:rPr>
        <w:t>106.</w:t>
      </w:r>
      <w:r w:rsidRPr="009A0902">
        <w:rPr>
          <w:rFonts w:ascii="Arial" w:hAnsi="Arial" w:cs="Arial"/>
          <w:noProof/>
          <w:sz w:val="20"/>
          <w:szCs w:val="20"/>
        </w:rPr>
        <w:tab/>
        <w:t>McCormack F, Inoue Y, Moss J, Singer L, Strange C, Nakata K, et al. Efficacy and safety of sirolimus in lymphangioleiomyomatosis. The New England journal of medicine.364(17):1595-606.</w:t>
      </w:r>
      <w:bookmarkEnd w:id="105"/>
    </w:p>
    <w:p w:rsidR="00465307" w:rsidRPr="009A0902" w:rsidRDefault="00465307" w:rsidP="00465307">
      <w:pPr>
        <w:spacing w:after="0" w:line="240" w:lineRule="auto"/>
        <w:ind w:left="567" w:hanging="567"/>
        <w:rPr>
          <w:rFonts w:ascii="Arial" w:hAnsi="Arial" w:cs="Arial"/>
          <w:noProof/>
          <w:sz w:val="20"/>
          <w:szCs w:val="20"/>
        </w:rPr>
      </w:pPr>
      <w:bookmarkStart w:id="106" w:name="_ENREF_107"/>
      <w:r w:rsidRPr="009A0902">
        <w:rPr>
          <w:rFonts w:ascii="Arial" w:hAnsi="Arial" w:cs="Arial"/>
          <w:noProof/>
          <w:sz w:val="20"/>
          <w:szCs w:val="20"/>
        </w:rPr>
        <w:t>107.</w:t>
      </w:r>
      <w:r w:rsidRPr="009A0902">
        <w:rPr>
          <w:rFonts w:ascii="Arial" w:hAnsi="Arial" w:cs="Arial"/>
          <w:noProof/>
          <w:sz w:val="20"/>
          <w:szCs w:val="20"/>
        </w:rPr>
        <w:tab/>
        <w:t>Mega J, Braunwald E, Wiviott S, Bassand J-P, Bhatt D, Bode C, et al. Rivaroxaban in patients with a recent acute coronary syndrome. The New England journal of medicine.366(1):9-19.</w:t>
      </w:r>
      <w:bookmarkEnd w:id="106"/>
    </w:p>
    <w:p w:rsidR="00465307" w:rsidRPr="009A0902" w:rsidRDefault="00465307" w:rsidP="00465307">
      <w:pPr>
        <w:spacing w:after="0" w:line="240" w:lineRule="auto"/>
        <w:ind w:left="567" w:hanging="567"/>
        <w:rPr>
          <w:rFonts w:ascii="Arial" w:hAnsi="Arial" w:cs="Arial"/>
          <w:noProof/>
          <w:sz w:val="20"/>
          <w:szCs w:val="20"/>
        </w:rPr>
      </w:pPr>
      <w:bookmarkStart w:id="107" w:name="_ENREF_108"/>
      <w:r w:rsidRPr="009A0902">
        <w:rPr>
          <w:rFonts w:ascii="Arial" w:hAnsi="Arial" w:cs="Arial"/>
          <w:noProof/>
          <w:sz w:val="20"/>
          <w:szCs w:val="20"/>
        </w:rPr>
        <w:t>108.</w:t>
      </w:r>
      <w:r w:rsidRPr="009A0902">
        <w:rPr>
          <w:rFonts w:ascii="Arial" w:hAnsi="Arial" w:cs="Arial"/>
          <w:noProof/>
          <w:sz w:val="20"/>
          <w:szCs w:val="20"/>
        </w:rPr>
        <w:tab/>
        <w:t>Mega J, Hochholzer W, Frelinger A, Kluk M, Angiolillo D, Kereiakes D, et al. Dosing clopidogrel based on CYP2C19 genotype and the effect on platelet reactivity in patients with stable cardiovascular disease. JAMA (Chicago, Ill).306(20):2221-8.</w:t>
      </w:r>
      <w:bookmarkEnd w:id="107"/>
    </w:p>
    <w:p w:rsidR="00465307" w:rsidRPr="009A0902" w:rsidRDefault="00465307" w:rsidP="00465307">
      <w:pPr>
        <w:spacing w:after="0" w:line="240" w:lineRule="auto"/>
        <w:ind w:left="567" w:hanging="567"/>
        <w:rPr>
          <w:rFonts w:ascii="Arial" w:hAnsi="Arial" w:cs="Arial"/>
          <w:noProof/>
          <w:sz w:val="20"/>
          <w:szCs w:val="20"/>
        </w:rPr>
      </w:pPr>
      <w:bookmarkStart w:id="108" w:name="_ENREF_109"/>
      <w:r w:rsidRPr="009A0902">
        <w:rPr>
          <w:rFonts w:ascii="Arial" w:hAnsi="Arial" w:cs="Arial"/>
          <w:noProof/>
          <w:sz w:val="20"/>
          <w:szCs w:val="20"/>
        </w:rPr>
        <w:t>109.</w:t>
      </w:r>
      <w:r w:rsidRPr="009A0902">
        <w:rPr>
          <w:rFonts w:ascii="Arial" w:hAnsi="Arial" w:cs="Arial"/>
          <w:noProof/>
          <w:sz w:val="20"/>
          <w:szCs w:val="20"/>
        </w:rPr>
        <w:tab/>
        <w:t>Mehilli J, Pache J, Abdel Wahab M, Schulz S, Byrne R, Tiroch K, et al. Drug-eluting versus bare-metal stents in saphenous vein graft lesions (ISAR-CABG): a randomised controlled superiority trial. Lancet.378(9796):1071-8.</w:t>
      </w:r>
      <w:bookmarkEnd w:id="108"/>
    </w:p>
    <w:p w:rsidR="00465307" w:rsidRPr="009A0902" w:rsidRDefault="00465307" w:rsidP="00465307">
      <w:pPr>
        <w:spacing w:after="0" w:line="240" w:lineRule="auto"/>
        <w:ind w:left="567" w:hanging="567"/>
        <w:rPr>
          <w:rFonts w:ascii="Arial" w:hAnsi="Arial" w:cs="Arial"/>
          <w:noProof/>
          <w:sz w:val="20"/>
          <w:szCs w:val="20"/>
        </w:rPr>
      </w:pPr>
      <w:bookmarkStart w:id="109" w:name="_ENREF_110"/>
      <w:r w:rsidRPr="009A0902">
        <w:rPr>
          <w:rFonts w:ascii="Arial" w:hAnsi="Arial" w:cs="Arial"/>
          <w:noProof/>
          <w:sz w:val="20"/>
          <w:szCs w:val="20"/>
        </w:rPr>
        <w:t>110.</w:t>
      </w:r>
      <w:r w:rsidRPr="009A0902">
        <w:rPr>
          <w:rFonts w:ascii="Arial" w:hAnsi="Arial" w:cs="Arial"/>
          <w:noProof/>
          <w:sz w:val="20"/>
          <w:szCs w:val="20"/>
        </w:rPr>
        <w:tab/>
        <w:t>Meijvis SCA, Hardeman H, Remmelts HHF, Heijligenberg R, Rijkers G, van Velzen-Blad H, et al. Dexamethasone and length of hospital stay in patients with community-acquired pneumonia: a randomised, double-blind, placebo-controlled trial. Lancet.377(9782):2023-30.</w:t>
      </w:r>
      <w:bookmarkEnd w:id="109"/>
    </w:p>
    <w:p w:rsidR="00465307" w:rsidRPr="009A0902" w:rsidRDefault="00465307" w:rsidP="00465307">
      <w:pPr>
        <w:spacing w:after="0" w:line="240" w:lineRule="auto"/>
        <w:ind w:left="567" w:hanging="567"/>
        <w:rPr>
          <w:rFonts w:ascii="Arial" w:hAnsi="Arial" w:cs="Arial"/>
          <w:noProof/>
          <w:sz w:val="20"/>
          <w:szCs w:val="20"/>
        </w:rPr>
      </w:pPr>
      <w:bookmarkStart w:id="110" w:name="_ENREF_111"/>
      <w:r w:rsidRPr="009A0902">
        <w:rPr>
          <w:rFonts w:ascii="Arial" w:hAnsi="Arial" w:cs="Arial"/>
          <w:noProof/>
          <w:sz w:val="20"/>
          <w:szCs w:val="20"/>
        </w:rPr>
        <w:t>111.</w:t>
      </w:r>
      <w:r w:rsidRPr="009A0902">
        <w:rPr>
          <w:rFonts w:ascii="Arial" w:hAnsi="Arial" w:cs="Arial"/>
          <w:noProof/>
          <w:sz w:val="20"/>
          <w:szCs w:val="20"/>
        </w:rPr>
        <w:tab/>
        <w:t>Mintz Hittner H, Kennedy K, Chuang A. Efficacy of intravitreal bevacizumab for stage 3+ retinopathy of prematurity. The New England journal of medicine.364(7):603-15.</w:t>
      </w:r>
      <w:bookmarkEnd w:id="110"/>
    </w:p>
    <w:p w:rsidR="00465307" w:rsidRPr="009A0902" w:rsidRDefault="00465307" w:rsidP="00465307">
      <w:pPr>
        <w:spacing w:after="0" w:line="240" w:lineRule="auto"/>
        <w:ind w:left="567" w:hanging="567"/>
        <w:rPr>
          <w:rFonts w:ascii="Arial" w:hAnsi="Arial" w:cs="Arial"/>
          <w:noProof/>
          <w:sz w:val="20"/>
          <w:szCs w:val="20"/>
        </w:rPr>
      </w:pPr>
      <w:bookmarkStart w:id="111" w:name="_ENREF_112"/>
      <w:r w:rsidRPr="009A0902">
        <w:rPr>
          <w:rFonts w:ascii="Arial" w:hAnsi="Arial" w:cs="Arial"/>
          <w:noProof/>
          <w:sz w:val="20"/>
          <w:szCs w:val="20"/>
        </w:rPr>
        <w:t>112.</w:t>
      </w:r>
      <w:r w:rsidRPr="009A0902">
        <w:rPr>
          <w:rFonts w:ascii="Arial" w:hAnsi="Arial" w:cs="Arial"/>
          <w:noProof/>
          <w:sz w:val="20"/>
          <w:szCs w:val="20"/>
        </w:rPr>
        <w:tab/>
        <w:t>Molina J-M, Cahn P, Grinsztejn B, Lazzarin A, Mills A, Saag M, et al. Rilpivirine versus efavirenz with tenofovir and emtricitabine in treatment-naive adults infected with HIV-1 (ECHO): a phase 3 randomised double-blind active-controlled trial. Lancet.378(9787):238-46.</w:t>
      </w:r>
      <w:bookmarkEnd w:id="111"/>
    </w:p>
    <w:p w:rsidR="00465307" w:rsidRPr="009A0902" w:rsidRDefault="00465307" w:rsidP="00465307">
      <w:pPr>
        <w:spacing w:after="0" w:line="240" w:lineRule="auto"/>
        <w:ind w:left="567" w:hanging="567"/>
        <w:rPr>
          <w:rFonts w:ascii="Arial" w:hAnsi="Arial" w:cs="Arial"/>
          <w:noProof/>
          <w:sz w:val="20"/>
          <w:szCs w:val="20"/>
        </w:rPr>
      </w:pPr>
      <w:bookmarkStart w:id="112" w:name="_ENREF_113"/>
      <w:r w:rsidRPr="009A0902">
        <w:rPr>
          <w:rFonts w:ascii="Arial" w:hAnsi="Arial" w:cs="Arial"/>
          <w:noProof/>
          <w:sz w:val="20"/>
          <w:szCs w:val="20"/>
        </w:rPr>
        <w:t>113.</w:t>
      </w:r>
      <w:r w:rsidRPr="009A0902">
        <w:rPr>
          <w:rFonts w:ascii="Arial" w:hAnsi="Arial" w:cs="Arial"/>
          <w:noProof/>
          <w:sz w:val="20"/>
          <w:szCs w:val="20"/>
        </w:rPr>
        <w:tab/>
        <w:t>Molyneux E, Nizami S, Saha S, Huu K, Azam M, Bhutta Z, et al. 5 versus 10 days of treatment with ceftriaxone for bacterial meningitis in children: a double-blind randomised equivalence study. Lancet.377(9780):1837-45.</w:t>
      </w:r>
      <w:bookmarkEnd w:id="112"/>
    </w:p>
    <w:p w:rsidR="00465307" w:rsidRPr="009A0902" w:rsidRDefault="00465307" w:rsidP="00465307">
      <w:pPr>
        <w:spacing w:after="0" w:line="240" w:lineRule="auto"/>
        <w:ind w:left="567" w:hanging="567"/>
        <w:rPr>
          <w:rFonts w:ascii="Arial" w:hAnsi="Arial" w:cs="Arial"/>
          <w:noProof/>
          <w:sz w:val="20"/>
          <w:szCs w:val="20"/>
        </w:rPr>
      </w:pPr>
      <w:bookmarkStart w:id="113" w:name="_ENREF_114"/>
      <w:r w:rsidRPr="009A0902">
        <w:rPr>
          <w:rFonts w:ascii="Arial" w:hAnsi="Arial" w:cs="Arial"/>
          <w:noProof/>
          <w:sz w:val="20"/>
          <w:szCs w:val="20"/>
        </w:rPr>
        <w:t>114.</w:t>
      </w:r>
      <w:r w:rsidRPr="009A0902">
        <w:rPr>
          <w:rFonts w:ascii="Arial" w:hAnsi="Arial" w:cs="Arial"/>
          <w:noProof/>
          <w:sz w:val="20"/>
          <w:szCs w:val="20"/>
        </w:rPr>
        <w:tab/>
        <w:t>Montalescot G, Zeymer U, Silvain J, Boulanger B, Cohen M, Goldstein P, et al. Intravenous enoxaparin or unfractionated heparin in primary percutaneous coronary intervention for ST-elevation myocardial infarction: the international randomised open-label ATOLL trial. Lancet.378(9792):693-703.</w:t>
      </w:r>
      <w:bookmarkEnd w:id="113"/>
    </w:p>
    <w:p w:rsidR="00465307" w:rsidRPr="009A0902" w:rsidRDefault="00465307" w:rsidP="00465307">
      <w:pPr>
        <w:spacing w:after="0" w:line="240" w:lineRule="auto"/>
        <w:ind w:left="567" w:hanging="567"/>
        <w:rPr>
          <w:rFonts w:ascii="Arial" w:hAnsi="Arial" w:cs="Arial"/>
          <w:noProof/>
          <w:sz w:val="20"/>
          <w:szCs w:val="20"/>
        </w:rPr>
      </w:pPr>
      <w:bookmarkStart w:id="114" w:name="_ENREF_115"/>
      <w:r w:rsidRPr="009A0902">
        <w:rPr>
          <w:rFonts w:ascii="Arial" w:hAnsi="Arial" w:cs="Arial"/>
          <w:noProof/>
          <w:sz w:val="20"/>
          <w:szCs w:val="20"/>
        </w:rPr>
        <w:t>115.</w:t>
      </w:r>
      <w:r w:rsidRPr="009A0902">
        <w:rPr>
          <w:rFonts w:ascii="Arial" w:hAnsi="Arial" w:cs="Arial"/>
          <w:noProof/>
          <w:sz w:val="20"/>
          <w:szCs w:val="20"/>
        </w:rPr>
        <w:tab/>
        <w:t>Najjar S, Rao S, Melloni C, Raman S, Povsic T, Melton L, et al. Intravenous erythropoietin in patients with ST-segment elevation myocardial infarction: REVEAL: a randomized controlled trial. JAMA (Chicago, Ill).305(18):1863-72.</w:t>
      </w:r>
      <w:bookmarkEnd w:id="114"/>
    </w:p>
    <w:p w:rsidR="00465307" w:rsidRPr="009A0902" w:rsidRDefault="00465307" w:rsidP="00465307">
      <w:pPr>
        <w:spacing w:after="0" w:line="240" w:lineRule="auto"/>
        <w:ind w:left="567" w:hanging="567"/>
        <w:rPr>
          <w:rFonts w:ascii="Arial" w:hAnsi="Arial" w:cs="Arial"/>
          <w:noProof/>
          <w:sz w:val="20"/>
          <w:szCs w:val="20"/>
        </w:rPr>
      </w:pPr>
      <w:bookmarkStart w:id="115" w:name="_ENREF_116"/>
      <w:r w:rsidRPr="009A0902">
        <w:rPr>
          <w:rFonts w:ascii="Arial" w:hAnsi="Arial" w:cs="Arial"/>
          <w:noProof/>
          <w:sz w:val="20"/>
          <w:szCs w:val="20"/>
        </w:rPr>
        <w:lastRenderedPageBreak/>
        <w:t>116.</w:t>
      </w:r>
      <w:r w:rsidRPr="009A0902">
        <w:rPr>
          <w:rFonts w:ascii="Arial" w:hAnsi="Arial" w:cs="Arial"/>
          <w:noProof/>
          <w:sz w:val="20"/>
          <w:szCs w:val="20"/>
        </w:rPr>
        <w:tab/>
        <w:t>Navarra S, Guzmn R, Gallacher A, Hall S, Levy R, Jimenez R, et al. Efficacy and safety of belimumab in patients with active systemic lupus erythematosus: a randomised, placebo-controlled, phase 3 trial. Lancet.377(9767):721-31.</w:t>
      </w:r>
      <w:bookmarkEnd w:id="115"/>
    </w:p>
    <w:p w:rsidR="00465307" w:rsidRPr="009A0902" w:rsidRDefault="00465307" w:rsidP="00465307">
      <w:pPr>
        <w:spacing w:after="0" w:line="240" w:lineRule="auto"/>
        <w:ind w:left="567" w:hanging="567"/>
        <w:rPr>
          <w:rFonts w:ascii="Arial" w:hAnsi="Arial" w:cs="Arial"/>
          <w:noProof/>
          <w:sz w:val="20"/>
          <w:szCs w:val="20"/>
        </w:rPr>
      </w:pPr>
      <w:bookmarkStart w:id="116" w:name="_ENREF_117"/>
      <w:r w:rsidRPr="009A0902">
        <w:rPr>
          <w:rFonts w:ascii="Arial" w:hAnsi="Arial" w:cs="Arial"/>
          <w:noProof/>
          <w:sz w:val="20"/>
          <w:szCs w:val="20"/>
        </w:rPr>
        <w:t>117.</w:t>
      </w:r>
      <w:r w:rsidRPr="009A0902">
        <w:rPr>
          <w:rFonts w:ascii="Arial" w:hAnsi="Arial" w:cs="Arial"/>
          <w:noProof/>
          <w:sz w:val="20"/>
          <w:szCs w:val="20"/>
        </w:rPr>
        <w:tab/>
        <w:t>Neuzil K, Canh D, Thiem V, Janmohamed A, Huong V, Tang Y, et al. Immunogenicity and reactogenicity of alternative schedules of HPV vaccine in Vietnam: a cluster randomized noninferiority trial. JAMA (Chicago, Ill).305(14):1424-31.</w:t>
      </w:r>
      <w:bookmarkEnd w:id="116"/>
    </w:p>
    <w:p w:rsidR="00465307" w:rsidRPr="009A0902" w:rsidRDefault="00465307" w:rsidP="00465307">
      <w:pPr>
        <w:spacing w:after="0" w:line="240" w:lineRule="auto"/>
        <w:ind w:left="567" w:hanging="567"/>
        <w:rPr>
          <w:rFonts w:ascii="Arial" w:hAnsi="Arial" w:cs="Arial"/>
          <w:noProof/>
          <w:sz w:val="20"/>
          <w:szCs w:val="20"/>
        </w:rPr>
      </w:pPr>
      <w:bookmarkStart w:id="117" w:name="_ENREF_118"/>
      <w:r w:rsidRPr="009A0902">
        <w:rPr>
          <w:rFonts w:ascii="Arial" w:hAnsi="Arial" w:cs="Arial"/>
          <w:noProof/>
          <w:sz w:val="20"/>
          <w:szCs w:val="20"/>
        </w:rPr>
        <w:t>118.</w:t>
      </w:r>
      <w:r w:rsidRPr="009A0902">
        <w:rPr>
          <w:rFonts w:ascii="Arial" w:hAnsi="Arial" w:cs="Arial"/>
          <w:noProof/>
          <w:sz w:val="20"/>
          <w:szCs w:val="20"/>
        </w:rPr>
        <w:tab/>
        <w:t>Nguyen Khac E, Thevenot T, Piquet M-A, Benferhat S, Goria O, Chatelain D, et al. Glucocorticoids plus N-acetylcysteine in severe alcoholic hepatitis. The New England journal of medicine.365(19):1781-9.</w:t>
      </w:r>
      <w:bookmarkEnd w:id="117"/>
    </w:p>
    <w:p w:rsidR="00465307" w:rsidRPr="009A0902" w:rsidRDefault="00465307" w:rsidP="00465307">
      <w:pPr>
        <w:spacing w:after="0" w:line="240" w:lineRule="auto"/>
        <w:ind w:left="567" w:hanging="567"/>
        <w:rPr>
          <w:rFonts w:ascii="Arial" w:hAnsi="Arial" w:cs="Arial"/>
          <w:noProof/>
          <w:sz w:val="20"/>
          <w:szCs w:val="20"/>
        </w:rPr>
      </w:pPr>
      <w:bookmarkStart w:id="118" w:name="_ENREF_119"/>
      <w:r w:rsidRPr="009A0902">
        <w:rPr>
          <w:rFonts w:ascii="Arial" w:hAnsi="Arial" w:cs="Arial"/>
          <w:noProof/>
          <w:sz w:val="20"/>
          <w:szCs w:val="20"/>
        </w:rPr>
        <w:t>119.</w:t>
      </w:r>
      <w:r w:rsidRPr="009A0902">
        <w:rPr>
          <w:rFonts w:ascii="Arial" w:hAnsi="Arial" w:cs="Arial"/>
          <w:noProof/>
          <w:sz w:val="20"/>
          <w:szCs w:val="20"/>
        </w:rPr>
        <w:tab/>
        <w:t>Nicholls S, Ballantyne C, Barter P, Chapman MJ, Erbel R, Libby P, et al. Effect of two intensive statin regimens on progression of coronary disease. The New England journal of medicine.365(22):2078-87.</w:t>
      </w:r>
      <w:bookmarkEnd w:id="118"/>
    </w:p>
    <w:p w:rsidR="00465307" w:rsidRPr="009A0902" w:rsidRDefault="00465307" w:rsidP="00465307">
      <w:pPr>
        <w:spacing w:after="0" w:line="240" w:lineRule="auto"/>
        <w:ind w:left="567" w:hanging="567"/>
        <w:rPr>
          <w:rFonts w:ascii="Arial" w:hAnsi="Arial" w:cs="Arial"/>
          <w:noProof/>
          <w:sz w:val="20"/>
          <w:szCs w:val="20"/>
        </w:rPr>
      </w:pPr>
      <w:bookmarkStart w:id="119" w:name="_ENREF_120"/>
      <w:r w:rsidRPr="009A0902">
        <w:rPr>
          <w:rFonts w:ascii="Arial" w:hAnsi="Arial" w:cs="Arial"/>
          <w:noProof/>
          <w:sz w:val="20"/>
          <w:szCs w:val="20"/>
        </w:rPr>
        <w:t>120.</w:t>
      </w:r>
      <w:r w:rsidRPr="009A0902">
        <w:rPr>
          <w:rFonts w:ascii="Arial" w:hAnsi="Arial" w:cs="Arial"/>
          <w:noProof/>
          <w:sz w:val="20"/>
          <w:szCs w:val="20"/>
        </w:rPr>
        <w:tab/>
        <w:t>Nicholls S, Brewer HB, Kastelein JJP, Krueger K, Wang M-D, Shao M, et al. Effects of the CETP inhibitor evacetrapib administered as monotherapy or in combination with statins on HDL and LDL cholesterol: a randomized controlled trial. JAMA (Chicago, Ill).306(19):2099-109.</w:t>
      </w:r>
      <w:bookmarkEnd w:id="119"/>
    </w:p>
    <w:p w:rsidR="00465307" w:rsidRPr="009A0902" w:rsidRDefault="00465307" w:rsidP="00465307">
      <w:pPr>
        <w:spacing w:after="0" w:line="240" w:lineRule="auto"/>
        <w:ind w:left="567" w:hanging="567"/>
        <w:rPr>
          <w:rFonts w:ascii="Arial" w:hAnsi="Arial" w:cs="Arial"/>
          <w:noProof/>
          <w:sz w:val="20"/>
          <w:szCs w:val="20"/>
        </w:rPr>
      </w:pPr>
      <w:bookmarkStart w:id="120" w:name="_ENREF_121"/>
      <w:r w:rsidRPr="009A0902">
        <w:rPr>
          <w:rFonts w:ascii="Arial" w:hAnsi="Arial" w:cs="Arial"/>
          <w:noProof/>
          <w:sz w:val="20"/>
          <w:szCs w:val="20"/>
        </w:rPr>
        <w:t>121.</w:t>
      </w:r>
      <w:r w:rsidRPr="009A0902">
        <w:rPr>
          <w:rFonts w:ascii="Arial" w:hAnsi="Arial" w:cs="Arial"/>
          <w:noProof/>
          <w:sz w:val="20"/>
          <w:szCs w:val="20"/>
        </w:rPr>
        <w:tab/>
        <w:t>Noble P, Albera C, Bradford W, Costabel U, Glassberg M, Kardatzke D, et al. Pirfenidone in patients with idiopathic pulmonary fibrosis (CAPACITY): two randomised trials. Lancet.377(9779):1760-9.</w:t>
      </w:r>
      <w:bookmarkEnd w:id="120"/>
    </w:p>
    <w:p w:rsidR="00465307" w:rsidRPr="009A0902" w:rsidRDefault="00465307" w:rsidP="00465307">
      <w:pPr>
        <w:spacing w:after="0" w:line="240" w:lineRule="auto"/>
        <w:ind w:left="567" w:hanging="567"/>
        <w:rPr>
          <w:rFonts w:ascii="Arial" w:hAnsi="Arial" w:cs="Arial"/>
          <w:noProof/>
          <w:sz w:val="20"/>
          <w:szCs w:val="20"/>
        </w:rPr>
      </w:pPr>
      <w:bookmarkStart w:id="121" w:name="_ENREF_122"/>
      <w:r w:rsidRPr="009A0902">
        <w:rPr>
          <w:rFonts w:ascii="Arial" w:hAnsi="Arial" w:cs="Arial"/>
          <w:noProof/>
          <w:sz w:val="20"/>
          <w:szCs w:val="20"/>
        </w:rPr>
        <w:t>122.</w:t>
      </w:r>
      <w:r w:rsidRPr="009A0902">
        <w:rPr>
          <w:rFonts w:ascii="Arial" w:hAnsi="Arial" w:cs="Arial"/>
          <w:noProof/>
          <w:sz w:val="20"/>
          <w:szCs w:val="20"/>
        </w:rPr>
        <w:tab/>
        <w:t>Nunez O, Weinstein B, Scheinberg P, Biancotto A, Wu C, Young N. Horse versus rabbit antithymocyte globulin in acquired aplastic anemia. The New England journal of medicine.365(5):430-8.</w:t>
      </w:r>
      <w:bookmarkEnd w:id="121"/>
    </w:p>
    <w:p w:rsidR="00465307" w:rsidRPr="009A0902" w:rsidRDefault="00465307" w:rsidP="00465307">
      <w:pPr>
        <w:spacing w:after="0" w:line="240" w:lineRule="auto"/>
        <w:ind w:left="567" w:hanging="567"/>
        <w:rPr>
          <w:rFonts w:ascii="Arial" w:hAnsi="Arial" w:cs="Arial"/>
          <w:noProof/>
          <w:sz w:val="20"/>
          <w:szCs w:val="20"/>
        </w:rPr>
      </w:pPr>
      <w:bookmarkStart w:id="122" w:name="_ENREF_123"/>
      <w:r w:rsidRPr="009A0902">
        <w:rPr>
          <w:rFonts w:ascii="Arial" w:hAnsi="Arial" w:cs="Arial"/>
          <w:noProof/>
          <w:sz w:val="20"/>
          <w:szCs w:val="20"/>
        </w:rPr>
        <w:t>123.</w:t>
      </w:r>
      <w:r w:rsidRPr="009A0902">
        <w:rPr>
          <w:rFonts w:ascii="Arial" w:hAnsi="Arial" w:cs="Arial"/>
          <w:noProof/>
          <w:sz w:val="20"/>
          <w:szCs w:val="20"/>
        </w:rPr>
        <w:tab/>
        <w:t>O'Connor CM, Starling RC, Hernandez AF, Armstrong PW, Dickstein K, Hasselblad V, et al. Effect of nesiritide in patients with acute decompensated heart failure. The New England journal of medicine.365(1):32-43.</w:t>
      </w:r>
      <w:bookmarkEnd w:id="122"/>
    </w:p>
    <w:p w:rsidR="00465307" w:rsidRPr="009A0902" w:rsidRDefault="00465307" w:rsidP="00465307">
      <w:pPr>
        <w:spacing w:after="0" w:line="240" w:lineRule="auto"/>
        <w:ind w:left="567" w:hanging="567"/>
        <w:rPr>
          <w:rFonts w:ascii="Arial" w:hAnsi="Arial" w:cs="Arial"/>
          <w:noProof/>
          <w:sz w:val="20"/>
          <w:szCs w:val="20"/>
        </w:rPr>
      </w:pPr>
      <w:bookmarkStart w:id="123" w:name="_ENREF_124"/>
      <w:r w:rsidRPr="009A0902">
        <w:rPr>
          <w:rFonts w:ascii="Arial" w:hAnsi="Arial" w:cs="Arial"/>
          <w:noProof/>
          <w:sz w:val="20"/>
          <w:szCs w:val="20"/>
        </w:rPr>
        <w:t>124.</w:t>
      </w:r>
      <w:r w:rsidRPr="009A0902">
        <w:rPr>
          <w:rFonts w:ascii="Arial" w:hAnsi="Arial" w:cs="Arial"/>
          <w:noProof/>
          <w:sz w:val="20"/>
          <w:szCs w:val="20"/>
        </w:rPr>
        <w:tab/>
        <w:t>O'Connor P, Wolinsky J, Confavreux C, Comi G, Kappos L, Olsson T, et al. Randomized trial of oral teriflunomide for relapsing multiple sclerosis. The New England journal of medicine.365(14):1293-303.</w:t>
      </w:r>
      <w:bookmarkEnd w:id="123"/>
    </w:p>
    <w:p w:rsidR="00465307" w:rsidRPr="009A0902" w:rsidRDefault="00465307" w:rsidP="00465307">
      <w:pPr>
        <w:spacing w:after="0" w:line="240" w:lineRule="auto"/>
        <w:ind w:left="567" w:hanging="567"/>
        <w:rPr>
          <w:rFonts w:ascii="Arial" w:hAnsi="Arial" w:cs="Arial"/>
          <w:noProof/>
          <w:sz w:val="20"/>
          <w:szCs w:val="20"/>
        </w:rPr>
      </w:pPr>
      <w:bookmarkStart w:id="124" w:name="_ENREF_125"/>
      <w:r w:rsidRPr="009A0902">
        <w:rPr>
          <w:rFonts w:ascii="Arial" w:hAnsi="Arial" w:cs="Arial"/>
          <w:noProof/>
          <w:sz w:val="20"/>
          <w:szCs w:val="20"/>
        </w:rPr>
        <w:t>125.</w:t>
      </w:r>
      <w:r w:rsidRPr="009A0902">
        <w:rPr>
          <w:rFonts w:ascii="Arial" w:hAnsi="Arial" w:cs="Arial"/>
          <w:noProof/>
          <w:sz w:val="20"/>
          <w:szCs w:val="20"/>
        </w:rPr>
        <w:tab/>
        <w:t>Orban T, Bundy B, Becker D, DiMeglio L, Gitelman S, Goland R, et al. Co-stimulation modulation with abatacept in patients with recent-onset type 1 diabetes: a randomised, double-blind, placebo-controlled trial. Lancet.378(9789):412-9.</w:t>
      </w:r>
      <w:bookmarkEnd w:id="124"/>
    </w:p>
    <w:p w:rsidR="00465307" w:rsidRPr="009A0902" w:rsidRDefault="00465307" w:rsidP="00465307">
      <w:pPr>
        <w:spacing w:after="0" w:line="240" w:lineRule="auto"/>
        <w:ind w:left="567" w:hanging="567"/>
        <w:rPr>
          <w:rFonts w:ascii="Arial" w:hAnsi="Arial" w:cs="Arial"/>
          <w:noProof/>
          <w:sz w:val="20"/>
          <w:szCs w:val="20"/>
        </w:rPr>
      </w:pPr>
      <w:bookmarkStart w:id="125" w:name="_ENREF_126"/>
      <w:r w:rsidRPr="009A0902">
        <w:rPr>
          <w:rFonts w:ascii="Arial" w:hAnsi="Arial" w:cs="Arial"/>
          <w:noProof/>
          <w:sz w:val="20"/>
          <w:szCs w:val="20"/>
        </w:rPr>
        <w:t>126.</w:t>
      </w:r>
      <w:r w:rsidRPr="009A0902">
        <w:rPr>
          <w:rFonts w:ascii="Arial" w:hAnsi="Arial" w:cs="Arial"/>
          <w:noProof/>
          <w:sz w:val="20"/>
          <w:szCs w:val="20"/>
        </w:rPr>
        <w:tab/>
        <w:t>O'Shaughnessy J, Osborne C, Pippen J, Yoffe M, Patt D, Rocha C, et al. Iniparib plus chemotherapy in metastatic triple-negative breast cancer. The New England journal of medicine.364(3):205-14.</w:t>
      </w:r>
      <w:bookmarkEnd w:id="125"/>
    </w:p>
    <w:p w:rsidR="00465307" w:rsidRPr="009A0902" w:rsidRDefault="00465307" w:rsidP="00465307">
      <w:pPr>
        <w:spacing w:after="0" w:line="240" w:lineRule="auto"/>
        <w:ind w:left="567" w:hanging="567"/>
        <w:rPr>
          <w:rFonts w:ascii="Arial" w:hAnsi="Arial" w:cs="Arial"/>
          <w:noProof/>
          <w:sz w:val="20"/>
          <w:szCs w:val="20"/>
        </w:rPr>
      </w:pPr>
      <w:bookmarkStart w:id="126" w:name="_ENREF_127"/>
      <w:r w:rsidRPr="009A0902">
        <w:rPr>
          <w:rFonts w:ascii="Arial" w:hAnsi="Arial" w:cs="Arial"/>
          <w:noProof/>
          <w:sz w:val="20"/>
          <w:szCs w:val="20"/>
        </w:rPr>
        <w:t>127.</w:t>
      </w:r>
      <w:r w:rsidRPr="009A0902">
        <w:rPr>
          <w:rFonts w:ascii="Arial" w:hAnsi="Arial" w:cs="Arial"/>
          <w:noProof/>
          <w:sz w:val="20"/>
          <w:szCs w:val="20"/>
        </w:rPr>
        <w:tab/>
        <w:t>Patel M, Mahaffey K, Garg J, Pan G, Singer D, Hacke W, et al. Rivaroxaban versus warfarin in nonvalvular atrial fibrillation. The New England journal of medicine.365(10):883-91.</w:t>
      </w:r>
      <w:bookmarkEnd w:id="126"/>
    </w:p>
    <w:p w:rsidR="00465307" w:rsidRPr="009A0902" w:rsidRDefault="00465307" w:rsidP="00465307">
      <w:pPr>
        <w:spacing w:after="0" w:line="240" w:lineRule="auto"/>
        <w:ind w:left="567" w:hanging="567"/>
        <w:rPr>
          <w:rFonts w:ascii="Arial" w:hAnsi="Arial" w:cs="Arial"/>
          <w:noProof/>
          <w:sz w:val="20"/>
          <w:szCs w:val="20"/>
        </w:rPr>
      </w:pPr>
      <w:bookmarkStart w:id="127" w:name="_ENREF_128"/>
      <w:r w:rsidRPr="009A0902">
        <w:rPr>
          <w:rFonts w:ascii="Arial" w:hAnsi="Arial" w:cs="Arial"/>
          <w:noProof/>
          <w:sz w:val="20"/>
          <w:szCs w:val="20"/>
        </w:rPr>
        <w:t>128.</w:t>
      </w:r>
      <w:r w:rsidRPr="009A0902">
        <w:rPr>
          <w:rFonts w:ascii="Arial" w:hAnsi="Arial" w:cs="Arial"/>
          <w:noProof/>
          <w:sz w:val="20"/>
          <w:szCs w:val="20"/>
        </w:rPr>
        <w:tab/>
        <w:t>Pathmeswaran A, Ranasinha C, Jayamanne S, Samarakoon S, Hittharage A, Kalupahana R, et al. Low-dose adrenaline, promethazine, and hydrocortisone in the prevention of acute adverse reactions to antivenom following snakebite: a randomised, double-blind, placebo-controlled trial. PLoS Medicine.8(5):e1000435-e.</w:t>
      </w:r>
      <w:bookmarkEnd w:id="127"/>
    </w:p>
    <w:p w:rsidR="00465307" w:rsidRPr="009A0902" w:rsidRDefault="00465307" w:rsidP="00465307">
      <w:pPr>
        <w:spacing w:after="0" w:line="240" w:lineRule="auto"/>
        <w:ind w:left="567" w:hanging="567"/>
        <w:rPr>
          <w:rFonts w:ascii="Arial" w:hAnsi="Arial" w:cs="Arial"/>
          <w:noProof/>
          <w:sz w:val="20"/>
          <w:szCs w:val="20"/>
        </w:rPr>
      </w:pPr>
      <w:bookmarkStart w:id="128" w:name="_ENREF_129"/>
      <w:r w:rsidRPr="009A0902">
        <w:rPr>
          <w:rFonts w:ascii="Arial" w:hAnsi="Arial" w:cs="Arial"/>
          <w:noProof/>
          <w:sz w:val="20"/>
          <w:szCs w:val="20"/>
        </w:rPr>
        <w:t>129.</w:t>
      </w:r>
      <w:r w:rsidRPr="009A0902">
        <w:rPr>
          <w:rFonts w:ascii="Arial" w:hAnsi="Arial" w:cs="Arial"/>
          <w:noProof/>
          <w:sz w:val="20"/>
          <w:szCs w:val="20"/>
        </w:rPr>
        <w:tab/>
        <w:t>Pavel M, Hainsworth J, Baudin E, Peeters M, Hrsch D, Winkler R, et al. Everolimus plus octreotide long-acting repeatable for the treatment of advanced neuroendocrine tumours associated with carcinoid syndrome (RADIANT-2): a randomised, placebo-controlled, phase 3 study. Lancet.378(9808):2005-12.</w:t>
      </w:r>
      <w:bookmarkEnd w:id="128"/>
    </w:p>
    <w:p w:rsidR="00465307" w:rsidRPr="009A0902" w:rsidRDefault="00465307" w:rsidP="00465307">
      <w:pPr>
        <w:spacing w:after="0" w:line="240" w:lineRule="auto"/>
        <w:ind w:left="567" w:hanging="567"/>
        <w:rPr>
          <w:rFonts w:ascii="Arial" w:hAnsi="Arial" w:cs="Arial"/>
          <w:noProof/>
          <w:sz w:val="20"/>
          <w:szCs w:val="20"/>
        </w:rPr>
      </w:pPr>
      <w:bookmarkStart w:id="129" w:name="_ENREF_130"/>
      <w:r w:rsidRPr="009A0902">
        <w:rPr>
          <w:rFonts w:ascii="Arial" w:hAnsi="Arial" w:cs="Arial"/>
          <w:noProof/>
          <w:sz w:val="20"/>
          <w:szCs w:val="20"/>
        </w:rPr>
        <w:t>130.</w:t>
      </w:r>
      <w:r w:rsidRPr="009A0902">
        <w:rPr>
          <w:rFonts w:ascii="Arial" w:hAnsi="Arial" w:cs="Arial"/>
          <w:noProof/>
          <w:sz w:val="20"/>
          <w:szCs w:val="20"/>
        </w:rPr>
        <w:tab/>
        <w:t>Pergola P, Raskin P, Toto R, Meyer C, Huff JW, Grossman E, et al. Bardoxolone methyl and kidney function in CKD with type 2 diabetes. The New England journal of medicine.365(4):327-36.</w:t>
      </w:r>
      <w:bookmarkEnd w:id="129"/>
    </w:p>
    <w:p w:rsidR="00465307" w:rsidRPr="009A0902" w:rsidRDefault="00465307" w:rsidP="00465307">
      <w:pPr>
        <w:spacing w:after="0" w:line="240" w:lineRule="auto"/>
        <w:ind w:left="567" w:hanging="567"/>
        <w:rPr>
          <w:rFonts w:ascii="Arial" w:hAnsi="Arial" w:cs="Arial"/>
          <w:noProof/>
          <w:sz w:val="20"/>
          <w:szCs w:val="20"/>
        </w:rPr>
      </w:pPr>
      <w:bookmarkStart w:id="130" w:name="_ENREF_131"/>
      <w:r w:rsidRPr="009A0902">
        <w:rPr>
          <w:rFonts w:ascii="Arial" w:hAnsi="Arial" w:cs="Arial"/>
          <w:noProof/>
          <w:sz w:val="20"/>
          <w:szCs w:val="20"/>
        </w:rPr>
        <w:t>131.</w:t>
      </w:r>
      <w:r w:rsidRPr="009A0902">
        <w:rPr>
          <w:rFonts w:ascii="Arial" w:hAnsi="Arial" w:cs="Arial"/>
          <w:noProof/>
          <w:sz w:val="20"/>
          <w:szCs w:val="20"/>
        </w:rPr>
        <w:tab/>
        <w:t>Perren T, Swart A, Pfisterer J, Ledermann J, Pujade Lauraine E, Kristensen G, et al. A phase 3 trial of bevacizumab in ovarian cancer. The New England journal of medicine.365(26):2484-96.</w:t>
      </w:r>
      <w:bookmarkEnd w:id="130"/>
    </w:p>
    <w:p w:rsidR="00465307" w:rsidRPr="009A0902" w:rsidRDefault="00465307" w:rsidP="00465307">
      <w:pPr>
        <w:spacing w:after="0" w:line="240" w:lineRule="auto"/>
        <w:ind w:left="567" w:hanging="567"/>
        <w:rPr>
          <w:rFonts w:ascii="Arial" w:hAnsi="Arial" w:cs="Arial"/>
          <w:noProof/>
          <w:sz w:val="20"/>
          <w:szCs w:val="20"/>
        </w:rPr>
      </w:pPr>
      <w:bookmarkStart w:id="131" w:name="_ENREF_132"/>
      <w:r w:rsidRPr="009A0902">
        <w:rPr>
          <w:rFonts w:ascii="Arial" w:hAnsi="Arial" w:cs="Arial"/>
          <w:noProof/>
          <w:sz w:val="20"/>
          <w:szCs w:val="20"/>
        </w:rPr>
        <w:t>132.</w:t>
      </w:r>
      <w:r w:rsidRPr="009A0902">
        <w:rPr>
          <w:rFonts w:ascii="Arial" w:hAnsi="Arial" w:cs="Arial"/>
          <w:noProof/>
          <w:sz w:val="20"/>
          <w:szCs w:val="20"/>
        </w:rPr>
        <w:tab/>
        <w:t>Pimentel M, Lembo A, Chey W, Zakko S, Ringel Y, Yu J, et al. Rifaximin therapy for patients with irritable bowel syndrome without constipation. The New England journal of medicine.364(1):22-32.</w:t>
      </w:r>
      <w:bookmarkEnd w:id="131"/>
    </w:p>
    <w:p w:rsidR="00465307" w:rsidRPr="009A0902" w:rsidRDefault="00465307" w:rsidP="00465307">
      <w:pPr>
        <w:spacing w:after="0" w:line="240" w:lineRule="auto"/>
        <w:ind w:left="567" w:hanging="567"/>
        <w:rPr>
          <w:rFonts w:ascii="Arial" w:hAnsi="Arial" w:cs="Arial"/>
          <w:noProof/>
          <w:sz w:val="20"/>
          <w:szCs w:val="20"/>
        </w:rPr>
      </w:pPr>
      <w:bookmarkStart w:id="132" w:name="_ENREF_133"/>
      <w:r w:rsidRPr="009A0902">
        <w:rPr>
          <w:rFonts w:ascii="Arial" w:hAnsi="Arial" w:cs="Arial"/>
          <w:noProof/>
          <w:sz w:val="20"/>
          <w:szCs w:val="20"/>
        </w:rPr>
        <w:t>133.</w:t>
      </w:r>
      <w:r w:rsidRPr="009A0902">
        <w:rPr>
          <w:rFonts w:ascii="Arial" w:hAnsi="Arial" w:cs="Arial"/>
          <w:noProof/>
          <w:sz w:val="20"/>
          <w:szCs w:val="20"/>
        </w:rPr>
        <w:tab/>
        <w:t>Poordad F, McCone J, Bacon B, Bruno S, Manns M, Sulkowski M, et al. Boceprevir for untreated chronic HCV genotype 1 infection. The New England journal of medicine.364(13):1195-206.</w:t>
      </w:r>
      <w:bookmarkEnd w:id="132"/>
    </w:p>
    <w:p w:rsidR="00465307" w:rsidRPr="009A0902" w:rsidRDefault="00465307" w:rsidP="00465307">
      <w:pPr>
        <w:spacing w:after="0" w:line="240" w:lineRule="auto"/>
        <w:ind w:left="567" w:hanging="567"/>
        <w:rPr>
          <w:rFonts w:ascii="Arial" w:hAnsi="Arial" w:cs="Arial"/>
          <w:noProof/>
          <w:sz w:val="20"/>
          <w:szCs w:val="20"/>
        </w:rPr>
      </w:pPr>
      <w:bookmarkStart w:id="133" w:name="_ENREF_134"/>
      <w:r w:rsidRPr="009A0902">
        <w:rPr>
          <w:rFonts w:ascii="Arial" w:hAnsi="Arial" w:cs="Arial"/>
          <w:noProof/>
          <w:sz w:val="20"/>
          <w:szCs w:val="20"/>
        </w:rPr>
        <w:t>134.</w:t>
      </w:r>
      <w:r w:rsidRPr="009A0902">
        <w:rPr>
          <w:rFonts w:ascii="Arial" w:hAnsi="Arial" w:cs="Arial"/>
          <w:noProof/>
          <w:sz w:val="20"/>
          <w:szCs w:val="20"/>
        </w:rPr>
        <w:tab/>
        <w:t>Porto AMF, Coutinho IC, Correia JB, Amorim MMR. Effectiveness of antenatal corticosteroids in reducing respiratory disorders in late preterm infants: randomised clinical trial. BMJ.  2011-04-12 00:00:00;342.</w:t>
      </w:r>
      <w:bookmarkEnd w:id="133"/>
    </w:p>
    <w:p w:rsidR="00465307" w:rsidRPr="009A0902" w:rsidRDefault="00465307" w:rsidP="00465307">
      <w:pPr>
        <w:spacing w:after="0" w:line="240" w:lineRule="auto"/>
        <w:ind w:left="567" w:hanging="567"/>
        <w:rPr>
          <w:rFonts w:ascii="Arial" w:hAnsi="Arial" w:cs="Arial"/>
          <w:noProof/>
          <w:sz w:val="20"/>
          <w:szCs w:val="20"/>
        </w:rPr>
      </w:pPr>
      <w:bookmarkStart w:id="134" w:name="_ENREF_135"/>
      <w:r w:rsidRPr="009A0902">
        <w:rPr>
          <w:rFonts w:ascii="Arial" w:hAnsi="Arial" w:cs="Arial"/>
          <w:noProof/>
          <w:sz w:val="20"/>
          <w:szCs w:val="20"/>
        </w:rPr>
        <w:t>135.</w:t>
      </w:r>
      <w:r w:rsidRPr="009A0902">
        <w:rPr>
          <w:rFonts w:ascii="Arial" w:hAnsi="Arial" w:cs="Arial"/>
          <w:noProof/>
          <w:sz w:val="20"/>
          <w:szCs w:val="20"/>
        </w:rPr>
        <w:tab/>
        <w:t>Price D, Musgrave S, Shepstone L, Hillyer E, Sims E, Gilbert RFT, et al. Leukotriene antagonists as first-line or add-on asthma-controller therapy. The New England journal of medicine.364(18):1695-707.</w:t>
      </w:r>
      <w:bookmarkEnd w:id="134"/>
    </w:p>
    <w:p w:rsidR="00465307" w:rsidRPr="009A0902" w:rsidRDefault="00465307" w:rsidP="00465307">
      <w:pPr>
        <w:spacing w:after="0" w:line="240" w:lineRule="auto"/>
        <w:ind w:left="567" w:hanging="567"/>
        <w:rPr>
          <w:rFonts w:ascii="Arial" w:hAnsi="Arial" w:cs="Arial"/>
          <w:noProof/>
          <w:sz w:val="20"/>
          <w:szCs w:val="20"/>
        </w:rPr>
      </w:pPr>
      <w:bookmarkStart w:id="135" w:name="_ENREF_136"/>
      <w:r w:rsidRPr="009A0902">
        <w:rPr>
          <w:rFonts w:ascii="Arial" w:hAnsi="Arial" w:cs="Arial"/>
          <w:noProof/>
          <w:sz w:val="20"/>
          <w:szCs w:val="20"/>
        </w:rPr>
        <w:t>136.</w:t>
      </w:r>
      <w:r w:rsidRPr="009A0902">
        <w:rPr>
          <w:rFonts w:ascii="Arial" w:hAnsi="Arial" w:cs="Arial"/>
          <w:noProof/>
          <w:sz w:val="20"/>
          <w:szCs w:val="20"/>
        </w:rPr>
        <w:tab/>
        <w:t>Price M, Berger P, Teirstein P, Tanguay J-F, Angiolillo D, Spriggs D, et al. Standard- vs high-dose clopidogrel based on platelet function testing after percutaneous coronary intervention: the GRAVITAS randomized trial. JAMA (Chicago, Ill).305(11):1097-105.</w:t>
      </w:r>
      <w:bookmarkEnd w:id="135"/>
    </w:p>
    <w:p w:rsidR="00465307" w:rsidRPr="009A0902" w:rsidRDefault="00465307" w:rsidP="00465307">
      <w:pPr>
        <w:spacing w:after="0" w:line="240" w:lineRule="auto"/>
        <w:ind w:left="567" w:hanging="567"/>
        <w:rPr>
          <w:rFonts w:ascii="Arial" w:hAnsi="Arial" w:cs="Arial"/>
          <w:noProof/>
          <w:sz w:val="20"/>
          <w:szCs w:val="20"/>
        </w:rPr>
      </w:pPr>
      <w:bookmarkStart w:id="136" w:name="_ENREF_137"/>
      <w:r w:rsidRPr="009A0902">
        <w:rPr>
          <w:rFonts w:ascii="Arial" w:hAnsi="Arial" w:cs="Arial"/>
          <w:noProof/>
          <w:sz w:val="20"/>
          <w:szCs w:val="20"/>
        </w:rPr>
        <w:t>137.</w:t>
      </w:r>
      <w:r w:rsidRPr="009A0902">
        <w:rPr>
          <w:rFonts w:ascii="Arial" w:hAnsi="Arial" w:cs="Arial"/>
          <w:noProof/>
          <w:sz w:val="20"/>
          <w:szCs w:val="20"/>
        </w:rPr>
        <w:tab/>
        <w:t>Quoix E, Zalcman G, Oster J-P, Westeel V, Pichon E, Lavol A, et al. Carboplatin and weekly paclitaxel doublet chemotherapy compared with monotherapy in elderly patients with advanced non-small-cell lung cancer: IFCT-0501 randomised, phase 3 trial. Lancet.378(9796):1079-88.</w:t>
      </w:r>
      <w:bookmarkEnd w:id="136"/>
    </w:p>
    <w:p w:rsidR="00465307" w:rsidRPr="009A0902" w:rsidRDefault="00465307" w:rsidP="00465307">
      <w:pPr>
        <w:spacing w:after="0" w:line="240" w:lineRule="auto"/>
        <w:ind w:left="567" w:hanging="567"/>
        <w:rPr>
          <w:rFonts w:ascii="Arial" w:hAnsi="Arial" w:cs="Arial"/>
          <w:noProof/>
          <w:sz w:val="20"/>
          <w:szCs w:val="20"/>
        </w:rPr>
      </w:pPr>
      <w:bookmarkStart w:id="137" w:name="_ENREF_138"/>
      <w:r w:rsidRPr="009A0902">
        <w:rPr>
          <w:rFonts w:ascii="Arial" w:hAnsi="Arial" w:cs="Arial"/>
          <w:noProof/>
          <w:sz w:val="20"/>
          <w:szCs w:val="20"/>
        </w:rPr>
        <w:t>138.</w:t>
      </w:r>
      <w:r w:rsidRPr="009A0902">
        <w:rPr>
          <w:rFonts w:ascii="Arial" w:hAnsi="Arial" w:cs="Arial"/>
          <w:noProof/>
          <w:sz w:val="20"/>
          <w:szCs w:val="20"/>
        </w:rPr>
        <w:tab/>
        <w:t>Rahman N, Maskell N, West A, Teoh R, Arnold A, Mackinlay C, et al. Intrapleural use of tissue plasminogen activator and DNase in pleural infection. The New England journal of medicine.365(6):518-26.</w:t>
      </w:r>
      <w:bookmarkEnd w:id="137"/>
    </w:p>
    <w:p w:rsidR="00465307" w:rsidRPr="009A0902" w:rsidRDefault="00465307" w:rsidP="00465307">
      <w:pPr>
        <w:spacing w:after="0" w:line="240" w:lineRule="auto"/>
        <w:ind w:left="567" w:hanging="567"/>
        <w:rPr>
          <w:rFonts w:ascii="Arial" w:hAnsi="Arial" w:cs="Arial"/>
          <w:noProof/>
          <w:sz w:val="20"/>
          <w:szCs w:val="20"/>
        </w:rPr>
      </w:pPr>
      <w:bookmarkStart w:id="138" w:name="_ENREF_139"/>
      <w:r w:rsidRPr="009A0902">
        <w:rPr>
          <w:rFonts w:ascii="Arial" w:hAnsi="Arial" w:cs="Arial"/>
          <w:noProof/>
          <w:sz w:val="20"/>
          <w:szCs w:val="20"/>
        </w:rPr>
        <w:t>139.</w:t>
      </w:r>
      <w:r w:rsidRPr="009A0902">
        <w:rPr>
          <w:rFonts w:ascii="Arial" w:hAnsi="Arial" w:cs="Arial"/>
          <w:noProof/>
          <w:sz w:val="20"/>
          <w:szCs w:val="20"/>
        </w:rPr>
        <w:tab/>
        <w:t>Ramsey B, Davies J, McElvaney NG, Tullis E, Bell S, Dřevínek P, et al. A CFTR potentiator in patients with cystic fibrosis and the G551D mutation. The New England journal of medicine.365(18):1663-72.</w:t>
      </w:r>
      <w:bookmarkEnd w:id="138"/>
    </w:p>
    <w:p w:rsidR="00465307" w:rsidRPr="009A0902" w:rsidRDefault="00465307" w:rsidP="00465307">
      <w:pPr>
        <w:spacing w:after="0" w:line="240" w:lineRule="auto"/>
        <w:ind w:left="567" w:hanging="567"/>
        <w:rPr>
          <w:rFonts w:ascii="Arial" w:hAnsi="Arial" w:cs="Arial"/>
          <w:noProof/>
          <w:sz w:val="20"/>
          <w:szCs w:val="20"/>
        </w:rPr>
      </w:pPr>
      <w:bookmarkStart w:id="139" w:name="_ENREF_140"/>
      <w:r w:rsidRPr="009A0902">
        <w:rPr>
          <w:rFonts w:ascii="Arial" w:hAnsi="Arial" w:cs="Arial"/>
          <w:noProof/>
          <w:sz w:val="20"/>
          <w:szCs w:val="20"/>
        </w:rPr>
        <w:t>140.</w:t>
      </w:r>
      <w:r w:rsidRPr="009A0902">
        <w:rPr>
          <w:rFonts w:ascii="Arial" w:hAnsi="Arial" w:cs="Arial"/>
          <w:noProof/>
          <w:sz w:val="20"/>
          <w:szCs w:val="20"/>
        </w:rPr>
        <w:tab/>
        <w:t>Rauch S, Halpin C, Antonelli P, Babu S, Carey J, Gantz B, et al. Oral vs intratympanic corticosteroid therapy for idiopathic sudden sensorineural hearing loss: a randomized trial. JAMA (Chicago, Ill).305(20):2071-9.</w:t>
      </w:r>
      <w:bookmarkEnd w:id="139"/>
    </w:p>
    <w:p w:rsidR="00465307" w:rsidRPr="009A0902" w:rsidRDefault="00465307" w:rsidP="00465307">
      <w:pPr>
        <w:spacing w:after="0" w:line="240" w:lineRule="auto"/>
        <w:ind w:left="567" w:hanging="567"/>
        <w:rPr>
          <w:rFonts w:ascii="Arial" w:hAnsi="Arial" w:cs="Arial"/>
          <w:noProof/>
          <w:sz w:val="20"/>
          <w:szCs w:val="20"/>
        </w:rPr>
      </w:pPr>
      <w:bookmarkStart w:id="140" w:name="_ENREF_141"/>
      <w:r w:rsidRPr="009A0902">
        <w:rPr>
          <w:rFonts w:ascii="Arial" w:hAnsi="Arial" w:cs="Arial"/>
          <w:noProof/>
          <w:sz w:val="20"/>
          <w:szCs w:val="20"/>
        </w:rPr>
        <w:lastRenderedPageBreak/>
        <w:t>141.</w:t>
      </w:r>
      <w:r w:rsidRPr="009A0902">
        <w:rPr>
          <w:rFonts w:ascii="Arial" w:hAnsi="Arial" w:cs="Arial"/>
          <w:noProof/>
          <w:sz w:val="20"/>
          <w:szCs w:val="20"/>
        </w:rPr>
        <w:tab/>
        <w:t>Rayman M, Stranges S, Griffin B, Pastor Barriuso R, Guallar E. Effect of supplementation with high-selenium yeast on plasma lipids: a randomized trial. Annals of Internal Medicine.154(10):656-65.</w:t>
      </w:r>
      <w:bookmarkEnd w:id="140"/>
    </w:p>
    <w:p w:rsidR="00465307" w:rsidRPr="009A0902" w:rsidRDefault="00465307" w:rsidP="00465307">
      <w:pPr>
        <w:spacing w:after="0" w:line="240" w:lineRule="auto"/>
        <w:ind w:left="567" w:hanging="567"/>
        <w:rPr>
          <w:rFonts w:ascii="Arial" w:hAnsi="Arial" w:cs="Arial"/>
          <w:noProof/>
          <w:sz w:val="20"/>
          <w:szCs w:val="20"/>
        </w:rPr>
      </w:pPr>
      <w:bookmarkStart w:id="141" w:name="_ENREF_142"/>
      <w:r w:rsidRPr="009A0902">
        <w:rPr>
          <w:rFonts w:ascii="Arial" w:hAnsi="Arial" w:cs="Arial"/>
          <w:noProof/>
          <w:sz w:val="20"/>
          <w:szCs w:val="20"/>
        </w:rPr>
        <w:t>142.</w:t>
      </w:r>
      <w:r w:rsidRPr="009A0902">
        <w:rPr>
          <w:rFonts w:ascii="Arial" w:hAnsi="Arial" w:cs="Arial"/>
          <w:noProof/>
          <w:sz w:val="20"/>
          <w:szCs w:val="20"/>
        </w:rPr>
        <w:tab/>
        <w:t>Raymond E, Dahan L, Raoul J-L, Bang Y-J, Borbath I, Lombard Bohas C, et al. Sunitinib malate for the treatment of pancreatic neuroendocrine tumors. The New England journal of medicine.364(6):501-13.</w:t>
      </w:r>
      <w:bookmarkEnd w:id="141"/>
    </w:p>
    <w:p w:rsidR="00465307" w:rsidRPr="009A0902" w:rsidRDefault="00465307" w:rsidP="00465307">
      <w:pPr>
        <w:spacing w:after="0" w:line="240" w:lineRule="auto"/>
        <w:ind w:left="567" w:hanging="567"/>
        <w:rPr>
          <w:rFonts w:ascii="Arial" w:hAnsi="Arial" w:cs="Arial"/>
          <w:noProof/>
          <w:sz w:val="20"/>
          <w:szCs w:val="20"/>
        </w:rPr>
      </w:pPr>
      <w:bookmarkStart w:id="142" w:name="_ENREF_143"/>
      <w:r w:rsidRPr="009A0902">
        <w:rPr>
          <w:rFonts w:ascii="Arial" w:hAnsi="Arial" w:cs="Arial"/>
          <w:noProof/>
          <w:sz w:val="20"/>
          <w:szCs w:val="20"/>
        </w:rPr>
        <w:t>143.</w:t>
      </w:r>
      <w:r w:rsidRPr="009A0902">
        <w:rPr>
          <w:rFonts w:ascii="Arial" w:hAnsi="Arial" w:cs="Arial"/>
          <w:noProof/>
          <w:sz w:val="20"/>
          <w:szCs w:val="20"/>
        </w:rPr>
        <w:tab/>
        <w:t>Rcher C, Coiffier B, Haioun C, Molina T, Ferm C, Casasnovas O, et al. Intensified chemotherapy with ACVBP plus rituximab versus standard CHOP plus rituximab for the treatment of diffuse large B-cell lymphoma (LNH03-2B): an open-label randomised phase 3 trial. Lancet.378(9806):1858-67.</w:t>
      </w:r>
      <w:bookmarkEnd w:id="142"/>
    </w:p>
    <w:p w:rsidR="00465307" w:rsidRPr="009A0902" w:rsidRDefault="00465307" w:rsidP="00465307">
      <w:pPr>
        <w:spacing w:after="0" w:line="240" w:lineRule="auto"/>
        <w:ind w:left="567" w:hanging="567"/>
        <w:rPr>
          <w:rFonts w:ascii="Arial" w:hAnsi="Arial" w:cs="Arial"/>
          <w:noProof/>
          <w:sz w:val="20"/>
          <w:szCs w:val="20"/>
        </w:rPr>
      </w:pPr>
      <w:bookmarkStart w:id="143" w:name="_ENREF_144"/>
      <w:r w:rsidRPr="009A0902">
        <w:rPr>
          <w:rFonts w:ascii="Arial" w:hAnsi="Arial" w:cs="Arial"/>
          <w:noProof/>
          <w:sz w:val="20"/>
          <w:szCs w:val="20"/>
        </w:rPr>
        <w:t>144.</w:t>
      </w:r>
      <w:r w:rsidRPr="009A0902">
        <w:rPr>
          <w:rFonts w:ascii="Arial" w:hAnsi="Arial" w:cs="Arial"/>
          <w:noProof/>
          <w:sz w:val="20"/>
          <w:szCs w:val="20"/>
        </w:rPr>
        <w:tab/>
        <w:t>Reich K, Langley R, Papp K, Ortonne J-P, Unnebrink K, Kaul M, et al. A 52-week trial comparing briakinumab with methotrexate in patients with psoriasis. The New England journal of medicine.365(17):1586-96.</w:t>
      </w:r>
      <w:bookmarkEnd w:id="143"/>
    </w:p>
    <w:p w:rsidR="00465307" w:rsidRPr="009A0902" w:rsidRDefault="00465307" w:rsidP="00465307">
      <w:pPr>
        <w:spacing w:after="0" w:line="240" w:lineRule="auto"/>
        <w:ind w:left="567" w:hanging="567"/>
        <w:rPr>
          <w:rFonts w:ascii="Arial" w:hAnsi="Arial" w:cs="Arial"/>
          <w:noProof/>
          <w:sz w:val="20"/>
          <w:szCs w:val="20"/>
        </w:rPr>
      </w:pPr>
      <w:bookmarkStart w:id="144" w:name="_ENREF_145"/>
      <w:r w:rsidRPr="009A0902">
        <w:rPr>
          <w:rFonts w:ascii="Arial" w:hAnsi="Arial" w:cs="Arial"/>
          <w:noProof/>
          <w:sz w:val="20"/>
          <w:szCs w:val="20"/>
        </w:rPr>
        <w:t>145.</w:t>
      </w:r>
      <w:r w:rsidRPr="009A0902">
        <w:rPr>
          <w:rFonts w:ascii="Arial" w:hAnsi="Arial" w:cs="Arial"/>
          <w:noProof/>
          <w:sz w:val="20"/>
          <w:szCs w:val="20"/>
        </w:rPr>
        <w:tab/>
        <w:t>Rice T, Wheeler A, Thompson BT, deBoisblanc B, Steingrub J, Rock P. Enteral omega-3 fatty acid, gamma-linolenic acid, and antioxidant supplementation in acute lung injury. JAMA (Chicago, Ill).306(14):1574-81.</w:t>
      </w:r>
      <w:bookmarkEnd w:id="144"/>
    </w:p>
    <w:p w:rsidR="00465307" w:rsidRPr="009A0902" w:rsidRDefault="00465307" w:rsidP="00465307">
      <w:pPr>
        <w:spacing w:after="0" w:line="240" w:lineRule="auto"/>
        <w:ind w:left="567" w:hanging="567"/>
        <w:rPr>
          <w:rFonts w:ascii="Arial" w:hAnsi="Arial" w:cs="Arial"/>
          <w:noProof/>
          <w:sz w:val="20"/>
          <w:szCs w:val="20"/>
        </w:rPr>
      </w:pPr>
      <w:bookmarkStart w:id="145" w:name="_ENREF_146"/>
      <w:r w:rsidRPr="009A0902">
        <w:rPr>
          <w:rFonts w:ascii="Arial" w:hAnsi="Arial" w:cs="Arial"/>
          <w:noProof/>
          <w:sz w:val="20"/>
          <w:szCs w:val="20"/>
        </w:rPr>
        <w:t>146.</w:t>
      </w:r>
      <w:r w:rsidRPr="009A0902">
        <w:rPr>
          <w:rFonts w:ascii="Arial" w:hAnsi="Arial" w:cs="Arial"/>
          <w:noProof/>
          <w:sz w:val="20"/>
          <w:szCs w:val="20"/>
        </w:rPr>
        <w:tab/>
        <w:t>Richeldi L, Costabel U, Selman M, Kim D, Hansell D, Nicholson A, et al. Efficacy of a tyrosine kinase inhibitor in idiopathic pulmonary fibrosis. The New England journal of medicine.365(12):1079-87.</w:t>
      </w:r>
      <w:bookmarkEnd w:id="145"/>
    </w:p>
    <w:p w:rsidR="00465307" w:rsidRPr="009A0902" w:rsidRDefault="00465307" w:rsidP="00465307">
      <w:pPr>
        <w:spacing w:after="0" w:line="240" w:lineRule="auto"/>
        <w:ind w:left="567" w:hanging="567"/>
        <w:rPr>
          <w:rFonts w:ascii="Arial" w:hAnsi="Arial" w:cs="Arial"/>
          <w:noProof/>
          <w:sz w:val="20"/>
          <w:szCs w:val="20"/>
        </w:rPr>
      </w:pPr>
      <w:bookmarkStart w:id="146" w:name="_ENREF_147"/>
      <w:r w:rsidRPr="009A0902">
        <w:rPr>
          <w:rFonts w:ascii="Arial" w:hAnsi="Arial" w:cs="Arial"/>
          <w:noProof/>
          <w:sz w:val="20"/>
          <w:szCs w:val="20"/>
        </w:rPr>
        <w:t>147.</w:t>
      </w:r>
      <w:r w:rsidRPr="009A0902">
        <w:rPr>
          <w:rFonts w:ascii="Arial" w:hAnsi="Arial" w:cs="Arial"/>
          <w:noProof/>
          <w:sz w:val="20"/>
          <w:szCs w:val="20"/>
        </w:rPr>
        <w:tab/>
        <w:t>Rini B, Escudier B, Tomczak P, Kaprin A, Szczylik C, Hutson T, et al. Comparative effectiveness of axitinib versus sorafenib in advanced renal cell carcinoma (AXIS): a randomised phase 3 trial. Lancet.378(9807):1931-9.</w:t>
      </w:r>
      <w:bookmarkEnd w:id="146"/>
    </w:p>
    <w:p w:rsidR="00465307" w:rsidRPr="009A0902" w:rsidRDefault="00465307" w:rsidP="00465307">
      <w:pPr>
        <w:spacing w:after="0" w:line="240" w:lineRule="auto"/>
        <w:ind w:left="567" w:hanging="567"/>
        <w:rPr>
          <w:rFonts w:ascii="Arial" w:hAnsi="Arial" w:cs="Arial"/>
          <w:noProof/>
          <w:sz w:val="20"/>
          <w:szCs w:val="20"/>
        </w:rPr>
      </w:pPr>
      <w:bookmarkStart w:id="147" w:name="_ENREF_148"/>
      <w:r w:rsidRPr="009A0902">
        <w:rPr>
          <w:rFonts w:ascii="Arial" w:hAnsi="Arial" w:cs="Arial"/>
          <w:noProof/>
          <w:sz w:val="20"/>
          <w:szCs w:val="20"/>
        </w:rPr>
        <w:t>148.</w:t>
      </w:r>
      <w:r w:rsidRPr="009A0902">
        <w:rPr>
          <w:rFonts w:ascii="Arial" w:hAnsi="Arial" w:cs="Arial"/>
          <w:noProof/>
          <w:sz w:val="20"/>
          <w:szCs w:val="20"/>
        </w:rPr>
        <w:tab/>
        <w:t>Robert C, Thomas L, Bondarenko I, O'Day S, M D JW, Garbe C, et al. Ipilimumab plus dacarbazine for previously untreated metastatic melanoma. The New England journal of medicine.364(26):2517-26.</w:t>
      </w:r>
      <w:bookmarkEnd w:id="147"/>
    </w:p>
    <w:p w:rsidR="00465307" w:rsidRPr="009A0902" w:rsidRDefault="00465307" w:rsidP="00465307">
      <w:pPr>
        <w:spacing w:after="0" w:line="240" w:lineRule="auto"/>
        <w:ind w:left="567" w:hanging="567"/>
        <w:rPr>
          <w:rFonts w:ascii="Arial" w:hAnsi="Arial" w:cs="Arial"/>
          <w:noProof/>
          <w:sz w:val="20"/>
          <w:szCs w:val="20"/>
        </w:rPr>
      </w:pPr>
      <w:bookmarkStart w:id="148" w:name="_ENREF_149"/>
      <w:r w:rsidRPr="009A0902">
        <w:rPr>
          <w:rFonts w:ascii="Arial" w:hAnsi="Arial" w:cs="Arial"/>
          <w:noProof/>
          <w:sz w:val="20"/>
          <w:szCs w:val="20"/>
        </w:rPr>
        <w:t>149.</w:t>
      </w:r>
      <w:r w:rsidRPr="009A0902">
        <w:rPr>
          <w:rFonts w:ascii="Arial" w:hAnsi="Arial" w:cs="Arial"/>
          <w:noProof/>
          <w:sz w:val="20"/>
          <w:szCs w:val="20"/>
        </w:rPr>
        <w:tab/>
        <w:t>Roquilly A, Mahe P, Seguin P, Guitton C, Floch H, Tellier A, et al. Hydrocortisone therapy for patients with multiple trauma: the randomized controlled HYPOLYTE study. JAMA (Chicago, Ill).305(12):1201-9.</w:t>
      </w:r>
      <w:bookmarkEnd w:id="148"/>
    </w:p>
    <w:p w:rsidR="00465307" w:rsidRPr="009A0902" w:rsidRDefault="00465307" w:rsidP="00465307">
      <w:pPr>
        <w:spacing w:after="0" w:line="240" w:lineRule="auto"/>
        <w:ind w:left="567" w:hanging="567"/>
        <w:rPr>
          <w:rFonts w:ascii="Arial" w:hAnsi="Arial" w:cs="Arial"/>
          <w:noProof/>
          <w:sz w:val="20"/>
          <w:szCs w:val="20"/>
        </w:rPr>
      </w:pPr>
      <w:bookmarkStart w:id="149" w:name="_ENREF_150"/>
      <w:r w:rsidRPr="009A0902">
        <w:rPr>
          <w:rFonts w:ascii="Arial" w:hAnsi="Arial" w:cs="Arial"/>
          <w:noProof/>
          <w:sz w:val="20"/>
          <w:szCs w:val="20"/>
        </w:rPr>
        <w:t>150.</w:t>
      </w:r>
      <w:r w:rsidRPr="009A0902">
        <w:rPr>
          <w:rFonts w:ascii="Arial" w:hAnsi="Arial" w:cs="Arial"/>
          <w:noProof/>
          <w:sz w:val="20"/>
          <w:szCs w:val="20"/>
        </w:rPr>
        <w:tab/>
        <w:t>Rosenheck R, Krystal J, Lew R, Barnett P, Fiore L, Valley D, et al. Long-acting risperidone and oral antipsychotics in unstable schizophrenia. The New England journal of medicine.364(9):842-51.</w:t>
      </w:r>
      <w:bookmarkEnd w:id="149"/>
    </w:p>
    <w:p w:rsidR="00465307" w:rsidRPr="009A0902" w:rsidRDefault="00465307" w:rsidP="00465307">
      <w:pPr>
        <w:spacing w:after="0" w:line="240" w:lineRule="auto"/>
        <w:ind w:left="567" w:hanging="567"/>
        <w:rPr>
          <w:rFonts w:ascii="Arial" w:hAnsi="Arial" w:cs="Arial"/>
          <w:noProof/>
          <w:sz w:val="20"/>
          <w:szCs w:val="20"/>
        </w:rPr>
      </w:pPr>
      <w:bookmarkStart w:id="150" w:name="_ENREF_151"/>
      <w:r w:rsidRPr="009A0902">
        <w:rPr>
          <w:rFonts w:ascii="Arial" w:hAnsi="Arial" w:cs="Arial"/>
          <w:noProof/>
          <w:sz w:val="20"/>
          <w:szCs w:val="20"/>
        </w:rPr>
        <w:t>151.</w:t>
      </w:r>
      <w:r w:rsidRPr="009A0902">
        <w:rPr>
          <w:rFonts w:ascii="Arial" w:hAnsi="Arial" w:cs="Arial"/>
          <w:noProof/>
          <w:sz w:val="20"/>
          <w:szCs w:val="20"/>
        </w:rPr>
        <w:tab/>
        <w:t>Ross J, Quigley C, Cao D, Feuillan P, Kowal K, Chipman J, et al. Growth hormone plus childhood low-dose estrogen in Turner's syndrome. The New England journal of medicine.364(13):1230-42.</w:t>
      </w:r>
      <w:bookmarkEnd w:id="150"/>
    </w:p>
    <w:p w:rsidR="00465307" w:rsidRPr="009A0902" w:rsidRDefault="00465307" w:rsidP="00465307">
      <w:pPr>
        <w:spacing w:after="0" w:line="240" w:lineRule="auto"/>
        <w:ind w:left="567" w:hanging="567"/>
        <w:rPr>
          <w:rFonts w:ascii="Arial" w:hAnsi="Arial" w:cs="Arial"/>
          <w:noProof/>
          <w:sz w:val="20"/>
          <w:szCs w:val="20"/>
        </w:rPr>
      </w:pPr>
      <w:bookmarkStart w:id="151" w:name="_ENREF_152"/>
      <w:r w:rsidRPr="009A0902">
        <w:rPr>
          <w:rFonts w:ascii="Arial" w:hAnsi="Arial" w:cs="Arial"/>
          <w:noProof/>
          <w:sz w:val="20"/>
          <w:szCs w:val="20"/>
        </w:rPr>
        <w:t>152.</w:t>
      </w:r>
      <w:r w:rsidRPr="009A0902">
        <w:rPr>
          <w:rFonts w:ascii="Arial" w:hAnsi="Arial" w:cs="Arial"/>
          <w:noProof/>
          <w:sz w:val="20"/>
          <w:szCs w:val="20"/>
        </w:rPr>
        <w:tab/>
        <w:t>Salles G, Seymour J, Offner F, Lpez-Guillermo A, Belada D, Xerri L, et al. Rituximab maintenance for 2 years in patients with high tumour burden follicular lymphoma responding to rituximab plus chemotherapy (PRIMA): a phase 3, randomised controlled trial. Lancet.377(9759):42-51.</w:t>
      </w:r>
      <w:bookmarkEnd w:id="151"/>
    </w:p>
    <w:p w:rsidR="00465307" w:rsidRPr="009A0902" w:rsidRDefault="00465307" w:rsidP="00465307">
      <w:pPr>
        <w:spacing w:after="0" w:line="240" w:lineRule="auto"/>
        <w:ind w:left="567" w:hanging="567"/>
        <w:rPr>
          <w:rFonts w:ascii="Arial" w:hAnsi="Arial" w:cs="Arial"/>
          <w:noProof/>
          <w:sz w:val="20"/>
          <w:szCs w:val="20"/>
        </w:rPr>
      </w:pPr>
      <w:bookmarkStart w:id="152" w:name="_ENREF_153"/>
      <w:r w:rsidRPr="009A0902">
        <w:rPr>
          <w:rFonts w:ascii="Arial" w:hAnsi="Arial" w:cs="Arial"/>
          <w:noProof/>
          <w:sz w:val="20"/>
          <w:szCs w:val="20"/>
        </w:rPr>
        <w:t>153.</w:t>
      </w:r>
      <w:r w:rsidRPr="009A0902">
        <w:rPr>
          <w:rFonts w:ascii="Arial" w:hAnsi="Arial" w:cs="Arial"/>
          <w:noProof/>
          <w:sz w:val="20"/>
          <w:szCs w:val="20"/>
        </w:rPr>
        <w:tab/>
        <w:t>Samandari T, Agizew T, Nyirenda S, Tedla Z, Sibanda T, Shang N, et al. 6-month versus 36-month isoniazid preventive treatment for tuberculosis in adults with HIV infection in Botswana: a randomised, double-blind, placebo-controlled trial. Lancet.377(9777):1588-98.</w:t>
      </w:r>
      <w:bookmarkEnd w:id="152"/>
    </w:p>
    <w:p w:rsidR="00465307" w:rsidRPr="009A0902" w:rsidRDefault="00465307" w:rsidP="00465307">
      <w:pPr>
        <w:spacing w:after="0" w:line="240" w:lineRule="auto"/>
        <w:ind w:left="567" w:hanging="567"/>
        <w:rPr>
          <w:rFonts w:ascii="Arial" w:hAnsi="Arial" w:cs="Arial"/>
          <w:noProof/>
          <w:sz w:val="20"/>
          <w:szCs w:val="20"/>
        </w:rPr>
      </w:pPr>
      <w:bookmarkStart w:id="153" w:name="_ENREF_154"/>
      <w:r w:rsidRPr="009A0902">
        <w:rPr>
          <w:rFonts w:ascii="Arial" w:hAnsi="Arial" w:cs="Arial"/>
          <w:noProof/>
          <w:sz w:val="20"/>
          <w:szCs w:val="20"/>
        </w:rPr>
        <w:t>154.</w:t>
      </w:r>
      <w:r w:rsidRPr="009A0902">
        <w:rPr>
          <w:rFonts w:ascii="Arial" w:hAnsi="Arial" w:cs="Arial"/>
          <w:noProof/>
          <w:sz w:val="20"/>
          <w:szCs w:val="20"/>
        </w:rPr>
        <w:tab/>
        <w:t>Sandison TG, Homsy J, Arinaitwe E, Wanzira H, Kakuru A, Bigira V, et al. Protective efficacy of co-trimoxazole prophylaxis against malaria in HIV exposed children in rural Uganda: a randomised clinical trial. BMJ.  2011-03-31 00:00:00;342.</w:t>
      </w:r>
      <w:bookmarkEnd w:id="153"/>
    </w:p>
    <w:p w:rsidR="00465307" w:rsidRPr="009A0902" w:rsidRDefault="00465307" w:rsidP="00465307">
      <w:pPr>
        <w:spacing w:after="0" w:line="240" w:lineRule="auto"/>
        <w:ind w:left="567" w:hanging="567"/>
        <w:rPr>
          <w:rFonts w:ascii="Arial" w:hAnsi="Arial" w:cs="Arial"/>
          <w:noProof/>
          <w:sz w:val="20"/>
          <w:szCs w:val="20"/>
        </w:rPr>
      </w:pPr>
      <w:bookmarkStart w:id="154" w:name="_ENREF_155"/>
      <w:r w:rsidRPr="009A0902">
        <w:rPr>
          <w:rFonts w:ascii="Arial" w:hAnsi="Arial" w:cs="Arial"/>
          <w:noProof/>
          <w:sz w:val="20"/>
          <w:szCs w:val="20"/>
        </w:rPr>
        <w:t>155.</w:t>
      </w:r>
      <w:r w:rsidRPr="009A0902">
        <w:rPr>
          <w:rFonts w:ascii="Arial" w:hAnsi="Arial" w:cs="Arial"/>
          <w:noProof/>
          <w:sz w:val="20"/>
          <w:szCs w:val="20"/>
        </w:rPr>
        <w:tab/>
        <w:t>Sandset E, Bath PMW, Boysen G, Jatuzis D, Krv J, Lders S, et al. The angiotensin-receptor blocker candesartan for treatment of acute stroke (SCAST): a randomised, placebo-controlled, double-blind trial. Lancet.377(9767):741-50.</w:t>
      </w:r>
      <w:bookmarkEnd w:id="154"/>
    </w:p>
    <w:p w:rsidR="00465307" w:rsidRPr="009A0902" w:rsidRDefault="00465307" w:rsidP="00465307">
      <w:pPr>
        <w:spacing w:after="0" w:line="240" w:lineRule="auto"/>
        <w:ind w:left="567" w:hanging="567"/>
        <w:rPr>
          <w:rFonts w:ascii="Arial" w:hAnsi="Arial" w:cs="Arial"/>
          <w:noProof/>
          <w:sz w:val="20"/>
          <w:szCs w:val="20"/>
        </w:rPr>
      </w:pPr>
      <w:bookmarkStart w:id="155" w:name="_ENREF_156"/>
      <w:r w:rsidRPr="009A0902">
        <w:rPr>
          <w:rFonts w:ascii="Arial" w:hAnsi="Arial" w:cs="Arial"/>
          <w:noProof/>
          <w:sz w:val="20"/>
          <w:szCs w:val="20"/>
        </w:rPr>
        <w:t>156.</w:t>
      </w:r>
      <w:r w:rsidRPr="009A0902">
        <w:rPr>
          <w:rFonts w:ascii="Arial" w:hAnsi="Arial" w:cs="Arial"/>
          <w:noProof/>
          <w:sz w:val="20"/>
          <w:szCs w:val="20"/>
        </w:rPr>
        <w:tab/>
        <w:t>Schulman S, Parpia S, Stewart C, Rudd Scott L, Julian J, Levine M. Warfarin dose assessment every 4 weeks versus every 12 weeks in patients with stable international normalized ratios: a randomized trial. Annals of Internal Medicine.155(10):653-9, W201.</w:t>
      </w:r>
      <w:bookmarkEnd w:id="155"/>
    </w:p>
    <w:p w:rsidR="00465307" w:rsidRPr="009A0902" w:rsidRDefault="00465307" w:rsidP="00465307">
      <w:pPr>
        <w:spacing w:after="0" w:line="240" w:lineRule="auto"/>
        <w:ind w:left="567" w:hanging="567"/>
        <w:rPr>
          <w:rFonts w:ascii="Arial" w:hAnsi="Arial" w:cs="Arial"/>
          <w:noProof/>
          <w:sz w:val="20"/>
          <w:szCs w:val="20"/>
        </w:rPr>
      </w:pPr>
      <w:bookmarkStart w:id="156" w:name="_ENREF_157"/>
      <w:r w:rsidRPr="009A0902">
        <w:rPr>
          <w:rFonts w:ascii="Arial" w:hAnsi="Arial" w:cs="Arial"/>
          <w:noProof/>
          <w:sz w:val="20"/>
          <w:szCs w:val="20"/>
        </w:rPr>
        <w:t>157.</w:t>
      </w:r>
      <w:r w:rsidRPr="009A0902">
        <w:rPr>
          <w:rFonts w:ascii="Arial" w:hAnsi="Arial" w:cs="Arial"/>
          <w:noProof/>
          <w:sz w:val="20"/>
          <w:szCs w:val="20"/>
        </w:rPr>
        <w:tab/>
        <w:t>Schwartzentruber D, Lawson D, Richards J, Conry R, Miller D, Treisman J, et al. gp100 peptide vaccine and interleukin-2 in patients with advanced melanoma. The New England journal of medicine.364(22):2119-27.</w:t>
      </w:r>
      <w:bookmarkEnd w:id="156"/>
    </w:p>
    <w:p w:rsidR="00465307" w:rsidRPr="009A0902" w:rsidRDefault="00465307" w:rsidP="00465307">
      <w:pPr>
        <w:spacing w:after="0" w:line="240" w:lineRule="auto"/>
        <w:ind w:left="567" w:hanging="567"/>
        <w:rPr>
          <w:rFonts w:ascii="Arial" w:hAnsi="Arial" w:cs="Arial"/>
          <w:noProof/>
          <w:sz w:val="20"/>
          <w:szCs w:val="20"/>
        </w:rPr>
      </w:pPr>
      <w:bookmarkStart w:id="157" w:name="_ENREF_158"/>
      <w:r w:rsidRPr="009A0902">
        <w:rPr>
          <w:rFonts w:ascii="Arial" w:hAnsi="Arial" w:cs="Arial"/>
          <w:noProof/>
          <w:sz w:val="20"/>
          <w:szCs w:val="20"/>
        </w:rPr>
        <w:t>158.</w:t>
      </w:r>
      <w:r w:rsidRPr="009A0902">
        <w:rPr>
          <w:rFonts w:ascii="Arial" w:hAnsi="Arial" w:cs="Arial"/>
          <w:noProof/>
          <w:sz w:val="20"/>
          <w:szCs w:val="20"/>
        </w:rPr>
        <w:tab/>
        <w:t>Seymour M, Thompson L, Wasan H, Middleton G, Brewster A, Shepherd S, et al. Chemotherapy options in elderly and frail patients with metastatic colorectal cancer (MRC FOCUS2): an open-label, randomised factorial trial. Lancet.377(9779):1749-59.</w:t>
      </w:r>
      <w:bookmarkEnd w:id="157"/>
    </w:p>
    <w:p w:rsidR="00465307" w:rsidRPr="009A0902" w:rsidRDefault="00465307" w:rsidP="00465307">
      <w:pPr>
        <w:spacing w:after="0" w:line="240" w:lineRule="auto"/>
        <w:ind w:left="567" w:hanging="567"/>
        <w:rPr>
          <w:rFonts w:ascii="Arial" w:hAnsi="Arial" w:cs="Arial"/>
          <w:noProof/>
          <w:sz w:val="20"/>
          <w:szCs w:val="20"/>
        </w:rPr>
      </w:pPr>
      <w:bookmarkStart w:id="158" w:name="_ENREF_159"/>
      <w:r w:rsidRPr="009A0902">
        <w:rPr>
          <w:rFonts w:ascii="Arial" w:hAnsi="Arial" w:cs="Arial"/>
          <w:noProof/>
          <w:sz w:val="20"/>
          <w:szCs w:val="20"/>
        </w:rPr>
        <w:t>159.</w:t>
      </w:r>
      <w:r w:rsidRPr="009A0902">
        <w:rPr>
          <w:rFonts w:ascii="Arial" w:hAnsi="Arial" w:cs="Arial"/>
          <w:noProof/>
          <w:sz w:val="20"/>
          <w:szCs w:val="20"/>
        </w:rPr>
        <w:tab/>
        <w:t>Sheehan SR, Montgomery AA, Carey M, McAuliffe FM, Eogan M, Gleeson R, et al. Oxytocin bolus versus oxytocin bolus and infusion for control of blood loss at elective caesarean section: double blind, placebo controlled, randomised trial. BMJ.  2011-08-01 00:00:00;343.</w:t>
      </w:r>
      <w:bookmarkEnd w:id="158"/>
    </w:p>
    <w:p w:rsidR="00465307" w:rsidRPr="009A0902" w:rsidRDefault="00465307" w:rsidP="00465307">
      <w:pPr>
        <w:spacing w:after="0" w:line="240" w:lineRule="auto"/>
        <w:ind w:left="567" w:hanging="567"/>
        <w:rPr>
          <w:rFonts w:ascii="Arial" w:hAnsi="Arial" w:cs="Arial"/>
          <w:noProof/>
          <w:sz w:val="20"/>
          <w:szCs w:val="20"/>
        </w:rPr>
      </w:pPr>
      <w:bookmarkStart w:id="159" w:name="_ENREF_160"/>
      <w:r w:rsidRPr="009A0902">
        <w:rPr>
          <w:rFonts w:ascii="Arial" w:hAnsi="Arial" w:cs="Arial"/>
          <w:noProof/>
          <w:sz w:val="20"/>
          <w:szCs w:val="20"/>
        </w:rPr>
        <w:t>160.</w:t>
      </w:r>
      <w:r w:rsidRPr="009A0902">
        <w:rPr>
          <w:rFonts w:ascii="Arial" w:hAnsi="Arial" w:cs="Arial"/>
          <w:noProof/>
          <w:sz w:val="20"/>
          <w:szCs w:val="20"/>
        </w:rPr>
        <w:tab/>
        <w:t>Sherman K, Flamm S, Afdhal N, Nelson D, Sulkowski M, Everson G, et al. Response-guided telaprevir combination treatment for hepatitis C virus infection. The New England journal of medicine.365(11):1014-24.</w:t>
      </w:r>
      <w:bookmarkEnd w:id="159"/>
    </w:p>
    <w:p w:rsidR="00465307" w:rsidRPr="009A0902" w:rsidRDefault="00465307" w:rsidP="00465307">
      <w:pPr>
        <w:spacing w:after="0" w:line="240" w:lineRule="auto"/>
        <w:ind w:left="567" w:hanging="567"/>
        <w:rPr>
          <w:rFonts w:ascii="Arial" w:hAnsi="Arial" w:cs="Arial"/>
          <w:noProof/>
          <w:sz w:val="20"/>
          <w:szCs w:val="20"/>
        </w:rPr>
      </w:pPr>
      <w:bookmarkStart w:id="160" w:name="_ENREF_161"/>
      <w:r w:rsidRPr="009A0902">
        <w:rPr>
          <w:rFonts w:ascii="Arial" w:hAnsi="Arial" w:cs="Arial"/>
          <w:noProof/>
          <w:sz w:val="20"/>
          <w:szCs w:val="20"/>
        </w:rPr>
        <w:t>161.</w:t>
      </w:r>
      <w:r w:rsidRPr="009A0902">
        <w:rPr>
          <w:rFonts w:ascii="Arial" w:hAnsi="Arial" w:cs="Arial"/>
          <w:noProof/>
          <w:sz w:val="20"/>
          <w:szCs w:val="20"/>
        </w:rPr>
        <w:tab/>
        <w:t>Sherry N, Hagopian W, Ludvigsson J, Jain S, Wahlen J, Ferry R, et al. Teplizumab for treatment of type 1 diabetes (Protégé study): 1-year results from a randomised, placebo-controlled trial. Lancet.378(9790):487-97.</w:t>
      </w:r>
      <w:bookmarkEnd w:id="160"/>
    </w:p>
    <w:p w:rsidR="00465307" w:rsidRPr="009A0902" w:rsidRDefault="00465307" w:rsidP="00465307">
      <w:pPr>
        <w:spacing w:after="0" w:line="240" w:lineRule="auto"/>
        <w:ind w:left="567" w:hanging="567"/>
        <w:rPr>
          <w:rFonts w:ascii="Arial" w:hAnsi="Arial" w:cs="Arial"/>
          <w:noProof/>
          <w:sz w:val="20"/>
          <w:szCs w:val="20"/>
        </w:rPr>
      </w:pPr>
      <w:bookmarkStart w:id="161" w:name="_ENREF_162"/>
      <w:r w:rsidRPr="009A0902">
        <w:rPr>
          <w:rFonts w:ascii="Arial" w:hAnsi="Arial" w:cs="Arial"/>
          <w:noProof/>
          <w:sz w:val="20"/>
          <w:szCs w:val="20"/>
        </w:rPr>
        <w:t>162.</w:t>
      </w:r>
      <w:r w:rsidRPr="009A0902">
        <w:rPr>
          <w:rFonts w:ascii="Arial" w:hAnsi="Arial" w:cs="Arial"/>
          <w:noProof/>
          <w:sz w:val="20"/>
          <w:szCs w:val="20"/>
        </w:rPr>
        <w:tab/>
        <w:t>Slagman MCJ, Waanders F, Hemmelder MH, Woittiez A-J, Janssen WMT, Heerspink HJL, et al. Moderate dietary sodium restriction added to angiotensin converting enzyme inhibition compared with dual blockade in lowering proteinuria and blood pressure: randomised controlled trial. BMJ.  2011-07-26 00:00:00;343.</w:t>
      </w:r>
      <w:bookmarkEnd w:id="161"/>
    </w:p>
    <w:p w:rsidR="00465307" w:rsidRPr="009A0902" w:rsidRDefault="00465307" w:rsidP="00465307">
      <w:pPr>
        <w:spacing w:after="0" w:line="240" w:lineRule="auto"/>
        <w:ind w:left="567" w:hanging="567"/>
        <w:rPr>
          <w:rFonts w:ascii="Arial" w:hAnsi="Arial" w:cs="Arial"/>
          <w:noProof/>
          <w:sz w:val="20"/>
          <w:szCs w:val="20"/>
        </w:rPr>
      </w:pPr>
      <w:bookmarkStart w:id="162" w:name="_ENREF_163"/>
      <w:r w:rsidRPr="009A0902">
        <w:rPr>
          <w:rFonts w:ascii="Arial" w:hAnsi="Arial" w:cs="Arial"/>
          <w:noProof/>
          <w:sz w:val="20"/>
          <w:szCs w:val="20"/>
        </w:rPr>
        <w:t>163.</w:t>
      </w:r>
      <w:r w:rsidRPr="009A0902">
        <w:rPr>
          <w:rFonts w:ascii="Arial" w:hAnsi="Arial" w:cs="Arial"/>
          <w:noProof/>
          <w:sz w:val="20"/>
          <w:szCs w:val="20"/>
        </w:rPr>
        <w:tab/>
        <w:t>Slamon D, Eiermann W, Robert N, Pienkowski T, Martin M, Press M, et al. Adjuvant trastuzumab in HER2-positive breast cancer. The New England journal of medicine.365(14):1273-83.</w:t>
      </w:r>
      <w:bookmarkEnd w:id="162"/>
    </w:p>
    <w:p w:rsidR="00465307" w:rsidRPr="009A0902" w:rsidRDefault="00465307" w:rsidP="00465307">
      <w:pPr>
        <w:spacing w:after="0" w:line="240" w:lineRule="auto"/>
        <w:ind w:left="567" w:hanging="567"/>
        <w:rPr>
          <w:rFonts w:ascii="Arial" w:hAnsi="Arial" w:cs="Arial"/>
          <w:noProof/>
          <w:sz w:val="20"/>
          <w:szCs w:val="20"/>
        </w:rPr>
      </w:pPr>
      <w:bookmarkStart w:id="163" w:name="_ENREF_164"/>
      <w:r w:rsidRPr="009A0902">
        <w:rPr>
          <w:rFonts w:ascii="Arial" w:hAnsi="Arial" w:cs="Arial"/>
          <w:noProof/>
          <w:sz w:val="20"/>
          <w:szCs w:val="20"/>
        </w:rPr>
        <w:lastRenderedPageBreak/>
        <w:t>164.</w:t>
      </w:r>
      <w:r w:rsidRPr="009A0902">
        <w:rPr>
          <w:rFonts w:ascii="Arial" w:hAnsi="Arial" w:cs="Arial"/>
          <w:noProof/>
          <w:sz w:val="20"/>
          <w:szCs w:val="20"/>
        </w:rPr>
        <w:tab/>
        <w:t>Smith M, Saad F, Coleman R, Shore N, Fizazi K, Tombal B, et al. Denosumab and bone-metastasis-free survival in men with castration-resistant prostate cancer: results of a phase 3, randomised, placebo-controlled trial. Lancet.379(9810):39-46.</w:t>
      </w:r>
      <w:bookmarkEnd w:id="163"/>
    </w:p>
    <w:p w:rsidR="00465307" w:rsidRPr="009A0902" w:rsidRDefault="00465307" w:rsidP="00465307">
      <w:pPr>
        <w:spacing w:after="0" w:line="240" w:lineRule="auto"/>
        <w:ind w:left="567" w:hanging="567"/>
        <w:rPr>
          <w:rFonts w:ascii="Arial" w:hAnsi="Arial" w:cs="Arial"/>
          <w:noProof/>
          <w:sz w:val="20"/>
          <w:szCs w:val="20"/>
        </w:rPr>
      </w:pPr>
      <w:bookmarkStart w:id="164" w:name="_ENREF_165"/>
      <w:r w:rsidRPr="009A0902">
        <w:rPr>
          <w:rFonts w:ascii="Arial" w:hAnsi="Arial" w:cs="Arial"/>
          <w:noProof/>
          <w:sz w:val="20"/>
          <w:szCs w:val="20"/>
        </w:rPr>
        <w:t>165.</w:t>
      </w:r>
      <w:r w:rsidRPr="009A0902">
        <w:rPr>
          <w:rFonts w:ascii="Arial" w:hAnsi="Arial" w:cs="Arial"/>
          <w:noProof/>
          <w:sz w:val="20"/>
          <w:szCs w:val="20"/>
        </w:rPr>
        <w:tab/>
        <w:t>Sow S, Okoko B, Diallo A, Viviani S, Borrow R, Carlone G, et al. Immunogenicity and safety of a meningococcal A conjugate vaccine in Africans. The New England journal of medicine.364(24):2293-304.</w:t>
      </w:r>
      <w:bookmarkEnd w:id="164"/>
    </w:p>
    <w:p w:rsidR="00465307" w:rsidRPr="009A0902" w:rsidRDefault="00465307" w:rsidP="00465307">
      <w:pPr>
        <w:spacing w:after="0" w:line="240" w:lineRule="auto"/>
        <w:ind w:left="567" w:hanging="567"/>
        <w:rPr>
          <w:rFonts w:ascii="Arial" w:hAnsi="Arial" w:cs="Arial"/>
          <w:noProof/>
          <w:sz w:val="20"/>
          <w:szCs w:val="20"/>
        </w:rPr>
      </w:pPr>
      <w:bookmarkStart w:id="165" w:name="_ENREF_166"/>
      <w:r w:rsidRPr="009A0902">
        <w:rPr>
          <w:rFonts w:ascii="Arial" w:hAnsi="Arial" w:cs="Arial"/>
          <w:noProof/>
          <w:sz w:val="20"/>
          <w:szCs w:val="20"/>
        </w:rPr>
        <w:t>166.</w:t>
      </w:r>
      <w:r w:rsidRPr="009A0902">
        <w:rPr>
          <w:rFonts w:ascii="Arial" w:hAnsi="Arial" w:cs="Arial"/>
          <w:noProof/>
          <w:sz w:val="20"/>
          <w:szCs w:val="20"/>
        </w:rPr>
        <w:tab/>
        <w:t>Stefanini G, Kalesan B, Serruys P, Heg D, Buszman P, Linke A, et al. Long-term clinical outcomes of biodegradable polymer biolimus-eluting stents versus durable polymer sirolimus-eluting stents in patients with coronary artery disease (LEADERS): 4 year follow-up of a randomised non-inferiority trial. Lancet.378(9807):1940-8.</w:t>
      </w:r>
      <w:bookmarkEnd w:id="165"/>
    </w:p>
    <w:p w:rsidR="00465307" w:rsidRPr="009A0902" w:rsidRDefault="00465307" w:rsidP="00465307">
      <w:pPr>
        <w:spacing w:after="0" w:line="240" w:lineRule="auto"/>
        <w:ind w:left="567" w:hanging="567"/>
        <w:rPr>
          <w:rFonts w:ascii="Arial" w:hAnsi="Arial" w:cs="Arial"/>
          <w:noProof/>
          <w:sz w:val="20"/>
          <w:szCs w:val="20"/>
        </w:rPr>
      </w:pPr>
      <w:bookmarkStart w:id="166" w:name="_ENREF_167"/>
      <w:r w:rsidRPr="009A0902">
        <w:rPr>
          <w:rFonts w:ascii="Arial" w:hAnsi="Arial" w:cs="Arial"/>
          <w:noProof/>
          <w:sz w:val="20"/>
          <w:szCs w:val="20"/>
        </w:rPr>
        <w:t>167.</w:t>
      </w:r>
      <w:r w:rsidRPr="009A0902">
        <w:rPr>
          <w:rFonts w:ascii="Arial" w:hAnsi="Arial" w:cs="Arial"/>
          <w:noProof/>
          <w:sz w:val="20"/>
          <w:szCs w:val="20"/>
        </w:rPr>
        <w:tab/>
        <w:t>Sterling T, Villarino ME, Borisov A, Shang N, Gordin F, Bliven Sizemore E, et al. Three months of rifapentine and isoniazid for latent tuberculosis infection. The New England journal of medicine.365(23):2155-66.</w:t>
      </w:r>
      <w:bookmarkEnd w:id="166"/>
    </w:p>
    <w:p w:rsidR="00465307" w:rsidRPr="009A0902" w:rsidRDefault="00465307" w:rsidP="00465307">
      <w:pPr>
        <w:spacing w:after="0" w:line="240" w:lineRule="auto"/>
        <w:ind w:left="567" w:hanging="567"/>
        <w:rPr>
          <w:rFonts w:ascii="Arial" w:hAnsi="Arial" w:cs="Arial"/>
          <w:noProof/>
          <w:sz w:val="20"/>
          <w:szCs w:val="20"/>
        </w:rPr>
      </w:pPr>
      <w:bookmarkStart w:id="167" w:name="_ENREF_168"/>
      <w:r w:rsidRPr="009A0902">
        <w:rPr>
          <w:rFonts w:ascii="Arial" w:hAnsi="Arial" w:cs="Arial"/>
          <w:noProof/>
          <w:sz w:val="20"/>
          <w:szCs w:val="20"/>
        </w:rPr>
        <w:t>168.</w:t>
      </w:r>
      <w:r w:rsidRPr="009A0902">
        <w:rPr>
          <w:rFonts w:ascii="Arial" w:hAnsi="Arial" w:cs="Arial"/>
          <w:noProof/>
          <w:sz w:val="20"/>
          <w:szCs w:val="20"/>
        </w:rPr>
        <w:tab/>
        <w:t>Sundar S, Sinha P, Rai M, Verma D, Nawin K, Alam S, et al. Comparison of short-course multidrug treatment with standard therapy for visceral leishmaniasis in India: an open-label, non-inferiority, randomised controlled trial. Lancet.377(9764):477-86.</w:t>
      </w:r>
      <w:bookmarkEnd w:id="167"/>
    </w:p>
    <w:p w:rsidR="00465307" w:rsidRPr="009A0902" w:rsidRDefault="00465307" w:rsidP="00465307">
      <w:pPr>
        <w:spacing w:after="0" w:line="240" w:lineRule="auto"/>
        <w:ind w:left="567" w:hanging="567"/>
        <w:rPr>
          <w:rFonts w:ascii="Arial" w:hAnsi="Arial" w:cs="Arial"/>
          <w:noProof/>
          <w:sz w:val="20"/>
          <w:szCs w:val="20"/>
        </w:rPr>
      </w:pPr>
      <w:bookmarkStart w:id="168" w:name="_ENREF_169"/>
      <w:r w:rsidRPr="009A0902">
        <w:rPr>
          <w:rFonts w:ascii="Arial" w:hAnsi="Arial" w:cs="Arial"/>
          <w:noProof/>
          <w:sz w:val="20"/>
          <w:szCs w:val="20"/>
        </w:rPr>
        <w:t>169.</w:t>
      </w:r>
      <w:r w:rsidRPr="009A0902">
        <w:rPr>
          <w:rFonts w:ascii="Arial" w:hAnsi="Arial" w:cs="Arial"/>
          <w:noProof/>
          <w:sz w:val="20"/>
          <w:szCs w:val="20"/>
        </w:rPr>
        <w:tab/>
        <w:t>Sundy J, Baraf HSB, Yood R, Edwards NL, Gutierrez Urena S, Treadwell E, et al. Efficacy and tolerability of pegloticase for the treatment of chronic gout in patients refractory to conventional treatment: two randomized controlled trials. JAMA (Chicago, Ill).306(7):711-20.</w:t>
      </w:r>
      <w:bookmarkEnd w:id="168"/>
    </w:p>
    <w:p w:rsidR="00465307" w:rsidRPr="009A0902" w:rsidRDefault="00465307" w:rsidP="00465307">
      <w:pPr>
        <w:spacing w:after="0" w:line="240" w:lineRule="auto"/>
        <w:ind w:left="567" w:hanging="567"/>
        <w:rPr>
          <w:rFonts w:ascii="Arial" w:hAnsi="Arial" w:cs="Arial"/>
          <w:noProof/>
          <w:sz w:val="20"/>
          <w:szCs w:val="20"/>
        </w:rPr>
      </w:pPr>
      <w:bookmarkStart w:id="169" w:name="_ENREF_170"/>
      <w:r w:rsidRPr="009A0902">
        <w:rPr>
          <w:rFonts w:ascii="Arial" w:hAnsi="Arial" w:cs="Arial"/>
          <w:noProof/>
          <w:sz w:val="20"/>
          <w:szCs w:val="20"/>
        </w:rPr>
        <w:t>170.</w:t>
      </w:r>
      <w:r w:rsidRPr="009A0902">
        <w:rPr>
          <w:rFonts w:ascii="Arial" w:hAnsi="Arial" w:cs="Arial"/>
          <w:noProof/>
          <w:sz w:val="20"/>
          <w:szCs w:val="20"/>
        </w:rPr>
        <w:tab/>
        <w:t>Thera M, Doumbo O, Coulibaly D, Laurens M, Ouattara A, Kone A, et al. A field trial to assess a blood-stage malaria vaccine. The New England journal of medicine.365(11):1004-13.</w:t>
      </w:r>
      <w:bookmarkEnd w:id="169"/>
    </w:p>
    <w:p w:rsidR="00465307" w:rsidRPr="009A0902" w:rsidRDefault="00465307" w:rsidP="00465307">
      <w:pPr>
        <w:spacing w:after="0" w:line="240" w:lineRule="auto"/>
        <w:ind w:left="567" w:hanging="567"/>
        <w:rPr>
          <w:rFonts w:ascii="Arial" w:hAnsi="Arial" w:cs="Arial"/>
          <w:noProof/>
          <w:sz w:val="20"/>
          <w:szCs w:val="20"/>
        </w:rPr>
      </w:pPr>
      <w:bookmarkStart w:id="170" w:name="_ENREF_171"/>
      <w:r w:rsidRPr="009A0902">
        <w:rPr>
          <w:rFonts w:ascii="Arial" w:hAnsi="Arial" w:cs="Arial"/>
          <w:noProof/>
          <w:sz w:val="20"/>
          <w:szCs w:val="20"/>
        </w:rPr>
        <w:t>171.</w:t>
      </w:r>
      <w:r w:rsidRPr="009A0902">
        <w:rPr>
          <w:rFonts w:ascii="Arial" w:hAnsi="Arial" w:cs="Arial"/>
          <w:noProof/>
          <w:sz w:val="20"/>
          <w:szCs w:val="20"/>
        </w:rPr>
        <w:tab/>
        <w:t>Thtinen P, Laine M, Huovinen P, Jalava J, Ruuskanen O, Ruohola A. A placebo-controlled trial of antimicrobial treatment for acute otitis media. The New England journal of medicine.364(2):116-26.</w:t>
      </w:r>
      <w:bookmarkEnd w:id="170"/>
    </w:p>
    <w:p w:rsidR="00465307" w:rsidRPr="009A0902" w:rsidRDefault="00465307" w:rsidP="00465307">
      <w:pPr>
        <w:spacing w:after="0" w:line="240" w:lineRule="auto"/>
        <w:ind w:left="567" w:hanging="567"/>
        <w:rPr>
          <w:rFonts w:ascii="Arial" w:hAnsi="Arial" w:cs="Arial"/>
          <w:noProof/>
          <w:sz w:val="20"/>
          <w:szCs w:val="20"/>
        </w:rPr>
      </w:pPr>
      <w:bookmarkStart w:id="171" w:name="_ENREF_172"/>
      <w:r w:rsidRPr="009A0902">
        <w:rPr>
          <w:rFonts w:ascii="Arial" w:hAnsi="Arial" w:cs="Arial"/>
          <w:noProof/>
          <w:sz w:val="20"/>
          <w:szCs w:val="20"/>
        </w:rPr>
        <w:t>172.</w:t>
      </w:r>
      <w:r w:rsidRPr="009A0902">
        <w:rPr>
          <w:rFonts w:ascii="Arial" w:hAnsi="Arial" w:cs="Arial"/>
          <w:noProof/>
          <w:sz w:val="20"/>
          <w:szCs w:val="20"/>
        </w:rPr>
        <w:tab/>
        <w:t>Tricoci P, Huang Z, Held C, Moliterno D, Armstrong P, Van de Werf F, et al. Thrombin-receptor antagonist vorapaxar in acute coronary syndromes. The New England journal of medicine.366(1):20-33.</w:t>
      </w:r>
      <w:bookmarkEnd w:id="171"/>
    </w:p>
    <w:p w:rsidR="00465307" w:rsidRPr="009A0902" w:rsidRDefault="00465307" w:rsidP="00465307">
      <w:pPr>
        <w:spacing w:after="0" w:line="240" w:lineRule="auto"/>
        <w:ind w:left="567" w:hanging="567"/>
        <w:rPr>
          <w:rFonts w:ascii="Arial" w:hAnsi="Arial" w:cs="Arial"/>
          <w:noProof/>
          <w:sz w:val="20"/>
          <w:szCs w:val="20"/>
        </w:rPr>
      </w:pPr>
      <w:bookmarkStart w:id="172" w:name="_ENREF_173"/>
      <w:r w:rsidRPr="009A0902">
        <w:rPr>
          <w:rFonts w:ascii="Arial" w:hAnsi="Arial" w:cs="Arial"/>
          <w:noProof/>
          <w:sz w:val="20"/>
          <w:szCs w:val="20"/>
        </w:rPr>
        <w:t>173.</w:t>
      </w:r>
      <w:r w:rsidRPr="009A0902">
        <w:rPr>
          <w:rFonts w:ascii="Arial" w:hAnsi="Arial" w:cs="Arial"/>
          <w:noProof/>
          <w:sz w:val="20"/>
          <w:szCs w:val="20"/>
        </w:rPr>
        <w:tab/>
        <w:t>Vadillo-Ortega F, Perichart-Perera O, Espino S, Avila-Vergara MA, Ibarra I, Ahued R, et al. Effect of supplementation during pregnancy with L-arginine and antioxidant vitamins in medical food on pre-eclampsia in high risk population: randomised controlled trial. BMJ.  2011-05-19 00:00:00;342.</w:t>
      </w:r>
      <w:bookmarkEnd w:id="172"/>
    </w:p>
    <w:p w:rsidR="00465307" w:rsidRPr="009A0902" w:rsidRDefault="00465307" w:rsidP="00465307">
      <w:pPr>
        <w:spacing w:after="0" w:line="240" w:lineRule="auto"/>
        <w:ind w:left="567" w:hanging="567"/>
        <w:rPr>
          <w:rFonts w:ascii="Arial" w:hAnsi="Arial" w:cs="Arial"/>
          <w:noProof/>
          <w:sz w:val="20"/>
          <w:szCs w:val="20"/>
        </w:rPr>
      </w:pPr>
      <w:bookmarkStart w:id="173" w:name="_ENREF_174"/>
      <w:r w:rsidRPr="009A0902">
        <w:rPr>
          <w:rFonts w:ascii="Arial" w:hAnsi="Arial" w:cs="Arial"/>
          <w:noProof/>
          <w:sz w:val="20"/>
          <w:szCs w:val="20"/>
        </w:rPr>
        <w:t>174.</w:t>
      </w:r>
      <w:r w:rsidRPr="009A0902">
        <w:rPr>
          <w:rFonts w:ascii="Arial" w:hAnsi="Arial" w:cs="Arial"/>
          <w:noProof/>
          <w:sz w:val="20"/>
          <w:szCs w:val="20"/>
        </w:rPr>
        <w:tab/>
        <w:t>Vaglio A, Palmisano A, Alberici F, Maggiore U, Ferretti S, Cobelli R, et al. Prednisone versus tamoxifen in patients with idiopathic retroperitoneal fibrosis: an open-label randomised controlled trial. Lancet.378(9788):338-46.</w:t>
      </w:r>
      <w:bookmarkEnd w:id="173"/>
    </w:p>
    <w:p w:rsidR="00465307" w:rsidRPr="009A0902" w:rsidRDefault="00465307" w:rsidP="00465307">
      <w:pPr>
        <w:spacing w:after="0" w:line="240" w:lineRule="auto"/>
        <w:ind w:left="567" w:hanging="567"/>
        <w:rPr>
          <w:rFonts w:ascii="Arial" w:hAnsi="Arial" w:cs="Arial"/>
          <w:noProof/>
          <w:sz w:val="20"/>
          <w:szCs w:val="20"/>
        </w:rPr>
      </w:pPr>
      <w:bookmarkStart w:id="174" w:name="_ENREF_175"/>
      <w:r w:rsidRPr="009A0902">
        <w:rPr>
          <w:rFonts w:ascii="Arial" w:hAnsi="Arial" w:cs="Arial"/>
          <w:noProof/>
          <w:sz w:val="20"/>
          <w:szCs w:val="20"/>
        </w:rPr>
        <w:t>175.</w:t>
      </w:r>
      <w:r w:rsidRPr="009A0902">
        <w:rPr>
          <w:rFonts w:ascii="Arial" w:hAnsi="Arial" w:cs="Arial"/>
          <w:noProof/>
          <w:sz w:val="20"/>
          <w:szCs w:val="20"/>
        </w:rPr>
        <w:tab/>
        <w:t>van de Velde CJH, Rea D, Seynaeve C, Putter H, Hasenburg A, Vannetzel J-M, et al. Adjuvant tamoxifen and exemestane in early breast cancer (TEAM): a randomised phase 3 trial. Lancet.377(9762):321-31.</w:t>
      </w:r>
      <w:bookmarkEnd w:id="174"/>
    </w:p>
    <w:p w:rsidR="00465307" w:rsidRPr="009A0902" w:rsidRDefault="00465307" w:rsidP="00465307">
      <w:pPr>
        <w:spacing w:after="0" w:line="240" w:lineRule="auto"/>
        <w:ind w:left="567" w:hanging="567"/>
        <w:rPr>
          <w:rFonts w:ascii="Arial" w:hAnsi="Arial" w:cs="Arial"/>
          <w:noProof/>
          <w:sz w:val="20"/>
          <w:szCs w:val="20"/>
        </w:rPr>
      </w:pPr>
      <w:bookmarkStart w:id="175" w:name="_ENREF_176"/>
      <w:r w:rsidRPr="009A0902">
        <w:rPr>
          <w:rFonts w:ascii="Arial" w:hAnsi="Arial" w:cs="Arial"/>
          <w:noProof/>
          <w:sz w:val="20"/>
          <w:szCs w:val="20"/>
        </w:rPr>
        <w:t>176.</w:t>
      </w:r>
      <w:r w:rsidRPr="009A0902">
        <w:rPr>
          <w:rFonts w:ascii="Arial" w:hAnsi="Arial" w:cs="Arial"/>
          <w:noProof/>
          <w:sz w:val="20"/>
          <w:szCs w:val="20"/>
        </w:rPr>
        <w:tab/>
        <w:t>Vesikari T, Knuf M, Wutzler P, Karvonen A, Kieninger Baum D, Schmitt H-J, et al. Oil-in-water emulsion adjuvant with influenza vaccine in young children. The New England journal of medicine.365(15):1406-16.</w:t>
      </w:r>
      <w:bookmarkEnd w:id="175"/>
    </w:p>
    <w:p w:rsidR="00465307" w:rsidRPr="009A0902" w:rsidRDefault="00465307" w:rsidP="00465307">
      <w:pPr>
        <w:spacing w:after="0" w:line="240" w:lineRule="auto"/>
        <w:ind w:left="567" w:hanging="567"/>
        <w:rPr>
          <w:rFonts w:ascii="Arial" w:hAnsi="Arial" w:cs="Arial"/>
          <w:noProof/>
          <w:sz w:val="20"/>
          <w:szCs w:val="20"/>
        </w:rPr>
      </w:pPr>
      <w:bookmarkStart w:id="176" w:name="_ENREF_177"/>
      <w:r w:rsidRPr="009A0902">
        <w:rPr>
          <w:rFonts w:ascii="Arial" w:hAnsi="Arial" w:cs="Arial"/>
          <w:noProof/>
          <w:sz w:val="20"/>
          <w:szCs w:val="20"/>
        </w:rPr>
        <w:t>177.</w:t>
      </w:r>
      <w:r w:rsidRPr="009A0902">
        <w:rPr>
          <w:rFonts w:ascii="Arial" w:hAnsi="Arial" w:cs="Arial"/>
          <w:noProof/>
          <w:sz w:val="20"/>
          <w:szCs w:val="20"/>
        </w:rPr>
        <w:tab/>
        <w:t>Viviani S, Zinzani P, Rambaldi A, Brusamolino E, Levis A, Bonfante V, et al. ABVD versus BEACOPP for Hodgkin's lymphoma when high-dose salvage is planned. The New England journal of medicine.365(3):203-12.</w:t>
      </w:r>
      <w:bookmarkEnd w:id="176"/>
    </w:p>
    <w:p w:rsidR="00465307" w:rsidRPr="009A0902" w:rsidRDefault="00465307" w:rsidP="00465307">
      <w:pPr>
        <w:spacing w:after="0" w:line="240" w:lineRule="auto"/>
        <w:ind w:left="567" w:hanging="567"/>
        <w:rPr>
          <w:rFonts w:ascii="Arial" w:hAnsi="Arial" w:cs="Arial"/>
          <w:noProof/>
          <w:sz w:val="20"/>
          <w:szCs w:val="20"/>
        </w:rPr>
      </w:pPr>
      <w:bookmarkStart w:id="177" w:name="_ENREF_178"/>
      <w:r w:rsidRPr="009A0902">
        <w:rPr>
          <w:rFonts w:ascii="Arial" w:hAnsi="Arial" w:cs="Arial"/>
          <w:noProof/>
          <w:sz w:val="20"/>
          <w:szCs w:val="20"/>
        </w:rPr>
        <w:t>178.</w:t>
      </w:r>
      <w:r w:rsidRPr="009A0902">
        <w:rPr>
          <w:rFonts w:ascii="Arial" w:hAnsi="Arial" w:cs="Arial"/>
          <w:noProof/>
          <w:sz w:val="20"/>
          <w:szCs w:val="20"/>
        </w:rPr>
        <w:tab/>
        <w:t>Vogelmeier C, Hederer B, Glaab T, Schmidt H, Rutten-van Mölken MPMH, Beeh K, et al. Tiotropium versus salmeterol for the prevention of exacerbations of COPD. The New England journal of medicine.364(12):1093-103.</w:t>
      </w:r>
      <w:bookmarkEnd w:id="177"/>
    </w:p>
    <w:p w:rsidR="00465307" w:rsidRPr="009A0902" w:rsidRDefault="00465307" w:rsidP="00465307">
      <w:pPr>
        <w:spacing w:after="0" w:line="240" w:lineRule="auto"/>
        <w:ind w:left="567" w:hanging="567"/>
        <w:rPr>
          <w:rFonts w:ascii="Arial" w:hAnsi="Arial" w:cs="Arial"/>
          <w:noProof/>
          <w:sz w:val="20"/>
          <w:szCs w:val="20"/>
        </w:rPr>
      </w:pPr>
      <w:bookmarkStart w:id="178" w:name="_ENREF_179"/>
      <w:r w:rsidRPr="009A0902">
        <w:rPr>
          <w:rFonts w:ascii="Arial" w:hAnsi="Arial" w:cs="Arial"/>
          <w:noProof/>
          <w:sz w:val="20"/>
          <w:szCs w:val="20"/>
        </w:rPr>
        <w:t>179.</w:t>
      </w:r>
      <w:r w:rsidRPr="009A0902">
        <w:rPr>
          <w:rFonts w:ascii="Arial" w:hAnsi="Arial" w:cs="Arial"/>
          <w:noProof/>
          <w:sz w:val="20"/>
          <w:szCs w:val="20"/>
        </w:rPr>
        <w:tab/>
        <w:t>Vons C, Barry C, Maitre S, Pautrat K, Leconte M, Costaglioli B, et al. Amoxicillin plus clavulanic acid versus appendicectomy for treatment of acute uncomplicated appendicitis: an open-label, non-inferiority, randomised controlled trial. Lancet.377(9777):1573-9.</w:t>
      </w:r>
      <w:bookmarkEnd w:id="178"/>
    </w:p>
    <w:p w:rsidR="00465307" w:rsidRPr="009A0902" w:rsidRDefault="00465307" w:rsidP="00465307">
      <w:pPr>
        <w:spacing w:after="0" w:line="240" w:lineRule="auto"/>
        <w:ind w:left="567" w:hanging="567"/>
        <w:rPr>
          <w:rFonts w:ascii="Arial" w:hAnsi="Arial" w:cs="Arial"/>
          <w:noProof/>
          <w:sz w:val="20"/>
          <w:szCs w:val="20"/>
        </w:rPr>
      </w:pPr>
      <w:bookmarkStart w:id="179" w:name="_ENREF_180"/>
      <w:r w:rsidRPr="009A0902">
        <w:rPr>
          <w:rFonts w:ascii="Arial" w:hAnsi="Arial" w:cs="Arial"/>
          <w:noProof/>
          <w:sz w:val="20"/>
          <w:szCs w:val="20"/>
        </w:rPr>
        <w:t>180.</w:t>
      </w:r>
      <w:r w:rsidRPr="009A0902">
        <w:rPr>
          <w:rFonts w:ascii="Arial" w:hAnsi="Arial" w:cs="Arial"/>
          <w:noProof/>
          <w:sz w:val="20"/>
          <w:szCs w:val="20"/>
        </w:rPr>
        <w:tab/>
        <w:t>Wang C, Cao B, Liu Q-Q, Zou Z-Q, Liang Z-A, Gu L, et al. Oseltamivir compared with the Chinese traditional therapy maxingshigan-yinqiaosan in the treatment of H1N1 influenza: a randomized trial. Annals of Internal Medicine.155(4):217-25.</w:t>
      </w:r>
      <w:bookmarkEnd w:id="179"/>
    </w:p>
    <w:p w:rsidR="00465307" w:rsidRPr="009A0902" w:rsidRDefault="00465307" w:rsidP="00465307">
      <w:pPr>
        <w:spacing w:after="0" w:line="240" w:lineRule="auto"/>
        <w:ind w:left="567" w:hanging="567"/>
        <w:rPr>
          <w:rFonts w:ascii="Arial" w:hAnsi="Arial" w:cs="Arial"/>
          <w:noProof/>
          <w:sz w:val="20"/>
          <w:szCs w:val="20"/>
        </w:rPr>
      </w:pPr>
      <w:bookmarkStart w:id="180" w:name="_ENREF_181"/>
      <w:r w:rsidRPr="009A0902">
        <w:rPr>
          <w:rFonts w:ascii="Arial" w:hAnsi="Arial" w:cs="Arial"/>
          <w:noProof/>
          <w:sz w:val="20"/>
          <w:szCs w:val="20"/>
        </w:rPr>
        <w:t>181.</w:t>
      </w:r>
      <w:r w:rsidRPr="009A0902">
        <w:rPr>
          <w:rFonts w:ascii="Arial" w:hAnsi="Arial" w:cs="Arial"/>
          <w:noProof/>
          <w:sz w:val="20"/>
          <w:szCs w:val="20"/>
        </w:rPr>
        <w:tab/>
        <w:t>Wang W, Ware R, Miller S, Iyer R, Casella J, Minniti C, et al. Hydroxycarbamide in very young children with sickle-cell anaemia: a multicentre, randomised, controlled trial (BABY HUG). Lancet.377(9778):1663-72.</w:t>
      </w:r>
      <w:bookmarkEnd w:id="180"/>
    </w:p>
    <w:p w:rsidR="00465307" w:rsidRPr="009A0902" w:rsidRDefault="00465307" w:rsidP="00465307">
      <w:pPr>
        <w:spacing w:after="0" w:line="240" w:lineRule="auto"/>
        <w:ind w:left="567" w:hanging="567"/>
        <w:rPr>
          <w:rFonts w:ascii="Arial" w:hAnsi="Arial" w:cs="Arial"/>
          <w:noProof/>
          <w:sz w:val="20"/>
          <w:szCs w:val="20"/>
        </w:rPr>
      </w:pPr>
      <w:bookmarkStart w:id="181" w:name="_ENREF_182"/>
      <w:r w:rsidRPr="009A0902">
        <w:rPr>
          <w:rFonts w:ascii="Arial" w:hAnsi="Arial" w:cs="Arial"/>
          <w:noProof/>
          <w:sz w:val="20"/>
          <w:szCs w:val="20"/>
        </w:rPr>
        <w:t>182.</w:t>
      </w:r>
      <w:r w:rsidRPr="009A0902">
        <w:rPr>
          <w:rFonts w:ascii="Arial" w:hAnsi="Arial" w:cs="Arial"/>
          <w:noProof/>
          <w:sz w:val="20"/>
          <w:szCs w:val="20"/>
        </w:rPr>
        <w:tab/>
        <w:t>Watson JM, Kangâ€™ombe AR, Soares MO, Chuang L-H, Worthy G, Bland JM, et al. Use of weekly, low dose, high frequency ultrasound for hard to heal venous leg ulcers: the VenUS III randomised controlled trial. BMJ.  2011-03-08 00:00:00;342.</w:t>
      </w:r>
      <w:bookmarkEnd w:id="181"/>
    </w:p>
    <w:p w:rsidR="00465307" w:rsidRPr="009A0902" w:rsidRDefault="00465307" w:rsidP="00465307">
      <w:pPr>
        <w:spacing w:after="0" w:line="240" w:lineRule="auto"/>
        <w:ind w:left="567" w:hanging="567"/>
        <w:rPr>
          <w:rFonts w:ascii="Arial" w:hAnsi="Arial" w:cs="Arial"/>
          <w:noProof/>
          <w:sz w:val="20"/>
          <w:szCs w:val="20"/>
        </w:rPr>
      </w:pPr>
      <w:bookmarkStart w:id="182" w:name="_ENREF_183"/>
      <w:r w:rsidRPr="009A0902">
        <w:rPr>
          <w:rFonts w:ascii="Arial" w:hAnsi="Arial" w:cs="Arial"/>
          <w:noProof/>
          <w:sz w:val="20"/>
          <w:szCs w:val="20"/>
        </w:rPr>
        <w:t>183.</w:t>
      </w:r>
      <w:r w:rsidRPr="009A0902">
        <w:rPr>
          <w:rFonts w:ascii="Arial" w:hAnsi="Arial" w:cs="Arial"/>
          <w:noProof/>
          <w:sz w:val="20"/>
          <w:szCs w:val="20"/>
        </w:rPr>
        <w:tab/>
        <w:t>Webb E, Mawa P, Ndibazza J, Kizito D, Namatovu A, Kyosiimire Lugemwa J, et al. Effect of single-dose anthelmintic treatment during pregnancy on an infant's response to immunisation and on susceptibility to infectious diseases in infancy: a randomised, double-blind, placebo-controlled trial. Lancet.377(9759):52-62.</w:t>
      </w:r>
      <w:bookmarkEnd w:id="182"/>
    </w:p>
    <w:p w:rsidR="00465307" w:rsidRPr="009A0902" w:rsidRDefault="00465307" w:rsidP="00465307">
      <w:pPr>
        <w:spacing w:after="0" w:line="240" w:lineRule="auto"/>
        <w:ind w:left="567" w:hanging="567"/>
        <w:rPr>
          <w:rFonts w:ascii="Arial" w:hAnsi="Arial" w:cs="Arial"/>
          <w:noProof/>
          <w:sz w:val="20"/>
          <w:szCs w:val="20"/>
        </w:rPr>
      </w:pPr>
      <w:bookmarkStart w:id="183" w:name="_ENREF_184"/>
      <w:r w:rsidRPr="009A0902">
        <w:rPr>
          <w:rFonts w:ascii="Arial" w:hAnsi="Arial" w:cs="Arial"/>
          <w:noProof/>
          <w:sz w:val="20"/>
          <w:szCs w:val="20"/>
        </w:rPr>
        <w:t>184.</w:t>
      </w:r>
      <w:r w:rsidRPr="009A0902">
        <w:rPr>
          <w:rFonts w:ascii="Arial" w:hAnsi="Arial" w:cs="Arial"/>
          <w:noProof/>
          <w:sz w:val="20"/>
          <w:szCs w:val="20"/>
        </w:rPr>
        <w:tab/>
        <w:t>Wechsler M, Kelley J, Boyd IOE, Dutile S, Marigowda G, Kirsch I, et al. Active albuterol or placebo, sham acupuncture, or no intervention in asthma. The New England journal of medicine.365(2):119-26.</w:t>
      </w:r>
      <w:bookmarkEnd w:id="183"/>
    </w:p>
    <w:p w:rsidR="00465307" w:rsidRPr="009A0902" w:rsidRDefault="00465307" w:rsidP="00465307">
      <w:pPr>
        <w:spacing w:after="0" w:line="240" w:lineRule="auto"/>
        <w:ind w:left="567" w:hanging="567"/>
        <w:rPr>
          <w:rFonts w:ascii="Arial" w:hAnsi="Arial" w:cs="Arial"/>
          <w:noProof/>
          <w:sz w:val="20"/>
          <w:szCs w:val="20"/>
        </w:rPr>
      </w:pPr>
      <w:bookmarkStart w:id="184" w:name="_ENREF_185"/>
      <w:r w:rsidRPr="009A0902">
        <w:rPr>
          <w:rFonts w:ascii="Arial" w:hAnsi="Arial" w:cs="Arial"/>
          <w:noProof/>
          <w:sz w:val="20"/>
          <w:szCs w:val="20"/>
        </w:rPr>
        <w:lastRenderedPageBreak/>
        <w:t>185.</w:t>
      </w:r>
      <w:r w:rsidRPr="009A0902">
        <w:rPr>
          <w:rFonts w:ascii="Arial" w:hAnsi="Arial" w:cs="Arial"/>
          <w:noProof/>
          <w:sz w:val="20"/>
          <w:szCs w:val="20"/>
        </w:rPr>
        <w:tab/>
        <w:t>Wedemeyer H, Yurdaydn C, Dalekos G, Erhardt A, Çakaloğlu Y, Değertekin H, et al. Peginterferon plus adefovir versus either drug alone for hepatitis delta. The New England journal of medicine.364(4):322-31.</w:t>
      </w:r>
      <w:bookmarkEnd w:id="184"/>
    </w:p>
    <w:p w:rsidR="00465307" w:rsidRPr="009A0902" w:rsidRDefault="00465307" w:rsidP="00465307">
      <w:pPr>
        <w:spacing w:after="0" w:line="240" w:lineRule="auto"/>
        <w:ind w:left="567" w:hanging="567"/>
        <w:rPr>
          <w:rFonts w:ascii="Arial" w:hAnsi="Arial" w:cs="Arial"/>
          <w:noProof/>
          <w:sz w:val="20"/>
          <w:szCs w:val="20"/>
        </w:rPr>
      </w:pPr>
      <w:bookmarkStart w:id="185" w:name="_ENREF_186"/>
      <w:r w:rsidRPr="009A0902">
        <w:rPr>
          <w:rFonts w:ascii="Arial" w:hAnsi="Arial" w:cs="Arial"/>
          <w:noProof/>
          <w:sz w:val="20"/>
          <w:szCs w:val="20"/>
        </w:rPr>
        <w:t>186.</w:t>
      </w:r>
      <w:r w:rsidRPr="009A0902">
        <w:rPr>
          <w:rFonts w:ascii="Arial" w:hAnsi="Arial" w:cs="Arial"/>
          <w:noProof/>
          <w:sz w:val="20"/>
          <w:szCs w:val="20"/>
        </w:rPr>
        <w:tab/>
        <w:t>West K, Christian P, Labrique A, Rashid M, Shamim A, Klemm RDW, et al. Effects of vitamin A or beta carotene supplementation on pregnancy-related mortality and infant mortality in rural Bangladesh: a cluster randomized trial. JAMA (Chicago, Ill).305(19):1986-95.</w:t>
      </w:r>
      <w:bookmarkEnd w:id="185"/>
    </w:p>
    <w:p w:rsidR="00465307" w:rsidRPr="009A0902" w:rsidRDefault="00465307" w:rsidP="00465307">
      <w:pPr>
        <w:spacing w:after="0" w:line="240" w:lineRule="auto"/>
        <w:ind w:left="567" w:hanging="567"/>
        <w:rPr>
          <w:rFonts w:ascii="Arial" w:hAnsi="Arial" w:cs="Arial"/>
          <w:noProof/>
          <w:sz w:val="20"/>
          <w:szCs w:val="20"/>
        </w:rPr>
      </w:pPr>
      <w:bookmarkStart w:id="186" w:name="_ENREF_187"/>
      <w:r w:rsidRPr="009A0902">
        <w:rPr>
          <w:rFonts w:ascii="Arial" w:hAnsi="Arial" w:cs="Arial"/>
          <w:noProof/>
          <w:sz w:val="20"/>
          <w:szCs w:val="20"/>
        </w:rPr>
        <w:t>187.</w:t>
      </w:r>
      <w:r w:rsidRPr="009A0902">
        <w:rPr>
          <w:rFonts w:ascii="Arial" w:hAnsi="Arial" w:cs="Arial"/>
          <w:noProof/>
          <w:sz w:val="20"/>
          <w:szCs w:val="20"/>
        </w:rPr>
        <w:tab/>
        <w:t>West R, Zatonski W, Cedzynska M, Lewandowska D, Pazik J, Aveyard P, et al. Placebo-controlled trial of cytisine for smoking cessation. The New England journal of medicine.365(13):1193-200.</w:t>
      </w:r>
      <w:bookmarkEnd w:id="186"/>
    </w:p>
    <w:p w:rsidR="00465307" w:rsidRPr="009A0902" w:rsidRDefault="00465307" w:rsidP="00465307">
      <w:pPr>
        <w:spacing w:after="0" w:line="240" w:lineRule="auto"/>
        <w:ind w:left="567" w:hanging="567"/>
        <w:rPr>
          <w:rFonts w:ascii="Arial" w:hAnsi="Arial" w:cs="Arial"/>
          <w:noProof/>
          <w:sz w:val="20"/>
          <w:szCs w:val="20"/>
        </w:rPr>
      </w:pPr>
      <w:bookmarkStart w:id="187" w:name="_ENREF_188"/>
      <w:r w:rsidRPr="009A0902">
        <w:rPr>
          <w:rFonts w:ascii="Arial" w:hAnsi="Arial" w:cs="Arial"/>
          <w:noProof/>
          <w:sz w:val="20"/>
          <w:szCs w:val="20"/>
        </w:rPr>
        <w:t>188.</w:t>
      </w:r>
      <w:r w:rsidRPr="009A0902">
        <w:rPr>
          <w:rFonts w:ascii="Arial" w:hAnsi="Arial" w:cs="Arial"/>
          <w:noProof/>
          <w:sz w:val="20"/>
          <w:szCs w:val="20"/>
        </w:rPr>
        <w:tab/>
        <w:t>Wherrett D, Bundy B, Becker D, DiMeglio L, Gitelman S, Goland R, et al. Antigen-based therapy with glutamic acid decarboxylase (GAD) vaccine in patients with recent-onset type 1 diabetes: a randomised double-blind trial. Lancet.378(9788):319-27.</w:t>
      </w:r>
      <w:bookmarkEnd w:id="187"/>
    </w:p>
    <w:p w:rsidR="00465307" w:rsidRPr="009A0902" w:rsidRDefault="00465307" w:rsidP="00465307">
      <w:pPr>
        <w:spacing w:after="0" w:line="240" w:lineRule="auto"/>
        <w:ind w:left="567" w:hanging="567"/>
        <w:rPr>
          <w:rFonts w:ascii="Arial" w:hAnsi="Arial" w:cs="Arial"/>
          <w:noProof/>
          <w:sz w:val="20"/>
          <w:szCs w:val="20"/>
        </w:rPr>
      </w:pPr>
      <w:bookmarkStart w:id="188" w:name="_ENREF_189"/>
      <w:r w:rsidRPr="009A0902">
        <w:rPr>
          <w:rFonts w:ascii="Arial" w:hAnsi="Arial" w:cs="Arial"/>
          <w:noProof/>
          <w:sz w:val="20"/>
          <w:szCs w:val="20"/>
        </w:rPr>
        <w:t>189.</w:t>
      </w:r>
      <w:r w:rsidRPr="009A0902">
        <w:rPr>
          <w:rFonts w:ascii="Arial" w:hAnsi="Arial" w:cs="Arial"/>
          <w:noProof/>
          <w:sz w:val="20"/>
          <w:szCs w:val="20"/>
        </w:rPr>
        <w:tab/>
        <w:t>Yao J, Shah M, Ito T, Bohas C, Wolin E, Van Cutsem E, et al. Everolimus for advanced pancreatic neuroendocrine tumors. The New England journal of medicine.364(6):514-23.</w:t>
      </w:r>
      <w:bookmarkEnd w:id="188"/>
    </w:p>
    <w:p w:rsidR="00465307" w:rsidRPr="009A0902" w:rsidRDefault="00465307" w:rsidP="00465307">
      <w:pPr>
        <w:spacing w:after="0" w:line="240" w:lineRule="auto"/>
        <w:ind w:left="567" w:hanging="567"/>
        <w:rPr>
          <w:rFonts w:ascii="Arial" w:hAnsi="Arial" w:cs="Arial"/>
          <w:noProof/>
          <w:sz w:val="20"/>
          <w:szCs w:val="20"/>
        </w:rPr>
      </w:pPr>
      <w:bookmarkStart w:id="189" w:name="_ENREF_190"/>
      <w:r w:rsidRPr="009A0902">
        <w:rPr>
          <w:rFonts w:ascii="Arial" w:hAnsi="Arial" w:cs="Arial"/>
          <w:noProof/>
          <w:sz w:val="20"/>
          <w:szCs w:val="20"/>
        </w:rPr>
        <w:t>190.</w:t>
      </w:r>
      <w:r w:rsidRPr="009A0902">
        <w:rPr>
          <w:rFonts w:ascii="Arial" w:hAnsi="Arial" w:cs="Arial"/>
          <w:noProof/>
          <w:sz w:val="20"/>
          <w:szCs w:val="20"/>
        </w:rPr>
        <w:tab/>
        <w:t>Yusuf S, Healey J, Pogue J, Chrolavicius S, Flather M, Hart R, et al. Irbesartan in patients with atrial fibrillation. The New England journal of medicine.364(10):928-38.</w:t>
      </w:r>
      <w:bookmarkEnd w:id="189"/>
    </w:p>
    <w:p w:rsidR="00465307" w:rsidRPr="009A0902" w:rsidRDefault="00465307" w:rsidP="00465307">
      <w:pPr>
        <w:spacing w:after="0" w:line="240" w:lineRule="auto"/>
        <w:ind w:left="567" w:hanging="567"/>
        <w:rPr>
          <w:rFonts w:ascii="Arial" w:hAnsi="Arial" w:cs="Arial"/>
          <w:noProof/>
          <w:sz w:val="20"/>
          <w:szCs w:val="20"/>
        </w:rPr>
      </w:pPr>
      <w:bookmarkStart w:id="190" w:name="_ENREF_191"/>
      <w:r w:rsidRPr="009A0902">
        <w:rPr>
          <w:rFonts w:ascii="Arial" w:hAnsi="Arial" w:cs="Arial"/>
          <w:noProof/>
          <w:sz w:val="20"/>
          <w:szCs w:val="20"/>
        </w:rPr>
        <w:t>191.</w:t>
      </w:r>
      <w:r w:rsidRPr="009A0902">
        <w:rPr>
          <w:rFonts w:ascii="Arial" w:hAnsi="Arial" w:cs="Arial"/>
          <w:noProof/>
          <w:sz w:val="20"/>
          <w:szCs w:val="20"/>
        </w:rPr>
        <w:tab/>
        <w:t>Zannad F, McMurray JJV, Krum H, van Veldhuisen D, Swedberg K, Shi H, et al. Eplerenone in patients with systolic heart failure and mild symptoms. The New England journal of medicine.364(1):11-21.</w:t>
      </w:r>
      <w:bookmarkEnd w:id="190"/>
    </w:p>
    <w:p w:rsidR="00465307" w:rsidRPr="009A0902" w:rsidRDefault="00465307" w:rsidP="00465307">
      <w:pPr>
        <w:spacing w:after="0" w:line="240" w:lineRule="auto"/>
        <w:ind w:left="567" w:hanging="567"/>
        <w:rPr>
          <w:rFonts w:ascii="Arial" w:hAnsi="Arial" w:cs="Arial"/>
          <w:noProof/>
          <w:sz w:val="20"/>
          <w:szCs w:val="20"/>
        </w:rPr>
      </w:pPr>
      <w:bookmarkStart w:id="191" w:name="_ENREF_192"/>
      <w:r w:rsidRPr="009A0902">
        <w:rPr>
          <w:rFonts w:ascii="Arial" w:hAnsi="Arial" w:cs="Arial"/>
          <w:noProof/>
          <w:sz w:val="20"/>
          <w:szCs w:val="20"/>
        </w:rPr>
        <w:t>192.</w:t>
      </w:r>
      <w:r w:rsidRPr="009A0902">
        <w:rPr>
          <w:rFonts w:ascii="Arial" w:hAnsi="Arial" w:cs="Arial"/>
          <w:noProof/>
          <w:sz w:val="20"/>
          <w:szCs w:val="20"/>
        </w:rPr>
        <w:tab/>
        <w:t>Zeiger R, Mauger D, Bacharier L, Guilbert T, Martinez F, Lemanske R, et al. Daily or intermittent budesonide in preschool children with recurrent wheezing. The New England journal of medicine.365(21):1990-2001.</w:t>
      </w:r>
      <w:bookmarkEnd w:id="191"/>
    </w:p>
    <w:p w:rsidR="00465307" w:rsidRPr="009A0902" w:rsidRDefault="00465307" w:rsidP="00465307">
      <w:pPr>
        <w:spacing w:after="0" w:line="240" w:lineRule="auto"/>
        <w:ind w:left="567" w:hanging="567"/>
        <w:rPr>
          <w:rFonts w:ascii="Arial" w:hAnsi="Arial" w:cs="Arial"/>
          <w:noProof/>
          <w:sz w:val="20"/>
          <w:szCs w:val="20"/>
        </w:rPr>
      </w:pPr>
      <w:bookmarkStart w:id="192" w:name="_ENREF_193"/>
      <w:r w:rsidRPr="009A0902">
        <w:rPr>
          <w:rFonts w:ascii="Arial" w:hAnsi="Arial" w:cs="Arial"/>
          <w:noProof/>
          <w:sz w:val="20"/>
          <w:szCs w:val="20"/>
        </w:rPr>
        <w:t>193.</w:t>
      </w:r>
      <w:r w:rsidRPr="009A0902">
        <w:rPr>
          <w:rFonts w:ascii="Arial" w:hAnsi="Arial" w:cs="Arial"/>
          <w:noProof/>
          <w:sz w:val="20"/>
          <w:szCs w:val="20"/>
        </w:rPr>
        <w:tab/>
        <w:t>Zeuzem S, Andreone P, Pol S, Lawitz E, Diago M, Roberts S, et al. Telaprevir for retreatment of HCV infection. The New England journal of medicine.364(25):2417-28.</w:t>
      </w:r>
      <w:bookmarkEnd w:id="192"/>
    </w:p>
    <w:p w:rsidR="00465307" w:rsidRPr="009A0902" w:rsidRDefault="00465307" w:rsidP="00465307">
      <w:pPr>
        <w:spacing w:line="240" w:lineRule="auto"/>
        <w:ind w:left="567" w:hanging="567"/>
        <w:rPr>
          <w:rFonts w:ascii="Arial" w:hAnsi="Arial" w:cs="Arial"/>
          <w:noProof/>
          <w:sz w:val="20"/>
          <w:szCs w:val="20"/>
        </w:rPr>
      </w:pPr>
      <w:bookmarkStart w:id="193" w:name="_ENREF_194"/>
      <w:r w:rsidRPr="009A0902">
        <w:rPr>
          <w:rFonts w:ascii="Arial" w:hAnsi="Arial" w:cs="Arial"/>
          <w:noProof/>
          <w:sz w:val="20"/>
          <w:szCs w:val="20"/>
        </w:rPr>
        <w:t>194.</w:t>
      </w:r>
      <w:r w:rsidRPr="009A0902">
        <w:rPr>
          <w:rFonts w:ascii="Arial" w:hAnsi="Arial" w:cs="Arial"/>
          <w:noProof/>
          <w:sz w:val="20"/>
          <w:szCs w:val="20"/>
        </w:rPr>
        <w:tab/>
        <w:t>Zinman B, Fulcher G, Rao P, Thomas N, Endahl L, Johansen T, et al. Insulin degludec, an ultra-long-acting basal insulin, once a day or three times a week versus insulin glargine once a day in patients with type 2 diabetes: a 16-week, randomised, open-label, phase 2 trial. Lancet.377(9769):924-31.</w:t>
      </w:r>
      <w:bookmarkEnd w:id="193"/>
    </w:p>
    <w:p w:rsidR="00465307" w:rsidRPr="009A0902" w:rsidRDefault="00465307" w:rsidP="00465307">
      <w:pPr>
        <w:spacing w:line="240" w:lineRule="auto"/>
        <w:ind w:left="567" w:hanging="567"/>
        <w:rPr>
          <w:rFonts w:ascii="Arial" w:hAnsi="Arial" w:cs="Arial"/>
          <w:noProof/>
          <w:sz w:val="20"/>
          <w:szCs w:val="20"/>
        </w:rPr>
      </w:pPr>
    </w:p>
    <w:p w:rsidR="005A5534" w:rsidRPr="009A0902" w:rsidRDefault="00465307" w:rsidP="00465307">
      <w:pPr>
        <w:ind w:left="567" w:hanging="567"/>
        <w:rPr>
          <w:rFonts w:ascii="Arial" w:hAnsi="Arial" w:cs="Arial"/>
          <w:sz w:val="20"/>
          <w:szCs w:val="20"/>
        </w:rPr>
      </w:pPr>
      <w:r w:rsidRPr="009A0902">
        <w:rPr>
          <w:rFonts w:ascii="Arial" w:hAnsi="Arial" w:cs="Arial"/>
          <w:sz w:val="20"/>
          <w:szCs w:val="20"/>
        </w:rPr>
        <w:fldChar w:fldCharType="end"/>
      </w:r>
    </w:p>
    <w:sectPr w:rsidR="005A5534" w:rsidRPr="009A0902" w:rsidSect="00465307">
      <w:pgSz w:w="11906" w:h="16838"/>
      <w:pgMar w:top="1077" w:right="1077" w:bottom="1077"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0dd0aw5jrwwrseapa25ttz4rpdzasv5atrd&quot;&gt;2011 studies&lt;record-ids&gt;&lt;item&gt;1&lt;/item&gt;&lt;item&gt;2&lt;/item&gt;&lt;item&gt;3&lt;/item&gt;&lt;item&gt;6&lt;/item&gt;&lt;item&gt;7&lt;/item&gt;&lt;item&gt;11&lt;/item&gt;&lt;item&gt;12&lt;/item&gt;&lt;item&gt;13&lt;/item&gt;&lt;item&gt;15&lt;/item&gt;&lt;item&gt;17&lt;/item&gt;&lt;item&gt;19&lt;/item&gt;&lt;item&gt;20&lt;/item&gt;&lt;item&gt;22&lt;/item&gt;&lt;item&gt;23&lt;/item&gt;&lt;item&gt;25&lt;/item&gt;&lt;item&gt;26&lt;/item&gt;&lt;item&gt;28&lt;/item&gt;&lt;item&gt;30&lt;/item&gt;&lt;item&gt;32&lt;/item&gt;&lt;item&gt;33&lt;/item&gt;&lt;item&gt;34&lt;/item&gt;&lt;item&gt;35&lt;/item&gt;&lt;item&gt;37&lt;/item&gt;&lt;item&gt;38&lt;/item&gt;&lt;item&gt;39&lt;/item&gt;&lt;item&gt;40&lt;/item&gt;&lt;item&gt;41&lt;/item&gt;&lt;item&gt;42&lt;/item&gt;&lt;item&gt;43&lt;/item&gt;&lt;item&gt;44&lt;/item&gt;&lt;item&gt;45&lt;/item&gt;&lt;item&gt;46&lt;/item&gt;&lt;item&gt;47&lt;/item&gt;&lt;item&gt;49&lt;/item&gt;&lt;item&gt;50&lt;/item&gt;&lt;item&gt;53&lt;/item&gt;&lt;item&gt;54&lt;/item&gt;&lt;item&gt;55&lt;/item&gt;&lt;item&gt;57&lt;/item&gt;&lt;item&gt;58&lt;/item&gt;&lt;item&gt;60&lt;/item&gt;&lt;item&gt;61&lt;/item&gt;&lt;item&gt;62&lt;/item&gt;&lt;item&gt;63&lt;/item&gt;&lt;item&gt;64&lt;/item&gt;&lt;item&gt;66&lt;/item&gt;&lt;item&gt;67&lt;/item&gt;&lt;item&gt;68&lt;/item&gt;&lt;item&gt;69&lt;/item&gt;&lt;item&gt;71&lt;/item&gt;&lt;item&gt;72&lt;/item&gt;&lt;item&gt;73&lt;/item&gt;&lt;item&gt;74&lt;/item&gt;&lt;item&gt;77&lt;/item&gt;&lt;item&gt;78&lt;/item&gt;&lt;item&gt;79&lt;/item&gt;&lt;item&gt;80&lt;/item&gt;&lt;item&gt;81&lt;/item&gt;&lt;item&gt;83&lt;/item&gt;&lt;item&gt;84&lt;/item&gt;&lt;item&gt;85&lt;/item&gt;&lt;item&gt;87&lt;/item&gt;&lt;item&gt;90&lt;/item&gt;&lt;item&gt;91&lt;/item&gt;&lt;item&gt;98&lt;/item&gt;&lt;item&gt;100&lt;/item&gt;&lt;item&gt;101&lt;/item&gt;&lt;item&gt;103&lt;/item&gt;&lt;item&gt;104&lt;/item&gt;&lt;item&gt;106&lt;/item&gt;&lt;item&gt;107&lt;/item&gt;&lt;item&gt;108&lt;/item&gt;&lt;item&gt;109&lt;/item&gt;&lt;item&gt;110&lt;/item&gt;&lt;item&gt;111&lt;/item&gt;&lt;item&gt;112&lt;/item&gt;&lt;item&gt;113&lt;/item&gt;&lt;item&gt;114&lt;/item&gt;&lt;item&gt;115&lt;/item&gt;&lt;item&gt;116&lt;/item&gt;&lt;item&gt;117&lt;/item&gt;&lt;item&gt;119&lt;/item&gt;&lt;item&gt;120&lt;/item&gt;&lt;item&gt;121&lt;/item&gt;&lt;item&gt;122&lt;/item&gt;&lt;item&gt;123&lt;/item&gt;&lt;item&gt;124&lt;/item&gt;&lt;item&gt;126&lt;/item&gt;&lt;item&gt;127&lt;/item&gt;&lt;item&gt;128&lt;/item&gt;&lt;item&gt;129&lt;/item&gt;&lt;item&gt;130&lt;/item&gt;&lt;item&gt;134&lt;/item&gt;&lt;item&gt;135&lt;/item&gt;&lt;item&gt;141&lt;/item&gt;&lt;item&gt;142&lt;/item&gt;&lt;item&gt;149&lt;/item&gt;&lt;item&gt;151&lt;/item&gt;&lt;item&gt;153&lt;/item&gt;&lt;item&gt;158&lt;/item&gt;&lt;item&gt;159&lt;/item&gt;&lt;item&gt;160&lt;/item&gt;&lt;item&gt;162&lt;/item&gt;&lt;item&gt;163&lt;/item&gt;&lt;item&gt;164&lt;/item&gt;&lt;item&gt;165&lt;/item&gt;&lt;item&gt;166&lt;/item&gt;&lt;item&gt;168&lt;/item&gt;&lt;item&gt;169&lt;/item&gt;&lt;item&gt;170&lt;/item&gt;&lt;item&gt;171&lt;/item&gt;&lt;item&gt;175&lt;/item&gt;&lt;item&gt;179&lt;/item&gt;&lt;item&gt;180&lt;/item&gt;&lt;item&gt;181&lt;/item&gt;&lt;item&gt;182&lt;/item&gt;&lt;item&gt;183&lt;/item&gt;&lt;item&gt;186&lt;/item&gt;&lt;item&gt;188&lt;/item&gt;&lt;item&gt;189&lt;/item&gt;&lt;item&gt;192&lt;/item&gt;&lt;item&gt;193&lt;/item&gt;&lt;item&gt;194&lt;/item&gt;&lt;item&gt;200&lt;/item&gt;&lt;item&gt;203&lt;/item&gt;&lt;item&gt;208&lt;/item&gt;&lt;item&gt;209&lt;/item&gt;&lt;item&gt;213&lt;/item&gt;&lt;item&gt;217&lt;/item&gt;&lt;item&gt;218&lt;/item&gt;&lt;item&gt;219&lt;/item&gt;&lt;item&gt;220&lt;/item&gt;&lt;item&gt;221&lt;/item&gt;&lt;item&gt;225&lt;/item&gt;&lt;item&gt;227&lt;/item&gt;&lt;item&gt;228&lt;/item&gt;&lt;item&gt;229&lt;/item&gt;&lt;item&gt;239&lt;/item&gt;&lt;item&gt;240&lt;/item&gt;&lt;item&gt;241&lt;/item&gt;&lt;item&gt;242&lt;/item&gt;&lt;item&gt;243&lt;/item&gt;&lt;item&gt;244&lt;/item&gt;&lt;item&gt;245&lt;/item&gt;&lt;item&gt;246&lt;/item&gt;&lt;item&gt;247&lt;/item&gt;&lt;item&gt;249&lt;/item&gt;&lt;item&gt;250&lt;/item&gt;&lt;item&gt;251&lt;/item&gt;&lt;item&gt;255&lt;/item&gt;&lt;item&gt;256&lt;/item&gt;&lt;item&gt;257&lt;/item&gt;&lt;item&gt;261&lt;/item&gt;&lt;item&gt;262&lt;/item&gt;&lt;item&gt;263&lt;/item&gt;&lt;item&gt;264&lt;/item&gt;&lt;item&gt;265&lt;/item&gt;&lt;item&gt;266&lt;/item&gt;&lt;item&gt;268&lt;/item&gt;&lt;item&gt;269&lt;/item&gt;&lt;item&gt;270&lt;/item&gt;&lt;item&gt;272&lt;/item&gt;&lt;item&gt;274&lt;/item&gt;&lt;item&gt;275&lt;/item&gt;&lt;item&gt;277&lt;/item&gt;&lt;item&gt;278&lt;/item&gt;&lt;item&gt;279&lt;/item&gt;&lt;item&gt;280&lt;/item&gt;&lt;item&gt;281&lt;/item&gt;&lt;item&gt;282&lt;/item&gt;&lt;item&gt;284&lt;/item&gt;&lt;item&gt;285&lt;/item&gt;&lt;item&gt;286&lt;/item&gt;&lt;item&gt;287&lt;/item&gt;&lt;item&gt;290&lt;/item&gt;&lt;item&gt;293&lt;/item&gt;&lt;item&gt;294&lt;/item&gt;&lt;item&gt;296&lt;/item&gt;&lt;item&gt;298&lt;/item&gt;&lt;item&gt;299&lt;/item&gt;&lt;item&gt;300&lt;/item&gt;&lt;item&gt;301&lt;/item&gt;&lt;item&gt;302&lt;/item&gt;&lt;item&gt;303&lt;/item&gt;&lt;item&gt;307&lt;/item&gt;&lt;item&gt;311&lt;/item&gt;&lt;item&gt;313&lt;/item&gt;&lt;item&gt;314&lt;/item&gt;&lt;item&gt;315&lt;/item&gt;&lt;item&gt;318&lt;/item&gt;&lt;item&gt;322&lt;/item&gt;&lt;item&gt;323&lt;/item&gt;&lt;item&gt;324&lt;/item&gt;&lt;item&gt;325&lt;/item&gt;&lt;/record-ids&gt;&lt;/item&gt;&lt;/Libraries&gt;"/>
  </w:docVars>
  <w:rsids>
    <w:rsidRoot w:val="00465307"/>
    <w:rsid w:val="003367CD"/>
    <w:rsid w:val="00465307"/>
    <w:rsid w:val="005A5534"/>
    <w:rsid w:val="009A0902"/>
    <w:rsid w:val="00D74667"/>
    <w:rsid w:val="00D858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D858FC"/>
    <w:pPr>
      <w:spacing w:after="0" w:line="240" w:lineRule="auto"/>
    </w:pPr>
    <w:rPr>
      <w:rFonts w:eastAsiaTheme="minorEastAsia"/>
      <w:lang w:val="en-US"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465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6600</Words>
  <Characters>37625</Characters>
  <Application>Microsoft Office Word</Application>
  <DocSecurity>0</DocSecurity>
  <Lines>313</Lines>
  <Paragraphs>88</Paragraphs>
  <ScaleCrop>false</ScaleCrop>
  <Company>BMA</Company>
  <LinksUpToDate>false</LinksUpToDate>
  <CharactersWithSpaces>44137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SSCHROTER</dc:creator>
  <cp:lastModifiedBy>SSCHROTER</cp:lastModifiedBy>
  <cp:revision>3</cp:revision>
  <dcterms:created xsi:type="dcterms:W3CDTF">2015-11-12T15:06:00Z</dcterms:created>
  <dcterms:modified xsi:type="dcterms:W3CDTF">2015-11-12T15:11:00Z</dcterms:modified>
</cp:coreProperties>
</file>