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70F" w:rsidRDefault="008524E4" w:rsidP="00207F99">
      <w:pPr>
        <w:pStyle w:val="berschrift1"/>
        <w:jc w:val="both"/>
        <w:rPr>
          <w:lang w:val="en-US"/>
        </w:rPr>
      </w:pPr>
      <w:r w:rsidRPr="00207F99">
        <w:rPr>
          <w:lang w:val="en-US"/>
        </w:rPr>
        <w:t>Electronic supplementary material</w:t>
      </w:r>
    </w:p>
    <w:p w:rsidR="00207F99" w:rsidRDefault="00207F99" w:rsidP="00207F99">
      <w:pPr>
        <w:pStyle w:val="berschrift2"/>
        <w:jc w:val="both"/>
        <w:rPr>
          <w:lang w:val="en-US"/>
        </w:rPr>
      </w:pPr>
      <w:r>
        <w:rPr>
          <w:lang w:val="en-US"/>
        </w:rPr>
        <w:t>Study data – further outcomes</w:t>
      </w:r>
    </w:p>
    <w:p w:rsidR="00207F99" w:rsidRPr="00FB5380" w:rsidRDefault="00207F99" w:rsidP="00207F99">
      <w:pPr>
        <w:jc w:val="both"/>
        <w:rPr>
          <w:lang w:val="en-US"/>
        </w:rPr>
      </w:pPr>
      <w:r>
        <w:rPr>
          <w:lang w:val="en-US"/>
        </w:rPr>
        <w:t>T</w:t>
      </w:r>
      <w:r w:rsidRPr="00FB5380">
        <w:rPr>
          <w:lang w:val="en-US"/>
        </w:rPr>
        <w:t>he following parameters are measured at baseline as well as after the 24-week intervention:</w:t>
      </w:r>
    </w:p>
    <w:p w:rsidR="00207F99" w:rsidRPr="00885D4B" w:rsidRDefault="00207F99" w:rsidP="00207F99">
      <w:pPr>
        <w:jc w:val="both"/>
        <w:rPr>
          <w:lang w:val="en-US"/>
        </w:rPr>
      </w:pPr>
      <w:r w:rsidRPr="00207F99">
        <w:rPr>
          <w:u w:val="single"/>
          <w:lang w:val="en-US"/>
        </w:rPr>
        <w:t>Self-determination</w:t>
      </w:r>
      <w:r>
        <w:rPr>
          <w:u w:val="single"/>
          <w:lang w:val="en-US"/>
        </w:rPr>
        <w:br/>
      </w:r>
      <w:proofErr w:type="gramStart"/>
      <w:r>
        <w:rPr>
          <w:lang w:val="en-US"/>
        </w:rPr>
        <w:t>Consisting</w:t>
      </w:r>
      <w:proofErr w:type="gramEnd"/>
      <w:r>
        <w:rPr>
          <w:lang w:val="en-US"/>
        </w:rPr>
        <w:t xml:space="preserve"> of </w:t>
      </w:r>
      <w:r w:rsidRPr="00885D4B">
        <w:rPr>
          <w:lang w:val="en-US"/>
        </w:rPr>
        <w:t>intrinsic motivation, perceived competence, perceived c</w:t>
      </w:r>
      <w:r>
        <w:rPr>
          <w:lang w:val="en-US"/>
        </w:rPr>
        <w:t>hoice, and perceived usefulness, self-determination is</w:t>
      </w:r>
      <w:r w:rsidRPr="00885D4B">
        <w:rPr>
          <w:lang w:val="en-US"/>
        </w:rPr>
        <w:t xml:space="preserve"> measured via the Intrinsic Motivation Inventory </w:t>
      </w:r>
      <w:r>
        <w:rPr>
          <w:lang w:val="en-US"/>
        </w:rPr>
        <w:t xml:space="preserve">(IMI) </w:t>
      </w:r>
      <w:r w:rsidRPr="00885D4B">
        <w:rPr>
          <w:lang w:val="en-US"/>
        </w:rPr>
        <w:t xml:space="preserve">score. The IMI is a multidimensional Likert-type </w:t>
      </w:r>
      <w:bookmarkStart w:id="0" w:name="_GoBack"/>
      <w:r w:rsidRPr="00885D4B">
        <w:rPr>
          <w:lang w:val="en-US"/>
        </w:rPr>
        <w:t>rating</w:t>
      </w:r>
      <w:bookmarkEnd w:id="0"/>
      <w:r w:rsidRPr="00885D4B">
        <w:rPr>
          <w:lang w:val="en-US"/>
        </w:rPr>
        <w:t xml:space="preserve"> scale that assesses the central motivational structures underlying self-determination </w:t>
      </w:r>
      <w:r w:rsidRPr="00885D4B">
        <w:rPr>
          <w:lang w:val="en-US"/>
        </w:rPr>
        <w:fldChar w:fldCharType="begin"/>
      </w:r>
      <w:r>
        <w:rPr>
          <w:lang w:val="en-US"/>
        </w:rPr>
        <w:instrText xml:space="preserve"> ADDIN ZOTERO_ITEM CSL_CITATION {"citationID":"75caqpeqg","properties":{"formattedCitation":"[1]","plainCitation":"[1]"},"citationItems":[{"id":8396,"uris":["http://zotero.org/users/1770418/items/RXT99VVS"],"uri":["http://zotero.org/users/1770418/items/RXT99VVS"],"itemData":{"id":8396,"type":"article-journal","title":"Intrinsic Motivation Inventory: An Adapted Measure for Schizophrenia Research","container-title":"Schizophrenia Bulletin","page":"966-976","volume":"36","issue":"5","source":"PubMed Central","abstract":"This article describes the psychometric validation of a scale designed to measure intrinsic motivation (IM) in schizophrenia. Recent studies have highlighted the relationship between motivation and functional outcome in schizophrenia and identified IM as an important mediating factor between neurocognition and psychosocial outcome. It therefore becomes imperative to have validated measures of IM for empirical use. To that end, we validated a self-report IM scale that gauges the central motivational structures identified by Self-determinism Theory as pertinent to cognitive task engagement, skill acquisition, treatment compliance, and remediation outcome. Participants were schizophrenia outpatients involved in a cognitive remediation study (n = 58), a convenience subsample of clinically stable schizophrenia outpatients (n = 15), and a group of healthy normals (n = 22). The Intrinsic Motivation Inventory for Schizophrenia Research (IMI-SR) is a concise instrument, possessing good internal consistency (α = .92) and test-retest reliability (intraclass correlation = .77). Data were analyzed to abridge the original 54 items into a final 21-item questionnaire comprised of 3 domains relevant to motivation for treatments (interest/enjoyment, perceived choice, value/usefulness). The scale was highly associated with germane constructs of motivation for health-related behaviors, including perceived competency for attempting challenging tasks and autonomous treatment engagement. Importantly, the scale was able to distinguish improvers and nonimprovers on a cognitive task and actual learning exercises, delineate high vs low treatment attendance, and demonstrate sensitivity to motivational changes due to intervention variation. The IMI-SR is a viable instrument to measure IM in schizophrenia as part of a cognitive remediation protocol or psychosocial rehabilitation program.","DOI":"10.1093/schbul/sbp030","ISSN":"0586-7614","note":"PMID: 19386577\nPMCID: PMC2930343","shortTitle":"Intrinsic Motivation Inventory","journalAbbreviation":"Schizophr Bull","author":[{"family":"Choi","given":"Jimmy"},{"family":"Mogami","given":"Tamiko"},{"family":"Medalia","given":"Alice"}],"issued":{"date-parts":[["2010",9]]},"PMID":"19386577","PMCID":"PMC2930343"}}],"schema":"https://github.com/citation-style-language/schema/raw/master/csl-citation.json"} </w:instrText>
      </w:r>
      <w:r w:rsidRPr="00885D4B">
        <w:rPr>
          <w:lang w:val="en-US"/>
        </w:rPr>
        <w:fldChar w:fldCharType="separate"/>
      </w:r>
      <w:r w:rsidRPr="00207F99">
        <w:rPr>
          <w:rFonts w:cs="Times New Roman"/>
          <w:lang w:val="en-US"/>
        </w:rPr>
        <w:t>[1]</w:t>
      </w:r>
      <w:r w:rsidRPr="00885D4B">
        <w:rPr>
          <w:lang w:val="en-US"/>
        </w:rPr>
        <w:fldChar w:fldCharType="end"/>
      </w:r>
      <w:r w:rsidRPr="00885D4B">
        <w:rPr>
          <w:lang w:val="en-US"/>
        </w:rPr>
        <w:t xml:space="preserve">. It has </w:t>
      </w:r>
      <w:r>
        <w:rPr>
          <w:lang w:val="en-US"/>
        </w:rPr>
        <w:t xml:space="preserve">been </w:t>
      </w:r>
      <w:r w:rsidRPr="00885D4B">
        <w:rPr>
          <w:lang w:val="en-US"/>
        </w:rPr>
        <w:t>shown to possess good internal consistency (</w:t>
      </w:r>
      <w:r>
        <w:rPr>
          <w:lang w:val="en-US"/>
        </w:rPr>
        <w:t xml:space="preserve">Cronbach’s alpha </w:t>
      </w:r>
      <w:r w:rsidRPr="00885D4B">
        <w:rPr>
          <w:lang w:val="en-US"/>
        </w:rPr>
        <w:t>= 0.92) and test-retest reliability (intraclass correlation</w:t>
      </w:r>
      <w:r>
        <w:rPr>
          <w:lang w:val="en-US"/>
        </w:rPr>
        <w:t xml:space="preserve"> coefficient</w:t>
      </w:r>
      <w:r w:rsidRPr="00885D4B">
        <w:rPr>
          <w:lang w:val="en-US"/>
        </w:rPr>
        <w:t xml:space="preserve"> = 0.77) in other populations </w:t>
      </w:r>
      <w:r w:rsidRPr="00885D4B">
        <w:rPr>
          <w:lang w:val="en-US"/>
        </w:rPr>
        <w:fldChar w:fldCharType="begin"/>
      </w:r>
      <w:r>
        <w:rPr>
          <w:lang w:val="en-US"/>
        </w:rPr>
        <w:instrText xml:space="preserve"> ADDIN ZOTERO_ITEM CSL_CITATION {"citationID":"4rne89a3g","properties":{"formattedCitation":"[1]","plainCitation":"[1]"},"citationItems":[{"id":8396,"uris":["http://zotero.org/users/1770418/items/RXT99VVS"],"uri":["http://zotero.org/users/1770418/items/RXT99VVS"],"itemData":{"id":8396,"type":"article-journal","title":"Intrinsic Motivation Inventory: An Adapted Measure for Schizophrenia Research","container-title":"Schizophrenia Bulletin","page":"966-976","volume":"36","issue":"5","source":"PubMed Central","abstract":"This article describes the psychometric validation of a scale designed to measure intrinsic motivation (IM) in schizophrenia. Recent studies have highlighted the relationship between motivation and functional outcome in schizophrenia and identified IM as an important mediating factor between neurocognition and psychosocial outcome. It therefore becomes imperative to have validated measures of IM for empirical use. To that end, we validated a self-report IM scale that gauges the central motivational structures identified by Self-determinism Theory as pertinent to cognitive task engagement, skill acquisition, treatment compliance, and remediation outcome. Participants were schizophrenia outpatients involved in a cognitive remediation study (n = 58), a convenience subsample of clinically stable schizophrenia outpatients (n = 15), and a group of healthy normals (n = 22). The Intrinsic Motivation Inventory for Schizophrenia Research (IMI-SR) is a concise instrument, possessing good internal consistency (α = .92) and test-retest reliability (intraclass correlation = .77). Data were analyzed to abridge the original 54 items into a final 21-item questionnaire comprised of 3 domains relevant to motivation for treatments (interest/enjoyment, perceived choice, value/usefulness). The scale was highly associated with germane constructs of motivation for health-related behaviors, including perceived competency for attempting challenging tasks and autonomous treatment engagement. Importantly, the scale was able to distinguish improvers and nonimprovers on a cognitive task and actual learning exercises, delineate high vs low treatment attendance, and demonstrate sensitivity to motivational changes due to intervention variation. The IMI-SR is a viable instrument to measure IM in schizophrenia as part of a cognitive remediation protocol or psychosocial rehabilitation program.","DOI":"10.1093/schbul/sbp030","ISSN":"0586-7614","note":"PMID: 19386577\nPMCID: PMC2930343","shortTitle":"Intrinsic Motivation Inventory","journalAbbreviation":"Schizophr Bull","author":[{"family":"Choi","given":"Jimmy"},{"family":"Mogami","given":"Tamiko"},{"family":"Medalia","given":"Alice"}],"issued":{"date-parts":[["2010",9]]},"PMID":"19386577","PMCID":"PMC2930343"}}],"schema":"https://github.com/citation-style-language/schema/raw/master/csl-citation.json"} </w:instrText>
      </w:r>
      <w:r w:rsidRPr="00885D4B">
        <w:rPr>
          <w:lang w:val="en-US"/>
        </w:rPr>
        <w:fldChar w:fldCharType="separate"/>
      </w:r>
      <w:r w:rsidRPr="00207F99">
        <w:rPr>
          <w:rFonts w:cs="Times New Roman"/>
          <w:lang w:val="en-US"/>
        </w:rPr>
        <w:t>[1]</w:t>
      </w:r>
      <w:r w:rsidRPr="00885D4B">
        <w:rPr>
          <w:lang w:val="en-US"/>
        </w:rPr>
        <w:fldChar w:fldCharType="end"/>
      </w:r>
      <w:r w:rsidRPr="00885D4B">
        <w:rPr>
          <w:lang w:val="en-US"/>
        </w:rPr>
        <w:t xml:space="preserve"> and has been used in previous virtual reality PA studies </w:t>
      </w:r>
      <w:r w:rsidRPr="00885D4B">
        <w:rPr>
          <w:lang w:val="en-US"/>
        </w:rPr>
        <w:fldChar w:fldCharType="begin"/>
      </w:r>
      <w:r>
        <w:rPr>
          <w:lang w:val="en-US"/>
        </w:rPr>
        <w:instrText xml:space="preserve"> ADDIN ZOTERO_ITEM CSL_CITATION {"citationID":"250r6656jo","properties":{"formattedCitation":"{\\rtf [2\\uc0\\u8211{}6]}","plainCitation":"[2–6]"},"citationItems":[{"id":1753,"uris":["http://zotero.org/users/1770418/items/TWF7RZUF"],"uri":["http://zotero.org/users/1770418/items/TWF7RZUF"],"itemData":{"id":1753,"type":"article-journal","title":"Do motion controllers make action video games less dedentary? A randomized experiment","container-title":"J Obes","page":"e852147","volume":"2012","issue":"Article ID 852147","source":"www.hindawi.com","abstract":"Sports- and fitness-themed video games using motion controllers have been found to produce physical activity. It is possible that motion controllers may also enhance energy expenditure when applied to more sedentary games such as action games. Young adults (N = 100) were randomized to play three games using either motion-based or traditional controllers. No main effect was found for controller or game pair (P &amp;gt; .12). An interaction was found such that in one pair, motion control (mean [SD] 0.96 [0.20] kcal </w:instrText>
      </w:r>
      <w:r>
        <w:rPr>
          <w:rFonts w:ascii="Cambria Math" w:hAnsi="Cambria Math" w:cs="Cambria Math"/>
          <w:lang w:val="en-US"/>
        </w:rPr>
        <w:instrText>⋅</w:instrText>
      </w:r>
      <w:r>
        <w:rPr>
          <w:lang w:val="en-US"/>
        </w:rPr>
        <w:instrText xml:space="preserve"> kg-1 </w:instrText>
      </w:r>
      <w:r>
        <w:rPr>
          <w:rFonts w:ascii="Cambria Math" w:hAnsi="Cambria Math" w:cs="Cambria Math"/>
          <w:lang w:val="en-US"/>
        </w:rPr>
        <w:instrText>⋅</w:instrText>
      </w:r>
      <w:r>
        <w:rPr>
          <w:lang w:val="en-US"/>
        </w:rPr>
        <w:instrText xml:space="preserve"> hr-1) produced 0.10 kcal </w:instrText>
      </w:r>
      <w:r>
        <w:rPr>
          <w:rFonts w:ascii="Cambria Math" w:hAnsi="Cambria Math" w:cs="Cambria Math"/>
          <w:lang w:val="en-US"/>
        </w:rPr>
        <w:instrText>⋅</w:instrText>
      </w:r>
      <w:r>
        <w:rPr>
          <w:lang w:val="en-US"/>
        </w:rPr>
        <w:instrText xml:space="preserve"> kg-1 </w:instrText>
      </w:r>
      <w:r>
        <w:rPr>
          <w:rFonts w:ascii="Cambria Math" w:hAnsi="Cambria Math" w:cs="Cambria Math"/>
          <w:lang w:val="en-US"/>
        </w:rPr>
        <w:instrText>⋅</w:instrText>
      </w:r>
      <w:r>
        <w:rPr>
          <w:lang w:val="en-US"/>
        </w:rPr>
        <w:instrText xml:space="preserve"> hr-1 (95% confidence interval 0.03 to 0.17) greater energy expenditure than traditional control (0.86 [0.17] kcal </w:instrText>
      </w:r>
      <w:r>
        <w:rPr>
          <w:rFonts w:ascii="Cambria Math" w:hAnsi="Cambria Math" w:cs="Cambria Math"/>
          <w:lang w:val="en-US"/>
        </w:rPr>
        <w:instrText>⋅</w:instrText>
      </w:r>
      <w:r>
        <w:rPr>
          <w:lang w:val="en-US"/>
        </w:rPr>
        <w:instrText xml:space="preserve"> kg-1 </w:instrText>
      </w:r>
      <w:r>
        <w:rPr>
          <w:rFonts w:ascii="Cambria Math" w:hAnsi="Cambria Math" w:cs="Cambria Math"/>
          <w:lang w:val="en-US"/>
        </w:rPr>
        <w:instrText>⋅</w:instrText>
      </w:r>
      <w:r>
        <w:rPr>
          <w:lang w:val="en-US"/>
        </w:rPr>
        <w:instrText xml:space="preserve"> hr-1, P = .048). All games were sedentary. As currently implemented, motion control is unlikely to produce moderate intensity physical activity in action games. However, some games produce small but significant increases in energy expenditure, which may benefit health by decreasing sedentary behavior.","DOI":"10.1155/2012/852147","ISSN":"2090-0708","shortTitle":"Do Motion Controllers Make Action Video Games Less Sedentary?","journalAbbreviation":"J Obes","language":"en","author":[{"family":"Lyons","given":"Elizabeth J."},{"family":"Tate","given":"Deborah F."},{"family":"Ward","given":"Dianne S."},{"family":"Ribisl","given":"Kurt M."},{"family":"Bowling","given":"J. Michael"},{"family":"Kalyanaraman","given":"Sriram"}],"issued":{"date-parts":[["2012"]]}}},{"id":8390,"uris":["http://zotero.org/users/1770418/items/V8ZB2EAT"],"uri":["http://zotero.org/users/1770418/items/V8ZB2EAT"],"itemData":{"id":8390,"type":"article-journal","title":"Virtual Fitness: Stimulating Exercise Behavior Through Media Technology","container-title":"Presence: Teleoper. Virtual Environ.","page":"688–698","volume":"15","issue":"6","source":"ACM Digital Library","abstract":"The current paper describes research that is aimed at elucidating our understanding of media technology factors that may help users of exercise equipment to stay motivated for doing regular workouts. In particular, we investigated the effects of immersion and coaching by a virtual agent on intrinsic motivation and the sense of presence of participants cycling on a stationary home exercise bike. A basic two-by-two within-subjects experimental design was employed whereby participants were presented with a virtual racetrack with two levels of immersion (high vs. low) and two levels of a virtual coach (with vs. without). Results indicate a clear positive effect of immersion on both motivation and presence. The virtual coach significantly lowered the perceived control and pressure/tension dimensions of intrinsic motivation, but did not affect the enjoyment dimension. The presence of the virtual coach also reduced negative effects associated with VEs, such as feeling dizzy or nauseated.","DOI":"10.1162/pres.15.6.688","ISSN":"1054-7460","shortTitle":"Virtual Fitness","author":[{"family":"Ijsselsteijn","given":"W. A."},{"family":"Kort","given":"Y. A. W.","non-dropping-particle":"de"},{"family":"Westerink","given":"J."},{"family":"Jager","given":"M.","non-dropping-particle":"de"},{"family":"Bonants","given":"R."}],"issued":{"date-parts":[["2006",12]]}}},{"id":64,"uris":["http://zotero.org/users/1770418/items/2TC7I6B8"],"uri":["http://zotero.org/users/1770418/items/2TC7I6B8"],"itemData":{"id":64,"type":"article-journal","title":"Novel approaches to obesity prevention: effects of game enjoyment and game type on energy expenditure in active video games","container-title":"J Diabetes Sci Technol","page":"839-848","volume":"6","issue":"4","source":"NCBI PubMed","abstract":"BACKGROUND: Some active video games have been found to promote physical activity adherence because of enjoyment. However, many active games are exercise themed, which may interfere with the distracting properties that make game-based exercise more enjoyable than traditional exercise. This study compared exercise-themed and game-themed active games to investigate differences in energy expenditure and enjoyment.\nMETHOD: Young adults (N = 100, 50 female, 55 overweight, aged 18-35 years) played two of four Wii Fit games (one aerobic game and one balance game per person) for 10 min each. Of the two aerobic games, one was exercise themed (jogging) and the other was game themed (hula hooping). Both balance games were game themed. Energy expenditure and enjoyment were measured.\nRESULTS: After adjustment for gender and weight, aerobic games produced 2.70 kcal/kg(-1)/h(-1) (95% confidence interval 2.41, 3.00) greater energy expenditure than balance games (p &lt; .001), but balance games were more enjoyable (p &lt; .001). In aerobic games, jogging produced greater energy expenditure than hula hooping in normal-weight and male participants (p &lt; .001); in overweight and female participants, no differences were found (p &gt; .17). Hula hooping was enjoyed more than jogging (p = .008). Enjoyment predicted energy expenditure in aerobic games (B = 0.767, p = .010).\nCONCLUSIONS: Aerobic games produced greater energy expenditure but lower enjoyment than balance games, and a game-themed aerobic game was found more enjoyable than an exercise-themed aerobic game. Integrating more strenuous activity into entertaining games instead of games that simply simulate exercise may be a fruitful avenue for active game development.","ISSN":"1932-2968","note":"PMID: 22920810 \nPMCID: PMC3440155","shortTitle":"Novel approaches to obesity prevention","journalAbbreviation":"J Diabetes Sci Technol","language":"eng","author":[{"family":"Lyons","given":"Elizabeth J."},{"family":"Tate","given":"Deborah F."},{"family":"Komoski","given":"Stephanie E."},{"family":"Carr","given":"Philip M."},{"family":"Ward","given":"Dianne S."}],"issued":{"date-parts":[["2012",7]]},"PMID":"22920810","PMCID":"PMC3440155"}},{"id":926,"uris":["http://zotero.org/users/1770418/items/FDE59JQM"],"uri":["http://zotero.org/users/1770418/items/FDE59JQM"],"itemData":{"id":926,"type":"article-journal","title":"Energy expenditure and enjoyment during video game play: differences by game type","container-title":"Med Sci Sports Exerc","page":"1987-1993","volume":"43","issue":"10","source":"NCBI PubMed","abstract":"PURPOSE: Play of physically active video games may be a way to increase physical activity and/or decrease sedentary behavior, but games are not universally active or enjoyable. Active games may differ from traditional games on important attributes, which may affect frequency and intensity of play. The purpose of this study was to investigate differences in energy expenditure and enjoyment across four game types: shooter (played with traditional controllers), band simulation (guitar or drum controller), dance simulation (dance mat controller), and fitness (balance board controller).\nMETHODS: Energy expenditure (METs) and enjoyment were measured across 10 games in 100 young adults age 18-35 yr (50 women).\nRESULTS: All games except shooter games significantly increased energy expenditure over rest (P &lt; 0.001). Fitness and dance games increased energy expenditure by 322% (mean ± SD = 3.10 ± 0.89 METs) and 298% (2.91 ± 0.87 METs), which was greater than that produced by band simulation (73%, 1.28 ± 0.28 METs) and shooter games (23%, 0.91 ± 0.16 METs). However, enjoyment was higher in band simulation games than in other types (P &lt; 0.001). Body mass-corrected energy expenditure was greater in normal weight than in overweight participants in the two most active game types (P &lt; 0.001).\nCONCLUSIONS: Active video games can significantly increase energy expended during screen time, but these games are less enjoyable than other more sedentary games, suggesting that they may be less likely to be played over time. Less active but more enjoyable video games may be a promising method for decreasing sedentary behavior.","DOI":"10.1249/MSS.0b013e318216ebf3","ISSN":"1530-0315","note":"PMID: 21364477 \nPMCID: PMC3271952","shortTitle":"Energy expenditure and enjoyment during video game play","journalAbbreviation":"Med Sci Sports Exerc","language":"eng","author":[{"family":"Lyons","given":"Elizabeth J."},{"family":"Tate","given":"Deborah F."},{"family":"Ward","given":"Dianne S."},{"family":"Bowling","given":"J. Michael"},{"family":"Ribisl","given":"Kurt M."},{"family":"Kalyararaman","given":"Sriram"}],"issued":{"date-parts":[["2011",10]]},"PMID":"21364477","PMCID":"PMC3271952"}},{"id":1420,"uris":["http://zotero.org/users/1770418/items/P23H4BR2"],"uri":["http://zotero.org/users/1770418/items/P23H4BR2"],"itemData":{"id":1420,"type":"article-journal","title":"Engagement, enjoyment, and energy expenditure during active video game play","container-title":"Health Psychol","page":"174-181","volume":"33","issue":"2","source":"NCBI PubMed","abstract":"OBJECTIVE: Playing active video games can produce moderate levels of physical activity, but little is known about how these games motivate players to be active. Several psychological predictors, such as perceptions of competence, control, and engagement, may be associated with enjoyment of a game, which has in turn been hypothesized to predict energy expended during play. However, these relationships have yet to be tested in active video games.\nMETHOD: Young adults aged 18-35 (N = 97, 50 female) &lt; 300 pounds played a Dance Dance Revolution game for 13 minutes while energy expenditure was measured using indirect calorimetry. Self-reported measures of engagement, perceived competence, perceived control, and enjoyment were taken immediately afterward. Mediation was analyzed using path analysis.\nRESULTS: A path model in which enjoyment mediated the effects of engagement, perceived competence, and perceived control on energy expenditure and BMI directly affected energy expenditure was an adequate fit to the data, χ(2)(1, N = 97) = .199, p = .655; CFI = 1.00; RMSEA &lt; .001; 90% CI = .000-.206; p = .692. Enjoyment mediated the relationship between engagement and energy expenditure (indirect effect = .138, p = .028), but other mediated effects were not significant.\nCONCLUSION: Engagement, enjoyment, and BMI affect energy expended during active video game play. Games that are more enjoyable and engaging may produce greater intensity activity. Developers, practitioners, and researchers should consider characteristics that influence these predictors when creating or recommending active video games.","DOI":"10.1037/a0031947","ISSN":"1930-7810","note":"PMID: 23527520 \nPMCID: PMC4100462","journalAbbreviation":"Health Psychol","language":"eng","author":[{"family":"Lyons","given":"Elizabeth J."},{"family":"Tate","given":"Deborah F."},{"family":"Ward","given":"Dianne S."},{"family":"Ribisl","given":"Kurt M."},{"family":"Bowling","given":"J. Michael"},{"family":"Kalyanaraman","given":"Sriram"}],"issued":{"date-parts":[["2014",2]]},"PMID":"23527520","PMCID":"PMC4100462"}}],"schema":"https://github.com/citation-style-language/schema/raw/master/csl-citation.json"} </w:instrText>
      </w:r>
      <w:r w:rsidRPr="00885D4B">
        <w:rPr>
          <w:lang w:val="en-US"/>
        </w:rPr>
        <w:fldChar w:fldCharType="separate"/>
      </w:r>
      <w:r w:rsidRPr="00207F99">
        <w:rPr>
          <w:rFonts w:cs="Times New Roman"/>
          <w:szCs w:val="24"/>
          <w:lang w:val="en-US"/>
        </w:rPr>
        <w:t>[2–6]</w:t>
      </w:r>
      <w:r w:rsidRPr="00885D4B">
        <w:rPr>
          <w:lang w:val="en-US"/>
        </w:rPr>
        <w:fldChar w:fldCharType="end"/>
      </w:r>
      <w:r w:rsidRPr="00885D4B">
        <w:rPr>
          <w:lang w:val="en-US"/>
        </w:rPr>
        <w:t>.</w:t>
      </w:r>
      <w:r>
        <w:rPr>
          <w:lang w:val="en-US"/>
        </w:rPr>
        <w:br/>
      </w:r>
      <w:r>
        <w:rPr>
          <w:u w:val="single"/>
          <w:lang w:val="en-US"/>
        </w:rPr>
        <w:br/>
      </w:r>
      <w:r w:rsidRPr="00207F99">
        <w:rPr>
          <w:u w:val="single"/>
          <w:lang w:val="en-US"/>
        </w:rPr>
        <w:t>Aerobic capacity</w:t>
      </w:r>
      <w:r>
        <w:rPr>
          <w:lang w:val="en-US"/>
        </w:rPr>
        <w:t xml:space="preserve"> </w:t>
      </w:r>
      <w:r>
        <w:rPr>
          <w:lang w:val="en-US"/>
        </w:rPr>
        <w:br/>
        <w:t>Aerobic capacity is m</w:t>
      </w:r>
      <w:r w:rsidRPr="00885D4B">
        <w:rPr>
          <w:lang w:val="en-US"/>
        </w:rPr>
        <w:t>easured as VO</w:t>
      </w:r>
      <w:r w:rsidRPr="00885D4B">
        <w:rPr>
          <w:vertAlign w:val="subscript"/>
          <w:lang w:val="en-US"/>
        </w:rPr>
        <w:t>2peak</w:t>
      </w:r>
      <w:r w:rsidRPr="00885D4B">
        <w:rPr>
          <w:lang w:val="en-US"/>
        </w:rPr>
        <w:t xml:space="preserve"> during an all-out bike spiroergometry using </w:t>
      </w:r>
      <w:r w:rsidRPr="00885D4B">
        <w:rPr>
          <w:color w:val="1A1718"/>
          <w:lang w:val="en-US"/>
        </w:rPr>
        <w:t xml:space="preserve">the mobile METALYZER 3B spirometry system (Cortex Biophysik GmbH, Leipzig, Germany). </w:t>
      </w:r>
      <w:r w:rsidRPr="00885D4B">
        <w:rPr>
          <w:lang w:val="en-US"/>
        </w:rPr>
        <w:t>After a 3-minute warm-up phase at 25 W, workload increases by 15 W/min until subjects</w:t>
      </w:r>
      <w:r>
        <w:rPr>
          <w:lang w:val="en-US"/>
        </w:rPr>
        <w:t>’</w:t>
      </w:r>
      <w:r w:rsidRPr="00885D4B">
        <w:rPr>
          <w:lang w:val="en-US"/>
        </w:rPr>
        <w:t xml:space="preserve"> subjective exhaustion.</w:t>
      </w:r>
      <w:r w:rsidRPr="00885D4B">
        <w:rPr>
          <w:color w:val="1A1718"/>
          <w:lang w:val="en-US"/>
        </w:rPr>
        <w:t xml:space="preserve"> Pedaling frequency has to be above 60 rpm throughout the entire test. </w:t>
      </w:r>
      <w:r w:rsidRPr="00885D4B">
        <w:rPr>
          <w:lang w:val="en-US"/>
        </w:rPr>
        <w:t>Breath by breath gas analyses is measured permanently, rat</w:t>
      </w:r>
      <w:r w:rsidR="009E7D1A">
        <w:rPr>
          <w:lang w:val="en-US"/>
        </w:rPr>
        <w:t>ings</w:t>
      </w:r>
      <w:r w:rsidRPr="00885D4B">
        <w:rPr>
          <w:lang w:val="en-US"/>
        </w:rPr>
        <w:t xml:space="preserve"> of perceived exertion (RPE) </w:t>
      </w:r>
      <w:r w:rsidRPr="00885D4B">
        <w:rPr>
          <w:lang w:val="en-US"/>
        </w:rPr>
        <w:fldChar w:fldCharType="begin"/>
      </w:r>
      <w:r>
        <w:rPr>
          <w:lang w:val="en-US"/>
        </w:rPr>
        <w:instrText xml:space="preserve"> ADDIN ZOTERO_ITEM CSL_CITATION {"citationID":"16qgmc5ih0","properties":{"formattedCitation":"[7]","plainCitation":"[7]"},"citationItems":[{"id":8400,"uris":["http://zotero.org/users/1770418/items/G42FIID3"],"uri":["http://zotero.org/users/1770418/items/G42FIID3"],"itemData":{"id":8400,"type":"article-journal","title":"Psychophysical bases of perceived exertion","container-title":"Med Sci Sports Exerc","page":"377-381","volume":"14","issue":"5","source":"PubMed","abstract":"There is a great demand for perceptual effort ratings in order to better understand man at work. Such ratings are important complements to behavioral and physiological measurements of physical performance and work capacity. This is true for both theoretical analysis and application in medicine, human factors, and sports. Perceptual estimates, obtained by psychophysical ratio-scaling methods, are valid when describing general perceptual variation, but category methods are more useful in several applied situations when differences between individuals are described. A presentation is made of ratio-scaling methods, category methods, especially the Borg Scale for ratings of perceived exertion, and a new method that combines the category method with ratio properties. Some of the advantages and disadvantages of the different methods are discussed in both theoretical-psychophysical and psychophysiological frames of reference.","ISSN":"0195-9131","note":"PMID: 7154893","journalAbbreviation":"Med Sci Sports Exerc","language":"eng","author":[{"family":"Borg","given":"G. A."}],"issued":{"date-parts":[["1982"]]},"PMID":"7154893"}}],"schema":"https://github.com/citation-style-language/schema/raw/master/csl-citation.json"} </w:instrText>
      </w:r>
      <w:r w:rsidRPr="00885D4B">
        <w:rPr>
          <w:lang w:val="en-US"/>
        </w:rPr>
        <w:fldChar w:fldCharType="separate"/>
      </w:r>
      <w:r w:rsidRPr="00207F99">
        <w:rPr>
          <w:rFonts w:cs="Times New Roman"/>
          <w:lang w:val="en-US"/>
        </w:rPr>
        <w:t>[7]</w:t>
      </w:r>
      <w:r w:rsidRPr="00885D4B">
        <w:rPr>
          <w:lang w:val="en-US"/>
        </w:rPr>
        <w:fldChar w:fldCharType="end"/>
      </w:r>
      <w:r w:rsidRPr="00885D4B">
        <w:rPr>
          <w:lang w:val="en-US"/>
        </w:rPr>
        <w:t xml:space="preserve"> and blood pressure are measured at rest, after warm-up and every two minutes until exhaustion. The blood lactate concentration is measured at rest and at maximum performance as well as 1, 3 and 5 minutes after the end of the exercise test. Throughout the entire duration of the test and until exertion, </w:t>
      </w:r>
      <w:r w:rsidRPr="00885D4B">
        <w:rPr>
          <w:color w:val="1A1718"/>
          <w:lang w:val="en-US"/>
        </w:rPr>
        <w:t>cardiac function is monitored with a 12-channel</w:t>
      </w:r>
      <w:r>
        <w:rPr>
          <w:color w:val="1A1718"/>
          <w:lang w:val="en-US"/>
        </w:rPr>
        <w:t xml:space="preserve"> electrocardiogram</w:t>
      </w:r>
      <w:r w:rsidRPr="00885D4B">
        <w:rPr>
          <w:color w:val="1A1718"/>
          <w:lang w:val="en-US"/>
        </w:rPr>
        <w:t>.</w:t>
      </w:r>
      <w:r>
        <w:rPr>
          <w:color w:val="1A1718"/>
          <w:lang w:val="en-US"/>
        </w:rPr>
        <w:br/>
      </w:r>
      <w:r>
        <w:rPr>
          <w:lang w:val="en-US"/>
        </w:rPr>
        <w:br/>
      </w:r>
      <w:r w:rsidRPr="00207F99">
        <w:rPr>
          <w:u w:val="single"/>
          <w:lang w:val="en-US"/>
        </w:rPr>
        <w:t>Maximal 6-minute walking distance</w:t>
      </w:r>
      <w:r>
        <w:rPr>
          <w:lang w:val="en-US"/>
        </w:rPr>
        <w:br/>
      </w:r>
      <w:r w:rsidRPr="00885D4B">
        <w:rPr>
          <w:lang w:val="en-US"/>
        </w:rPr>
        <w:t>Maxim</w:t>
      </w:r>
      <w:r>
        <w:rPr>
          <w:lang w:val="en-US"/>
        </w:rPr>
        <w:t xml:space="preserve">al 6-minute walking distance is assessed with the 6-minute walk test, </w:t>
      </w:r>
      <w:r w:rsidRPr="00885D4B">
        <w:rPr>
          <w:lang w:val="en-US"/>
        </w:rPr>
        <w:t xml:space="preserve">an established measure of functional exercise capacity commonly assessed in T2DM </w:t>
      </w:r>
      <w:r w:rsidRPr="00885D4B">
        <w:rPr>
          <w:lang w:val="en-US"/>
        </w:rPr>
        <w:fldChar w:fldCharType="begin"/>
      </w:r>
      <w:r>
        <w:rPr>
          <w:lang w:val="en-US"/>
        </w:rPr>
        <w:instrText xml:space="preserve"> ADDIN ZOTERO_ITEM CSL_CITATION {"citationID":"55rundk0k","properties":{"formattedCitation":"[8]","plainCitation":"[8]"},"citationItems":[{"id":482,"uris":["http://zotero.org/users/1770418/items/982NZCAR"],"uri":["http://zotero.org/users/1770418/items/982NZCAR"],"itemData":{"id":482,"type":"article-journal","title":"Six-minute walk test in non-insulin-dependent diabetes mellitus patients living in Northwest Africa","container-title":"Diabetes, Metabolic Syndrome and Obesity: Targets and Therapy","page":"227-245","volume":"5","source":"NCBI PubMed","abstract":"INTRODUCTION: International recommendations of the exploration of non-insulin-dependent diabetes mellitus (NIDDM) are focused on deficiency and not incapacity.\nAIMS: (1) To estimate the incapacity of NIDDM patients through the 6-minute walk test (6MWT) data. (2) To determine their 6-minute walk distance (6MWD) influencing factors (3) To compare data of NIDDM patient group (PG; n = 100) with those of two control groups (CG): CG1 (n = 174, healthy nonobese and nonsmoker); CG2 (n = 55, obese nondiabetic free from comorbidities).\nPOPULATION AND METHODS: The anthropometric, socioeconomic, clinical, metabolic, and 6MWT data of 100 NIDDM patients (45 females) were collected.\nRESULTS: Total sample means ± standard deviation of age, weight, and height were 54 ± 8 years, 81 ± 14 kg, and 1.64 ± 0.09 m. (1) Measured 6MWD (566 ± 81 m) was significantly lower than the theoretical 6MWD (90% ± 12%). The profile of the PG carrying the 6MWT, was as follows: 23% had an abnormal 6MWD; at the end of the 6MWT, 21% and 12% had, respectively, a low heart rate and a high dyspnea (&gt;5/10), and 4% had desaturation during the walk. The estimated \"cardiorespiratory and muscular chain\" age (68 ± 16 years) was significantly higher than the chronological age. (2) The factors that significantly influenced the 6MWD (r(2) = 0.58) are included in the following equation: 6MWD (m) = -73.94 × gender (0, male; 1, female) - 3.25 × age (years) + 7.33 × leisure activity score - 35.57 × obesity (0, no; 1, yes) + 32.86 × socioeconomic level (0, low; 1, high) - 27.67 × cigarette use (0, no; 1, yes) + 8.89 × resting oxyhemoglobin saturation - 105.48. (3) Compared to the CGs, the PG had a significantly (P &lt; 0.05) lower 6MWD (100%+9% and 100%+8%, respectively, for the CG1 and CG2).\nCONCLUSION: NIDDM seems to accelerate the decline of the submaximal aerobic capacity evaluated through the 6MWD.","DOI":"10.2147/DMSO.S28642","ISSN":"1178-7007","note":"PMID: 22924002 \nPMCID: PMC3422904","journalAbbreviation":"Diabetes Metab Syndr Obes","language":"eng","author":[{"family":"Latiri","given":"Imed"},{"family":"Elbey","given":"Rihab"},{"family":"Hcini","given":"Kamel"},{"family":"Zaoui","given":"Afif"},{"family":"Charfeddine","given":"Bessam"},{"family":"Maarouf","given":"Mohamed Ridha"},{"family":"Tabka","given":"Zouhair"},{"family":"Zbidi","given":"Abdelkrim"},{"family":"Ben Saad","given":"Helmi"}],"issued":{"date-parts":[["2012"]]},"PMID":"22924002","PMCID":"PMC3422904"}}],"schema":"https://github.com/citation-style-language/schema/raw/master/csl-citation.json"} </w:instrText>
      </w:r>
      <w:r w:rsidRPr="00885D4B">
        <w:rPr>
          <w:lang w:val="en-US"/>
        </w:rPr>
        <w:fldChar w:fldCharType="separate"/>
      </w:r>
      <w:r w:rsidRPr="00207F99">
        <w:rPr>
          <w:rFonts w:cs="Times New Roman"/>
          <w:lang w:val="en-US"/>
        </w:rPr>
        <w:t>[8]</w:t>
      </w:r>
      <w:r w:rsidRPr="00885D4B">
        <w:rPr>
          <w:lang w:val="en-US"/>
        </w:rPr>
        <w:fldChar w:fldCharType="end"/>
      </w:r>
      <w:r w:rsidRPr="00885D4B">
        <w:rPr>
          <w:lang w:val="en-US"/>
        </w:rPr>
        <w:t>.</w:t>
      </w:r>
      <w:r>
        <w:rPr>
          <w:lang w:val="en-US"/>
        </w:rPr>
        <w:br/>
      </w:r>
    </w:p>
    <w:p w:rsidR="00207F99" w:rsidRDefault="00207F99" w:rsidP="00DA43BC">
      <w:pPr>
        <w:jc w:val="both"/>
        <w:rPr>
          <w:lang w:val="en-US"/>
        </w:rPr>
      </w:pPr>
      <w:r w:rsidRPr="00207F99">
        <w:rPr>
          <w:u w:val="single"/>
          <w:lang w:val="en-US"/>
        </w:rPr>
        <w:lastRenderedPageBreak/>
        <w:t>Leg strength endurance</w:t>
      </w:r>
      <w:r>
        <w:rPr>
          <w:lang w:val="en-US"/>
        </w:rPr>
        <w:br/>
      </w:r>
      <w:r w:rsidRPr="00885D4B">
        <w:rPr>
          <w:lang w:val="en-US"/>
        </w:rPr>
        <w:t xml:space="preserve">Leg strength endurance is assessed as </w:t>
      </w:r>
      <w:r>
        <w:rPr>
          <w:lang w:val="en-US"/>
        </w:rPr>
        <w:t xml:space="preserve">the </w:t>
      </w:r>
      <w:r w:rsidRPr="00885D4B">
        <w:rPr>
          <w:lang w:val="en-US"/>
        </w:rPr>
        <w:t xml:space="preserve">maximum </w:t>
      </w:r>
      <w:r>
        <w:rPr>
          <w:lang w:val="en-US"/>
        </w:rPr>
        <w:t>number of repetitions in the Sit-to-Stand Test</w:t>
      </w:r>
      <w:r w:rsidR="000A0E3F">
        <w:rPr>
          <w:lang w:val="en-US"/>
        </w:rPr>
        <w:t xml:space="preserve"> </w:t>
      </w:r>
      <w:r w:rsidR="000A0E3F">
        <w:rPr>
          <w:lang w:val="en-US"/>
        </w:rPr>
        <w:fldChar w:fldCharType="begin"/>
      </w:r>
      <w:r w:rsidR="000A0E3F">
        <w:rPr>
          <w:lang w:val="en-US"/>
        </w:rPr>
        <w:instrText xml:space="preserve"> ADDIN ZOTERO_ITEM CSL_CITATION {"citationID":"12eo1bid0e","properties":{"formattedCitation":"[9]","plainCitation":"[9]"},"citationItems":[{"id":1711,"uris":["http://zotero.org/users/1770418/items/TBNGK99N"],"uri":["http://zotero.org/users/1770418/items/TBNGK99N"],"itemData":{"id":1711,"type":"article-journal","title":"Population-based reference values for the 1-min sit-to-stand test","container-title":"International Journal of Public Health","page":"949-953","volume":"58","issue":"6","source":"NCBI PubMed","abstract":"OBJECTIVES: To determine reference values for the 1-min sit-to-stand (STS) test in an adult population.\nMETHODS: Cross-sectional study nested within a nationwide health promotion campaign in Switzerland. Adults performed the STS test and completed questions on demographics and health behavior.\nRESULTS: 6,926 out of 7,753 (89.3 %) adults were able to complete the STS test. The median number of repetitions ranged from 50/min (25-75th percentile 41-57/min) in young men and 47/min (39-55/min) in young women aged 20-24 years to 30/min (25-37/min) in older men and 27/min (22-30/min) in older women aged 75-79 years.\nCONCLUSIONS: The reference values support the interpretation of 1-min STS test performance and identification of subjects with decreased lower body muscular strength and endurance.","DOI":"10.1007/s00038-013-0504-z","ISSN":"1661-8564","note":"PMID: 23974352","journalAbbreviation":"Int J Public Health","language":"eng","author":[{"family":"Strassmann","given":"Alexandra"},{"family":"Steurer-Stey","given":"Claudia"},{"family":"Lana","given":"Kaba Dalla"},{"family":"Zoller","given":"Marco"},{"family":"Turk","given":"Alexander J."},{"family":"Suter","given":"Paolo"},{"family":"Puhan","given":"Milo A."}],"issued":{"date-parts":[["2013",12]]},"PMID":"23974352"}}],"schema":"https://github.com/citation-style-language/schema/raw/master/csl-citation.json"} </w:instrText>
      </w:r>
      <w:r w:rsidR="000A0E3F">
        <w:rPr>
          <w:lang w:val="en-US"/>
        </w:rPr>
        <w:fldChar w:fldCharType="separate"/>
      </w:r>
      <w:r w:rsidR="000A0E3F" w:rsidRPr="000A0E3F">
        <w:rPr>
          <w:rFonts w:cs="Times New Roman"/>
          <w:lang w:val="en-US"/>
        </w:rPr>
        <w:t>[9]</w:t>
      </w:r>
      <w:r w:rsidR="000A0E3F">
        <w:rPr>
          <w:lang w:val="en-US"/>
        </w:rPr>
        <w:fldChar w:fldCharType="end"/>
      </w:r>
      <w:r w:rsidR="00DA43BC">
        <w:rPr>
          <w:lang w:val="en-US"/>
        </w:rPr>
        <w:t>.</w:t>
      </w:r>
      <w:r w:rsidR="00DA43BC">
        <w:rPr>
          <w:lang w:val="en-US"/>
        </w:rPr>
        <w:br/>
      </w:r>
      <w:r w:rsidR="00DA43BC">
        <w:rPr>
          <w:lang w:val="en-US"/>
        </w:rPr>
        <w:br/>
      </w:r>
      <w:r w:rsidR="00DA43BC" w:rsidRPr="00DA43BC">
        <w:rPr>
          <w:u w:val="single"/>
          <w:lang w:val="en-US"/>
        </w:rPr>
        <w:t>Maximal isometric force</w:t>
      </w:r>
      <w:r w:rsidR="00DA43BC">
        <w:rPr>
          <w:lang w:val="en-US"/>
        </w:rPr>
        <w:br/>
        <w:t>M</w:t>
      </w:r>
      <w:r w:rsidRPr="00885D4B">
        <w:rPr>
          <w:lang w:val="en-US"/>
        </w:rPr>
        <w:t xml:space="preserve">aximal isometric force and rate of force development are measured in a double-limb leg press on an isokinetic dynamometer (D&amp;R Ferstl, IsoMed 2000, Hemau, Germany) </w:t>
      </w:r>
      <w:r w:rsidRPr="00885D4B">
        <w:rPr>
          <w:lang w:val="en-US"/>
        </w:rPr>
        <w:fldChar w:fldCharType="begin"/>
      </w:r>
      <w:r w:rsidR="000A0E3F">
        <w:rPr>
          <w:lang w:val="en-US"/>
        </w:rPr>
        <w:instrText xml:space="preserve"> ADDIN ZOTERO_ITEM CSL_CITATION {"citationID":"1a57th71cq","properties":{"formattedCitation":"[10]","plainCitation":"[10]"},"citationItems":[{"id":1013,"uris":["http://zotero.org/users/1770418/items/GJGKPIIS"],"uri":["http://zotero.org/users/1770418/items/GJGKPIIS"],"itemData":{"id":1013,"type":"article-journal","title":"Effects of stair-climbing on balance, gait, strength, resting heart rate, and submaximal endurance in healthy seniors","container-title":"Scandinavian Journal of Medicine &amp; Science in Sports","page":"e93-e101","volume":"24","issue":"2","source":"Wiley Online Library","abstract":"Stair-climbing serves as a feasible opportunity to remain physically active within everyday-life. Data on neuromuscular and cardiorespiratory performance after regular stair-climbing in seniors are scarce. Forty-eight seniors were stratified to a one- (taking every step, INT1) or two-step strategy (every second step, INT2) or a control group (CON). Thirty-nine seniors [females: n = 22, males: n = 17; age: 70.5 (SD 5.1) years; BMI: 25.8 (3.1) kg/m2] completed the 8-week intervention (three weekly sessions). Before and after the intervention, balance, gait, strength, and submaximal endurance (at different intensities) were assessed. Maximal strength and explosive power did not improve significantly (0.10 &lt; P &lt; 0.78). Resting heart rate was significantly reduced in INT2 (−8/min) compared with INT1 (0/min, P = 0.02) and CON (0/min, P = 0.03). Compared with CON, perceived exertion for all intensities (0.007 &lt; P &lt; 0.03) and submaximal exercise heart rate during moderate uphill walking significantly decreased (−11/min; P &lt; 0.05) in INT2. Step counts for forward beam balancing (4.5 cm width) increased in INT2 (P = 0.007) compared with CON. With more pronounced effects in INT2, stair-climbing significantly improved resting and exercise heart rates, perceived exertion, and dynamic balance performance in healthy seniors and may contribute to better overall fitness, reduced fall risk, and less perceived strain during daily life activities.","DOI":"10.1111/sms.12113","ISSN":"1600-0838","journalAbbreviation":"Scand J Med Sci Sports","language":"en","author":[{"family":"Donath","given":"L."},{"family":"Faude","given":"O."},{"family":"Roth","given":"R."},{"family":"Zahner","given":"L."}],"issued":{"date-parts":[["2014",4,1]]}}}],"schema":"https://github.com/citation-style-language/schema/raw/master/csl-citation.json"} </w:instrText>
      </w:r>
      <w:r w:rsidRPr="00885D4B">
        <w:rPr>
          <w:lang w:val="en-US"/>
        </w:rPr>
        <w:fldChar w:fldCharType="separate"/>
      </w:r>
      <w:r w:rsidR="000A0E3F" w:rsidRPr="000A0E3F">
        <w:rPr>
          <w:rFonts w:cs="Times New Roman"/>
          <w:lang w:val="en-US"/>
        </w:rPr>
        <w:t>[10]</w:t>
      </w:r>
      <w:r w:rsidRPr="00885D4B">
        <w:rPr>
          <w:lang w:val="en-US"/>
        </w:rPr>
        <w:fldChar w:fldCharType="end"/>
      </w:r>
      <w:r w:rsidRPr="00885D4B">
        <w:rPr>
          <w:lang w:val="en-US"/>
        </w:rPr>
        <w:t xml:space="preserve">. During the measurement the seat back is reclined to 50°. Hip and knee angles are individually adjusted at 90° and 100°, respectively, while the hip is additionally fixed with a belt. </w:t>
      </w:r>
      <w:r w:rsidR="00DA43BC" w:rsidRPr="00897574">
        <w:rPr>
          <w:szCs w:val="20"/>
          <w:lang w:val="en-US"/>
        </w:rPr>
        <w:t xml:space="preserve">The testing condition will consist of </w:t>
      </w:r>
      <w:r w:rsidR="00DA43BC">
        <w:rPr>
          <w:szCs w:val="20"/>
          <w:lang w:val="en-US"/>
        </w:rPr>
        <w:t>two</w:t>
      </w:r>
      <w:r w:rsidR="00DA43BC" w:rsidRPr="00897574">
        <w:rPr>
          <w:szCs w:val="20"/>
          <w:lang w:val="en-US"/>
        </w:rPr>
        <w:t xml:space="preserve"> maximal contractions of </w:t>
      </w:r>
      <w:r w:rsidR="00DA43BC">
        <w:rPr>
          <w:szCs w:val="20"/>
          <w:lang w:val="en-US"/>
        </w:rPr>
        <w:t>five seconds</w:t>
      </w:r>
      <w:r w:rsidR="00DA43BC" w:rsidRPr="00897574">
        <w:rPr>
          <w:szCs w:val="20"/>
          <w:lang w:val="en-US"/>
        </w:rPr>
        <w:t xml:space="preserve"> with a recovery time of </w:t>
      </w:r>
      <w:r w:rsidR="00DA43BC">
        <w:rPr>
          <w:szCs w:val="20"/>
          <w:lang w:val="en-US"/>
        </w:rPr>
        <w:t>30 seconds</w:t>
      </w:r>
      <w:r w:rsidR="00DA43BC" w:rsidRPr="00897574">
        <w:rPr>
          <w:szCs w:val="20"/>
          <w:lang w:val="en-US"/>
        </w:rPr>
        <w:t xml:space="preserve"> in between two contractions</w:t>
      </w:r>
      <w:r w:rsidRPr="00885D4B">
        <w:rPr>
          <w:lang w:val="en-US"/>
        </w:rPr>
        <w:t xml:space="preserve"> </w:t>
      </w:r>
      <w:r w:rsidRPr="00885D4B">
        <w:rPr>
          <w:lang w:val="en-US"/>
        </w:rPr>
        <w:fldChar w:fldCharType="begin"/>
      </w:r>
      <w:r w:rsidR="000A0E3F">
        <w:rPr>
          <w:lang w:val="en-US"/>
        </w:rPr>
        <w:instrText xml:space="preserve"> ADDIN ZOTERO_ITEM CSL_CITATION {"citationID":"3jIM94fD","properties":{"formattedCitation":"[10]","plainCitation":"[10]"},"citationItems":[{"id":1013,"uris":["http://zotero.org/users/1770418/items/GJGKPIIS"],"uri":["http://zotero.org/users/1770418/items/GJGKPIIS"],"itemData":{"id":1013,"type":"article-journal","title":"Effects of stair-climbing on balance, gait, strength, resting heart rate, and submaximal endurance in healthy seniors","container-title":"Scandinavian Journal of Medicine &amp; Science in Sports","page":"e93-e101","volume":"24","issue":"2","source":"Wiley Online Library","abstract":"Stair-climbing serves as a feasible opportunity to remain physically active within everyday-life. Data on neuromuscular and cardiorespiratory performance after regular stair-climbing in seniors are scarce. Forty-eight seniors were stratified to a one- (taking every step, INT1) or two-step strategy (every second step, INT2) or a control group (CON). Thirty-nine seniors [females: n = 22, males: n = 17; age: 70.5 (SD 5.1) years; BMI: 25.8 (3.1) kg/m2] completed the 8-week intervention (three weekly sessions). Before and after the intervention, balance, gait, strength, and submaximal endurance (at different intensities) were assessed. Maximal strength and explosive power did not improve significantly (0.10 &lt; P &lt; 0.78). Resting heart rate was significantly reduced in INT2 (−8/min) compared with INT1 (0/min, P = 0.02) and CON (0/min, P = 0.03). Compared with CON, perceived exertion for all intensities (0.007 &lt; P &lt; 0.03) and submaximal exercise heart rate during moderate uphill walking significantly decreased (−11/min; P &lt; 0.05) in INT2. Step counts for forward beam balancing (4.5 cm width) increased in INT2 (P = 0.007) compared with CON. With more pronounced effects in INT2, stair-climbing significantly improved resting and exercise heart rates, perceived exertion, and dynamic balance performance in healthy seniors and may contribute to better overall fitness, reduced fall risk, and less perceived strain during daily life activities.","DOI":"10.1111/sms.12113","ISSN":"1600-0838","journalAbbreviation":"Scand J Med Sci Sports","language":"en","author":[{"family":"Donath","given":"L."},{"family":"Faude","given":"O."},{"family":"Roth","given":"R."},{"family":"Zahner","given":"L."}],"issued":{"date-parts":[["2014",4,1]]}}}],"schema":"https://github.com/citation-style-language/schema/raw/master/csl-citation.json"} </w:instrText>
      </w:r>
      <w:r w:rsidRPr="00885D4B">
        <w:rPr>
          <w:lang w:val="en-US"/>
        </w:rPr>
        <w:fldChar w:fldCharType="separate"/>
      </w:r>
      <w:r w:rsidR="000A0E3F" w:rsidRPr="000A0E3F">
        <w:rPr>
          <w:rFonts w:cs="Times New Roman"/>
          <w:lang w:val="en-US"/>
        </w:rPr>
        <w:t>[10]</w:t>
      </w:r>
      <w:r w:rsidRPr="00885D4B">
        <w:rPr>
          <w:lang w:val="en-US"/>
        </w:rPr>
        <w:fldChar w:fldCharType="end"/>
      </w:r>
      <w:r w:rsidRPr="00885D4B">
        <w:rPr>
          <w:lang w:val="en-US"/>
        </w:rPr>
        <w:t>.</w:t>
      </w:r>
      <w:r w:rsidR="0047799C">
        <w:rPr>
          <w:lang w:val="en-US"/>
        </w:rPr>
        <w:t xml:space="preserve"> As </w:t>
      </w:r>
      <w:r w:rsidR="0047799C" w:rsidRPr="00897574">
        <w:rPr>
          <w:szCs w:val="20"/>
          <w:lang w:val="en-US"/>
        </w:rPr>
        <w:t>decreases of skeletal muscle mass and muscle quality especially in the lower limb are common in older adults with T2DM</w:t>
      </w:r>
      <w:r w:rsidR="0047799C">
        <w:rPr>
          <w:szCs w:val="20"/>
          <w:lang w:val="en-US"/>
        </w:rPr>
        <w:t xml:space="preserve"> </w:t>
      </w:r>
      <w:r w:rsidR="0047799C" w:rsidRPr="00897574">
        <w:rPr>
          <w:szCs w:val="20"/>
          <w:lang w:val="en-US"/>
        </w:rPr>
        <w:fldChar w:fldCharType="begin"/>
      </w:r>
      <w:r w:rsidR="000A0E3F">
        <w:rPr>
          <w:szCs w:val="20"/>
          <w:lang w:val="en-US"/>
        </w:rPr>
        <w:instrText xml:space="preserve"> ADDIN ZOTERO_ITEM CSL_CITATION {"citationID":"2gs8gjcu6p","properties":{"formattedCitation":"[11]","plainCitation":"[11]"},"citationItems":[{"id":1797,"uris":["http://zotero.org/users/1770418/items/UMR5BTJI"],"uri":["http://zotero.org/users/1770418/items/UMR5BTJI"],"itemData":{"id":1797,"type":"article-journal","title":"Excessive loss of skeletal muscle mass in older adults with type 2 diabetes","container-title":"Diabetes Care","page":"1993-1997","volume":"32","issue":"11","source":"NCBI PubMed","abstract":"OBJECTIVE: A loss of skeletal muscle mass is frequently observed in older adults. The aim of the study was to investigate the impact of type 2 diabetes on the changes in body composition, with particular interest in the skeletal muscle mass.\nRESEARCH DESIGN AND METHODS: We examined total body composition with dual-energy X-ray absorptiometry annually for 6 years in 2,675 older adults. We also measured mid-thigh muscle cross-sectional area (CSA) with computed tomography in year 1 and year 6. At baseline, 75-g oral glucose challenge tests were performed. Diagnosed diabetes (n = 402, 15.0%) was identified by self-report or use of hypoglycemic agents. Undiagnosed diabetes (n = 226, 8.4%) was defined by fasting plasma glucose (&gt;or=7 mmol/l) or 2-h postchallenge plasma glucose (&gt;or=11.1 mmol/l). Longitudinal regression models were fit to examine the effect of diabetes on the changes in body composition variables.\nRESULTS: Older adults with either diagnosed or undiagnosed type 2 diabetes showed excessive loss of appendicular lean mass and trunk fat mass compared with nondiabetic subjects. Thigh muscle CSA declined two times faster in older women with diabetes than their nondiabetic counterparts. These findings remained significant after adjusting for age, sex, race, clinic site, baseline BMI, weight change intention, and actual weight changes over time.\nCONCLUSIONS: Type 2 diabetes is associated with excessive loss of skeletal muscle and trunk fat mass in community-dwelling older adults. Older women with type 2 diabetes are at especially high risk for loss of skeletal muscle mass.","DOI":"10.2337/dc09-0264","ISSN":"1935-5548","note":"PMID: 19549734 \nPMCID: PMC2768193","journalAbbreviation":"Diabetes Care","language":"eng","author":[{"family":"Park","given":"Seok Won"},{"family":"Goodpaster","given":"Bret H."},{"family":"Lee","given":"Jung Sun"},{"family":"Kuller","given":"Lewis H."},{"family":"Boudreau","given":"Robert"},{"family":"Rekeneire","given":"Nathalie","non-dropping-particle":"de"},{"family":"Harris","given":"Tamara B."},{"family":"Kritchevsky","given":"Stephen"},{"family":"Tylavsky","given":"Frances A."},{"family":"Nevitt","given":"Michael"},{"family":"Cho","given":"Yong-wook"},{"family":"Newman","given":"Anne B."},{"literal":"Health, Aging, and Body Composition Study"}],"issued":{"date-parts":[["2009",11]]},"PMID":"19549734","PMCID":"PMC2768193"}}],"schema":"https://github.com/citation-style-language/schema/raw/master/csl-citation.json"} </w:instrText>
      </w:r>
      <w:r w:rsidR="0047799C" w:rsidRPr="00897574">
        <w:rPr>
          <w:szCs w:val="20"/>
          <w:lang w:val="en-US"/>
        </w:rPr>
        <w:fldChar w:fldCharType="separate"/>
      </w:r>
      <w:r w:rsidR="000A0E3F" w:rsidRPr="000A0E3F">
        <w:rPr>
          <w:rFonts w:cs="Times New Roman"/>
          <w:lang w:val="en-US"/>
        </w:rPr>
        <w:t>[11]</w:t>
      </w:r>
      <w:r w:rsidR="0047799C" w:rsidRPr="00897574">
        <w:rPr>
          <w:szCs w:val="20"/>
          <w:lang w:val="en-US"/>
        </w:rPr>
        <w:fldChar w:fldCharType="end"/>
      </w:r>
      <w:r w:rsidR="0047799C" w:rsidRPr="00897574">
        <w:rPr>
          <w:szCs w:val="20"/>
          <w:lang w:val="en-US"/>
        </w:rPr>
        <w:t xml:space="preserve"> and often contribute to fatigue</w:t>
      </w:r>
      <w:r w:rsidR="0047799C">
        <w:rPr>
          <w:szCs w:val="20"/>
          <w:lang w:val="en-US"/>
        </w:rPr>
        <w:t xml:space="preserve"> </w:t>
      </w:r>
      <w:r w:rsidR="0047799C" w:rsidRPr="00897574">
        <w:rPr>
          <w:szCs w:val="20"/>
          <w:lang w:val="en-US"/>
        </w:rPr>
        <w:fldChar w:fldCharType="begin"/>
      </w:r>
      <w:r w:rsidR="000A0E3F">
        <w:rPr>
          <w:szCs w:val="20"/>
          <w:lang w:val="en-US"/>
        </w:rPr>
        <w:instrText xml:space="preserve"> ADDIN ZOTERO_ITEM CSL_CITATION {"citationID":"d1blk4pfv","properties":{"formattedCitation":"[12]","plainCitation":"[12]"},"citationItems":[{"id":392,"uris":["http://zotero.org/users/1770418/items/7Z7BNI9I"],"uri":["http://zotero.org/users/1770418/items/7Z7BNI9I"],"itemData":{"id":392,"type":"article-journal","title":"Fatigue in Patients with Diabetes: A Review","container-title":"Journal of psychosomatic research","page":"33-41","volume":"69","issue":"1","source":"PubMed Central","abstract":"Objective\nFatigue is a common and distressing complaint among people with diabetes, and likely to hinder the ability to perform daily diabetes self-management tasks. A review of the literature about diabetes-related fatigue was conducted with an eye toward creating a framework for beginning to conduct more focused studies on this subject.\n\nMethods\nA literature search containing the terms diabetes, fatigue, tiredness, and symptoms was conducted to search for literature that addressed diabetes-related fatigue.\n\nResults\nDiabetes presents many potential pathways for fatigue, but focused studies on this symptom are rare. Furthermore, research on diabetes-related fatigue is limited by fatigue's non-specific symptoms and because fatigue researchers have yet to agree on standardized definition, measurement or diagnostic criteria. Additionally, few diabetes randomized clinical trials included measurement of patient-reported outcomes, such as symptoms or health-related quality of life in their study designs, though one that did provided some the meaningful finding that symptom-focused education improved self-management practices, HbA1c levels, quality of life and symptom distress.\n\nConclusion\nThere is a need to standardized definition, measurement and diagnostic criteria of fatigue in diabetes. We present a model that can guide focused studies on fatigue in diabetes. The model capitalizes on the multidimensional phenomena (physiological, psychological, and lifestyle) associated with fatigue in diabetes.","DOI":"10.1016/j.jpsychores.2010.01.021","ISSN":"0022-3999","note":"PMID: 20630261\nPMCID: PMC2905388","shortTitle":"Fatigue in Patients with Diabetes","journalAbbreviation":"J Psychosom Res","author":[{"family":"Fritschi","given":"Cynthia"},{"family":"Quinn","given":"Laurie"}],"issued":{"date-parts":[["2010",7]]},"PMID":"20630261","PMCID":"PMC2905388"}}],"schema":"https://github.com/citation-style-language/schema/raw/master/csl-citation.json"} </w:instrText>
      </w:r>
      <w:r w:rsidR="0047799C" w:rsidRPr="00897574">
        <w:rPr>
          <w:szCs w:val="20"/>
          <w:lang w:val="en-US"/>
        </w:rPr>
        <w:fldChar w:fldCharType="separate"/>
      </w:r>
      <w:r w:rsidR="000A0E3F" w:rsidRPr="000A0E3F">
        <w:rPr>
          <w:rFonts w:cs="Times New Roman"/>
          <w:lang w:val="en-US"/>
        </w:rPr>
        <w:t>[12]</w:t>
      </w:r>
      <w:r w:rsidR="0047799C" w:rsidRPr="00897574">
        <w:rPr>
          <w:szCs w:val="20"/>
          <w:lang w:val="en-US"/>
        </w:rPr>
        <w:fldChar w:fldCharType="end"/>
      </w:r>
      <w:r w:rsidR="0047799C" w:rsidRPr="00897574">
        <w:rPr>
          <w:szCs w:val="20"/>
          <w:lang w:val="en-US"/>
        </w:rPr>
        <w:t xml:space="preserve"> and a reduced HRQOL</w:t>
      </w:r>
      <w:r w:rsidR="0047799C">
        <w:rPr>
          <w:szCs w:val="20"/>
          <w:lang w:val="en-US"/>
        </w:rPr>
        <w:t xml:space="preserve"> </w:t>
      </w:r>
      <w:r w:rsidR="0047799C" w:rsidRPr="00897574">
        <w:rPr>
          <w:szCs w:val="20"/>
          <w:lang w:val="en-US"/>
        </w:rPr>
        <w:fldChar w:fldCharType="begin"/>
      </w:r>
      <w:r w:rsidR="000A0E3F">
        <w:rPr>
          <w:szCs w:val="20"/>
          <w:lang w:val="en-US"/>
        </w:rPr>
        <w:instrText xml:space="preserve"> ADDIN ZOTERO_ITEM CSL_CITATION {"citationID":"11igi6mv2t","properties":{"formattedCitation":"[13]","plainCitation":"[13]"},"citationItems":[{"id":1422,"uris":["http://zotero.org/users/1770418/items/P2VUGCVU"],"uri":["http://zotero.org/users/1770418/items/P2VUGCVU"],"itemData":{"id":1422,"type":"article-journal","title":"Perceptions of health and their relationship to symptoms in African American women with type 2 diabetes","container-title":"Applied nursing research: ANR","page":"72-80","volume":"14","issue":"2","source":"NCBI PubMed","abstract":"Diabetes mellitus is an incurable disease and a major cause of mortality and morbidity. Diabetes disproportionately affects members of minorities who suffer from higher rates of complications and greater disability (Cowie &amp; Eberhardt, 1996). The purpose of this study was to (a) describe the symptoms of African American women with Type 2 diabetes and examine the relationship among diabetes-related symptoms; (b) document complications of diabetes and perceptions of health and functioning; and (c) examine the relationship between duration of diabetes and age at diagnosis and perceived health. A convenience sample of 75 African American women with Type 2 diabetes were interviewed. A 44-item questionnaire measured selected demographic variables, symptoms, documented complications, and their perceived relationship to diabetes. The SF-20 was used to measure perceptions of health status. Data show that African American women with Type 2 diabetes have a wide variety of symptoms and poor perceptions of their general health and physical functioning.","DOI":"10.1053/apnr.2001.22372","ISSN":"0897-1897","note":"PMID: 11319702","journalAbbreviation":"Appl Nurs Res","language":"eng","author":[{"family":"Stover","given":"J. C."},{"family":"Skelly","given":"A. H."},{"family":"Holditch-Davis","given":"D."},{"family":"Dunn","given":"P. F."}],"issued":{"date-parts":[["2001",5]]},"PMID":"11319702"}}],"schema":"https://github.com/citation-style-language/schema/raw/master/csl-citation.json"} </w:instrText>
      </w:r>
      <w:r w:rsidR="0047799C" w:rsidRPr="00897574">
        <w:rPr>
          <w:szCs w:val="20"/>
          <w:lang w:val="en-US"/>
        </w:rPr>
        <w:fldChar w:fldCharType="separate"/>
      </w:r>
      <w:r w:rsidR="000A0E3F" w:rsidRPr="000A0E3F">
        <w:rPr>
          <w:rFonts w:cs="Times New Roman"/>
          <w:lang w:val="en-US"/>
        </w:rPr>
        <w:t>[13]</w:t>
      </w:r>
      <w:r w:rsidR="0047799C" w:rsidRPr="00897574">
        <w:rPr>
          <w:szCs w:val="20"/>
          <w:lang w:val="en-US"/>
        </w:rPr>
        <w:fldChar w:fldCharType="end"/>
      </w:r>
      <w:r w:rsidR="0047799C" w:rsidRPr="00897574">
        <w:rPr>
          <w:szCs w:val="20"/>
          <w:lang w:val="en-US"/>
        </w:rPr>
        <w:t xml:space="preserve"> </w:t>
      </w:r>
      <w:r w:rsidR="0047799C">
        <w:rPr>
          <w:szCs w:val="20"/>
          <w:lang w:val="en-US"/>
        </w:rPr>
        <w:t xml:space="preserve">the assessment of leg strength is an </w:t>
      </w:r>
      <w:r w:rsidR="000A0E3F">
        <w:rPr>
          <w:szCs w:val="20"/>
          <w:lang w:val="en-US"/>
        </w:rPr>
        <w:t>important outcome of the MOBIGAME intervention.</w:t>
      </w:r>
      <w:r w:rsidR="0047799C">
        <w:rPr>
          <w:szCs w:val="20"/>
          <w:lang w:val="en-US"/>
        </w:rPr>
        <w:br/>
      </w:r>
      <w:r w:rsidR="00DA43BC">
        <w:rPr>
          <w:lang w:val="en-US"/>
        </w:rPr>
        <w:br/>
      </w:r>
      <w:r w:rsidR="00DA43BC">
        <w:rPr>
          <w:u w:val="single"/>
          <w:lang w:val="en-US"/>
        </w:rPr>
        <w:t>Glucose metabolism</w:t>
      </w:r>
      <w:r w:rsidR="00DA43BC">
        <w:rPr>
          <w:lang w:val="en-US"/>
        </w:rPr>
        <w:br/>
      </w:r>
      <w:r w:rsidRPr="00885D4B">
        <w:rPr>
          <w:lang w:val="en-US"/>
        </w:rPr>
        <w:t xml:space="preserve">Glucose metabolism (fasting glucose, </w:t>
      </w:r>
      <w:r w:rsidRPr="00885D4B">
        <w:rPr>
          <w:rStyle w:val="current-selection"/>
          <w:lang w:val="en-US"/>
        </w:rPr>
        <w:t>glycated</w:t>
      </w:r>
      <w:r w:rsidRPr="00885D4B">
        <w:rPr>
          <w:rStyle w:val="a"/>
          <w:lang w:val="en-US"/>
        </w:rPr>
        <w:t xml:space="preserve"> </w:t>
      </w:r>
      <w:r w:rsidRPr="00885D4B">
        <w:rPr>
          <w:rStyle w:val="current-selection"/>
          <w:lang w:val="en-US"/>
        </w:rPr>
        <w:t>hemoglobin</w:t>
      </w:r>
      <w:r w:rsidRPr="00885D4B">
        <w:rPr>
          <w:lang w:val="en-US"/>
        </w:rPr>
        <w:t xml:space="preserve"> (HbA</w:t>
      </w:r>
      <w:r w:rsidRPr="00885D4B">
        <w:rPr>
          <w:vertAlign w:val="subscript"/>
          <w:lang w:val="en-US"/>
        </w:rPr>
        <w:t>1c</w:t>
      </w:r>
      <w:r w:rsidRPr="00885D4B">
        <w:rPr>
          <w:lang w:val="en-US"/>
        </w:rPr>
        <w:t xml:space="preserve">), fasting C-peptide, fasting insulin levels) measured by standard laboratory analysis of venous blood. </w:t>
      </w:r>
      <w:r w:rsidRPr="00885D4B">
        <w:rPr>
          <w:rStyle w:val="st"/>
          <w:lang w:val="en-US"/>
        </w:rPr>
        <w:t>The Homeostasis Model Assessment (</w:t>
      </w:r>
      <w:r w:rsidRPr="00885D4B">
        <w:rPr>
          <w:lang w:val="en-US"/>
        </w:rPr>
        <w:t>HOMA) index is used to quantify insulin resistance and ß-cell function by implicating the measured fasting insulin and fasting glucose concentrations.</w:t>
      </w:r>
      <w:r w:rsidR="00DA43BC">
        <w:rPr>
          <w:lang w:val="en-US"/>
        </w:rPr>
        <w:br/>
      </w:r>
      <w:r w:rsidR="00DA43BC">
        <w:rPr>
          <w:lang w:val="en-US"/>
        </w:rPr>
        <w:br/>
      </w:r>
      <w:r w:rsidR="00DA43BC" w:rsidRPr="00DA43BC">
        <w:rPr>
          <w:u w:val="single"/>
          <w:lang w:val="en-US"/>
        </w:rPr>
        <w:t>Inflammatory markers</w:t>
      </w:r>
      <w:r w:rsidR="00DA43BC">
        <w:rPr>
          <w:lang w:val="en-US"/>
        </w:rPr>
        <w:br/>
      </w:r>
      <w:r w:rsidRPr="00885D4B">
        <w:rPr>
          <w:lang w:val="en-US"/>
        </w:rPr>
        <w:t xml:space="preserve">Inflammatory markers such as total cholesterol, </w:t>
      </w:r>
      <w:r>
        <w:rPr>
          <w:lang w:val="en-US"/>
        </w:rPr>
        <w:t>low-density lipoprotein (</w:t>
      </w:r>
      <w:r w:rsidRPr="00885D4B">
        <w:rPr>
          <w:lang w:val="en-US"/>
        </w:rPr>
        <w:t>LDL</w:t>
      </w:r>
      <w:r>
        <w:rPr>
          <w:lang w:val="en-US"/>
        </w:rPr>
        <w:t>)</w:t>
      </w:r>
      <w:r w:rsidRPr="00885D4B">
        <w:rPr>
          <w:lang w:val="en-US"/>
        </w:rPr>
        <w:t xml:space="preserve">- and </w:t>
      </w:r>
      <w:r>
        <w:rPr>
          <w:lang w:val="en-US"/>
        </w:rPr>
        <w:t>high-density lipoprotein (</w:t>
      </w:r>
      <w:r w:rsidRPr="00885D4B">
        <w:rPr>
          <w:lang w:val="en-US"/>
        </w:rPr>
        <w:t>HDL</w:t>
      </w:r>
      <w:r>
        <w:rPr>
          <w:lang w:val="en-US"/>
        </w:rPr>
        <w:t>)</w:t>
      </w:r>
      <w:r w:rsidRPr="00885D4B">
        <w:rPr>
          <w:lang w:val="en-US"/>
        </w:rPr>
        <w:t>-cholesterol, triglycerides, apolipoprotein B, irisin, adiponectin and interleukin</w:t>
      </w:r>
      <w:r>
        <w:rPr>
          <w:lang w:val="en-US"/>
        </w:rPr>
        <w:t>-</w:t>
      </w:r>
      <w:r w:rsidRPr="00885D4B">
        <w:rPr>
          <w:lang w:val="en-US"/>
        </w:rPr>
        <w:t>6 levels, measured by standard laboratory analysis of venous blood.</w:t>
      </w:r>
      <w:r w:rsidR="00DA43BC">
        <w:rPr>
          <w:lang w:val="en-US"/>
        </w:rPr>
        <w:br/>
      </w:r>
      <w:r w:rsidR="00DA43BC">
        <w:rPr>
          <w:lang w:val="en-US"/>
        </w:rPr>
        <w:br/>
      </w:r>
      <w:r w:rsidR="00DA43BC" w:rsidRPr="00DA43BC">
        <w:rPr>
          <w:u w:val="single"/>
          <w:lang w:val="en-US"/>
        </w:rPr>
        <w:t>Macrovascular function</w:t>
      </w:r>
      <w:r w:rsidR="00DA43BC">
        <w:rPr>
          <w:lang w:val="en-US"/>
        </w:rPr>
        <w:br/>
      </w:r>
      <w:r w:rsidRPr="00885D4B">
        <w:rPr>
          <w:lang w:val="en-US"/>
        </w:rPr>
        <w:t>Macrovascular function (</w:t>
      </w:r>
      <w:r w:rsidRPr="00885D4B">
        <w:rPr>
          <w:szCs w:val="20"/>
          <w:lang w:val="en-US"/>
        </w:rPr>
        <w:t>peripheral and central blood pressure, pulse wave reflection as augmentation index and arterial stiffness as aortic pulse wave velocity</w:t>
      </w:r>
      <w:r w:rsidRPr="00885D4B">
        <w:rPr>
          <w:lang w:val="en-US"/>
        </w:rPr>
        <w:t xml:space="preserve">) is assessed using a cuff-based oscillometric measurement device (Mobil-O-Graph, I.E.M GmbH, Stolberg, Germany) by the application of the </w:t>
      </w:r>
      <w:proofErr w:type="spellStart"/>
      <w:r w:rsidRPr="00885D4B">
        <w:rPr>
          <w:lang w:val="en-US"/>
        </w:rPr>
        <w:lastRenderedPageBreak/>
        <w:t>ARCSolver</w:t>
      </w:r>
      <w:proofErr w:type="spellEnd"/>
      <w:r w:rsidRPr="00885D4B">
        <w:rPr>
          <w:lang w:val="en-US"/>
        </w:rPr>
        <w:t xml:space="preserve"> algorithm to pulse wave signals acquired with the Mobil-O-Graph device </w:t>
      </w:r>
      <w:r w:rsidRPr="00885D4B">
        <w:rPr>
          <w:lang w:val="en-US"/>
        </w:rPr>
        <w:fldChar w:fldCharType="begin"/>
      </w:r>
      <w:r w:rsidR="000A0E3F">
        <w:rPr>
          <w:lang w:val="en-US"/>
        </w:rPr>
        <w:instrText xml:space="preserve"> ADDIN ZOTERO_ITEM CSL_CITATION {"citationID":"osbcn4unq","properties":{"formattedCitation":"[14]","plainCitation":"[14]"},"citationItems":[{"id":8368,"uris":["http://zotero.org/users/1770418/items/3CWC4KWR"],"uri":["http://zotero.org/users/1770418/items/3CWC4KWR"],"itemData":{"id":8368,"type":"article-journal","title":"Performance of pulse wave velocity measured using a brachial cuff in a community setting","container-title":"Blood Pressure Monitoring","page":"315-319","volume":"19","issue":"6","source":"PubMed","abstract":"BACKGROUND: We have previously reported that estimation of central blood pressure (BP) and augmentation using an automated oscillometric device are robust and feasible in a community setting. The same method has recently been validated for estimating aortic pulse wave velocity (aPWV) in laboratory settings, and its prognostic value has been confirmed in a prospective clinical trial.\nOBJECTIVE: The aim of this study was to assess the performance of aPWV estimates from an oscillometric device in a community-based setting.\nMETHODS: We assessed estimates of aPWV for compatibility with data from reference noninvasive techniques. Estimates of aPWV were obtained in a community setting from a general population of 1903 volunteers (age range 14-99 years). Values of aPWV were analyzed according to sex and each age decile from less than 30 years to greater than 80 years and for a subset of patients with a peripheral systolic BP of less than 140 mmHg (n=1064).\nRESULTS: We obtained valid measures of PWV from 1794 volunteers. Age (r=0.94, P&lt;0.001) and BP category (r=0.63, P&lt;0.001) were associated with aPWV, which was also statistically (P=0.002) but not clinically (&lt;0.1 m/s) higher among female individuals after correction for quadratic age and mean BP. Known differences in and associations of aPWV with sex, age, and BP category mirrored those previously established from reference-standard noninvasive techniques in nonroutine clinical settings.\nCONCLUSION: Data presented here represent initial reference values for cuff-based estimates of aPWV, which can now be obtained in routine clinical practice (e.g. primary care).","DOI":"10.1097/MBP.0000000000000066","ISSN":"1473-5725","note":"PMID: 25000541","journalAbbreviation":"Blood Press Monit","language":"eng","author":[{"family":"Nunan","given":"David"},{"family":"Fleming","given":"Susannah"},{"family":"Hametner","given":"Bernhard"},{"family":"Wassertheurer","given":"Siegfried"}],"issued":{"date-parts":[["2014",12]]},"PMID":"25000541"}}],"schema":"https://github.com/citation-style-language/schema/raw/master/csl-citation.json"} </w:instrText>
      </w:r>
      <w:r w:rsidRPr="00885D4B">
        <w:rPr>
          <w:lang w:val="en-US"/>
        </w:rPr>
        <w:fldChar w:fldCharType="separate"/>
      </w:r>
      <w:r w:rsidR="000A0E3F" w:rsidRPr="000A0E3F">
        <w:rPr>
          <w:rFonts w:cs="Times New Roman"/>
        </w:rPr>
        <w:t>[14]</w:t>
      </w:r>
      <w:r w:rsidRPr="00885D4B">
        <w:rPr>
          <w:lang w:val="en-US"/>
        </w:rPr>
        <w:fldChar w:fldCharType="end"/>
      </w:r>
      <w:r w:rsidRPr="00885D4B">
        <w:rPr>
          <w:lang w:val="en-US"/>
        </w:rPr>
        <w:t xml:space="preserve">. Peripheral and central blood pressure, pulse wave reflection as augmentation index and arterial stiffness are commonly used as independent predictors to assess the cardiovascular risk </w:t>
      </w:r>
      <w:r w:rsidRPr="00885D4B">
        <w:rPr>
          <w:lang w:val="en-US"/>
        </w:rPr>
        <w:fldChar w:fldCharType="begin"/>
      </w:r>
      <w:r w:rsidR="000A0E3F">
        <w:rPr>
          <w:lang w:val="en-US"/>
        </w:rPr>
        <w:instrText xml:space="preserve"> ADDIN ZOTERO_ITEM CSL_CITATION {"citationID":"2a1url2ejq","properties":{"formattedCitation":"[15]","plainCitation":"[15]"},"citationItems":[{"id":1638,"uris":["http://zotero.org/users/1770418/items/S4JPF88F"],"uri":["http://zotero.org/users/1770418/items/S4JPF88F"],"itemData":{"id":1638,"type":"article-journal","title":"The role of vascular biomarkers for primary and secondary prevention. A position paper from the European Society of Cardiology Working Group on peripheral circulation: Endorsed by the Association for Research into Arterial Structure and Physiology (ARTERY) Society","container-title":"Atherosclerosis","page":"507-532","volume":"241","issue":"2","source":"PubMed","abstract":"While risk scores are invaluable tools for adapted preventive strategies, a significant gap exists between predicted and actual event rates. Additional tools to further stratify the risk of patients at an individual level are biomarkers. A surrogate endpoint is a biomarker that is intended as a substitute for a clinical endpoint. In order to be considered as a surrogate endpoint of cardiovascular events, a biomarker should satisfy several criteria, such as proof of concept, prospective validation, incremental value, clinical utility, clinical outcomes, cost-effectiveness, ease of use, methodological consensus, and reference values. We scrutinized the role of peripheral (i.e. not related to coronary circulation) noninvasive vascular biomarkers for primary and secondary cardiovascular disease prevention. Most of the biomarkers examined fit within the concept of early vascular aging. Biomarkers that fulfill most of the criteria and, therefore, are close to being considered a clinical surrogate endpoint are carotid ultrasonography, ankle-brachial index and carotid-femoral pulse wave velocity; biomarkers that fulfill some, but not all of the criteria are brachial ankle pulse wave velocity, central haemodynamics/wave reflections and C-reactive protein; biomarkers that do no not at present fulfill essential criteria are flow-mediated dilation, endothelial peripheral arterial tonometry, oxidized LDL and dysfunctional HDL. Nevertheless, it is still unclear whether a specific vascular biomarker is overly superior. A prospective study in which all vascular biomarkers are measured is still lacking. In selected cases, the combined assessment of more than one biomarker may be required.","DOI":"10.1016/j.atherosclerosis.2015.05.007","ISSN":"1879-1484","note":"PMID: 26117398","shortTitle":"The role of vascular biomarkers for primary and secondary prevention. A position paper from the European Society of Cardiology Working Group on peripheral circulation","journalAbbreviation":"Atherosclerosis","language":"eng","author":[{"family":"Vlachopoulos","given":"Charalambos"},{"family":"Xaplanteris","given":"Panagiotis"},{"family":"Aboyans","given":"Victor"},{"family":"Brodmann","given":"Marianne"},{"family":"Cífková","given":"Renata"},{"family":"Cosentino","given":"Francesco"},{"family":"De Carlo","given":"Marco"},{"family":"Gallino","given":"Augusto"},{"family":"Landmesser","given":"Ulf"},{"family":"Laurent","given":"Stéphane"},{"family":"Lekakis","given":"John"},{"family":"Mikhailidis","given":"Dimitri P."},{"family":"Naka","given":"Katerina K."},{"family":"Protogerou","given":"Athanasios D."},{"family":"Rizzoni","given":"Damiano"},{"family":"Schmidt-Trucksäss","given":"Arno"},{"family":"Van Bortel","given":"Luc"},{"family":"Weber","given":"Thomas"},{"family":"Yamashina","given":"Akira"},{"family":"Zimlichman","given":"Reuven"},{"family":"Boutouyrie","given":"Pierre"},{"family":"Cockcroft","given":"John"},{"family":"O'Rourke","given":"Michael"},{"family":"Park","given":"Jeong Bae"},{"family":"Schillaci","given":"Giuseppe"},{"family":"Sillesen","given":"Henrik"},{"family":"Townsend","given":"Raymond R."}],"issued":{"date-parts":[["2015",8]]},"PMID":"26117398"}}],"schema":"https://github.com/citation-style-language/schema/raw/master/csl-citation.json"} </w:instrText>
      </w:r>
      <w:r w:rsidRPr="00885D4B">
        <w:rPr>
          <w:lang w:val="en-US"/>
        </w:rPr>
        <w:fldChar w:fldCharType="separate"/>
      </w:r>
      <w:r w:rsidR="000A0E3F" w:rsidRPr="000A0E3F">
        <w:rPr>
          <w:rFonts w:cs="Times New Roman"/>
        </w:rPr>
        <w:t>[15]</w:t>
      </w:r>
      <w:r w:rsidRPr="00885D4B">
        <w:rPr>
          <w:lang w:val="en-US"/>
        </w:rPr>
        <w:fldChar w:fldCharType="end"/>
      </w:r>
      <w:r w:rsidRPr="00885D4B">
        <w:rPr>
          <w:lang w:val="en-US"/>
        </w:rPr>
        <w:t xml:space="preserve">. These methods are valid and reliable ways to assess arterial stiffness, central blood pressure and pulse wave reflection in a Caucasian population </w:t>
      </w:r>
      <w:r w:rsidRPr="00885D4B">
        <w:rPr>
          <w:lang w:val="en-US"/>
        </w:rPr>
        <w:fldChar w:fldCharType="begin"/>
      </w:r>
      <w:r w:rsidR="000A0E3F">
        <w:rPr>
          <w:lang w:val="en-US"/>
        </w:rPr>
        <w:instrText xml:space="preserve"> ADDIN ZOTERO_ITEM CSL_CITATION {"citationID":"9mhd3icit","properties":{"formattedCitation":"[14,16]","plainCitation":"[14,16]"},"citationItems":[{"id":8368,"uris":["http://zotero.org/users/1770418/items/3CWC4KWR"],"uri":["http://zotero.org/users/1770418/items/3CWC4KWR"],"itemData":{"id":8368,"type":"article-journal","title":"Performance of pulse wave velocity measured using a brachial cuff in a community setting","container-title":"Blood Pressure Monitoring","page":"315-319","volume":"19","issue":"6","source":"PubMed","abstract":"BACKGROUND: We have previously reported that estimation of central blood pressure (BP) and augmentation using an automated oscillometric device are robust and feasible in a community setting. The same method has recently been validated for estimating aortic pulse wave velocity (aPWV) in laboratory settings, and its prognostic value has been confirmed in a prospective clinical trial.\nOBJECTIVE: The aim of this study was to assess the performance of aPWV estimates from an oscillometric device in a community-based setting.\nMETHODS: We assessed estimates of aPWV for compatibility with data from reference noninvasive techniques. Estimates of aPWV were obtained in a community setting from a general population of 1903 volunteers (age range 14-99 years). Values of aPWV were analyzed according to sex and each age decile from less than 30 years to greater than 80 years and for a subset of patients with a peripheral systolic BP of less than 140 mmHg (n=1064).\nRESULTS: We obtained valid measures of PWV from 1794 volunteers. Age (r=0.94, P&lt;0.001) and BP category (r=0.63, P&lt;0.001) were associated with aPWV, which was also statistically (P=0.002) but not clinically (&lt;0.1 m/s) higher among female individuals after correction for quadratic age and mean BP. Known differences in and associations of aPWV with sex, age, and BP category mirrored those previously established from reference-standard noninvasive techniques in nonroutine clinical settings.\nCONCLUSION: Data presented here represent initial reference values for cuff-based estimates of aPWV, which can now be obtained in routine clinical practice (e.g. primary care).","DOI":"10.1097/MBP.0000000000000066","ISSN":"1473-5725","note":"PMID: 25000541","journalAbbreviation":"Blood Press Monit","language":"eng","author":[{"family":"Nunan","given":"David"},{"family":"Fleming","given":"Susannah"},{"family":"Hametner","given":"Bernhard"},{"family":"Wassertheurer","given":"Siegfried"}],"issued":{"date-parts":[["2014",12]]},"PMID":"25000541"}},{"id":8366,"uris":["http://zotero.org/users/1770418/items/7C4H69AA"],"uri":["http://zotero.org/users/1770418/items/7C4H69AA"],"itemData":{"id":8366,"type":"article-journal","title":"Assessment of central haemomodynamics from a brachial cuff in a community setting","container-title":"BMC cardiovascular disorders","page":"48","volume":"12","source":"PubMed","abstract":"BACKGROUND: Large artery stiffening and wave reflections are independent predictors of adverse events. To date, their assessment has been limited to specialised techniques and settings. A new, more practical method allowing assessment of central blood pressure from waveforms recorded using a conventional automated oscillometric monitor has recently been validated in laboratory settings. However, the feasibility of this method in a community based setting has not been assessed.\nMETHODS: One-off peripheral and central haemodynamic (systolic and diastolic blood pressure (BP) and pulse pressure) and wave reflection parameters (augmentation pressure (AP) and index, AIx) were obtained from 1,903 volunteers in an Austrian community setting using a transfer-function like method (ARCSolver algorithm) and from waveforms recorded with a regular oscillometric cuff. We assessed these parameters for known differences and associations according to gender and age deciles from &lt;30 years to ≥80 years in the whole population and a subset with a systolic BP &lt; 140 mmHg.\nRESULTS: We obtained 1,793 measures of peripheral and central BP, PP and augmentation parameters. Age and gender associations with central haemodynamic and augmentation parameters reflected those previously established from reference standard non-invasive techniques under specialised settings. Findings were the same for patients with a systolic BP below 140 mmHg (i.e. normotensive). Lower values for AIx in the current study are possibly due to differences in sampling rates, detection frequency and/or averaging procedures and to lower numbers of volunteers in younger age groups.\nCONCLUSION: A novel transfer-function like algorithm, using brachial cuff-based waveform recordings, provides robust and feasible estimates of central systolic pressure and augmentation in community-based settings.","DOI":"10.1186/1471-2261-12-48","ISSN":"1471-2261","note":"PMID: 22734820\nPMCID: PMC3470940","journalAbbreviation":"BMC Cardiovasc Disord","language":"eng","author":[{"family":"Nunan","given":"David"},{"family":"Wassertheurer","given":"Siegfried"},{"family":"Lasserson","given":"Daniel"},{"family":"Hametner","given":"Bernhard"},{"family":"Fleming","given":"Susannah"},{"family":"Ward","given":"Alison"},{"family":"Heneghan","given":"Carl"}],"issued":{"date-parts":[["2012"]]},"PMID":"22734820","PMCID":"PMC3470940"}}],"schema":"https://github.com/citation-style-language/schema/raw/master/csl-citation.json"} </w:instrText>
      </w:r>
      <w:r w:rsidRPr="00885D4B">
        <w:rPr>
          <w:lang w:val="en-US"/>
        </w:rPr>
        <w:fldChar w:fldCharType="separate"/>
      </w:r>
      <w:r w:rsidR="000A0E3F" w:rsidRPr="000A0E3F">
        <w:rPr>
          <w:rFonts w:cs="Times New Roman"/>
        </w:rPr>
        <w:t>[14,16]</w:t>
      </w:r>
      <w:r w:rsidRPr="00885D4B">
        <w:rPr>
          <w:lang w:val="en-US"/>
        </w:rPr>
        <w:fldChar w:fldCharType="end"/>
      </w:r>
      <w:r w:rsidRPr="00885D4B">
        <w:rPr>
          <w:lang w:val="en-US"/>
        </w:rPr>
        <w:t>.</w:t>
      </w:r>
      <w:r w:rsidR="00DA43BC">
        <w:rPr>
          <w:lang w:val="en-US"/>
        </w:rPr>
        <w:br/>
      </w:r>
      <w:r w:rsidR="00DA43BC">
        <w:rPr>
          <w:lang w:val="en-US"/>
        </w:rPr>
        <w:br/>
      </w:r>
      <w:r w:rsidR="00DA43BC" w:rsidRPr="00DA43BC">
        <w:rPr>
          <w:u w:val="single"/>
          <w:lang w:val="en-US"/>
        </w:rPr>
        <w:t>Microvascular function</w:t>
      </w:r>
      <w:r w:rsidR="00DA43BC">
        <w:rPr>
          <w:lang w:val="en-US"/>
        </w:rPr>
        <w:br/>
      </w:r>
      <w:r w:rsidRPr="00885D4B">
        <w:rPr>
          <w:lang w:val="en-US"/>
        </w:rPr>
        <w:t xml:space="preserve">Microvascular function (retinal vessel diameters) is analyzed using the Retinal Vessel Analyzer (RVA, IMEDOS Systems, </w:t>
      </w:r>
      <w:proofErr w:type="gramStart"/>
      <w:r w:rsidRPr="00885D4B">
        <w:rPr>
          <w:lang w:val="en-US"/>
        </w:rPr>
        <w:t>Jena</w:t>
      </w:r>
      <w:proofErr w:type="gramEnd"/>
      <w:r w:rsidRPr="00885D4B">
        <w:rPr>
          <w:lang w:val="en-US"/>
        </w:rPr>
        <w:t xml:space="preserve">, Germany). Three valid images from the retina of the left and the right eye with an angle of 30° and with the optic disc in the center are taken per visit in order to analyze retinal vessel diameters as previously described </w:t>
      </w:r>
      <w:r w:rsidRPr="00885D4B">
        <w:rPr>
          <w:lang w:val="en-US"/>
        </w:rPr>
        <w:fldChar w:fldCharType="begin"/>
      </w:r>
      <w:r w:rsidR="000A0E3F">
        <w:rPr>
          <w:lang w:val="en-US"/>
        </w:rPr>
        <w:instrText xml:space="preserve"> ADDIN ZOTERO_ITEM CSL_CITATION {"citationID":"23g5k0fnvo","properties":{"formattedCitation":"[17]","plainCitation":"[17]"},"citationItems":[{"id":8370,"uris":["http://zotero.org/users/1770418/items/2M4CNREN"],"uri":["http://zotero.org/users/1770418/items/2M4CNREN"],"itemData":{"id":8370,"type":"article-journal","title":"Methods for evaluation of retinal microvascular abnormalities associated with hypertension/sclerosis in the Atherosclerosis Risk in Communities Study","container-title":"Ophthalmology","page":"2269-2280","volume":"106","issue":"12","source":"PubMed","abstract":"OBJECTIVE: To develop protocols to photograph and evaluate retinal vascular abnormalities in the Atherosclerosis Risk in Communities (ARIC) Study; to test reproducibility of the grading system; and to explore the relationship of these microvascular changes with blood pressure.\nDESIGN: Population-based, cross-sectional study.\nPARTICIPANTS: Among 4 examination centers, 11,114 participants (48-73 years of age) at their third triennial examination, after excluding persons with diabetes from this analysis.\nMETHODS: One eye of each participant was photographed by technicians with nonmydriatic fundus cameras. Reading center graders evaluated focal arteriolar narrowing, arteriovenous (AV) nicking, and retinopathy by examining slides on a light box and measured diameters of all vessels in a zone surrounding the optic disc on enhanced digitized images. To gauge generalized narrowing, vessel diameters were combined into central arteriolar and venular equivalents with formulas adjusting for branching, and the ratio of equivalents (A/V ratio) was calculated.\nMAIN OUTCOME MEASURES: Retinal vascular abnormalities, mean arteriolar blood pressure (MABP).\nRESULTS: Among 11,114 participants, photographs were obtained of 99%, with quality sufficient to perform retinal evaluations in 81%. In the 9040 subjects with usable photographs, A/V ratio (lower values indicate generalized arteriolar narrowing) ranged from 0.57 to 1.22 (median = 0.84, interquartile range = 0.10), focal arteriolar narrowing was found in 7%, AV nicking in 6%, and retinopathy in 4%. Because of attrition of subjects and limitation of methods, prevalence of abnormality was likely underestimated. Controlling for gender, race, age, and smoking status, these retinal changes were associated with higher blood pressure. For every 10-mmHg increase in MABP, A/V ratio decreased by 0.02 unit (P &lt; 0.0001), focal arteriolar narrowing had an odds ratio (OR) of 2.00 (95% confidence interval [CI] = 1.87-2.14), AV nicking had an OR of 1.25 (95% CI = 1.16-1.34), and retinopathy had an OR of 1.25 (95% CI = 1.15-1.37). For any degree of generalized narrowing, individuals with focal narrowing had MABP approximately 8 mmHg higher than those without (P &lt; 0.0001). Masked replicate assessment of a sample found the following reproducibility: for A/V ratio, correlation coefficient = 0.79 and median absolute difference = 0.03; for focal arteriolar narrowing, kappa = 0.45; for AV nicking, kappa = 0.61; and for retinopathy, kappa = 0.89.\nCONCLUSION: Protocols have been developed for nonmydriatic fundus photography and for evaluation of retinal vascular abnormalities. Several microvascular changes were significantly associated with higher blood pressure; follow-up will show whether these are predictive of later cerebrovascular or cardiovascular disease independently of other known risk factors.","ISSN":"0161-6420","note":"PMID: 10599656","journalAbbreviation":"Ophthalmology","language":"eng","author":[{"family":"Hubbard","given":"L. D."},{"family":"Brothers","given":"R. J."},{"family":"King","given":"W. N."},{"family":"Clegg","given":"L. X."},{"family":"Klein","given":"R."},{"family":"Cooper","given":"L. S."},{"family":"Sharrett","given":"A. R."},{"family":"Davis","given":"M. D."},{"family":"Cai","given":"J."}],"issued":{"date-parts":[["1999",12]]},"PMID":"10599656"}}],"schema":"https://github.com/citation-style-language/schema/raw/master/csl-citation.json"} </w:instrText>
      </w:r>
      <w:r w:rsidRPr="00885D4B">
        <w:rPr>
          <w:lang w:val="en-US"/>
        </w:rPr>
        <w:fldChar w:fldCharType="separate"/>
      </w:r>
      <w:r w:rsidR="000A0E3F" w:rsidRPr="000A0E3F">
        <w:rPr>
          <w:rFonts w:cs="Times New Roman"/>
        </w:rPr>
        <w:t>[17]</w:t>
      </w:r>
      <w:r w:rsidRPr="00885D4B">
        <w:rPr>
          <w:lang w:val="en-US"/>
        </w:rPr>
        <w:fldChar w:fldCharType="end"/>
      </w:r>
      <w:r w:rsidRPr="00885D4B">
        <w:rPr>
          <w:lang w:val="en-US"/>
        </w:rPr>
        <w:t xml:space="preserve"> and applied in a previous study </w:t>
      </w:r>
      <w:r w:rsidRPr="00885D4B">
        <w:rPr>
          <w:lang w:val="en-US"/>
        </w:rPr>
        <w:fldChar w:fldCharType="begin"/>
      </w:r>
      <w:r w:rsidR="000A0E3F">
        <w:rPr>
          <w:lang w:val="en-US"/>
        </w:rPr>
        <w:instrText xml:space="preserve"> ADDIN ZOTERO_ITEM CSL_CITATION {"citationID":"ibhjhs2cp","properties":{"formattedCitation":"[18]","plainCitation":"[18]"},"citationItems":[{"id":1610,"uris":["http://zotero.org/users/1770418/items/RQZPNMMD"],"uri":["http://zotero.org/users/1770418/items/RQZPNMMD"],"itemData":{"id":1610,"type":"article-journal","title":"Exercise-induced alterations of retinal vessel diameters and cardiovascular risk reduction in obesity","container-title":"Atherosclerosis","page":"433-439","volume":"216","issue":"2","source":"PubMed","abstract":"BACKGROUND: The retinal microcirculation is affected early in the process of atherosclerosis and retinal vessel caliber is an emerging cardiovascular risk factor. Obesity is associated with vascular dysfunction. Here, we investigate the effect of regular exercise on retinal vessel diameters in lean and obese runners. We analyze a possible link to alterations of the nitric oxide (NO)-asymmetric dimethylarginine (ADMA) pathway.\nMETHODS: Retinal vessel diameters were assessed by means of a static vessel analyzer (SVA-T) in 15 obese athletes (OA), 14 lean amateur athletes (AA) and 17 lean elite athletes (EA) following a 10 week training program. ADMA serum levels were detected by ELISA and dimethylarginine dimethylaminohydrolase (DDAH) -1/-2 mRNA-expression in peripheral mononuclear cells (PBMC) was analyzed by real time PCR.\nRESULTS: At baseline, the mean (±SD) arteriolar to venular diameter ratio (AVR) was impaired in obese (OA: 0.81±0.05) compared to lean subjects (AA: 0.87±0.07; EA: 0.94±0.05). The individual fitness levels correlated with AVR (rho=+0.66; P&lt;0.001) and the training program improved AVR in all groups (P&lt;0.001), normalising AVR in the obese (OA: 0.86±0.1). A training-induced arteriolar dilatation was found in OA (P=0.01), which was accompanied by a significant decrease of ADMA levels (0.56±0.12-0.46±0.12 μmoll(-1); P&lt;0.028). DDAH-1 mRNA levels in PBMC increased in all groups (P&lt;0.01).\nCONCLUSIONS: Cardiovascular fitness and body composition affect retinal vessel diameters. Regular exercise reverses the subclinical impairment of the retinal microvasculature in obesity by inducing retinal arteriolar dilatation. The NO/ADMA pathway may play a key role in the training-induced improvement of microvascular function, which has the potential to counteract progression of small vessel disease.","DOI":"10.1016/j.atherosclerosis.2011.02.009","ISSN":"1879-1484","note":"PMID: 21392768","journalAbbreviation":"Atherosclerosis","language":"eng","author":[{"family":"Hanssen","given":"H."},{"family":"Nickel","given":"T."},{"family":"Drexel","given":"V."},{"family":"Hertel","given":"G."},{"family":"Emslander","given":"I."},{"family":"Sisic","given":"Z."},{"family":"Lorang","given":"D."},{"family":"Schuster","given":"T."},{"family":"Kotliar","given":"K. E."},{"family":"Pressler","given":"A."},{"family":"Schmidt-Trucksäss","given":"A."},{"family":"Weis","given":"M."},{"family":"Halle","given":"M."}],"issued":{"date-parts":[["2011",6]]},"PMID":"21392768"}}],"schema":"https://github.com/citation-style-language/schema/raw/master/csl-citation.json"} </w:instrText>
      </w:r>
      <w:r w:rsidRPr="00885D4B">
        <w:rPr>
          <w:lang w:val="en-US"/>
        </w:rPr>
        <w:fldChar w:fldCharType="separate"/>
      </w:r>
      <w:r w:rsidR="000A0E3F" w:rsidRPr="000A0E3F">
        <w:rPr>
          <w:rFonts w:cs="Times New Roman"/>
          <w:lang w:val="en-US"/>
        </w:rPr>
        <w:t>[18]</w:t>
      </w:r>
      <w:r w:rsidRPr="00885D4B">
        <w:rPr>
          <w:lang w:val="en-US"/>
        </w:rPr>
        <w:fldChar w:fldCharType="end"/>
      </w:r>
      <w:r w:rsidRPr="00885D4B">
        <w:rPr>
          <w:lang w:val="en-US"/>
        </w:rPr>
        <w:t xml:space="preserve"> using a special analyzing software (Vesselmap 2, Visualis, Imedos Systems). Reliability of retinal vessel diameter analysis has been shown to be high, with inter-observer and intra-observer intraclass correlation coefficients for arteriolar and venular diameter measurements ranging from 0.78 to 0.99 </w:t>
      </w:r>
      <w:r w:rsidRPr="00885D4B">
        <w:rPr>
          <w:lang w:val="en-US"/>
        </w:rPr>
        <w:fldChar w:fldCharType="begin"/>
      </w:r>
      <w:r w:rsidR="000A0E3F">
        <w:rPr>
          <w:lang w:val="en-US"/>
        </w:rPr>
        <w:instrText xml:space="preserve"> ADDIN ZOTERO_ITEM CSL_CITATION {"citationID":"iihir85ku","properties":{"formattedCitation":"[17,19]","plainCitation":"[17,19]"},"citationItems":[{"id":8370,"uris":["http://zotero.org/users/1770418/items/2M4CNREN"],"uri":["http://zotero.org/users/1770418/items/2M4CNREN"],"itemData":{"id":8370,"type":"article-journal","title":"Methods for evaluation of retinal microvascular abnormalities associated with hypertension/sclerosis in the Atherosclerosis Risk in Communities Study","container-title":"Ophthalmology","page":"2269-2280","volume":"106","issue":"12","source":"PubMed","abstract":"OBJECTIVE: To develop protocols to photograph and evaluate retinal vascular abnormalities in the Atherosclerosis Risk in Communities (ARIC) Study; to test reproducibility of the grading system; and to explore the relationship of these microvascular changes with blood pressure.\nDESIGN: Population-based, cross-sectional study.\nPARTICIPANTS: Among 4 examination centers, 11,114 participants (48-73 years of age) at their third triennial examination, after excluding persons with diabetes from this analysis.\nMETHODS: One eye of each participant was photographed by technicians with nonmydriatic fundus cameras. Reading center graders evaluated focal arteriolar narrowing, arteriovenous (AV) nicking, and retinopathy by examining slides on a light box and measured diameters of all vessels in a zone surrounding the optic disc on enhanced digitized images. To gauge generalized narrowing, vessel diameters were combined into central arteriolar and venular equivalents with formulas adjusting for branching, and the ratio of equivalents (A/V ratio) was calculated.\nMAIN OUTCOME MEASURES: Retinal vascular abnormalities, mean arteriolar blood pressure (MABP).\nRESULTS: Among 11,114 participants, photographs were obtained of 99%, with quality sufficient to perform retinal evaluations in 81%. In the 9040 subjects with usable photographs, A/V ratio (lower values indicate generalized arteriolar narrowing) ranged from 0.57 to 1.22 (median = 0.84, interquartile range = 0.10), focal arteriolar narrowing was found in 7%, AV nicking in 6%, and retinopathy in 4%. Because of attrition of subjects and limitation of methods, prevalence of abnormality was likely underestimated. Controlling for gender, race, age, and smoking status, these retinal changes were associated with higher blood pressure. For every 10-mmHg increase in MABP, A/V ratio decreased by 0.02 unit (P &lt; 0.0001), focal arteriolar narrowing had an odds ratio (OR) of 2.00 (95% confidence interval [CI] = 1.87-2.14), AV nicking had an OR of 1.25 (95% CI = 1.16-1.34), and retinopathy had an OR of 1.25 (95% CI = 1.15-1.37). For any degree of generalized narrowing, individuals with focal narrowing had MABP approximately 8 mmHg higher than those without (P &lt; 0.0001). Masked replicate assessment of a sample found the following reproducibility: for A/V ratio, correlation coefficient = 0.79 and median absolute difference = 0.03; for focal arteriolar narrowing, kappa = 0.45; for AV nicking, kappa = 0.61; and for retinopathy, kappa = 0.89.\nCONCLUSION: Protocols have been developed for nonmydriatic fundus photography and for evaluation of retinal vascular abnormalities. Several microvascular changes were significantly associated with higher blood pressure; follow-up will show whether these are predictive of later cerebrovascular or cardiovascular disease independently of other known risk factors.","ISSN":"0161-6420","note":"PMID: 10599656","journalAbbreviation":"Ophthalmology","language":"eng","author":[{"family":"Hubbard","given":"L. D."},{"family":"Brothers","given":"R. J."},{"family":"King","given":"W. N."},{"family":"Clegg","given":"L. X."},{"family":"Klein","given":"R."},{"family":"Cooper","given":"L. S."},{"family":"Sharrett","given":"A. R."},{"family":"Davis","given":"M. D."},{"family":"Cai","given":"J."}],"issued":{"date-parts":[["1999",12]]},"PMID":"10599656"}},{"id":8374,"uris":["http://zotero.org/users/1770418/items/N37822M8"],"uri":["http://zotero.org/users/1770418/items/N37822M8"],"itemData":{"id":8374,"type":"article-journal","title":"Computer-assisted measurement of retinal vessel diameters in the Beaver Dam Eye Study: methodology, correlation between eyes, and effect of refractive errors","container-title":"Ophthalmology","page":"1183-1190","volume":"111","issue":"6","source":"PubMed","abstract":"OBJECTIVE: Narrowed retinal arterioles may independently predict cardiovascular disease. We describe a computer-assisted method to measure retinal vessel diameters from digitized fundus photographs in a large population, and examine the correlation of retinal vessel diameters between eyes and whether refractive errors affect these measurements.\nDESIGN AND POPULATION: Population-based, cross-sectional study in Beaver Dam, Wisconsin (n = 4926; age, 43-84 years).\nMETHODS: Retinal photographs were digitized, and all arterioles and venules located in an area 0.5 to 1 disc diameter from the optic disc were measured with the aid of computer software.\nMAIN OUTCOME MEASURES: Summary of retinal arteriolar and venular diameters, and the ratio of their diameters (arteriole:venule ratio [AVR]).\nRESULTS: Correlation between right and left eyes was substantial for retinal arteriolar diameters (Pearson correlation coefficient, rho = 0.71) and venular diameters (rho = 0.74), and moderate for the AVR (rho = 0.49). The inverse association of higher blood pressure and smaller retinal arteriolar diameters was similar using data from either one eye or two eyes; arteriolar diameters decreased by 4.1 microm (right eyes), 4.0 microm (left eyes), and 4.0 microm (mean of both eyes) with each 10-mmHg increase in mean arterial blood pressure. A myopic refraction was associated with smaller retinal vessel diameters; arteriolar diameters decreased by 2.8 microm and venular diameters by 3.3 microm with each -1.0-diopter shift towards myopia. However, the pattern and strength of the association of blood pressure and retinal vessel diameters were not altered by variations in refractive errors.\nCONCLUSIONS: There is good correlation of retinal vessel diameters between eyes. A myopic refraction is associated with smaller retinal vessel diameters. The association of retinal arteriolar diameters and blood pressure seems similar using data from either one eye or two eyes, and is minimally affected by refraction. These data suggest that measurement of retinal vessel diameters from one eye without regard to its refractive status may provide adequate information indicative of a person's retinal vessel caliber if information from two eyes and refraction is unavailable.","DOI":"10.1016/j.ophtha.2003.09.039","ISSN":"0161-6420","note":"PMID: 15177969","shortTitle":"Computer-assisted measurement of retinal vessel diameters in the Beaver Dam Eye Study","journalAbbreviation":"Ophthalmology","language":"eng","author":[{"family":"Wong","given":"Tien Yin"},{"family":"Knudtson","given":"Michael D."},{"family":"Klein","given":"Ronald"},{"family":"Klein","given":"Barbara E. K."},{"family":"Meuer","given":"Stacy M."},{"family":"Hubbard","given":"Larry D."}],"issued":{"date-parts":[["2004",6]]},"PMID":"15177969"}}],"schema":"https://github.com/citation-style-language/schema/raw/master/csl-citation.json"} </w:instrText>
      </w:r>
      <w:r w:rsidRPr="00885D4B">
        <w:rPr>
          <w:lang w:val="en-US"/>
        </w:rPr>
        <w:fldChar w:fldCharType="separate"/>
      </w:r>
      <w:r w:rsidR="000A0E3F" w:rsidRPr="009E7D1A">
        <w:rPr>
          <w:rFonts w:cs="Times New Roman"/>
          <w:lang w:val="en-US"/>
        </w:rPr>
        <w:t>[17,19]</w:t>
      </w:r>
      <w:r w:rsidRPr="00885D4B">
        <w:rPr>
          <w:lang w:val="en-US"/>
        </w:rPr>
        <w:fldChar w:fldCharType="end"/>
      </w:r>
      <w:r w:rsidRPr="00885D4B">
        <w:rPr>
          <w:lang w:val="en-US"/>
        </w:rPr>
        <w:t xml:space="preserve">. Retinal vessel diameter analysis has been used as a microvascular biomarker and independent predictor of cardiovascular risk and mortality </w:t>
      </w:r>
      <w:r w:rsidRPr="00885D4B">
        <w:rPr>
          <w:lang w:val="en-US"/>
        </w:rPr>
        <w:fldChar w:fldCharType="begin"/>
      </w:r>
      <w:r w:rsidR="000A0E3F">
        <w:rPr>
          <w:lang w:val="en-US"/>
        </w:rPr>
        <w:instrText xml:space="preserve"> ADDIN ZOTERO_ITEM CSL_CITATION {"citationID":"2l5mb9h87d","properties":{"formattedCitation":"{\\rtf [20\\uc0\\u8211{}22]}","plainCitation":"[20–22]"},"citationItems":[{"id":8376,"uris":["http://zotero.org/users/1770418/items/57U2DD34"],"uri":["http://zotero.org/users/1770418/items/57U2DD34"],"itemData":{"id":8376,"type":"article-journal","title":"Retinal arteriolar narrowing and risk of coronary heart disease in men and women. The Atherosclerosis Risk in Communities Study","container-title":"JAMA","page":"1153-1159","volume":"287","issue":"9","source":"PubMed","abstract":"CONTEXT: Microvascular processes have been hypothesized to play a greater role in the development of coronary heart disease (CHD) in women than in men; however, prospective clinical data are limited.\nOBJECTIVE: To examine the association between retinal arteriolar narrowing, a marker of microvascular damage from hypertension and inflammation, and incident CHD in healthy middle-aged women and men.\nDESIGN, SETTING, AND PARTICIPANTS: The Atherosclerosis Risk in Communities Study, an ongoing prospective, population-based cohort study in 4 US communities initiated in 1987-1989. Retinal photographs were taken in 9648 women and men aged 51 to 72 years without CHD at the third examination (1993-1995). To quantify retinal arteriolar narrowing, the photographs were digitized, individual arteriolar and venular diameters were measured, and a summary arteriole-to-venule ratio (AVR) was calculated.\nMAIN OUTCOME MEASURE: Risk of CHD associated with retinal arteriolar narrowing.\nRESULTS: During an average 3.5 years of follow-up, 84 women and 187 men experienced incident CHD events. In women, after controlling for mean arterial blood pressure averaged over the previous 6 years, diabetes, cigarette smoking, plasma lipid levels, and other risk factors, each SD decrease in the AVR was associated with an increased risk of any incident CHD (relative risk [RR], 1.37; 95% confidence interval [CI], 1.08-1.72) and of acute myocardial infarction (RR, 1.50; 95% CI, 1.10-2.04). In contrast, AVR was unrelated to any incident CHD in men (RR, 1.00; 95% CI, 0.84-1.18) or to acute myocardial infarction (RR, 1.08; 95% CI, 0.85-1.38).\nCONCLUSION: Retinal arteriolar narrowing is related to risk of CHD in women but not in men, supporting a more prominent microvascular role in the development of CHD in women than in men. Future work is needed to confirm these findings.","ISSN":"0098-7484","note":"PMID: 11879113","journalAbbreviation":"JAMA","language":"eng","author":[{"family":"Wong","given":"Tien Yin"},{"family":"Klein","given":"Ronald"},{"family":"Sharrett","given":"A. Richey"},{"family":"Duncan","given":"Bruce B."},{"family":"Couper","given":"David J."},{"family":"Tielsch","given":"James M."},{"family":"Klein","given":"Barbara E. K."},{"family":"Hubbard","given":"Larry D."}],"issued":{"date-parts":[["2002",3,6]]},"PMID":"11879113"}},{"id":8378,"uris":["http://zotero.org/users/1770418/items/PVUU5NWR"],"uri":["http://zotero.org/users/1770418/items/PVUU5NWR"],"itemData":{"id":8378,"type":"article-journal","title":"Retinal vessel diameters and risk of stroke: the Rotterdam Study","container-title":"Neurology","page":"1339-1343","volume":"66","issue":"9","source":"PubMed","abstract":"BACKGROUND: Retinal vessels may provide information on cerebral vascular pathology, because they share many features with cerebral vessels. A smaller ratio of the retinal arteriolar-to-venular diameters reportedly predicts the risk of stroke. It is unclear if this is due to arteriolar narrowing or venular dilation.\nOBJECTIVE: To investigate whether smaller arteriolar or larger venular diameters are related to the risk of stroke and cerebral infarction.\nMETHODS: This study was based on the prospective population-based Rotterdam Study and included 5,540 participants of 55 years or over, who had gradable fundus transparencies and were free of stroke at baseline (1990 to 1993). For each participant, retinal arteriolar and venular diameters were measured on digitized images of one eye. Follow-up for first-ever stroke was complete until January 1, 2002.\nRESULTS: After a mean follow-up of 8.5 years, 411 participants had a stroke, of whom 259 had cerebral infarction. Larger venular diameters were associated with an increased risk of stroke (hazard ratio [HR] adjusted for age and sex per SD increase: 1.12 [95% CI: 1.02 to 1.24]) and cerebral infarction (HR: 1.15 [95% CI: 1.02 to 1.29]). Smaller arteriolar diameters were neither related to the risk of stroke (HR per SD decrease: 1.02 [95% CI: 0.93 to 1.13]) nor to the risk of cerebral infarction (HR: 1.02 [95% CI: 0.90 to 1.15]). After additional adjustment for other cardiovascular risk factors, the results did not change.\nCONCLUSIONS: Larger retinal venular diameters are associated with an increased risk of stroke and cerebral infarction. The role of venules in cerebrovascular disease warrants further exploration.","DOI":"10.1212/01.wnl.0000210533.24338.ea","ISSN":"1526-632X","note":"PMID: 16682664","shortTitle":"Retinal vessel diameters and risk of stroke","journalAbbreviation":"Neurology","language":"eng","author":[{"family":"Ikram","given":"M. K."},{"family":"Jong","given":"F. J.","non-dropping-particle":"de"},{"family":"Bos","given":"M. J."},{"family":"Vingerling","given":"J. R."},{"family":"Hofman","given":"A."},{"family":"Koudstaal","given":"P. J."},{"family":"Jong","given":"P. T. V. M.","non-dropping-particle":"de"},{"family":"Breteler","given":"M. M. B."}],"issued":{"date-parts":[["2006",5,9]]},"PMID":"16682664"}},{"id":8380,"uris":["http://zotero.org/users/1770418/items/TVVCVTVU"],"uri":["http://zotero.org/users/1770418/items/TVVCVTVU"],"itemData":{"id":8380,"type":"article-journal","title":"Retinal vessel diameter and cardiovascular mortality: pooled data analysis from two older populations","container-title":"European Heart Journal","page":"1984-1992","volume":"28","issue":"16","source":"PubMed","abstract":"AIMS: The retinal microvasculature may reflect pre-clinical changes in the cerebral and coronary microcirculations. We assessed whether smaller retinal arterioles and larger venules predicted coronary heart disease (CHD)- and stroke-mortality.\nMETHODS AND RESULTS: We pooled data from the Beaver Dam Eye Study (n = 4926, aged 43-86) and the Blue Mountains Eye Study (n = 3654, aged 49-97). Retinal vessel diameters were measured from digitized retinal photographs. Change point models were used to assess and document the existence of threshold effects. We defined smaller arterioles as diameters within the narrowest quintile and larger venules as diameters within the widest quintile, with other quintiles as the reference. Of 8550 participants, 7494 (88%) with complete data were included, of whom 653 died from CHD and 299 from stroke over 10-12 years follow-up. After multivariable adjustment, each standard deviation (SD) increase in arteriolar diameter, or SD decrease in venular diameter, was not found to be significantly associated with either CHD-mortality or stroke-mortality. However, smaller arterioles [hazard ratio (HR) 1.34, 95% confidence interval (CI) 1.11-1.62] and larger venules (HR 1.24, CI 1.02-1.52), predicted increased risk of CHD-mortality. These associations were mainly evident among persons aged 43-69 (smaller arterioles: HR 1.70, CI 1.27-2.28; larger venules: HR 1.41, CI 1.06-1.89). Smaller arterioles (HR 1.64, CI 1.00-2.67) and larger venules (HR 1.53, CI 0.94-2.47) were also associated with an increased risk of stroke-mortality among persons aged 43-69.\nCONCLUSION: Retinal vessel diameter may predict risk of CHD and stroke deaths in middle-aged persons.","DOI":"10.1093/eurheartj/ehm221","ISSN":"0195-668X","note":"PMID: 17626032","shortTitle":"Retinal vessel diameter and cardiovascular mortality","journalAbbreviation":"Eur. Heart J.","language":"eng","author":[{"family":"Wang","given":"Jie Jin"},{"family":"Liew","given":"Gerald"},{"family":"Klein","given":"Ronald"},{"family":"Rochtchina","given":"Elena"},{"family":"Knudtson","given":"Michael D."},{"family":"Klein","given":"Barbara E. K."},{"family":"Wong","given":"Tien Yin"},{"family":"Burlutsky","given":"George"},{"family":"Mitchell","given":"Paul"}],"issued":{"date-parts":[["2007",8]]},"PMID":"17626032"}}],"schema":"https://github.com/citation-style-language/schema/raw/master/csl-citation.json"} </w:instrText>
      </w:r>
      <w:r w:rsidRPr="00885D4B">
        <w:rPr>
          <w:lang w:val="en-US"/>
        </w:rPr>
        <w:fldChar w:fldCharType="separate"/>
      </w:r>
      <w:r w:rsidR="000A0E3F" w:rsidRPr="009E7D1A">
        <w:rPr>
          <w:rFonts w:cs="Times New Roman"/>
          <w:szCs w:val="24"/>
          <w:lang w:val="en-US"/>
        </w:rPr>
        <w:t>[20–22]</w:t>
      </w:r>
      <w:r w:rsidRPr="00885D4B">
        <w:rPr>
          <w:lang w:val="en-US"/>
        </w:rPr>
        <w:fldChar w:fldCharType="end"/>
      </w:r>
      <w:r w:rsidRPr="00885D4B">
        <w:rPr>
          <w:lang w:val="en-US"/>
        </w:rPr>
        <w:t>.</w:t>
      </w:r>
      <w:r w:rsidR="00DA43BC">
        <w:rPr>
          <w:lang w:val="en-US"/>
        </w:rPr>
        <w:br/>
      </w:r>
      <w:r w:rsidR="00DA43BC">
        <w:rPr>
          <w:lang w:val="en-US"/>
        </w:rPr>
        <w:br/>
      </w:r>
      <w:r w:rsidR="00DA43BC" w:rsidRPr="00DA43BC">
        <w:rPr>
          <w:u w:val="single"/>
          <w:lang w:val="en-US"/>
        </w:rPr>
        <w:t>Health-related quality of life</w:t>
      </w:r>
      <w:r w:rsidR="00DA43BC">
        <w:rPr>
          <w:lang w:val="en-US"/>
        </w:rPr>
        <w:br/>
      </w:r>
      <w:r w:rsidRPr="00885D4B">
        <w:rPr>
          <w:lang w:val="en-US"/>
        </w:rPr>
        <w:t xml:space="preserve">Health-related quality of life (HRQOL) is assessed via the 36-Item Short Form Health Survey (SF-36). This patient-reported survey features a set of generic, coherent, and easily administered quality-of-life parameters, while its vitality scale specifically addresses fatigue measures </w:t>
      </w:r>
      <w:r w:rsidRPr="00885D4B">
        <w:rPr>
          <w:lang w:val="en-US"/>
        </w:rPr>
        <w:fldChar w:fldCharType="begin"/>
      </w:r>
      <w:r w:rsidR="000A0E3F">
        <w:rPr>
          <w:lang w:val="en-US"/>
        </w:rPr>
        <w:instrText xml:space="preserve"> ADDIN ZOTERO_ITEM CSL_CITATION {"citationID":"8fkrr0ujs","properties":{"formattedCitation":"[23]","plainCitation":"[23]"},"citationItems":[{"id":1076,"uris":["http://zotero.org/users/1770418/items/HINQBHNU"],"uri":["http://zotero.org/users/1770418/items/HINQBHNU"],"itemData":{"id":1076,"type":"book","title":"How to score version 2 of the SF-36 health survey: standars &amp; acute forms","publisher":"QualityMetric","number-of-pages":"238","source":"Google Books","ISBN":"978-1-891810-05-3","shortTitle":"How to score version 2 of the SF-36 health survey","language":"en","author":[{"family":"Ware","given":"John E."},{"family":"Kosinski","given":"Mark"},{"family":"Dewey","given":"James E."}],"issued":{"date-parts":[["2001"]]}}}],"schema":"https://github.com/citation-style-language/schema/raw/master/csl-citation.json"} </w:instrText>
      </w:r>
      <w:r w:rsidRPr="00885D4B">
        <w:rPr>
          <w:lang w:val="en-US"/>
        </w:rPr>
        <w:fldChar w:fldCharType="separate"/>
      </w:r>
      <w:r w:rsidR="000A0E3F" w:rsidRPr="000A0E3F">
        <w:rPr>
          <w:rFonts w:cs="Times New Roman"/>
          <w:lang w:val="en-US"/>
        </w:rPr>
        <w:t>[23]</w:t>
      </w:r>
      <w:r w:rsidRPr="00885D4B">
        <w:rPr>
          <w:lang w:val="en-US"/>
        </w:rPr>
        <w:fldChar w:fldCharType="end"/>
      </w:r>
      <w:r w:rsidRPr="00885D4B">
        <w:rPr>
          <w:lang w:val="en-US"/>
        </w:rPr>
        <w:t>.</w:t>
      </w:r>
      <w:r w:rsidR="00DA43BC">
        <w:rPr>
          <w:lang w:val="en-US"/>
        </w:rPr>
        <w:br/>
      </w:r>
      <w:r w:rsidR="00DA43BC">
        <w:rPr>
          <w:lang w:val="en-US"/>
        </w:rPr>
        <w:br/>
      </w:r>
      <w:r w:rsidR="00DA43BC" w:rsidRPr="00DA43BC">
        <w:rPr>
          <w:u w:val="single"/>
          <w:lang w:val="en-US"/>
        </w:rPr>
        <w:t>Fatigue</w:t>
      </w:r>
      <w:r w:rsidR="00DA43BC">
        <w:rPr>
          <w:lang w:val="en-US"/>
        </w:rPr>
        <w:br/>
      </w:r>
      <w:r w:rsidRPr="00885D4B">
        <w:rPr>
          <w:lang w:val="en-US"/>
        </w:rPr>
        <w:t xml:space="preserve">Fatigue is measured by use of the </w:t>
      </w:r>
      <w:r w:rsidRPr="0074628F">
        <w:rPr>
          <w:lang w:val="en-US"/>
        </w:rPr>
        <w:t>Functional Assessment of Chronic Illness Therapy</w:t>
      </w:r>
      <w:r>
        <w:rPr>
          <w:lang w:val="en-US"/>
        </w:rPr>
        <w:t xml:space="preserve"> (</w:t>
      </w:r>
      <w:r w:rsidRPr="00885D4B">
        <w:rPr>
          <w:color w:val="1A1718"/>
          <w:szCs w:val="20"/>
          <w:lang w:val="en-US"/>
        </w:rPr>
        <w:t>FACIT</w:t>
      </w:r>
      <w:r>
        <w:rPr>
          <w:color w:val="1A1718"/>
          <w:szCs w:val="20"/>
          <w:lang w:val="en-US"/>
        </w:rPr>
        <w:t xml:space="preserve">) </w:t>
      </w:r>
      <w:r w:rsidRPr="00885D4B">
        <w:rPr>
          <w:color w:val="1A1718"/>
          <w:szCs w:val="20"/>
          <w:lang w:val="en-US"/>
        </w:rPr>
        <w:t xml:space="preserve">Fatigue Scale. It </w:t>
      </w:r>
      <w:r w:rsidRPr="00885D4B">
        <w:rPr>
          <w:lang w:val="en-US"/>
        </w:rPr>
        <w:t>has demonstrated reliability and sensitivity to change in patients with a variety of chronic health conditions with a high test-retest reliability (intraclass correlation coefficient = 0.95) and a high internal validity (Cronbach</w:t>
      </w:r>
      <w:r>
        <w:rPr>
          <w:lang w:val="en-US"/>
        </w:rPr>
        <w:t>’</w:t>
      </w:r>
      <w:r w:rsidRPr="00885D4B">
        <w:rPr>
          <w:lang w:val="en-US"/>
        </w:rPr>
        <w:t xml:space="preserve">s alpha = 0.96) </w:t>
      </w:r>
      <w:r w:rsidRPr="00885D4B">
        <w:rPr>
          <w:lang w:val="en-US"/>
        </w:rPr>
        <w:fldChar w:fldCharType="begin"/>
      </w:r>
      <w:r w:rsidR="000A0E3F">
        <w:rPr>
          <w:lang w:val="en-US"/>
        </w:rPr>
        <w:instrText xml:space="preserve"> ADDIN ZOTERO_ITEM CSL_CITATION {"citationID":"dkfno0rmg","properties":{"formattedCitation":"[24]","plainCitation":"[24]"},"citationItems":[{"id":1178,"uris":["http://zotero.org/users/1770418/items/JBB3F2PF"],"uri":["http://zotero.org/users/1770418/items/JBB3F2PF"],"itemData":{"id":1178,"type":"article-journal","title":"Functional Assessment of Chronic Illness Therapy</w:instrText>
      </w:r>
      <w:r w:rsidR="000A0E3F">
        <w:rPr>
          <w:rFonts w:ascii="Cambria Math" w:hAnsi="Cambria Math" w:cs="Cambria Math"/>
          <w:lang w:val="en-US"/>
        </w:rPr>
        <w:instrText>‐</w:instrText>
      </w:r>
      <w:r w:rsidR="000A0E3F">
        <w:rPr>
          <w:lang w:val="en-US"/>
        </w:rPr>
        <w:instrText>Fatigue Scale is valid in patients with psoriatic arthritis","container-title":"Annals of the Rheumatic Diseases","page":"936-939","volume":"66","issue":"7","source":"PubMed Central","abstract":"Background\nFatigue is an important symptom in psoriatic arthritis (PsA).\n\nAim\nTo determine the reliability and validity of the Functional Assessment of Chronic Illness Therapy</w:instrText>
      </w:r>
      <w:r w:rsidR="000A0E3F">
        <w:rPr>
          <w:rFonts w:ascii="Cambria Math" w:hAnsi="Cambria Math" w:cs="Cambria Math"/>
          <w:lang w:val="en-US"/>
        </w:rPr>
        <w:instrText>‐</w:instrText>
      </w:r>
      <w:r w:rsidR="000A0E3F">
        <w:rPr>
          <w:lang w:val="en-US"/>
        </w:rPr>
        <w:instrText>Fatigue (FACIT fatigue) Scale in PsA.\n\nMethods\nConsecutive patients attending the PsA clinic were assessed with the FACIT fatigue Scale twice, 1</w:instrText>
      </w:r>
      <w:r w:rsidR="000A0E3F">
        <w:rPr>
          <w:rFonts w:cs="Times New Roman"/>
          <w:lang w:val="en-US"/>
        </w:rPr>
        <w:instrText> </w:instrText>
      </w:r>
      <w:r w:rsidR="000A0E3F">
        <w:rPr>
          <w:lang w:val="en-US"/>
        </w:rPr>
        <w:instrText xml:space="preserve">week apart. Patients were assessed clinically according to a standardised PsA clinic protocol. Internal consistency of the 13 items on the FACIT fatigue questionnaire was measured using Cronbach's α; test–retest reliability by the intraclass correlation coefficient (ICC), and validity by the correlation of the FACIT fatigue results with other fatigue measures and disease characteristics.\n\nResults\n135 patients (80 men and 55 women, mean (SD) age 52 (13) years, mean (SD) disease duration 17 (10) years) participated. The mean FACIT fatigue score was 35.8 (12.4). Cronbach's α was 0.96. Repeat questionnaires were returned by 54% of patients. No difference in disease characteristics was observed between those who did and did not return the questionnaires. The ICC for first and repeat FACIT fatigue scores was 0.95. The correlation between the FACIT fatigue and modified Fatigue Severity Score was −0.79 (95% CI −0.85 to −0.72). FACIT fatigue scores were lower in patients with overwhelming fatigue and fibromyalgia than in those without (p&lt;0.001). The FACIT fatigue was correlated with the actively inflamed joint count (−0.43, 95% CI −0.56 to −0.28, p&lt;0.001), but not with the clinically damaged joint count (−0.06, 95% CI −0.23 to 0.11, p = 0.51).\n\nConclusion\nThe FACIT fatigue results were reproducible, and correlated with other fatigue measures as well as with disease activity in patients with PsA. Therefore, the FACIT fatigue is a reliable and valid instrument to measure fatigue in PsA.","DOI":"10.1136/ard.2006.065763","ISSN":"0003-4967","note":"PMID: 17324972\nPMCID: PMC1955111","journalAbbreviation":"Ann Rheum Dis","author":[{"family":"Chandran","given":"Vinod"},{"family":"Bhella","given":"Sita"},{"family":"Schentag","given":"Catherine"},{"family":"Gladman","given":"Dafna D"}],"issued":{"date-parts":[["2007",7]]},"PMID":"17324972","PMCID":"PMC1955111"}}],"schema":"https://github.com/citation-style-language/schema/raw/master/csl-citation.json"} </w:instrText>
      </w:r>
      <w:r w:rsidRPr="00885D4B">
        <w:rPr>
          <w:lang w:val="en-US"/>
        </w:rPr>
        <w:fldChar w:fldCharType="separate"/>
      </w:r>
      <w:r w:rsidR="000A0E3F" w:rsidRPr="000A0E3F">
        <w:rPr>
          <w:rFonts w:cs="Times New Roman"/>
          <w:lang w:val="en-US"/>
        </w:rPr>
        <w:t>[24]</w:t>
      </w:r>
      <w:r w:rsidRPr="00885D4B">
        <w:rPr>
          <w:lang w:val="en-US"/>
        </w:rPr>
        <w:fldChar w:fldCharType="end"/>
      </w:r>
      <w:r w:rsidRPr="00885D4B">
        <w:rPr>
          <w:lang w:val="en-US"/>
        </w:rPr>
        <w:t>.</w:t>
      </w:r>
      <w:r w:rsidR="00DA43BC">
        <w:rPr>
          <w:lang w:val="en-US"/>
        </w:rPr>
        <w:br/>
      </w:r>
      <w:r w:rsidR="00DA43BC">
        <w:rPr>
          <w:lang w:val="en-US"/>
        </w:rPr>
        <w:br/>
      </w:r>
      <w:r w:rsidR="00DA43BC" w:rsidRPr="00DA43BC">
        <w:rPr>
          <w:u w:val="single"/>
          <w:lang w:val="en-US"/>
        </w:rPr>
        <w:lastRenderedPageBreak/>
        <w:t>Acceptance of intervention</w:t>
      </w:r>
      <w:r w:rsidR="00DA43BC">
        <w:rPr>
          <w:lang w:val="en-US"/>
        </w:rPr>
        <w:br/>
      </w:r>
      <w:r w:rsidRPr="00F92348">
        <w:rPr>
          <w:lang w:val="en-US"/>
        </w:rPr>
        <w:t xml:space="preserve">To evaluate the participants’ perceived acceptance of the MOBIGAME intervention, and to find possible correlations with adherence levels, an abridged version </w:t>
      </w:r>
      <w:r w:rsidRPr="00F92348">
        <w:rPr>
          <w:lang w:val="en-US"/>
        </w:rPr>
        <w:fldChar w:fldCharType="begin"/>
      </w:r>
      <w:r w:rsidR="000A0E3F">
        <w:rPr>
          <w:lang w:val="en-US"/>
        </w:rPr>
        <w:instrText xml:space="preserve"> ADDIN ZOTERO_ITEM CSL_CITATION {"citationID":"lirne94o8","properties":{"formattedCitation":"[25]","plainCitation":"[25]"},"citationItems":[{"id":8358,"uris":["http://zotero.org/users/1770418/items/IWQ9BG5B"],"uri":["http://zotero.org/users/1770418/items/IWQ9BG5B"],"itemData":{"id":8358,"type":"article-journal","title":"A questionnaire approach based on the technology acceptance model for mobile tracking in patient progress applications","container-title":"Journal of Computer Science","page":"763-770","volume":"9","issue":"6","source":"thescipub.com","abstract":"A QUESTIONNAIRE APPROACH BASED ON THE TECHNOLOGY ACCEPTANCE MODEL FOR MOBILE TRACKING ON PATIENT PROGRESS APPLICATIONS","DOI":"10.3844/jcssp.2013.763.770","ISSN":"1549-3636","language":"en","author":[{"family":"Abu-Dalbouh","given":"Hussain Mohammad"}],"issued":{"date-parts":[["2013",6,6]]}}}],"schema":"https://github.com/citation-style-language/schema/raw/master/csl-citation.json"} </w:instrText>
      </w:r>
      <w:r w:rsidRPr="00F92348">
        <w:rPr>
          <w:lang w:val="en-US"/>
        </w:rPr>
        <w:fldChar w:fldCharType="separate"/>
      </w:r>
      <w:r w:rsidR="000A0E3F" w:rsidRPr="000A0E3F">
        <w:rPr>
          <w:rFonts w:cs="Times New Roman"/>
          <w:lang w:val="en-US"/>
        </w:rPr>
        <w:t>[25]</w:t>
      </w:r>
      <w:r w:rsidRPr="00F92348">
        <w:rPr>
          <w:lang w:val="en-US"/>
        </w:rPr>
        <w:fldChar w:fldCharType="end"/>
      </w:r>
      <w:r w:rsidRPr="00F92348">
        <w:rPr>
          <w:lang w:val="en-US"/>
        </w:rPr>
        <w:t xml:space="preserve"> of the technology acceptance model (TAM) questionnaire is used in addition in the intervention group post intervention </w:t>
      </w:r>
      <w:r w:rsidRPr="00F92348">
        <w:rPr>
          <w:lang w:val="en-US"/>
        </w:rPr>
        <w:fldChar w:fldCharType="begin"/>
      </w:r>
      <w:r w:rsidR="000A0E3F">
        <w:rPr>
          <w:lang w:val="en-US"/>
        </w:rPr>
        <w:instrText xml:space="preserve"> ADDIN ZOTERO_ITEM CSL_CITATION {"citationID":"1hohh0so15","properties":{"formattedCitation":"[26]","plainCitation":"[26]"},"citationItems":[{"id":8340,"uris":["http://zotero.org/users/1770418/items/8Z9ES957"],"uri":["http://zotero.org/users/1770418/items/8Z9ES957"],"itemData":{"id":8340,"type":"article-journal","title":"Usability and Effects of an Exergame-Based Balance Training Program","container-title":"Games For Health Journal","page":"106-114","volume":"3","issue":"2","source":"PubMed Central","abstract":"Background: Post-stroke recovery benefits from structured, intense, challenging, and repetitive therapy. Exergames have emerged as promising to achieve sustained therapy practice and patient motivation. This study assessed the usability and effects of exergames on balance and gait., Subjects and Methods: Sixteen elderly participants were provided with the study intervention based on five newly developed exergames. The participants were required to attend 36 training sessions; lasting for 20 minutes each. Adherence, attrition and acceptance were assessed together with (1) Berg Balance Scale, (2) 7-m Timed Up and Go, (3) Short Physical Performance Battery, (4) force platform stance tests, and (5) gait analysis., Results: Thirteen participants completed the study (18.8 percent attrition), without missing a single training session (100 percent adherence). Participants showed high acceptance of the intervention. Only minor adaptations in the program were needed based on the users' feedback. No changes in center of pressure area during quiet stance on both stable and unstable surfaces and no changes of walking parameters were detected. Scores for the Berg Balance Scale (P=0.007; r=0.51), the 7-m Timed Up and Go (P=0.002; r=0.56), and the Short Physical Performance Battery (P=0.013; r=0.48) increased significantly with moderate to large effect sizes., Conclusion: Participants evaluated the usability of the virtual reality training intervention positively. Results indicate that the intervention improves gait- and balance-related physical performance measures in untrained elderly. The present results warrant a clinical explorative study investigating the usability and effectiveness of the exergame-based program in stroke patients.","DOI":"10.1089/g4h.2013.0093","ISSN":"2161-783X","note":"PMID: 24804155\nPMCID: PMC3996993","journalAbbreviation":"Games Health J","author":[{"family":"Wüest","given":"Seline"},{"family":"Borghese","given":"Nunzio Alberto"},{"family":"Pirovano","given":"Michele"},{"family":"Mainetti","given":"Renato"},{"family":"Langenberg","given":"Rolf","non-dropping-particle":"van de"},{"family":"Bruin","given":"Eling D.","non-dropping-particle":"de"}],"issued":{"date-parts":[["2014",4,1]]},"PMID":"24804155","PMCID":"PMC3996993"}}],"schema":"https://github.com/citation-style-language/schema/raw/master/csl-citation.json"} </w:instrText>
      </w:r>
      <w:r w:rsidRPr="00F92348">
        <w:rPr>
          <w:lang w:val="en-US"/>
        </w:rPr>
        <w:fldChar w:fldCharType="separate"/>
      </w:r>
      <w:r w:rsidR="000A0E3F" w:rsidRPr="009E7D1A">
        <w:rPr>
          <w:rFonts w:cs="Times New Roman"/>
          <w:lang w:val="en-US"/>
        </w:rPr>
        <w:t>[26]</w:t>
      </w:r>
      <w:r w:rsidRPr="00F92348">
        <w:rPr>
          <w:lang w:val="en-US"/>
        </w:rPr>
        <w:fldChar w:fldCharType="end"/>
      </w:r>
      <w:r w:rsidRPr="00F92348">
        <w:rPr>
          <w:lang w:val="en-US"/>
        </w:rPr>
        <w:t>.</w:t>
      </w:r>
      <w:r w:rsidR="00DA43BC">
        <w:rPr>
          <w:lang w:val="en-US"/>
        </w:rPr>
        <w:br/>
      </w:r>
      <w:r w:rsidR="00DA43BC">
        <w:rPr>
          <w:lang w:val="en-US"/>
        </w:rPr>
        <w:br/>
      </w:r>
      <w:r w:rsidR="00DA43BC" w:rsidRPr="0047799C">
        <w:rPr>
          <w:rStyle w:val="berschrift2Zchn"/>
          <w:lang w:val="en-US"/>
        </w:rPr>
        <w:t>R</w:t>
      </w:r>
      <w:r w:rsidRPr="0047799C">
        <w:rPr>
          <w:rStyle w:val="berschrift2Zchn"/>
          <w:lang w:val="en-US"/>
        </w:rPr>
        <w:t>eferences</w:t>
      </w:r>
    </w:p>
    <w:p w:rsidR="000A0E3F" w:rsidRPr="000A0E3F" w:rsidRDefault="00207F99" w:rsidP="000A0E3F">
      <w:pPr>
        <w:pStyle w:val="Literaturverzeichnis"/>
        <w:rPr>
          <w:lang w:val="en-US"/>
        </w:rPr>
      </w:pPr>
      <w:r>
        <w:rPr>
          <w:lang w:val="en-US"/>
        </w:rPr>
        <w:fldChar w:fldCharType="begin"/>
      </w:r>
      <w:r w:rsidR="0047799C">
        <w:rPr>
          <w:lang w:val="en-US"/>
        </w:rPr>
        <w:instrText xml:space="preserve"> ADDIN ZOTERO_BIBL {"custom":[]} CSL_BIBLIOGRAPHY </w:instrText>
      </w:r>
      <w:r>
        <w:rPr>
          <w:lang w:val="en-US"/>
        </w:rPr>
        <w:fldChar w:fldCharType="separate"/>
      </w:r>
      <w:r w:rsidR="000A0E3F" w:rsidRPr="000A0E3F">
        <w:rPr>
          <w:lang w:val="en-US"/>
        </w:rPr>
        <w:t xml:space="preserve">1. Choi J, Mogami T, Medalia A. Intrinsic Motivation Inventory: An Adapted Measure for Schizophrenia Research. Schizophr. Bull. 2010;36:966–76. </w:t>
      </w:r>
    </w:p>
    <w:p w:rsidR="000A0E3F" w:rsidRPr="000A0E3F" w:rsidRDefault="000A0E3F" w:rsidP="000A0E3F">
      <w:pPr>
        <w:pStyle w:val="Literaturverzeichnis"/>
        <w:rPr>
          <w:lang w:val="en-US"/>
        </w:rPr>
      </w:pPr>
      <w:r w:rsidRPr="000A0E3F">
        <w:rPr>
          <w:lang w:val="en-US"/>
        </w:rPr>
        <w:t xml:space="preserve">2. Lyons EJ, Tate DF, Ward DS, Ribisl KM, Bowling JM, Kalyanaraman S. Do motion controllers make action video games less dedentary? A randomized experiment. J Obes. 2012;2012:e852147. </w:t>
      </w:r>
    </w:p>
    <w:p w:rsidR="000A0E3F" w:rsidRPr="000A0E3F" w:rsidRDefault="000A0E3F" w:rsidP="000A0E3F">
      <w:pPr>
        <w:pStyle w:val="Literaturverzeichnis"/>
        <w:rPr>
          <w:lang w:val="en-US"/>
        </w:rPr>
      </w:pPr>
      <w:r w:rsidRPr="000A0E3F">
        <w:rPr>
          <w:lang w:val="en-US"/>
        </w:rPr>
        <w:t xml:space="preserve">3. Ijsselsteijn WA, de Kort YAW, Westerink J, de Jager M, Bonants R. Virtual Fitness: Stimulating Exercise Behavior Through Media Technology. Presence Teleoper Virtual Env. 2006;15:688–698. </w:t>
      </w:r>
    </w:p>
    <w:p w:rsidR="000A0E3F" w:rsidRPr="000A0E3F" w:rsidRDefault="000A0E3F" w:rsidP="000A0E3F">
      <w:pPr>
        <w:pStyle w:val="Literaturverzeichnis"/>
        <w:rPr>
          <w:lang w:val="en-US"/>
        </w:rPr>
      </w:pPr>
      <w:r w:rsidRPr="000A0E3F">
        <w:rPr>
          <w:lang w:val="en-US"/>
        </w:rPr>
        <w:t xml:space="preserve">4. Lyons EJ, Tate DF, Komoski SE, Carr PM, Ward DS. Novel approaches to obesity prevention: effects of game enjoyment and game type on energy expenditure in active video games. J Diabetes Sci Technol. 2012;6:839–48. </w:t>
      </w:r>
    </w:p>
    <w:p w:rsidR="000A0E3F" w:rsidRPr="000A0E3F" w:rsidRDefault="000A0E3F" w:rsidP="000A0E3F">
      <w:pPr>
        <w:pStyle w:val="Literaturverzeichnis"/>
        <w:rPr>
          <w:lang w:val="en-US"/>
        </w:rPr>
      </w:pPr>
      <w:r w:rsidRPr="000A0E3F">
        <w:rPr>
          <w:lang w:val="en-US"/>
        </w:rPr>
        <w:t xml:space="preserve">5. Lyons EJ, Tate DF, Ward DS, Bowling JM, Ribisl KM, Kalyararaman S. Energy expenditure and enjoyment during video game play: differences by game type. Med Sci Sports Exerc. 2011;43:1987–93. </w:t>
      </w:r>
    </w:p>
    <w:p w:rsidR="000A0E3F" w:rsidRPr="000A0E3F" w:rsidRDefault="000A0E3F" w:rsidP="000A0E3F">
      <w:pPr>
        <w:pStyle w:val="Literaturverzeichnis"/>
        <w:rPr>
          <w:lang w:val="en-US"/>
        </w:rPr>
      </w:pPr>
      <w:r w:rsidRPr="000A0E3F">
        <w:rPr>
          <w:lang w:val="en-US"/>
        </w:rPr>
        <w:t xml:space="preserve">6. Lyons EJ, Tate DF, Ward DS, Ribisl KM, Bowling JM, Kalyanaraman S. Engagement, enjoyment, and energy expenditure during active video game play. Health Psychol. 2014;33:174–81. </w:t>
      </w:r>
    </w:p>
    <w:p w:rsidR="000A0E3F" w:rsidRPr="000A0E3F" w:rsidRDefault="000A0E3F" w:rsidP="000A0E3F">
      <w:pPr>
        <w:pStyle w:val="Literaturverzeichnis"/>
        <w:rPr>
          <w:lang w:val="en-US"/>
        </w:rPr>
      </w:pPr>
      <w:r w:rsidRPr="000A0E3F">
        <w:rPr>
          <w:lang w:val="en-US"/>
        </w:rPr>
        <w:t xml:space="preserve">7. Borg GA. Psychophysical bases of perceived exertion. Med Sci Sports Exerc. 1982;14:377–81. </w:t>
      </w:r>
    </w:p>
    <w:p w:rsidR="000A0E3F" w:rsidRPr="000A0E3F" w:rsidRDefault="000A0E3F" w:rsidP="000A0E3F">
      <w:pPr>
        <w:pStyle w:val="Literaturverzeichnis"/>
        <w:rPr>
          <w:lang w:val="en-US"/>
        </w:rPr>
      </w:pPr>
      <w:r w:rsidRPr="000A0E3F">
        <w:rPr>
          <w:lang w:val="en-US"/>
        </w:rPr>
        <w:t xml:space="preserve">8. Latiri I, Elbey R, Hcini K, Zaoui A, Charfeddine B, Maarouf MR, et al. Six-minute walk test in non-insulin-dependent diabetes mellitus patients living in Northwest Africa. Diabetes Metab. Syndr. Obes. Targets Ther. 2012;5:227–45. </w:t>
      </w:r>
    </w:p>
    <w:p w:rsidR="000A0E3F" w:rsidRPr="000A0E3F" w:rsidRDefault="000A0E3F" w:rsidP="000A0E3F">
      <w:pPr>
        <w:pStyle w:val="Literaturverzeichnis"/>
        <w:rPr>
          <w:lang w:val="en-US"/>
        </w:rPr>
      </w:pPr>
      <w:r w:rsidRPr="000A0E3F">
        <w:rPr>
          <w:lang w:val="en-US"/>
        </w:rPr>
        <w:t xml:space="preserve">9. Strassmann A, Steurer-Stey C, Lana KD, Zoller M, Turk AJ, Suter P, et al. Population-based reference values for the 1-min sit-to-stand test. Int. J. Public Health. 2013;58:949–53. </w:t>
      </w:r>
    </w:p>
    <w:p w:rsidR="000A0E3F" w:rsidRPr="000A0E3F" w:rsidRDefault="000A0E3F" w:rsidP="000A0E3F">
      <w:pPr>
        <w:pStyle w:val="Literaturverzeichnis"/>
        <w:rPr>
          <w:lang w:val="en-US"/>
        </w:rPr>
      </w:pPr>
      <w:r w:rsidRPr="000A0E3F">
        <w:rPr>
          <w:lang w:val="en-US"/>
        </w:rPr>
        <w:t xml:space="preserve">10. Donath L, Faude O, Roth R, Zahner L. Effects of stair-climbing on balance, gait, strength, resting heart rate, and submaximal endurance in healthy seniors. Scand. J. Med. Sci. Sports. 2014;24:e93–101. </w:t>
      </w:r>
    </w:p>
    <w:p w:rsidR="000A0E3F" w:rsidRPr="000A0E3F" w:rsidRDefault="000A0E3F" w:rsidP="000A0E3F">
      <w:pPr>
        <w:pStyle w:val="Literaturverzeichnis"/>
        <w:rPr>
          <w:lang w:val="en-US"/>
        </w:rPr>
      </w:pPr>
      <w:r w:rsidRPr="000A0E3F">
        <w:rPr>
          <w:lang w:val="en-US"/>
        </w:rPr>
        <w:t xml:space="preserve">11. Park SW, Goodpaster BH, Lee JS, Kuller LH, Boudreau R, de Rekeneire N, et al. Excessive loss of skeletal muscle mass in older adults with type 2 diabetes. Diabetes Care. 2009;32:1993–7. </w:t>
      </w:r>
    </w:p>
    <w:p w:rsidR="000A0E3F" w:rsidRPr="000A0E3F" w:rsidRDefault="000A0E3F" w:rsidP="000A0E3F">
      <w:pPr>
        <w:pStyle w:val="Literaturverzeichnis"/>
        <w:rPr>
          <w:lang w:val="en-US"/>
        </w:rPr>
      </w:pPr>
      <w:r w:rsidRPr="000A0E3F">
        <w:rPr>
          <w:lang w:val="en-US"/>
        </w:rPr>
        <w:t xml:space="preserve">12. Fritschi C, Quinn L. Fatigue in Patients with Diabetes: A Review. J. Psychosom. Res. 2010;69:33–41. </w:t>
      </w:r>
    </w:p>
    <w:p w:rsidR="000A0E3F" w:rsidRPr="000A0E3F" w:rsidRDefault="000A0E3F" w:rsidP="000A0E3F">
      <w:pPr>
        <w:pStyle w:val="Literaturverzeichnis"/>
        <w:rPr>
          <w:lang w:val="en-US"/>
        </w:rPr>
      </w:pPr>
      <w:r w:rsidRPr="000A0E3F">
        <w:rPr>
          <w:lang w:val="en-US"/>
        </w:rPr>
        <w:t xml:space="preserve">13. Stover JC, Skelly AH, Holditch-Davis D, Dunn PF. Perceptions of health and their relationship to symptoms in African American women with type 2 diabetes. Appl. Nurs. Res. ANR. 2001;14:72–80. </w:t>
      </w:r>
    </w:p>
    <w:p w:rsidR="000A0E3F" w:rsidRPr="000A0E3F" w:rsidRDefault="000A0E3F" w:rsidP="000A0E3F">
      <w:pPr>
        <w:pStyle w:val="Literaturverzeichnis"/>
        <w:rPr>
          <w:lang w:val="en-US"/>
        </w:rPr>
      </w:pPr>
      <w:r w:rsidRPr="000A0E3F">
        <w:rPr>
          <w:lang w:val="en-US"/>
        </w:rPr>
        <w:lastRenderedPageBreak/>
        <w:t xml:space="preserve">14. Nunan D, Fleming S, Hametner B, Wassertheurer S. Performance of pulse wave velocity measured using a brachial cuff in a community setting. Blood Press. Monit. 2014;19:315–9. </w:t>
      </w:r>
    </w:p>
    <w:p w:rsidR="000A0E3F" w:rsidRPr="000A0E3F" w:rsidRDefault="000A0E3F" w:rsidP="000A0E3F">
      <w:pPr>
        <w:pStyle w:val="Literaturverzeichnis"/>
        <w:rPr>
          <w:lang w:val="en-US"/>
        </w:rPr>
      </w:pPr>
      <w:r w:rsidRPr="000A0E3F">
        <w:rPr>
          <w:lang w:val="en-US"/>
        </w:rPr>
        <w:t xml:space="preserve">15. Vlachopoulos C, Xaplanteris P, Aboyans V, Brodmann M, Cífková R, Cosentino F, et al. The role of vascular biomarkers for primary and secondary prevention. A position paper from the European Society of Cardiology Working Group on peripheral circulation: Endorsed by the Association for Research into Arterial Structure and Physiology (ARTERY) Society. Atherosclerosis. 2015;241:507–32. </w:t>
      </w:r>
    </w:p>
    <w:p w:rsidR="000A0E3F" w:rsidRPr="000A0E3F" w:rsidRDefault="000A0E3F" w:rsidP="000A0E3F">
      <w:pPr>
        <w:pStyle w:val="Literaturverzeichnis"/>
        <w:rPr>
          <w:lang w:val="en-US"/>
        </w:rPr>
      </w:pPr>
      <w:r w:rsidRPr="000A0E3F">
        <w:rPr>
          <w:lang w:val="en-US"/>
        </w:rPr>
        <w:t xml:space="preserve">16. Nunan D, Wassertheurer S, Lasserson D, Hametner B, Fleming S, Ward A, et al. Assessment of central haemomodynamics from a brachial cuff in a community setting. BMC Cardiovasc. Disord. 2012;12:48. </w:t>
      </w:r>
    </w:p>
    <w:p w:rsidR="000A0E3F" w:rsidRPr="000A0E3F" w:rsidRDefault="000A0E3F" w:rsidP="000A0E3F">
      <w:pPr>
        <w:pStyle w:val="Literaturverzeichnis"/>
      </w:pPr>
      <w:r w:rsidRPr="000A0E3F">
        <w:rPr>
          <w:lang w:val="en-US"/>
        </w:rPr>
        <w:t xml:space="preserve">17. Hubbard LD, Brothers RJ, King WN, Clegg LX, Klein R, Cooper LS, et al. Methods for evaluation of retinal microvascular abnormalities associated with hypertension/sclerosis in the Atherosclerosis Risk in Communities Study. </w:t>
      </w:r>
      <w:r w:rsidRPr="000A0E3F">
        <w:t xml:space="preserve">Ophthalmology. 1999;106:2269–80. </w:t>
      </w:r>
    </w:p>
    <w:p w:rsidR="000A0E3F" w:rsidRPr="000A0E3F" w:rsidRDefault="000A0E3F" w:rsidP="000A0E3F">
      <w:pPr>
        <w:pStyle w:val="Literaturverzeichnis"/>
        <w:rPr>
          <w:lang w:val="en-US"/>
        </w:rPr>
      </w:pPr>
      <w:r w:rsidRPr="000A0E3F">
        <w:t xml:space="preserve">18. Hanssen H, Nickel T, Drexel V, Hertel G, Emslander I, Sisic Z, et al. </w:t>
      </w:r>
      <w:r w:rsidRPr="000A0E3F">
        <w:rPr>
          <w:lang w:val="en-US"/>
        </w:rPr>
        <w:t xml:space="preserve">Exercise-induced alterations of retinal vessel diameters and cardiovascular risk reduction in obesity. Atherosclerosis. 2011;216:433–9. </w:t>
      </w:r>
    </w:p>
    <w:p w:rsidR="000A0E3F" w:rsidRPr="000A0E3F" w:rsidRDefault="000A0E3F" w:rsidP="000A0E3F">
      <w:pPr>
        <w:pStyle w:val="Literaturverzeichnis"/>
        <w:rPr>
          <w:lang w:val="en-US"/>
        </w:rPr>
      </w:pPr>
      <w:r w:rsidRPr="000A0E3F">
        <w:rPr>
          <w:lang w:val="en-US"/>
        </w:rPr>
        <w:t xml:space="preserve">19. Wong TY, Knudtson MD, Klein R, Klein BEK, Meuer SM, Hubbard LD. Computer-assisted measurement of retinal vessel diameters in the Beaver Dam Eye Study: methodology, correlation between eyes, and effect of refractive errors. Ophthalmology. 2004;111:1183–90. </w:t>
      </w:r>
    </w:p>
    <w:p w:rsidR="000A0E3F" w:rsidRPr="000A0E3F" w:rsidRDefault="000A0E3F" w:rsidP="000A0E3F">
      <w:pPr>
        <w:pStyle w:val="Literaturverzeichnis"/>
        <w:rPr>
          <w:lang w:val="en-US"/>
        </w:rPr>
      </w:pPr>
      <w:r w:rsidRPr="000A0E3F">
        <w:rPr>
          <w:lang w:val="en-US"/>
        </w:rPr>
        <w:t xml:space="preserve">20. Wong TY, Klein R, Sharrett AR, Duncan BB, Couper DJ, Tielsch JM, et al. Retinal arteriolar narrowing and risk of coronary heart disease in men and women. The Atherosclerosis Risk in Communities Study. JAMA. 2002;287:1153–9. </w:t>
      </w:r>
    </w:p>
    <w:p w:rsidR="000A0E3F" w:rsidRPr="000A0E3F" w:rsidRDefault="000A0E3F" w:rsidP="000A0E3F">
      <w:pPr>
        <w:pStyle w:val="Literaturverzeichnis"/>
      </w:pPr>
      <w:r w:rsidRPr="000A0E3F">
        <w:rPr>
          <w:lang w:val="en-US"/>
        </w:rPr>
        <w:t xml:space="preserve">21. Ikram MK, de Jong FJ, Bos MJ, Vingerling JR, Hofman A, Koudstaal PJ, et al. Retinal vessel diameters and risk of stroke: the Rotterdam Study. </w:t>
      </w:r>
      <w:r w:rsidRPr="000A0E3F">
        <w:t xml:space="preserve">Neurology. 2006;66:1339–43. </w:t>
      </w:r>
    </w:p>
    <w:p w:rsidR="000A0E3F" w:rsidRPr="000A0E3F" w:rsidRDefault="000A0E3F" w:rsidP="000A0E3F">
      <w:pPr>
        <w:pStyle w:val="Literaturverzeichnis"/>
        <w:rPr>
          <w:lang w:val="en-US"/>
        </w:rPr>
      </w:pPr>
      <w:r w:rsidRPr="000A0E3F">
        <w:t xml:space="preserve">22. Wang JJ, Liew G, Klein R, Rochtchina E, Knudtson MD, Klein BEK, et al. </w:t>
      </w:r>
      <w:r w:rsidRPr="000A0E3F">
        <w:rPr>
          <w:lang w:val="en-US"/>
        </w:rPr>
        <w:t xml:space="preserve">Retinal vessel diameter and cardiovascular mortality: pooled data analysis from two older populations. Eur. Heart J. 2007;28:1984–92. </w:t>
      </w:r>
    </w:p>
    <w:p w:rsidR="000A0E3F" w:rsidRPr="000A0E3F" w:rsidRDefault="000A0E3F" w:rsidP="000A0E3F">
      <w:pPr>
        <w:pStyle w:val="Literaturverzeichnis"/>
        <w:rPr>
          <w:lang w:val="en-US"/>
        </w:rPr>
      </w:pPr>
      <w:r w:rsidRPr="000A0E3F">
        <w:rPr>
          <w:lang w:val="en-US"/>
        </w:rPr>
        <w:t xml:space="preserve">23. Ware JE, Kosinski M, Dewey JE. How to score version 2 of the SF-36 health survey: standars &amp; acute forms. QualityMetric; 2001. </w:t>
      </w:r>
    </w:p>
    <w:p w:rsidR="000A0E3F" w:rsidRPr="000A0E3F" w:rsidRDefault="000A0E3F" w:rsidP="000A0E3F">
      <w:pPr>
        <w:pStyle w:val="Literaturverzeichnis"/>
        <w:rPr>
          <w:lang w:val="en-US"/>
        </w:rPr>
      </w:pPr>
      <w:r w:rsidRPr="000A0E3F">
        <w:rPr>
          <w:lang w:val="en-US"/>
        </w:rPr>
        <w:t>24. Chandran V, Bhella S, Schentag C, Gladman DD. Functional Assessment of Chronic Illness Therapy</w:t>
      </w:r>
      <w:r w:rsidRPr="000A0E3F">
        <w:rPr>
          <w:rFonts w:ascii="Cambria Math" w:hAnsi="Cambria Math" w:cs="Cambria Math"/>
          <w:lang w:val="en-US"/>
        </w:rPr>
        <w:t>‐</w:t>
      </w:r>
      <w:r w:rsidRPr="000A0E3F">
        <w:rPr>
          <w:lang w:val="en-US"/>
        </w:rPr>
        <w:t xml:space="preserve">Fatigue Scale is valid in patients with psoriatic arthritis. Ann. Rheum. Dis. 2007;66:936–9. </w:t>
      </w:r>
    </w:p>
    <w:p w:rsidR="000A0E3F" w:rsidRPr="000A0E3F" w:rsidRDefault="000A0E3F" w:rsidP="000A0E3F">
      <w:pPr>
        <w:pStyle w:val="Literaturverzeichnis"/>
        <w:rPr>
          <w:lang w:val="en-US"/>
        </w:rPr>
      </w:pPr>
      <w:r w:rsidRPr="000A0E3F">
        <w:rPr>
          <w:lang w:val="en-US"/>
        </w:rPr>
        <w:t xml:space="preserve">25. Abu-Dalbouh HM. A questionnaire approach based on the technology acceptance model for mobile tracking in patient progress applications. J. Comput. Sci. 2013;9:763–70. </w:t>
      </w:r>
    </w:p>
    <w:p w:rsidR="008524E4" w:rsidRPr="00207F99" w:rsidRDefault="000A0E3F" w:rsidP="000A0E3F">
      <w:pPr>
        <w:pStyle w:val="Literaturverzeichnis"/>
        <w:rPr>
          <w:lang w:val="en-US"/>
        </w:rPr>
      </w:pPr>
      <w:r w:rsidRPr="000A0E3F">
        <w:rPr>
          <w:lang w:val="en-US"/>
        </w:rPr>
        <w:t xml:space="preserve">26. Wüest S, Borghese NA, Pirovano M, Mainetti R, van de Langenberg R, de Bruin ED. Usability and Effects of an Exergame-Based Balance Training Program. </w:t>
      </w:r>
      <w:r w:rsidRPr="000A0E3F">
        <w:t xml:space="preserve">Games Health J. 2014;3:106–14. </w:t>
      </w:r>
      <w:r w:rsidR="00207F99">
        <w:rPr>
          <w:lang w:val="en-US"/>
        </w:rPr>
        <w:fldChar w:fldCharType="end"/>
      </w:r>
    </w:p>
    <w:sectPr w:rsidR="008524E4" w:rsidRPr="00207F99" w:rsidSect="00207F99">
      <w:pgSz w:w="11906" w:h="16838"/>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450A5B"/>
    <w:multiLevelType w:val="hybridMultilevel"/>
    <w:tmpl w:val="943A08AC"/>
    <w:lvl w:ilvl="0" w:tplc="08070005">
      <w:start w:val="1"/>
      <w:numFmt w:val="bullet"/>
      <w:lvlText w:val=""/>
      <w:lvlJc w:val="left"/>
      <w:pPr>
        <w:ind w:left="780" w:hanging="360"/>
      </w:pPr>
      <w:rPr>
        <w:rFonts w:ascii="Wingdings" w:hAnsi="Wingdings" w:hint="default"/>
      </w:rPr>
    </w:lvl>
    <w:lvl w:ilvl="1" w:tplc="08070003" w:tentative="1">
      <w:start w:val="1"/>
      <w:numFmt w:val="bullet"/>
      <w:lvlText w:val="o"/>
      <w:lvlJc w:val="left"/>
      <w:pPr>
        <w:ind w:left="1500" w:hanging="360"/>
      </w:pPr>
      <w:rPr>
        <w:rFonts w:ascii="Courier New" w:hAnsi="Courier New" w:cs="Courier New" w:hint="default"/>
      </w:rPr>
    </w:lvl>
    <w:lvl w:ilvl="2" w:tplc="08070005" w:tentative="1">
      <w:start w:val="1"/>
      <w:numFmt w:val="bullet"/>
      <w:lvlText w:val=""/>
      <w:lvlJc w:val="left"/>
      <w:pPr>
        <w:ind w:left="2220" w:hanging="360"/>
      </w:pPr>
      <w:rPr>
        <w:rFonts w:ascii="Wingdings" w:hAnsi="Wingdings" w:hint="default"/>
      </w:rPr>
    </w:lvl>
    <w:lvl w:ilvl="3" w:tplc="08070001" w:tentative="1">
      <w:start w:val="1"/>
      <w:numFmt w:val="bullet"/>
      <w:lvlText w:val=""/>
      <w:lvlJc w:val="left"/>
      <w:pPr>
        <w:ind w:left="2940" w:hanging="360"/>
      </w:pPr>
      <w:rPr>
        <w:rFonts w:ascii="Symbol" w:hAnsi="Symbol" w:hint="default"/>
      </w:rPr>
    </w:lvl>
    <w:lvl w:ilvl="4" w:tplc="08070003" w:tentative="1">
      <w:start w:val="1"/>
      <w:numFmt w:val="bullet"/>
      <w:lvlText w:val="o"/>
      <w:lvlJc w:val="left"/>
      <w:pPr>
        <w:ind w:left="3660" w:hanging="360"/>
      </w:pPr>
      <w:rPr>
        <w:rFonts w:ascii="Courier New" w:hAnsi="Courier New" w:cs="Courier New" w:hint="default"/>
      </w:rPr>
    </w:lvl>
    <w:lvl w:ilvl="5" w:tplc="08070005" w:tentative="1">
      <w:start w:val="1"/>
      <w:numFmt w:val="bullet"/>
      <w:lvlText w:val=""/>
      <w:lvlJc w:val="left"/>
      <w:pPr>
        <w:ind w:left="4380" w:hanging="360"/>
      </w:pPr>
      <w:rPr>
        <w:rFonts w:ascii="Wingdings" w:hAnsi="Wingdings" w:hint="default"/>
      </w:rPr>
    </w:lvl>
    <w:lvl w:ilvl="6" w:tplc="08070001" w:tentative="1">
      <w:start w:val="1"/>
      <w:numFmt w:val="bullet"/>
      <w:lvlText w:val=""/>
      <w:lvlJc w:val="left"/>
      <w:pPr>
        <w:ind w:left="5100" w:hanging="360"/>
      </w:pPr>
      <w:rPr>
        <w:rFonts w:ascii="Symbol" w:hAnsi="Symbol" w:hint="default"/>
      </w:rPr>
    </w:lvl>
    <w:lvl w:ilvl="7" w:tplc="08070003" w:tentative="1">
      <w:start w:val="1"/>
      <w:numFmt w:val="bullet"/>
      <w:lvlText w:val="o"/>
      <w:lvlJc w:val="left"/>
      <w:pPr>
        <w:ind w:left="5820" w:hanging="360"/>
      </w:pPr>
      <w:rPr>
        <w:rFonts w:ascii="Courier New" w:hAnsi="Courier New" w:cs="Courier New" w:hint="default"/>
      </w:rPr>
    </w:lvl>
    <w:lvl w:ilvl="8" w:tplc="0807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4E4"/>
    <w:rsid w:val="000A0E3F"/>
    <w:rsid w:val="00207F99"/>
    <w:rsid w:val="003A070F"/>
    <w:rsid w:val="0047799C"/>
    <w:rsid w:val="008524E4"/>
    <w:rsid w:val="009E7D1A"/>
    <w:rsid w:val="00DA43B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07F99"/>
    <w:pPr>
      <w:spacing w:line="480" w:lineRule="auto"/>
    </w:pPr>
    <w:rPr>
      <w:rFonts w:ascii="Times New Roman" w:hAnsi="Times New Roman"/>
    </w:rPr>
  </w:style>
  <w:style w:type="paragraph" w:styleId="berschrift1">
    <w:name w:val="heading 1"/>
    <w:basedOn w:val="Standard"/>
    <w:next w:val="Standard"/>
    <w:link w:val="berschrift1Zchn"/>
    <w:uiPriority w:val="9"/>
    <w:qFormat/>
    <w:rsid w:val="008524E4"/>
    <w:pPr>
      <w:keepNext/>
      <w:keepLines/>
      <w:spacing w:before="240" w:after="240"/>
      <w:outlineLvl w:val="0"/>
    </w:pPr>
    <w:rPr>
      <w:rFonts w:eastAsiaTheme="majorEastAsia" w:cstheme="majorBidi"/>
      <w:b/>
      <w:bCs/>
      <w:sz w:val="26"/>
      <w:szCs w:val="28"/>
    </w:rPr>
  </w:style>
  <w:style w:type="paragraph" w:styleId="berschrift2">
    <w:name w:val="heading 2"/>
    <w:basedOn w:val="Standard"/>
    <w:next w:val="Standard"/>
    <w:link w:val="berschrift2Zchn"/>
    <w:uiPriority w:val="9"/>
    <w:unhideWhenUsed/>
    <w:qFormat/>
    <w:rsid w:val="00207F99"/>
    <w:pPr>
      <w:keepNext/>
      <w:keepLines/>
      <w:spacing w:before="200" w:after="240"/>
      <w:outlineLvl w:val="1"/>
    </w:pPr>
    <w:rPr>
      <w:rFonts w:eastAsiaTheme="majorEastAsia" w:cstheme="majorBidi"/>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24E4"/>
    <w:rPr>
      <w:rFonts w:ascii="Times New Roman" w:eastAsiaTheme="majorEastAsia" w:hAnsi="Times New Roman" w:cstheme="majorBidi"/>
      <w:b/>
      <w:bCs/>
      <w:sz w:val="26"/>
      <w:szCs w:val="28"/>
    </w:rPr>
  </w:style>
  <w:style w:type="character" w:customStyle="1" w:styleId="berschrift2Zchn">
    <w:name w:val="Überschrift 2 Zchn"/>
    <w:basedOn w:val="Absatz-Standardschriftart"/>
    <w:link w:val="berschrift2"/>
    <w:uiPriority w:val="9"/>
    <w:rsid w:val="00207F99"/>
    <w:rPr>
      <w:rFonts w:ascii="Times New Roman" w:eastAsiaTheme="majorEastAsia" w:hAnsi="Times New Roman" w:cstheme="majorBidi"/>
      <w:b/>
      <w:bCs/>
      <w:szCs w:val="26"/>
    </w:rPr>
  </w:style>
  <w:style w:type="character" w:customStyle="1" w:styleId="st">
    <w:name w:val="st"/>
    <w:basedOn w:val="Absatz-Standardschriftart"/>
    <w:rsid w:val="00207F99"/>
  </w:style>
  <w:style w:type="paragraph" w:styleId="Listenabsatz">
    <w:name w:val="List Paragraph"/>
    <w:basedOn w:val="Standard"/>
    <w:uiPriority w:val="34"/>
    <w:qFormat/>
    <w:rsid w:val="00207F99"/>
    <w:pPr>
      <w:ind w:left="720"/>
      <w:contextualSpacing/>
      <w:jc w:val="both"/>
    </w:pPr>
    <w:rPr>
      <w:lang w:val="de-CH"/>
    </w:rPr>
  </w:style>
  <w:style w:type="character" w:customStyle="1" w:styleId="current-selection">
    <w:name w:val="current-selection"/>
    <w:basedOn w:val="Absatz-Standardschriftart"/>
    <w:rsid w:val="00207F99"/>
  </w:style>
  <w:style w:type="character" w:customStyle="1" w:styleId="a">
    <w:name w:val="_"/>
    <w:basedOn w:val="Absatz-Standardschriftart"/>
    <w:rsid w:val="00207F99"/>
  </w:style>
  <w:style w:type="paragraph" w:styleId="Literaturverzeichnis">
    <w:name w:val="Bibliography"/>
    <w:basedOn w:val="Standard"/>
    <w:next w:val="Standard"/>
    <w:uiPriority w:val="37"/>
    <w:unhideWhenUsed/>
    <w:rsid w:val="00207F99"/>
    <w:pPr>
      <w:spacing w:after="240" w:line="240" w:lineRule="auto"/>
    </w:pPr>
  </w:style>
  <w:style w:type="character" w:styleId="Zeilennummer">
    <w:name w:val="line number"/>
    <w:basedOn w:val="Absatz-Standardschriftart"/>
    <w:uiPriority w:val="99"/>
    <w:semiHidden/>
    <w:unhideWhenUsed/>
    <w:rsid w:val="00207F99"/>
  </w:style>
  <w:style w:type="character" w:styleId="Kommentarzeichen">
    <w:name w:val="annotation reference"/>
    <w:basedOn w:val="Absatz-Standardschriftart"/>
    <w:uiPriority w:val="99"/>
    <w:semiHidden/>
    <w:unhideWhenUsed/>
    <w:rsid w:val="00DA43BC"/>
    <w:rPr>
      <w:sz w:val="16"/>
      <w:szCs w:val="16"/>
    </w:rPr>
  </w:style>
  <w:style w:type="paragraph" w:styleId="Kommentartext">
    <w:name w:val="annotation text"/>
    <w:basedOn w:val="Standard"/>
    <w:link w:val="KommentartextZchn"/>
    <w:uiPriority w:val="99"/>
    <w:semiHidden/>
    <w:unhideWhenUsed/>
    <w:rsid w:val="00DA43B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A43BC"/>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DA43BC"/>
    <w:rPr>
      <w:b/>
      <w:bCs/>
    </w:rPr>
  </w:style>
  <w:style w:type="character" w:customStyle="1" w:styleId="KommentarthemaZchn">
    <w:name w:val="Kommentarthema Zchn"/>
    <w:basedOn w:val="KommentartextZchn"/>
    <w:link w:val="Kommentarthema"/>
    <w:uiPriority w:val="99"/>
    <w:semiHidden/>
    <w:rsid w:val="00DA43BC"/>
    <w:rPr>
      <w:rFonts w:ascii="Times New Roman" w:hAnsi="Times New Roman"/>
      <w:b/>
      <w:bCs/>
      <w:sz w:val="20"/>
      <w:szCs w:val="20"/>
    </w:rPr>
  </w:style>
  <w:style w:type="paragraph" w:styleId="Sprechblasentext">
    <w:name w:val="Balloon Text"/>
    <w:basedOn w:val="Standard"/>
    <w:link w:val="SprechblasentextZchn"/>
    <w:uiPriority w:val="99"/>
    <w:semiHidden/>
    <w:unhideWhenUsed/>
    <w:rsid w:val="00DA43B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A43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07F99"/>
    <w:pPr>
      <w:spacing w:line="480" w:lineRule="auto"/>
    </w:pPr>
    <w:rPr>
      <w:rFonts w:ascii="Times New Roman" w:hAnsi="Times New Roman"/>
    </w:rPr>
  </w:style>
  <w:style w:type="paragraph" w:styleId="berschrift1">
    <w:name w:val="heading 1"/>
    <w:basedOn w:val="Standard"/>
    <w:next w:val="Standard"/>
    <w:link w:val="berschrift1Zchn"/>
    <w:uiPriority w:val="9"/>
    <w:qFormat/>
    <w:rsid w:val="008524E4"/>
    <w:pPr>
      <w:keepNext/>
      <w:keepLines/>
      <w:spacing w:before="240" w:after="240"/>
      <w:outlineLvl w:val="0"/>
    </w:pPr>
    <w:rPr>
      <w:rFonts w:eastAsiaTheme="majorEastAsia" w:cstheme="majorBidi"/>
      <w:b/>
      <w:bCs/>
      <w:sz w:val="26"/>
      <w:szCs w:val="28"/>
    </w:rPr>
  </w:style>
  <w:style w:type="paragraph" w:styleId="berschrift2">
    <w:name w:val="heading 2"/>
    <w:basedOn w:val="Standard"/>
    <w:next w:val="Standard"/>
    <w:link w:val="berschrift2Zchn"/>
    <w:uiPriority w:val="9"/>
    <w:unhideWhenUsed/>
    <w:qFormat/>
    <w:rsid w:val="00207F99"/>
    <w:pPr>
      <w:keepNext/>
      <w:keepLines/>
      <w:spacing w:before="200" w:after="240"/>
      <w:outlineLvl w:val="1"/>
    </w:pPr>
    <w:rPr>
      <w:rFonts w:eastAsiaTheme="majorEastAsia" w:cstheme="majorBidi"/>
      <w:b/>
      <w:bCs/>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524E4"/>
    <w:rPr>
      <w:rFonts w:ascii="Times New Roman" w:eastAsiaTheme="majorEastAsia" w:hAnsi="Times New Roman" w:cstheme="majorBidi"/>
      <w:b/>
      <w:bCs/>
      <w:sz w:val="26"/>
      <w:szCs w:val="28"/>
    </w:rPr>
  </w:style>
  <w:style w:type="character" w:customStyle="1" w:styleId="berschrift2Zchn">
    <w:name w:val="Überschrift 2 Zchn"/>
    <w:basedOn w:val="Absatz-Standardschriftart"/>
    <w:link w:val="berschrift2"/>
    <w:uiPriority w:val="9"/>
    <w:rsid w:val="00207F99"/>
    <w:rPr>
      <w:rFonts w:ascii="Times New Roman" w:eastAsiaTheme="majorEastAsia" w:hAnsi="Times New Roman" w:cstheme="majorBidi"/>
      <w:b/>
      <w:bCs/>
      <w:szCs w:val="26"/>
    </w:rPr>
  </w:style>
  <w:style w:type="character" w:customStyle="1" w:styleId="st">
    <w:name w:val="st"/>
    <w:basedOn w:val="Absatz-Standardschriftart"/>
    <w:rsid w:val="00207F99"/>
  </w:style>
  <w:style w:type="paragraph" w:styleId="Listenabsatz">
    <w:name w:val="List Paragraph"/>
    <w:basedOn w:val="Standard"/>
    <w:uiPriority w:val="34"/>
    <w:qFormat/>
    <w:rsid w:val="00207F99"/>
    <w:pPr>
      <w:ind w:left="720"/>
      <w:contextualSpacing/>
      <w:jc w:val="both"/>
    </w:pPr>
    <w:rPr>
      <w:lang w:val="de-CH"/>
    </w:rPr>
  </w:style>
  <w:style w:type="character" w:customStyle="1" w:styleId="current-selection">
    <w:name w:val="current-selection"/>
    <w:basedOn w:val="Absatz-Standardschriftart"/>
    <w:rsid w:val="00207F99"/>
  </w:style>
  <w:style w:type="character" w:customStyle="1" w:styleId="a">
    <w:name w:val="_"/>
    <w:basedOn w:val="Absatz-Standardschriftart"/>
    <w:rsid w:val="00207F99"/>
  </w:style>
  <w:style w:type="paragraph" w:styleId="Literaturverzeichnis">
    <w:name w:val="Bibliography"/>
    <w:basedOn w:val="Standard"/>
    <w:next w:val="Standard"/>
    <w:uiPriority w:val="37"/>
    <w:unhideWhenUsed/>
    <w:rsid w:val="00207F99"/>
    <w:pPr>
      <w:spacing w:after="240" w:line="240" w:lineRule="auto"/>
    </w:pPr>
  </w:style>
  <w:style w:type="character" w:styleId="Zeilennummer">
    <w:name w:val="line number"/>
    <w:basedOn w:val="Absatz-Standardschriftart"/>
    <w:uiPriority w:val="99"/>
    <w:semiHidden/>
    <w:unhideWhenUsed/>
    <w:rsid w:val="00207F99"/>
  </w:style>
  <w:style w:type="character" w:styleId="Kommentarzeichen">
    <w:name w:val="annotation reference"/>
    <w:basedOn w:val="Absatz-Standardschriftart"/>
    <w:uiPriority w:val="99"/>
    <w:semiHidden/>
    <w:unhideWhenUsed/>
    <w:rsid w:val="00DA43BC"/>
    <w:rPr>
      <w:sz w:val="16"/>
      <w:szCs w:val="16"/>
    </w:rPr>
  </w:style>
  <w:style w:type="paragraph" w:styleId="Kommentartext">
    <w:name w:val="annotation text"/>
    <w:basedOn w:val="Standard"/>
    <w:link w:val="KommentartextZchn"/>
    <w:uiPriority w:val="99"/>
    <w:semiHidden/>
    <w:unhideWhenUsed/>
    <w:rsid w:val="00DA43B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A43BC"/>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DA43BC"/>
    <w:rPr>
      <w:b/>
      <w:bCs/>
    </w:rPr>
  </w:style>
  <w:style w:type="character" w:customStyle="1" w:styleId="KommentarthemaZchn">
    <w:name w:val="Kommentarthema Zchn"/>
    <w:basedOn w:val="KommentartextZchn"/>
    <w:link w:val="Kommentarthema"/>
    <w:uiPriority w:val="99"/>
    <w:semiHidden/>
    <w:rsid w:val="00DA43BC"/>
    <w:rPr>
      <w:rFonts w:ascii="Times New Roman" w:hAnsi="Times New Roman"/>
      <w:b/>
      <w:bCs/>
      <w:sz w:val="20"/>
      <w:szCs w:val="20"/>
    </w:rPr>
  </w:style>
  <w:style w:type="paragraph" w:styleId="Sprechblasentext">
    <w:name w:val="Balloon Text"/>
    <w:basedOn w:val="Standard"/>
    <w:link w:val="SprechblasentextZchn"/>
    <w:uiPriority w:val="99"/>
    <w:semiHidden/>
    <w:unhideWhenUsed/>
    <w:rsid w:val="00DA43B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A43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12336</Words>
  <Characters>77721</Characters>
  <Application>Microsoft Office Word</Application>
  <DocSecurity>0</DocSecurity>
  <Lines>647</Lines>
  <Paragraphs>179</Paragraphs>
  <ScaleCrop>false</ScaleCrop>
  <HeadingPairs>
    <vt:vector size="2" baseType="variant">
      <vt:variant>
        <vt:lpstr>Titel</vt:lpstr>
      </vt:variant>
      <vt:variant>
        <vt:i4>1</vt:i4>
      </vt:variant>
    </vt:vector>
  </HeadingPairs>
  <TitlesOfParts>
    <vt:vector size="1" baseType="lpstr">
      <vt:lpstr/>
    </vt:vector>
  </TitlesOfParts>
  <Company>Universität Basel</Company>
  <LinksUpToDate>false</LinksUpToDate>
  <CharactersWithSpaces>89878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 Höchsmann</dc:creator>
  <cp:lastModifiedBy>Christoph Höchsmann</cp:lastModifiedBy>
  <cp:revision>4</cp:revision>
  <dcterms:created xsi:type="dcterms:W3CDTF">2016-09-26T12:28:00Z</dcterms:created>
  <dcterms:modified xsi:type="dcterms:W3CDTF">2016-10-25T14:09:00Z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zotero-version="4.0.29.10"&gt;&lt;session id="Wzs1qPs3"/&gt;&lt;style id="http://www.zotero.org/styles/trials" hasBibliography="1" bibliographyStyleHasBeenSet="1"/&gt;&lt;prefs&gt;&lt;pref name="fieldType" value="Field"/&gt;&lt;pref name="storeReferences" value=</vt:lpwstr>
  </property>
  <property fmtid="{D5CDD505-2E9C-101B-9397-08002B2CF9AE}" pid="3" name="ZOTERO_PREF_2">
    <vt:lpwstr>"true"/&gt;&lt;pref name="automaticJournalAbbreviations" value="true"/&gt;&lt;pref name="noteType" value=""/&gt;&lt;/prefs&gt;&lt;/data&gt;</vt:lpwstr>
  </property>
</Properties>
</file>