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31F" w:rsidRPr="00AB5A2A" w:rsidRDefault="00CD031F" w:rsidP="00CD031F">
      <w:pPr>
        <w:spacing w:after="0" w:line="240" w:lineRule="auto"/>
        <w:rPr>
          <w:rFonts w:ascii="Arial" w:hAnsi="Arial" w:cs="Arial"/>
          <w:sz w:val="24"/>
          <w:szCs w:val="24"/>
          <w:lang w:val="en-GB"/>
        </w:rPr>
      </w:pPr>
      <w:r w:rsidRPr="00AB5A2A">
        <w:rPr>
          <w:rFonts w:ascii="Arial" w:hAnsi="Arial" w:cs="Arial"/>
          <w:sz w:val="24"/>
          <w:szCs w:val="24"/>
          <w:lang w:val="en-GB"/>
        </w:rPr>
        <w:t>A</w:t>
      </w:r>
      <w:r>
        <w:rPr>
          <w:rFonts w:ascii="Arial" w:hAnsi="Arial" w:cs="Arial"/>
          <w:sz w:val="24"/>
          <w:szCs w:val="24"/>
          <w:lang w:val="en-GB"/>
        </w:rPr>
        <w:t>dditional file</w:t>
      </w:r>
      <w:r w:rsidR="00E6336E">
        <w:rPr>
          <w:rFonts w:ascii="Arial" w:hAnsi="Arial" w:cs="Arial"/>
          <w:sz w:val="24"/>
          <w:szCs w:val="24"/>
          <w:lang w:val="en-GB"/>
        </w:rPr>
        <w:t xml:space="preserve"> 3</w:t>
      </w:r>
      <w:bookmarkStart w:id="0" w:name="_GoBack"/>
      <w:bookmarkEnd w:id="0"/>
      <w:r w:rsidRPr="00AB5A2A">
        <w:rPr>
          <w:rFonts w:ascii="Arial" w:hAnsi="Arial" w:cs="Arial"/>
          <w:sz w:val="24"/>
          <w:szCs w:val="24"/>
          <w:lang w:val="en-GB"/>
        </w:rPr>
        <w:t>. Relevant references from literature search (n=24)</w:t>
      </w:r>
    </w:p>
    <w:p w:rsidR="00CD031F" w:rsidRPr="00B31A2D" w:rsidRDefault="00CD031F" w:rsidP="00CD031F">
      <w:pPr>
        <w:spacing w:after="0" w:line="240" w:lineRule="auto"/>
        <w:rPr>
          <w:rFonts w:ascii="Arial" w:hAnsi="Arial" w:cs="Arial"/>
          <w:b/>
          <w:sz w:val="28"/>
          <w:szCs w:val="24"/>
          <w:lang w:val="en-GB"/>
        </w:rPr>
      </w:pPr>
    </w:p>
    <w:p w:rsidR="00CD031F" w:rsidRDefault="00CD031F" w:rsidP="00CD031F">
      <w:pPr>
        <w:spacing w:after="0" w:line="240" w:lineRule="auto"/>
        <w:ind w:left="360"/>
        <w:rPr>
          <w:rFonts w:ascii="Arial" w:hAnsi="Arial" w:cs="Arial"/>
          <w:noProof/>
          <w:lang w:val="en-US"/>
        </w:rPr>
      </w:pPr>
    </w:p>
    <w:p w:rsidR="00CD031F" w:rsidRPr="00B31A2D" w:rsidRDefault="00CD031F" w:rsidP="00CD031F">
      <w:pPr>
        <w:spacing w:after="0" w:line="240" w:lineRule="auto"/>
        <w:ind w:left="360"/>
        <w:rPr>
          <w:rFonts w:ascii="Arial" w:hAnsi="Arial" w:cs="Arial"/>
          <w:noProof/>
          <w:lang w:val="en-US"/>
        </w:rPr>
        <w:sectPr w:rsidR="00CD031F" w:rsidRPr="00B31A2D" w:rsidSect="00CD031F">
          <w:headerReference w:type="default" r:id="rId7"/>
          <w:footerReference w:type="default" r:id="rId8"/>
          <w:footnotePr>
            <w:numFmt w:val="lowerRoman"/>
          </w:footnotePr>
          <w:pgSz w:w="11906" w:h="16838"/>
          <w:pgMar w:top="1418" w:right="1418" w:bottom="1134" w:left="1418" w:header="709" w:footer="709" w:gutter="0"/>
          <w:lnNumType w:countBy="10" w:restart="continuous"/>
          <w:cols w:space="708"/>
          <w:docGrid w:linePitch="360"/>
        </w:sectPr>
      </w:pPr>
    </w:p>
    <w:p w:rsidR="00CD031F" w:rsidRPr="00CD031F" w:rsidRDefault="00CD031F" w:rsidP="00CD031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noProof/>
          <w:sz w:val="20"/>
          <w:szCs w:val="20"/>
          <w:lang w:val="en-US"/>
        </w:rPr>
      </w:pPr>
      <w:r w:rsidRPr="00CD031F">
        <w:rPr>
          <w:rFonts w:ascii="Arial" w:hAnsi="Arial" w:cs="Arial"/>
          <w:noProof/>
          <w:sz w:val="20"/>
          <w:szCs w:val="20"/>
          <w:lang w:val="en-US"/>
        </w:rPr>
        <w:t>Altenstetter C. EU and member state medical devices regulation. International Journal of Technology Assessment in Health Care. 2003;19(1):228-48.</w:t>
      </w:r>
    </w:p>
    <w:p w:rsidR="00CD031F" w:rsidRPr="00CD031F" w:rsidRDefault="00CD031F" w:rsidP="00CD031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noProof/>
          <w:sz w:val="20"/>
          <w:szCs w:val="20"/>
          <w:lang w:val="en-US"/>
        </w:rPr>
      </w:pPr>
      <w:r w:rsidRPr="00CD031F">
        <w:rPr>
          <w:rFonts w:ascii="Arial" w:hAnsi="Arial" w:cs="Arial"/>
          <w:noProof/>
          <w:sz w:val="20"/>
          <w:szCs w:val="20"/>
          <w:lang w:val="en-US"/>
        </w:rPr>
        <w:t>Bucci VA, Reiss JB, Hall NC. New obstacles in the path of marketing new medical devices. Journal of Health Care Technology. 1985;2(2):81-96.</w:t>
      </w:r>
    </w:p>
    <w:p w:rsidR="00CD031F" w:rsidRPr="00CD031F" w:rsidRDefault="00CD031F" w:rsidP="00CD031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noProof/>
          <w:sz w:val="20"/>
          <w:szCs w:val="20"/>
          <w:lang w:val="en-US"/>
        </w:rPr>
      </w:pPr>
      <w:r w:rsidRPr="00CD031F">
        <w:rPr>
          <w:rFonts w:ascii="Arial" w:hAnsi="Arial" w:cs="Arial"/>
          <w:noProof/>
          <w:sz w:val="20"/>
          <w:szCs w:val="20"/>
          <w:lang w:val="en-US"/>
        </w:rPr>
        <w:t>Burridge JH, Hughes AM. Potential for new technologies in clinical practice. Current Opinion in Neurology. 2010;23(6):671-7.</w:t>
      </w:r>
    </w:p>
    <w:p w:rsidR="00CD031F" w:rsidRPr="00CD031F" w:rsidRDefault="00CD031F" w:rsidP="00CD031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noProof/>
          <w:sz w:val="20"/>
          <w:szCs w:val="20"/>
          <w:lang w:val="en-US"/>
        </w:rPr>
      </w:pPr>
      <w:r w:rsidRPr="00CD031F">
        <w:rPr>
          <w:rFonts w:ascii="Arial" w:hAnsi="Arial" w:cs="Arial"/>
          <w:noProof/>
          <w:sz w:val="20"/>
          <w:szCs w:val="20"/>
          <w:lang w:val="en-US"/>
        </w:rPr>
        <w:t>Demotes-Mainard J. [ECRIN (European clinical research infrastructures network), a pan-European infrastructure for clinical research]. [French]. Bulletin de l'Academie Nationale de Medecine. 2010;194(9):1683-94.</w:t>
      </w:r>
    </w:p>
    <w:p w:rsidR="00CD031F" w:rsidRPr="00CD031F" w:rsidRDefault="00CD031F" w:rsidP="00CD031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noProof/>
          <w:sz w:val="20"/>
          <w:szCs w:val="20"/>
          <w:lang w:val="en-US"/>
        </w:rPr>
      </w:pPr>
      <w:r w:rsidRPr="00CD031F">
        <w:rPr>
          <w:rFonts w:ascii="Arial" w:hAnsi="Arial" w:cs="Arial"/>
          <w:noProof/>
          <w:sz w:val="20"/>
          <w:szCs w:val="20"/>
          <w:lang w:val="en-US"/>
        </w:rPr>
        <w:t xml:space="preserve">Demotes-Mainard J. Clinical research networks as a support to independent clinical trials. Clinical Therapeutics. 2015;Conference: 12th Congress of the European Association for Clinical Pharmacology and Therapeutics, EACPT 2015 Madrid Spain. </w:t>
      </w:r>
    </w:p>
    <w:p w:rsidR="00CD031F" w:rsidRPr="00CD031F" w:rsidRDefault="00CD031F" w:rsidP="00CD031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noProof/>
          <w:sz w:val="20"/>
          <w:szCs w:val="20"/>
          <w:lang w:val="en-US"/>
        </w:rPr>
      </w:pPr>
      <w:r w:rsidRPr="00CD031F">
        <w:rPr>
          <w:rFonts w:ascii="Arial" w:hAnsi="Arial" w:cs="Arial"/>
          <w:noProof/>
          <w:sz w:val="20"/>
          <w:szCs w:val="20"/>
          <w:lang w:val="en-US"/>
        </w:rPr>
        <w:t>Diaconu K, Chen YF, Manaseki-Holland S, Cummins C, Lilford R. Medical device procurement in low- and middle-income settings: protocol for a systematic review. Systems Review. 2014;3:118.</w:t>
      </w:r>
    </w:p>
    <w:p w:rsidR="00CD031F" w:rsidRPr="00CD031F" w:rsidRDefault="00CD031F" w:rsidP="00CD031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noProof/>
          <w:sz w:val="20"/>
          <w:szCs w:val="20"/>
          <w:lang w:val="en-US"/>
        </w:rPr>
      </w:pPr>
      <w:r w:rsidRPr="00CD031F">
        <w:rPr>
          <w:rFonts w:ascii="Arial" w:hAnsi="Arial" w:cs="Arial"/>
          <w:noProof/>
          <w:sz w:val="20"/>
          <w:szCs w:val="20"/>
          <w:lang w:val="en-US"/>
        </w:rPr>
        <w:t>Krucoff MW, Brindis RG, Hodgson PK, Mack MJ, Holmes DR. Medical Device Innovation: Prospective Solutions for an Ecosystem in Crisis Adding a Professional Society Perspective. JACC Cardiovascular Interventions. 2012;5(7):790-6.</w:t>
      </w:r>
    </w:p>
    <w:p w:rsidR="00CD031F" w:rsidRPr="00CD031F" w:rsidRDefault="00CD031F" w:rsidP="00CD031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noProof/>
          <w:sz w:val="20"/>
          <w:szCs w:val="20"/>
          <w:lang w:val="en-US"/>
        </w:rPr>
      </w:pPr>
      <w:r w:rsidRPr="00CD031F">
        <w:rPr>
          <w:rFonts w:ascii="Arial" w:hAnsi="Arial" w:cs="Arial"/>
          <w:noProof/>
          <w:sz w:val="20"/>
          <w:szCs w:val="20"/>
          <w:lang w:val="en-US"/>
        </w:rPr>
        <w:t xml:space="preserve">Lockwood C, Marinoni G, Gallo P, Kowal S. Inpatient reimbursement landscape for medical device and diagnostics in developed markets. Value in Health. 2012;Conference: 17th Annual International Meeting of the International Society for Pharmacoeconomics and Outcomes Research, ISPOR 2012 Washington, DC United States. </w:t>
      </w:r>
    </w:p>
    <w:p w:rsidR="00CD031F" w:rsidRPr="00CD031F" w:rsidRDefault="00CD031F" w:rsidP="00CD031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noProof/>
          <w:sz w:val="20"/>
          <w:szCs w:val="20"/>
          <w:lang w:val="en-US"/>
        </w:rPr>
      </w:pPr>
      <w:r w:rsidRPr="00CD031F">
        <w:rPr>
          <w:rFonts w:ascii="Arial" w:hAnsi="Arial" w:cs="Arial"/>
          <w:noProof/>
          <w:sz w:val="20"/>
          <w:szCs w:val="20"/>
          <w:lang w:val="en-US"/>
        </w:rPr>
        <w:t>Marcus HJ, Payne CJ, Hughes-Hallett A, Marcus AP, Yang GZ, Darzi A, et al. Regulatory approval of new medical devices: cross sectional study. BMJ. 2016;353:i2587. Epub 2016/05/22.</w:t>
      </w:r>
    </w:p>
    <w:p w:rsidR="00CD031F" w:rsidRPr="00CD031F" w:rsidRDefault="00CD031F" w:rsidP="00CD031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noProof/>
          <w:sz w:val="20"/>
          <w:szCs w:val="20"/>
          <w:lang w:val="en-US"/>
        </w:rPr>
      </w:pPr>
      <w:r w:rsidRPr="00CD031F">
        <w:rPr>
          <w:rFonts w:ascii="Arial" w:hAnsi="Arial" w:cs="Arial"/>
          <w:noProof/>
          <w:sz w:val="20"/>
          <w:szCs w:val="20"/>
          <w:lang w:val="en-US"/>
        </w:rPr>
        <w:t xml:space="preserve">Morgan JM, American Heart A, North American Society of P, </w:t>
      </w:r>
      <w:r w:rsidRPr="00CD031F">
        <w:rPr>
          <w:rFonts w:ascii="Arial" w:hAnsi="Arial" w:cs="Arial"/>
          <w:noProof/>
          <w:sz w:val="20"/>
          <w:szCs w:val="20"/>
          <w:lang w:val="en-US"/>
        </w:rPr>
        <w:t>Electrophysiology. New device indications: practice and cost implications in Europe. Cardiac Electrophysiology Review. 2003;7(1):49-53.</w:t>
      </w:r>
    </w:p>
    <w:p w:rsidR="00CD031F" w:rsidRPr="00CD031F" w:rsidRDefault="00CD031F" w:rsidP="00CD031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noProof/>
          <w:sz w:val="20"/>
          <w:szCs w:val="20"/>
          <w:lang w:val="en-US"/>
        </w:rPr>
      </w:pPr>
      <w:r w:rsidRPr="00CD031F">
        <w:rPr>
          <w:rFonts w:ascii="Arial" w:hAnsi="Arial" w:cs="Arial"/>
          <w:noProof/>
          <w:sz w:val="20"/>
          <w:szCs w:val="20"/>
          <w:lang w:val="en-US"/>
        </w:rPr>
        <w:t>Morscher EW. Failures and successes in total hip replacement--why good ideas may not work. Scandinavian Journal of Surgery: SJS. 2003;92(2):113-20.</w:t>
      </w:r>
    </w:p>
    <w:p w:rsidR="00CD031F" w:rsidRPr="00CD031F" w:rsidRDefault="00CD031F" w:rsidP="00CD031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noProof/>
          <w:sz w:val="20"/>
          <w:szCs w:val="20"/>
          <w:lang w:val="en-US"/>
        </w:rPr>
      </w:pPr>
      <w:r w:rsidRPr="00CD031F">
        <w:rPr>
          <w:rFonts w:ascii="Arial" w:hAnsi="Arial" w:cs="Arial"/>
          <w:noProof/>
          <w:sz w:val="20"/>
          <w:szCs w:val="20"/>
          <w:lang w:val="en-US"/>
        </w:rPr>
        <w:t>Normand SL, Marinac-Dabic D, Sedrakyan A, Kaczmarek R. Rethinking analytical strategies for surveillance of medical devices: the case of hip arthroplasty. Medical Care. 2010;48(6 Suppl):S58-67. Epub 2010/05/18.</w:t>
      </w:r>
    </w:p>
    <w:p w:rsidR="00CD031F" w:rsidRPr="00CD031F" w:rsidRDefault="00CD031F" w:rsidP="00CD031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noProof/>
          <w:sz w:val="20"/>
          <w:szCs w:val="20"/>
          <w:lang w:val="en-US"/>
        </w:rPr>
      </w:pPr>
      <w:r w:rsidRPr="00CD031F">
        <w:rPr>
          <w:rFonts w:ascii="Arial" w:hAnsi="Arial" w:cs="Arial"/>
          <w:noProof/>
          <w:sz w:val="20"/>
          <w:szCs w:val="20"/>
          <w:lang w:val="en-US"/>
        </w:rPr>
        <w:t>Pieper D, Neugebauer EAM. Das geht so nicht! -Chirurgische Innovationen brauchen die Überprüfung in kontrollierten klinischen Studien. Der Chirurg [Submitted]. 2016.</w:t>
      </w:r>
    </w:p>
    <w:p w:rsidR="00CD031F" w:rsidRPr="00CD031F" w:rsidRDefault="00CD031F" w:rsidP="00CD031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noProof/>
          <w:sz w:val="20"/>
          <w:szCs w:val="20"/>
          <w:lang w:val="en-US"/>
        </w:rPr>
      </w:pPr>
      <w:r w:rsidRPr="00CD031F">
        <w:rPr>
          <w:rFonts w:ascii="Arial" w:hAnsi="Arial" w:cs="Arial"/>
          <w:noProof/>
          <w:sz w:val="20"/>
          <w:szCs w:val="20"/>
          <w:lang w:val="en-US"/>
        </w:rPr>
        <w:t>Polisena J, Gagliardi A, Urbach D, Clifford T, Fiander M. Factors that influence the recognition, reporting and resolution of incidents related to medical devices and other healthcare technologies: a systematic review. Systems Review. 2015;4:37.</w:t>
      </w:r>
    </w:p>
    <w:p w:rsidR="00CD031F" w:rsidRPr="00CD031F" w:rsidRDefault="00CD031F" w:rsidP="00CD031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noProof/>
          <w:sz w:val="20"/>
          <w:szCs w:val="20"/>
          <w:lang w:val="en-US"/>
        </w:rPr>
      </w:pPr>
      <w:r w:rsidRPr="00CD031F">
        <w:rPr>
          <w:rFonts w:ascii="Arial" w:hAnsi="Arial" w:cs="Arial"/>
          <w:noProof/>
          <w:sz w:val="20"/>
          <w:szCs w:val="20"/>
          <w:lang w:val="en-US"/>
        </w:rPr>
        <w:t>Portner PM. Economics of devices. Annals of Thoracic Surgery. 2001;71(3 Suppl):S199-201; discussion S3-4.</w:t>
      </w:r>
    </w:p>
    <w:p w:rsidR="00CD031F" w:rsidRPr="00CD031F" w:rsidRDefault="00CD031F" w:rsidP="00CD031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noProof/>
          <w:sz w:val="20"/>
          <w:szCs w:val="20"/>
          <w:lang w:val="en-US"/>
        </w:rPr>
      </w:pPr>
      <w:r w:rsidRPr="00CD031F">
        <w:rPr>
          <w:rFonts w:ascii="Arial" w:hAnsi="Arial" w:cs="Arial"/>
          <w:noProof/>
          <w:sz w:val="20"/>
          <w:szCs w:val="20"/>
          <w:lang w:val="da-DK"/>
        </w:rPr>
        <w:t xml:space="preserve">Robinson EJ, Kerr CEP, Stevens AJ, Lilford RJ, Braunholtz DA, Edwards SJ, et al. </w:t>
      </w:r>
      <w:r w:rsidRPr="00CD031F">
        <w:rPr>
          <w:rFonts w:ascii="Arial" w:hAnsi="Arial" w:cs="Arial"/>
          <w:noProof/>
          <w:sz w:val="20"/>
          <w:szCs w:val="20"/>
          <w:lang w:val="en-US"/>
        </w:rPr>
        <w:t>Lay Public's Understanding of Equipoise and Randomisation in Randomised Controlled Trials. Health Technology Assessment. 2005;9(8).</w:t>
      </w:r>
    </w:p>
    <w:p w:rsidR="00CD031F" w:rsidRPr="00CD031F" w:rsidRDefault="00CD031F" w:rsidP="00CD031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noProof/>
          <w:sz w:val="20"/>
          <w:szCs w:val="20"/>
          <w:lang w:val="en-US"/>
        </w:rPr>
      </w:pPr>
      <w:r w:rsidRPr="00CD031F">
        <w:rPr>
          <w:rFonts w:ascii="Arial" w:hAnsi="Arial" w:cs="Arial"/>
          <w:noProof/>
          <w:sz w:val="20"/>
          <w:szCs w:val="20"/>
          <w:lang w:val="en-US"/>
        </w:rPr>
        <w:t>Rose EA, Moskowitz AJ, Packer M, Sollano JA, Williams DL, Tierney AR, et al. The rematch trial: Rationale, design, and end points. Annals of Thoracic Surgery. 1999;67(3):723-30.</w:t>
      </w:r>
    </w:p>
    <w:p w:rsidR="00CD031F" w:rsidRPr="00CD031F" w:rsidRDefault="00CD031F" w:rsidP="00CD031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noProof/>
          <w:sz w:val="20"/>
          <w:szCs w:val="20"/>
          <w:lang w:val="en-US"/>
        </w:rPr>
      </w:pPr>
      <w:r w:rsidRPr="00CD031F">
        <w:rPr>
          <w:rFonts w:ascii="Arial" w:hAnsi="Arial" w:cs="Arial"/>
          <w:noProof/>
          <w:sz w:val="20"/>
          <w:szCs w:val="20"/>
          <w:lang w:val="en-US"/>
        </w:rPr>
        <w:t>Sedrakyan A, Campbell B, Merino JG, Kuntz R, Hirst A, McCulloch P. IDEAL-D: a rational framework for evaluating and regulating the use of medical devices. BMJ. 2016;353:i2372. Epub 2016/06/11.</w:t>
      </w:r>
    </w:p>
    <w:p w:rsidR="00CD031F" w:rsidRPr="00CD031F" w:rsidRDefault="00CD031F" w:rsidP="00CD031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noProof/>
          <w:sz w:val="20"/>
          <w:szCs w:val="20"/>
          <w:lang w:val="en-US"/>
        </w:rPr>
      </w:pPr>
      <w:r w:rsidRPr="00CD031F">
        <w:rPr>
          <w:rFonts w:ascii="Arial" w:hAnsi="Arial" w:cs="Arial"/>
          <w:noProof/>
          <w:sz w:val="20"/>
          <w:szCs w:val="20"/>
          <w:lang w:val="en-US"/>
        </w:rPr>
        <w:t>Shah SG, Robinson I. Benefits of and barriers to involving users in medical device technology development and evaluation. International Journal of Technology Assessment in Health Care. 2007;23(1):131-7.</w:t>
      </w:r>
    </w:p>
    <w:p w:rsidR="00CD031F" w:rsidRPr="00CD031F" w:rsidRDefault="00CD031F" w:rsidP="00CD031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noProof/>
          <w:sz w:val="20"/>
          <w:szCs w:val="20"/>
          <w:lang w:val="en-US"/>
        </w:rPr>
      </w:pPr>
      <w:r w:rsidRPr="00CD031F">
        <w:rPr>
          <w:rFonts w:ascii="Arial" w:hAnsi="Arial" w:cs="Arial"/>
          <w:noProof/>
          <w:sz w:val="20"/>
          <w:szCs w:val="20"/>
          <w:lang w:val="en-US"/>
        </w:rPr>
        <w:t xml:space="preserve">Slottow TL, Steinberg DH, Waksman R. Overview of the 2007 Food and </w:t>
      </w:r>
      <w:r w:rsidRPr="00CD031F">
        <w:rPr>
          <w:rFonts w:ascii="Arial" w:hAnsi="Arial" w:cs="Arial"/>
          <w:noProof/>
          <w:sz w:val="20"/>
          <w:szCs w:val="20"/>
          <w:lang w:val="en-US"/>
        </w:rPr>
        <w:lastRenderedPageBreak/>
        <w:t>Drug Administration Circulatory System Devices Panel meeting on patent foramen ovale closure devices. Circulation. 2007;116(6):677-82.</w:t>
      </w:r>
    </w:p>
    <w:p w:rsidR="00CD031F" w:rsidRPr="00CD031F" w:rsidRDefault="00CD031F" w:rsidP="00CD031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noProof/>
          <w:sz w:val="20"/>
          <w:szCs w:val="20"/>
          <w:lang w:val="en-US"/>
        </w:rPr>
      </w:pPr>
      <w:r w:rsidRPr="00CD031F">
        <w:rPr>
          <w:rFonts w:ascii="Arial" w:hAnsi="Arial" w:cs="Arial"/>
          <w:noProof/>
          <w:sz w:val="20"/>
          <w:szCs w:val="20"/>
          <w:lang w:val="en-US"/>
        </w:rPr>
        <w:t>Waetjen LE, Parvataneni R, Varon S, Saberi NS, Jacoby VL, University of California Fibroid N. Obstacles to Studying Emerging Technologies. Obstetrics and Gynecology. 2015;126(2):391-5.</w:t>
      </w:r>
    </w:p>
    <w:p w:rsidR="00CD031F" w:rsidRPr="00CD031F" w:rsidRDefault="00CD031F" w:rsidP="00CD031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noProof/>
          <w:sz w:val="20"/>
          <w:szCs w:val="20"/>
          <w:lang w:val="en-US"/>
        </w:rPr>
      </w:pPr>
      <w:r w:rsidRPr="00CD031F">
        <w:rPr>
          <w:rFonts w:ascii="Arial" w:hAnsi="Arial" w:cs="Arial"/>
          <w:noProof/>
          <w:sz w:val="20"/>
          <w:szCs w:val="20"/>
          <w:lang w:val="en-US"/>
        </w:rPr>
        <w:t xml:space="preserve">Weber S, Haverich A. [Pioneering surgical innovations in Germany: Part 2: public funding and origins of surgical innovations]. Der Chirurg; Zeitschrift </w:t>
      </w:r>
      <w:r w:rsidRPr="00CD031F">
        <w:rPr>
          <w:rFonts w:ascii="Arial" w:hAnsi="Arial" w:cs="Arial"/>
          <w:noProof/>
          <w:sz w:val="20"/>
          <w:szCs w:val="20"/>
          <w:lang w:val="en-US"/>
        </w:rPr>
        <w:t xml:space="preserve">fur alle Gebiete der Operativen Medizen. 2016;87(5):433-7. </w:t>
      </w:r>
    </w:p>
    <w:p w:rsidR="00CD031F" w:rsidRPr="00CD031F" w:rsidRDefault="00CD031F" w:rsidP="00CD031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noProof/>
          <w:sz w:val="20"/>
          <w:szCs w:val="20"/>
          <w:lang w:val="en-US"/>
        </w:rPr>
      </w:pPr>
      <w:r w:rsidRPr="00CD031F">
        <w:rPr>
          <w:rFonts w:ascii="Arial" w:hAnsi="Arial" w:cs="Arial"/>
          <w:noProof/>
          <w:sz w:val="20"/>
          <w:szCs w:val="20"/>
          <w:lang w:val="en-US"/>
        </w:rPr>
        <w:t xml:space="preserve">Weber S, Haverich A. [Pioneering surgical innovations in Germany: Part 1: generation of medical evidence]. Der Chirurg; Zeitschrift fur alle Gebiete der Operativen Medizen. 2016;87(5):423-32. </w:t>
      </w:r>
    </w:p>
    <w:p w:rsidR="00CD031F" w:rsidRPr="00CD031F" w:rsidRDefault="00CD031F" w:rsidP="00CD031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noProof/>
          <w:sz w:val="20"/>
          <w:szCs w:val="20"/>
          <w:lang w:val="en-US"/>
        </w:rPr>
      </w:pPr>
      <w:r w:rsidRPr="00CD031F">
        <w:rPr>
          <w:rFonts w:ascii="Arial" w:hAnsi="Arial" w:cs="Arial"/>
          <w:noProof/>
          <w:sz w:val="20"/>
          <w:szCs w:val="20"/>
          <w:lang w:val="en-US"/>
        </w:rPr>
        <w:t>Wente MN. Barriers to clinical studies involving medical devices. [German]. Zeitschrift fur Evidenz, Fortbildung und Qualitat im Gesundheitswesen. 2012;106(5):315-9.</w:t>
      </w:r>
    </w:p>
    <w:p w:rsidR="00CD031F" w:rsidRPr="00CD031F" w:rsidRDefault="00CD031F" w:rsidP="00CD031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noProof/>
          <w:sz w:val="20"/>
          <w:szCs w:val="20"/>
          <w:lang w:val="en-US"/>
        </w:rPr>
        <w:sectPr w:rsidR="00CD031F" w:rsidRPr="00CD031F" w:rsidSect="001313D8">
          <w:type w:val="continuous"/>
          <w:pgSz w:w="11906" w:h="16838"/>
          <w:pgMar w:top="1418" w:right="1418" w:bottom="1134" w:left="1418" w:header="709" w:footer="709" w:gutter="0"/>
          <w:lnNumType w:countBy="10" w:restart="continuous"/>
          <w:cols w:num="2" w:space="708"/>
          <w:docGrid w:linePitch="360"/>
        </w:sectPr>
      </w:pPr>
    </w:p>
    <w:p w:rsidR="00CD031F" w:rsidRPr="00CD031F" w:rsidRDefault="00CD031F" w:rsidP="00CD031F">
      <w:pPr>
        <w:pStyle w:val="ListParagraph"/>
        <w:spacing w:after="0" w:line="240" w:lineRule="auto"/>
        <w:rPr>
          <w:rFonts w:ascii="Arial" w:hAnsi="Arial" w:cs="Arial"/>
          <w:noProof/>
          <w:sz w:val="20"/>
          <w:szCs w:val="20"/>
          <w:lang w:val="en-US"/>
        </w:rPr>
      </w:pPr>
    </w:p>
    <w:p w:rsidR="00CC4E15" w:rsidRPr="00CD031F" w:rsidRDefault="00CC4E15" w:rsidP="00504F8D">
      <w:pPr>
        <w:spacing w:after="0" w:line="240" w:lineRule="auto"/>
        <w:rPr>
          <w:sz w:val="20"/>
          <w:szCs w:val="20"/>
          <w:lang w:val="en-GB"/>
        </w:rPr>
      </w:pPr>
    </w:p>
    <w:sectPr w:rsidR="00CC4E15" w:rsidRPr="00CD031F" w:rsidSect="001313D8">
      <w:type w:val="continuous"/>
      <w:pgSz w:w="11906" w:h="16838"/>
      <w:pgMar w:top="1418" w:right="1418" w:bottom="1134" w:left="1418" w:header="709" w:footer="709" w:gutter="0"/>
      <w:lnNumType w:countBy="10" w:restart="continuous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E6336E">
      <w:pPr>
        <w:spacing w:after="0" w:line="240" w:lineRule="auto"/>
      </w:pPr>
      <w:r>
        <w:separator/>
      </w:r>
    </w:p>
  </w:endnote>
  <w:endnote w:type="continuationSeparator" w:id="0">
    <w:p w:rsidR="00000000" w:rsidRDefault="00E633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0FAE" w:rsidRPr="007C7D76" w:rsidRDefault="00CD031F">
    <w:pPr>
      <w:pStyle w:val="Footer"/>
      <w:rPr>
        <w:sz w:val="20"/>
        <w:szCs w:val="20"/>
      </w:rPr>
    </w:pPr>
    <w:r w:rsidRPr="007C7D76">
      <w:rPr>
        <w:sz w:val="20"/>
        <w:szCs w:val="20"/>
      </w:rPr>
      <w:t xml:space="preserve">Publication WP 5 Medical Devices </w:t>
    </w:r>
    <w:r>
      <w:rPr>
        <w:sz w:val="20"/>
        <w:szCs w:val="20"/>
      </w:rPr>
      <w:t>E Neugebauer Version 7 2017 03 10</w:t>
    </w:r>
  </w:p>
  <w:p w:rsidR="00270FAE" w:rsidRDefault="00E633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E6336E">
      <w:pPr>
        <w:spacing w:after="0" w:line="240" w:lineRule="auto"/>
      </w:pPr>
      <w:r>
        <w:separator/>
      </w:r>
    </w:p>
  </w:footnote>
  <w:footnote w:type="continuationSeparator" w:id="0">
    <w:p w:rsidR="00000000" w:rsidRDefault="00E633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52755313"/>
      <w:docPartObj>
        <w:docPartGallery w:val="Page Numbers (Top of Page)"/>
        <w:docPartUnique/>
      </w:docPartObj>
    </w:sdtPr>
    <w:sdtEndPr>
      <w:rPr>
        <w:noProof/>
      </w:rPr>
    </w:sdtEndPr>
    <w:sdtContent>
      <w:p w:rsidR="00270FAE" w:rsidRDefault="00CD031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6336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70FAE" w:rsidRDefault="00E6336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AE4148"/>
    <w:multiLevelType w:val="hybridMultilevel"/>
    <w:tmpl w:val="5E1E2158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visionView w:inkAnnotations="0"/>
  <w:defaultTabStop w:val="1304"/>
  <w:hyphenationZone w:val="425"/>
  <w:characterSpacingControl w:val="doNotCompress"/>
  <w:footnotePr>
    <w:numFmt w:val="lowerRoman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F8D"/>
    <w:rsid w:val="00504F8D"/>
    <w:rsid w:val="00CC4E15"/>
    <w:rsid w:val="00CD031F"/>
    <w:rsid w:val="00E63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BBA11"/>
  <w15:chartTrackingRefBased/>
  <w15:docId w15:val="{9AF9C2B8-463F-47B1-ACAF-EAAF32BEE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504F8D"/>
    <w:pPr>
      <w:spacing w:after="200" w:line="276" w:lineRule="auto"/>
    </w:pPr>
    <w:rPr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031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03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031F"/>
    <w:rPr>
      <w:lang w:val="de-DE"/>
    </w:rPr>
  </w:style>
  <w:style w:type="paragraph" w:styleId="Footer">
    <w:name w:val="footer"/>
    <w:basedOn w:val="Normal"/>
    <w:link w:val="FooterChar"/>
    <w:uiPriority w:val="99"/>
    <w:unhideWhenUsed/>
    <w:rsid w:val="00CD03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031F"/>
    <w:rPr>
      <w:lang w:val="de-DE"/>
    </w:rPr>
  </w:style>
  <w:style w:type="character" w:styleId="LineNumber">
    <w:name w:val="line number"/>
    <w:basedOn w:val="DefaultParagraphFont"/>
    <w:uiPriority w:val="99"/>
    <w:semiHidden/>
    <w:unhideWhenUsed/>
    <w:rsid w:val="00CD03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657</Words>
  <Characters>4011</Characters>
  <Application>Microsoft Office Word</Application>
  <DocSecurity>4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Snezana Djurisic</dc:creator>
  <cp:keywords/>
  <dc:description/>
  <cp:lastModifiedBy>Snezana Djurisic</cp:lastModifiedBy>
  <cp:revision>2</cp:revision>
  <dcterms:created xsi:type="dcterms:W3CDTF">2017-03-17T15:14:00Z</dcterms:created>
  <dcterms:modified xsi:type="dcterms:W3CDTF">2017-03-17T15:14:00Z</dcterms:modified>
</cp:coreProperties>
</file>