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635" w:rsidRDefault="00864237" w:rsidP="00155635">
      <w:pPr>
        <w:contextualSpacing/>
        <w:rPr>
          <w:b/>
        </w:rPr>
      </w:pPr>
      <w:r>
        <w:rPr>
          <w:b/>
        </w:rPr>
        <w:t>Additional file</w:t>
      </w:r>
      <w:bookmarkStart w:id="0" w:name="_GoBack"/>
      <w:bookmarkEnd w:id="0"/>
      <w:r w:rsidR="00155635">
        <w:rPr>
          <w:b/>
        </w:rPr>
        <w:t xml:space="preserve"> 1. </w:t>
      </w:r>
      <w:r w:rsidR="00155635" w:rsidRPr="003244C5">
        <w:t>Summary of trial registration data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9128"/>
      </w:tblGrid>
      <w:tr w:rsidR="00155635" w:rsidRPr="00E568A1" w:rsidTr="00885D69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55635" w:rsidRPr="00E568A1" w:rsidRDefault="00155635" w:rsidP="00885D69">
            <w:pPr>
              <w:spacing w:line="240" w:lineRule="auto"/>
              <w:contextualSpacing/>
              <w:jc w:val="left"/>
              <w:rPr>
                <w:rFonts w:eastAsia="Times New Roman" w:cs="Times New Roman"/>
                <w:b/>
                <w:szCs w:val="24"/>
              </w:rPr>
            </w:pPr>
            <w:r w:rsidRPr="00E568A1">
              <w:rPr>
                <w:rFonts w:eastAsia="Times New Roman" w:cs="Times New Roman"/>
                <w:b/>
                <w:szCs w:val="24"/>
              </w:rPr>
              <w:t>Data category</w:t>
            </w:r>
          </w:p>
        </w:tc>
        <w:tc>
          <w:tcPr>
            <w:tcW w:w="9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155635" w:rsidRPr="00E568A1" w:rsidRDefault="00155635" w:rsidP="00885D69">
            <w:pPr>
              <w:spacing w:line="240" w:lineRule="auto"/>
              <w:contextualSpacing/>
              <w:jc w:val="left"/>
              <w:rPr>
                <w:rFonts w:eastAsia="Times New Roman" w:cs="Times New Roman"/>
                <w:b/>
                <w:szCs w:val="24"/>
              </w:rPr>
            </w:pPr>
            <w:r w:rsidRPr="00E568A1">
              <w:rPr>
                <w:rFonts w:eastAsia="Times New Roman" w:cs="Times New Roman"/>
                <w:b/>
                <w:szCs w:val="24"/>
              </w:rPr>
              <w:t>Information</w:t>
            </w:r>
          </w:p>
        </w:tc>
      </w:tr>
      <w:tr w:rsidR="00155635" w:rsidTr="00885D69">
        <w:tc>
          <w:tcPr>
            <w:tcW w:w="4820" w:type="dxa"/>
            <w:tcBorders>
              <w:top w:val="single" w:sz="4" w:space="0" w:color="auto"/>
            </w:tcBorders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Primary registry and trial identifying number</w:t>
            </w:r>
          </w:p>
        </w:tc>
        <w:tc>
          <w:tcPr>
            <w:tcW w:w="9128" w:type="dxa"/>
            <w:tcBorders>
              <w:top w:val="single" w:sz="4" w:space="0" w:color="auto"/>
            </w:tcBorders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Australian and New Zealand Clinical Trials Registry (ACTRN12614000317695)</w:t>
            </w:r>
          </w:p>
        </w:tc>
      </w:tr>
      <w:tr w:rsidR="00155635" w:rsidTr="00885D69">
        <w:trPr>
          <w:trHeight w:val="134"/>
        </w:trPr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Date of registration in primary registry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25 March, 2014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Secondary identifying numbers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De</w:t>
            </w:r>
            <w:r>
              <w:t xml:space="preserve">akin University (HREC 2013-184); </w:t>
            </w:r>
            <w:r w:rsidRPr="003458F7">
              <w:t>Alfred Health (Project No: 455/15)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Source(s) of monetary or material support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Deakin University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Primary sponsor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Deakin University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Secondary sponsor(s)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 xml:space="preserve">YMCA Victoria; </w:t>
            </w:r>
            <w:proofErr w:type="spellStart"/>
            <w:r>
              <w:t>Ostelin</w:t>
            </w:r>
            <w:proofErr w:type="spellEnd"/>
            <w:r>
              <w:t xml:space="preserve">; </w:t>
            </w:r>
            <w:proofErr w:type="spellStart"/>
            <w:r>
              <w:t>Omniblend</w:t>
            </w:r>
            <w:proofErr w:type="spellEnd"/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Contact for public queries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Dr Steve Fraser</w:t>
            </w:r>
            <w:r>
              <w:t xml:space="preserve"> [steve.fraser@deakin.edu.au]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Contact for scientific queries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Dr Steve Fraser</w:t>
            </w:r>
            <w:r>
              <w:t xml:space="preserve"> [steve.fraser@deakin.edu.au]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Public title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The efficacy of exercise training and nutritional supplementation in prostate cancer survivors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Scientific title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The efficacy of resistance exercise training and nutritional supplementation of calcium, vitamin D and protein on musculoskeletal health, cardiometabolic risk factors and health-related quality of life in prostate cancer survivors treated with androgen deprivation therapy when compared to usual care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Countries of recruitment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Australia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Health condition(s) or problem(s) studied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458F7">
              <w:t>Prostate cancer survivors treated with androgen deprivation therapy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Intervention(s)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Intervention: Multi-component resistance and impact loading exercise program and a daily protein (25 g), calcium (~480 mg elemental) and vitamin D (2000 IU) enriched supplement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Default="00155635" w:rsidP="00885D69">
            <w:pPr>
              <w:spacing w:line="240" w:lineRule="auto"/>
              <w:contextualSpacing/>
            </w:pPr>
            <w:r>
              <w:t>Control: Usual care (including 1000 IU/d vitamin D)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Key inclusion and exclusion criteria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Ages eligible for study: 50-85 years; Sexes eligible for study: Male; Accepts healthy volunteers: No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Inclusion criteria: Men aged 50-85 year currently treated with pharmacological androgen deprivation therapy for histologically diagnosed prostate cancer for greater than 12 weeks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Exclusion criteria: do not have the ability to complete surveys in the English language; any disorder known to affect bone, calcium or vitamin D metabolism (other than hypogonadism); currently receiving pharmacological intervention known to affect bone metabolism (other than androgen deprivation therapy); supplementation with protein, calcium (&gt;600 mg/d) or vitamin D (&gt;1000 IU/d) in the past three months; have undertaken progressive resistance training (&gt;1 session/</w:t>
            </w:r>
            <w:proofErr w:type="spellStart"/>
            <w:r>
              <w:t>wk</w:t>
            </w:r>
            <w:proofErr w:type="spellEnd"/>
            <w:r>
              <w:t>) or high impact weight bearing exercise (&gt;150 min/</w:t>
            </w:r>
            <w:proofErr w:type="spellStart"/>
            <w:r>
              <w:t>wk</w:t>
            </w:r>
            <w:proofErr w:type="spellEnd"/>
            <w:r>
              <w:t xml:space="preserve">) in the past three months; current smokers; weight greater than 159kg; have plans to travel for greater </w:t>
            </w:r>
            <w:r>
              <w:lastRenderedPageBreak/>
              <w:t xml:space="preserve">than six weeks continuously within the following 52 weeks; any absolute contraindications to exercise training according to the American College of Sports Medicine guidelines 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lastRenderedPageBreak/>
              <w:t>Study type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Interventional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Default="00155635" w:rsidP="00885D69">
            <w:pPr>
              <w:spacing w:line="240" w:lineRule="auto"/>
              <w:contextualSpacing/>
            </w:pPr>
            <w:r>
              <w:t>Allocation: randomised; Intervention model; parallel assignment; Masking: Open (masking not used)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Default="00155635" w:rsidP="00885D69">
            <w:pPr>
              <w:spacing w:line="240" w:lineRule="auto"/>
              <w:contextualSpacing/>
            </w:pPr>
            <w:r>
              <w:t>Primary purpose: Treatment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</w:p>
        </w:tc>
        <w:tc>
          <w:tcPr>
            <w:tcW w:w="9128" w:type="dxa"/>
          </w:tcPr>
          <w:p w:rsidR="00155635" w:rsidRDefault="00155635" w:rsidP="00885D69">
            <w:pPr>
              <w:spacing w:line="240" w:lineRule="auto"/>
              <w:contextualSpacing/>
            </w:pPr>
            <w:r>
              <w:t>Phase IV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Date of first enrolment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August, 2014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Target sample size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102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Recruitment status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>
              <w:t>Recruiting</w:t>
            </w:r>
          </w:p>
        </w:tc>
      </w:tr>
      <w:tr w:rsidR="00155635" w:rsidTr="00885D69">
        <w:tc>
          <w:tcPr>
            <w:tcW w:w="4820" w:type="dxa"/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Primary outcome(s)</w:t>
            </w:r>
          </w:p>
        </w:tc>
        <w:tc>
          <w:tcPr>
            <w:tcW w:w="9128" w:type="dxa"/>
          </w:tcPr>
          <w:p w:rsidR="00155635" w:rsidRPr="003458F7" w:rsidRDefault="00155635" w:rsidP="00885D69">
            <w:pPr>
              <w:spacing w:line="240" w:lineRule="auto"/>
              <w:contextualSpacing/>
            </w:pPr>
            <w:r w:rsidRPr="0039392F">
              <w:t>Areal bone mineral density</w:t>
            </w:r>
          </w:p>
        </w:tc>
      </w:tr>
      <w:tr w:rsidR="00155635" w:rsidTr="00885D69">
        <w:tc>
          <w:tcPr>
            <w:tcW w:w="4820" w:type="dxa"/>
            <w:tcBorders>
              <w:bottom w:val="single" w:sz="4" w:space="0" w:color="auto"/>
            </w:tcBorders>
          </w:tcPr>
          <w:p w:rsidR="00155635" w:rsidRPr="003244C5" w:rsidRDefault="00155635" w:rsidP="00885D69">
            <w:pPr>
              <w:spacing w:line="240" w:lineRule="auto"/>
              <w:contextualSpacing/>
            </w:pPr>
            <w:r w:rsidRPr="003244C5">
              <w:t>Key secondary outcomes</w:t>
            </w:r>
          </w:p>
        </w:tc>
        <w:tc>
          <w:tcPr>
            <w:tcW w:w="9128" w:type="dxa"/>
            <w:tcBorders>
              <w:bottom w:val="single" w:sz="4" w:space="0" w:color="auto"/>
            </w:tcBorders>
          </w:tcPr>
          <w:p w:rsidR="00155635" w:rsidRPr="003244C5" w:rsidRDefault="00155635" w:rsidP="00885D69">
            <w:pPr>
              <w:spacing w:line="240" w:lineRule="auto"/>
              <w:contextualSpacing/>
              <w:jc w:val="left"/>
              <w:rPr>
                <w:rFonts w:cs="Times New Roman"/>
                <w:szCs w:val="24"/>
              </w:rPr>
            </w:pPr>
            <w:r w:rsidRPr="003244C5">
              <w:rPr>
                <w:rFonts w:cs="Times New Roman"/>
                <w:szCs w:val="24"/>
              </w:rPr>
              <w:t>Bone structure and strength</w:t>
            </w:r>
            <w:r>
              <w:rPr>
                <w:rFonts w:cs="Times New Roman"/>
                <w:szCs w:val="24"/>
              </w:rPr>
              <w:t xml:space="preserve">; Body composition; Muscle strength; Functional capacity; </w:t>
            </w:r>
            <w:r w:rsidRPr="003244C5">
              <w:rPr>
                <w:rFonts w:cs="Times New Roman"/>
                <w:szCs w:val="24"/>
              </w:rPr>
              <w:t>Biochemistry and lipids</w:t>
            </w:r>
            <w:r>
              <w:rPr>
                <w:rFonts w:cs="Times New Roman"/>
                <w:szCs w:val="24"/>
              </w:rPr>
              <w:t xml:space="preserve">; </w:t>
            </w:r>
            <w:r w:rsidRPr="003244C5">
              <w:rPr>
                <w:rFonts w:cs="Times New Roman"/>
                <w:szCs w:val="24"/>
              </w:rPr>
              <w:t>Inflammatory markers</w:t>
            </w:r>
            <w:r>
              <w:rPr>
                <w:rFonts w:cs="Times New Roman"/>
                <w:szCs w:val="24"/>
              </w:rPr>
              <w:t xml:space="preserve">; </w:t>
            </w:r>
            <w:r w:rsidRPr="003244C5">
              <w:rPr>
                <w:rFonts w:cs="Times New Roman"/>
                <w:szCs w:val="24"/>
              </w:rPr>
              <w:t>Blood pressure</w:t>
            </w:r>
            <w:r>
              <w:rPr>
                <w:rFonts w:cs="Times New Roman"/>
                <w:szCs w:val="24"/>
              </w:rPr>
              <w:t xml:space="preserve">; </w:t>
            </w:r>
            <w:r w:rsidRPr="003244C5">
              <w:rPr>
                <w:rFonts w:cs="Times New Roman"/>
                <w:szCs w:val="24"/>
              </w:rPr>
              <w:t>Cognitive function</w:t>
            </w:r>
            <w:r>
              <w:rPr>
                <w:rFonts w:cs="Times New Roman"/>
                <w:szCs w:val="24"/>
              </w:rPr>
              <w:t xml:space="preserve">; </w:t>
            </w:r>
            <w:r w:rsidRPr="003244C5">
              <w:rPr>
                <w:rFonts w:cs="Times New Roman"/>
                <w:szCs w:val="24"/>
              </w:rPr>
              <w:t>Health-related quality of life, fatigue and mood</w:t>
            </w:r>
          </w:p>
        </w:tc>
      </w:tr>
    </w:tbl>
    <w:p w:rsidR="00155635" w:rsidRDefault="00155635" w:rsidP="00155635">
      <w:pPr>
        <w:contextualSpacing/>
        <w:rPr>
          <w:b/>
        </w:rPr>
      </w:pPr>
    </w:p>
    <w:p w:rsidR="00653094" w:rsidRPr="00155635" w:rsidRDefault="00653094" w:rsidP="00155635"/>
    <w:sectPr w:rsidR="00653094" w:rsidRPr="00155635" w:rsidSect="00E261D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D8"/>
    <w:rsid w:val="00105A54"/>
    <w:rsid w:val="00155635"/>
    <w:rsid w:val="00653094"/>
    <w:rsid w:val="00767972"/>
    <w:rsid w:val="00864237"/>
    <w:rsid w:val="00A0195C"/>
    <w:rsid w:val="00C12D05"/>
    <w:rsid w:val="00E261D8"/>
    <w:rsid w:val="00FE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AB8B7-06AD-4A60-AA0F-415524FB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1D8"/>
    <w:pPr>
      <w:spacing w:after="0" w:line="480" w:lineRule="auto"/>
      <w:jc w:val="both"/>
    </w:pPr>
    <w:rPr>
      <w:rFonts w:ascii="Times New Roman" w:eastAsiaTheme="minorEastAsia" w:hAnsi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95C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95C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0195C"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05A54"/>
    <w:pPr>
      <w:spacing w:before="40"/>
      <w:contextualSpacing/>
      <w:outlineLvl w:val="3"/>
    </w:pPr>
    <w:rPr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Owen">
    <w:name w:val="Pat Owen"/>
    <w:basedOn w:val="Normal"/>
    <w:link w:val="PatOwenChar"/>
    <w:rsid w:val="00A0195C"/>
  </w:style>
  <w:style w:type="character" w:customStyle="1" w:styleId="PatOwenChar">
    <w:name w:val="Pat Owen Char"/>
    <w:basedOn w:val="DefaultParagraphFont"/>
    <w:link w:val="PatOwen"/>
    <w:rsid w:val="00A0195C"/>
    <w:rPr>
      <w:rFonts w:ascii="Times New Roman" w:eastAsiaTheme="minorEastAsia" w:hAnsi="Times New Roman"/>
      <w:sz w:val="24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A0195C"/>
    <w:pPr>
      <w:jc w:val="center"/>
    </w:pPr>
    <w:rPr>
      <w:rFonts w:cs="Times New Roman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0195C"/>
    <w:rPr>
      <w:rFonts w:ascii="Times New Roman" w:eastAsiaTheme="minorEastAsia" w:hAnsi="Times New Roman" w:cs="Times New Roman"/>
      <w:noProof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A0195C"/>
    <w:pPr>
      <w:spacing w:line="240" w:lineRule="auto"/>
    </w:pPr>
    <w:rPr>
      <w:rFonts w:cs="Times New Roman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0195C"/>
    <w:rPr>
      <w:rFonts w:ascii="Times New Roman" w:eastAsiaTheme="minorEastAsia" w:hAnsi="Times New Roman" w:cs="Times New Roman"/>
      <w:noProof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0195C"/>
    <w:rPr>
      <w:rFonts w:ascii="Times New Roman" w:eastAsiaTheme="majorEastAsia" w:hAnsi="Times New Roman" w:cstheme="majorBidi"/>
      <w:b/>
      <w:bCs/>
      <w:sz w:val="28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A0195C"/>
    <w:rPr>
      <w:rFonts w:ascii="Times New Roman" w:eastAsiaTheme="majorEastAsia" w:hAnsi="Times New Roman" w:cstheme="majorBidi"/>
      <w:b/>
      <w:bCs/>
      <w:sz w:val="24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A0195C"/>
    <w:rPr>
      <w:rFonts w:ascii="Times New Roman" w:eastAsiaTheme="majorEastAsia" w:hAnsi="Times New Roman" w:cstheme="majorBidi"/>
      <w:b/>
      <w:bCs/>
      <w:sz w:val="24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105A54"/>
    <w:rPr>
      <w:rFonts w:ascii="Times New Roman" w:eastAsiaTheme="majorEastAsia" w:hAnsi="Times New Roman" w:cstheme="majorBidi"/>
      <w:b/>
      <w:bCs/>
      <w:i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A0195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0195C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A0195C"/>
    <w:pPr>
      <w:spacing w:after="100"/>
      <w:ind w:left="48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A019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95C"/>
    <w:rPr>
      <w:rFonts w:ascii="Times New Roman" w:eastAsiaTheme="minorEastAsia" w:hAnsi="Times New Roman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0195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95C"/>
    <w:rPr>
      <w:rFonts w:ascii="Times New Roman" w:eastAsiaTheme="minorEastAsia" w:hAnsi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0195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95C"/>
    <w:rPr>
      <w:rFonts w:ascii="Times New Roman" w:eastAsiaTheme="minorEastAsia" w:hAnsi="Times New Roman"/>
      <w:sz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A0195C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0195C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A0195C"/>
  </w:style>
  <w:style w:type="character" w:customStyle="1" w:styleId="DateChar">
    <w:name w:val="Date Char"/>
    <w:basedOn w:val="DefaultParagraphFont"/>
    <w:link w:val="Date"/>
    <w:uiPriority w:val="99"/>
    <w:semiHidden/>
    <w:rsid w:val="00A0195C"/>
    <w:rPr>
      <w:rFonts w:ascii="Times New Roman" w:eastAsiaTheme="minorEastAsia" w:hAnsi="Times New Roman"/>
      <w:sz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A0195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rsid w:val="00A0195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9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95C"/>
    <w:rPr>
      <w:rFonts w:ascii="Tahoma" w:eastAsiaTheme="minorEastAsia" w:hAnsi="Tahoma" w:cs="Tahoma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A0195C"/>
    <w:pPr>
      <w:spacing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0195C"/>
    <w:rPr>
      <w:color w:val="808080"/>
    </w:rPr>
  </w:style>
  <w:style w:type="paragraph" w:styleId="NoSpacing">
    <w:name w:val="No Spacing"/>
    <w:uiPriority w:val="1"/>
    <w:rsid w:val="00A0195C"/>
    <w:pPr>
      <w:spacing w:line="240" w:lineRule="auto"/>
      <w:contextualSpacing/>
    </w:pPr>
  </w:style>
  <w:style w:type="table" w:styleId="LightShading">
    <w:name w:val="Light Shading"/>
    <w:basedOn w:val="TableNormal"/>
    <w:uiPriority w:val="60"/>
    <w:rsid w:val="00A0195C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0195C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Paragraph">
    <w:name w:val="List Paragraph"/>
    <w:basedOn w:val="Normal"/>
    <w:uiPriority w:val="34"/>
    <w:rsid w:val="00A0195C"/>
    <w:pPr>
      <w:ind w:left="7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195C"/>
    <w:pPr>
      <w:spacing w:before="480"/>
      <w:outlineLvl w:val="9"/>
    </w:pPr>
    <w:rPr>
      <w:rFonts w:asciiTheme="majorHAnsi" w:hAnsiTheme="majorHAnsi"/>
      <w:color w:val="2E74B5" w:themeColor="accent1" w:themeShade="BF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Owen</dc:creator>
  <cp:keywords/>
  <dc:description/>
  <cp:lastModifiedBy>Pat Owen</cp:lastModifiedBy>
  <cp:revision>3</cp:revision>
  <dcterms:created xsi:type="dcterms:W3CDTF">2016-12-30T21:51:00Z</dcterms:created>
  <dcterms:modified xsi:type="dcterms:W3CDTF">2016-12-31T01:45:00Z</dcterms:modified>
</cp:coreProperties>
</file>