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2D" w:rsidRDefault="000F728F" w:rsidP="008100B6">
      <w:pPr>
        <w:pStyle w:val="Heading1"/>
        <w:rPr>
          <w:color w:val="7030A0"/>
        </w:rPr>
      </w:pPr>
      <w:r>
        <w:rPr>
          <w:color w:val="7030A0"/>
        </w:rPr>
        <w:t xml:space="preserve">Additional file 2: </w:t>
      </w:r>
      <w:r w:rsidR="00C4168E">
        <w:rPr>
          <w:color w:val="7030A0"/>
        </w:rPr>
        <w:t xml:space="preserve">Figure </w:t>
      </w:r>
      <w:proofErr w:type="spellStart"/>
      <w:r>
        <w:rPr>
          <w:color w:val="7030A0"/>
        </w:rPr>
        <w:t>S</w:t>
      </w:r>
      <w:r w:rsidR="00C4168E">
        <w:rPr>
          <w:color w:val="7030A0"/>
        </w:rPr>
        <w:t>3</w:t>
      </w:r>
      <w:proofErr w:type="spellEnd"/>
      <w:r>
        <w:rPr>
          <w:color w:val="7030A0"/>
        </w:rPr>
        <w:t>.</w:t>
      </w:r>
      <w:r w:rsidR="008100B6" w:rsidRPr="008100B6">
        <w:rPr>
          <w:color w:val="7030A0"/>
        </w:rPr>
        <w:t xml:space="preserve"> Additional i</w:t>
      </w:r>
      <w:r>
        <w:rPr>
          <w:color w:val="7030A0"/>
        </w:rPr>
        <w:t>nformation on outcome measures</w:t>
      </w:r>
    </w:p>
    <w:p w:rsidR="004A077A" w:rsidRPr="008100B6" w:rsidRDefault="004A077A" w:rsidP="008100B6"/>
    <w:tbl>
      <w:tblPr>
        <w:tblStyle w:val="TableGrid"/>
        <w:tblpPr w:leftFromText="181" w:rightFromText="181" w:vertAnchor="text" w:horzAnchor="margin" w:tblpY="1"/>
        <w:tblOverlap w:val="never"/>
        <w:tblW w:w="9776" w:type="dxa"/>
        <w:tblLook w:val="04A0"/>
      </w:tblPr>
      <w:tblGrid>
        <w:gridCol w:w="1271"/>
        <w:gridCol w:w="2126"/>
        <w:gridCol w:w="2552"/>
        <w:gridCol w:w="3827"/>
      </w:tblGrid>
      <w:tr w:rsidR="00993F91" w:rsidTr="00095EAA">
        <w:tc>
          <w:tcPr>
            <w:tcW w:w="1271" w:type="dxa"/>
            <w:shd w:val="clear" w:color="auto" w:fill="BFBFBF" w:themeFill="background1" w:themeFillShade="BF"/>
          </w:tcPr>
          <w:p w:rsidR="008100B6" w:rsidRPr="005C06FD" w:rsidRDefault="008100B6" w:rsidP="00FE67E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C06FD">
              <w:rPr>
                <w:rFonts w:ascii="Arial" w:hAnsi="Arial" w:cs="Arial"/>
                <w:b/>
              </w:rPr>
              <w:t>Source of data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8100B6" w:rsidRPr="005C06FD" w:rsidRDefault="008100B6" w:rsidP="00FE67E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C06F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:rsidR="008100B6" w:rsidRPr="005C06FD" w:rsidRDefault="008100B6" w:rsidP="00FE67E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C06FD">
              <w:rPr>
                <w:rFonts w:ascii="Arial" w:hAnsi="Arial" w:cs="Arial"/>
                <w:b/>
              </w:rPr>
              <w:t>Instrument</w:t>
            </w:r>
          </w:p>
        </w:tc>
        <w:tc>
          <w:tcPr>
            <w:tcW w:w="3827" w:type="dxa"/>
            <w:shd w:val="clear" w:color="auto" w:fill="BFBFBF" w:themeFill="background1" w:themeFillShade="BF"/>
          </w:tcPr>
          <w:p w:rsidR="008100B6" w:rsidRDefault="008100B6" w:rsidP="00FE67E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5C06FD">
              <w:rPr>
                <w:rFonts w:ascii="Arial" w:hAnsi="Arial" w:cs="Arial"/>
                <w:b/>
              </w:rPr>
              <w:t>Data collection time points</w:t>
            </w:r>
          </w:p>
          <w:p w:rsidR="00993F91" w:rsidRPr="005C06FD" w:rsidRDefault="00993F91" w:rsidP="00FE67E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Cognition</w:t>
            </w:r>
          </w:p>
        </w:tc>
        <w:tc>
          <w:tcPr>
            <w:tcW w:w="2552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MMSE-2: SV [1]</w:t>
            </w:r>
          </w:p>
        </w:tc>
        <w:tc>
          <w:tcPr>
            <w:tcW w:w="3827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Quality of Life</w:t>
            </w:r>
          </w:p>
        </w:tc>
        <w:tc>
          <w:tcPr>
            <w:tcW w:w="2552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DEMQOL</w:t>
            </w:r>
            <w:r w:rsidR="00DD404C" w:rsidRPr="005C06FD">
              <w:rPr>
                <w:rFonts w:ascii="Arial" w:eastAsia="Times New Roman" w:hAnsi="Arial" w:cs="Arial"/>
                <w:bCs/>
                <w:lang w:val="en-US"/>
              </w:rPr>
              <w:t xml:space="preserve"> [2]</w:t>
            </w:r>
          </w:p>
        </w:tc>
        <w:tc>
          <w:tcPr>
            <w:tcW w:w="3827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0F349B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Quality of Life</w:t>
            </w:r>
          </w:p>
        </w:tc>
        <w:tc>
          <w:tcPr>
            <w:tcW w:w="2552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EQ-5D-5L self-complete</w:t>
            </w:r>
            <w:r w:rsidR="00CF3C6D" w:rsidRPr="005C06FD">
              <w:rPr>
                <w:rFonts w:ascii="Arial" w:eastAsia="Times New Roman" w:hAnsi="Arial" w:cs="Arial"/>
                <w:bCs/>
                <w:lang w:val="en-US"/>
              </w:rPr>
              <w:t xml:space="preserve"> [3]</w:t>
            </w:r>
          </w:p>
        </w:tc>
        <w:tc>
          <w:tcPr>
            <w:tcW w:w="3827" w:type="dxa"/>
          </w:tcPr>
          <w:p w:rsidR="008100B6" w:rsidRPr="005C06FD" w:rsidRDefault="008100B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 xml:space="preserve">Patient perspective on care </w:t>
            </w:r>
          </w:p>
        </w:tc>
        <w:tc>
          <w:tcPr>
            <w:tcW w:w="2552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5C06FD">
              <w:rPr>
                <w:rFonts w:ascii="Arial" w:eastAsia="Times New Roman" w:hAnsi="Arial" w:cs="Arial"/>
                <w:bCs/>
                <w:lang w:val="en-US"/>
              </w:rPr>
              <w:t>howRwe</w:t>
            </w:r>
            <w:proofErr w:type="spellEnd"/>
            <w:r w:rsidR="00CF3C6D" w:rsidRPr="005C06FD">
              <w:rPr>
                <w:rFonts w:ascii="Arial" w:eastAsia="Times New Roman" w:hAnsi="Arial" w:cs="Arial"/>
                <w:bCs/>
                <w:lang w:val="en-US"/>
              </w:rPr>
              <w:t xml:space="preserve"> [4]</w:t>
            </w:r>
          </w:p>
        </w:tc>
        <w:tc>
          <w:tcPr>
            <w:tcW w:w="3827" w:type="dxa"/>
          </w:tcPr>
          <w:p w:rsidR="008100B6" w:rsidRPr="005C06FD" w:rsidRDefault="00DD404C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</w:t>
            </w:r>
            <w:r w:rsidRPr="006031CC">
              <w:rPr>
                <w:rFonts w:ascii="Arial" w:hAnsi="Arial" w:cs="Arial"/>
              </w:rPr>
              <w:t>*</w:t>
            </w:r>
            <w:r w:rsidR="00FE67E1">
              <w:rPr>
                <w:rFonts w:ascii="Arial" w:hAnsi="Arial" w:cs="Arial"/>
              </w:rPr>
              <w:t xml:space="preserve"> (1 month, ±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DD404C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Cognition</w:t>
            </w:r>
          </w:p>
        </w:tc>
        <w:tc>
          <w:tcPr>
            <w:tcW w:w="2552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Clinical Dementia Rating (CDR)</w:t>
            </w:r>
            <w:r w:rsidR="00CF3C6D" w:rsidRPr="005C06FD">
              <w:rPr>
                <w:rFonts w:ascii="Arial" w:eastAsia="Times New Roman" w:hAnsi="Arial" w:cs="Arial"/>
                <w:bCs/>
                <w:lang w:val="en-US"/>
              </w:rPr>
              <w:t xml:space="preserve"> [5]</w:t>
            </w:r>
          </w:p>
        </w:tc>
        <w:tc>
          <w:tcPr>
            <w:tcW w:w="3827" w:type="dxa"/>
          </w:tcPr>
          <w:p w:rsidR="008100B6" w:rsidRPr="005C06FD" w:rsidRDefault="00DD404C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T3 (6 months, ±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 xml:space="preserve">Case note review </w:t>
            </w:r>
            <w:r w:rsidR="001E4008">
              <w:rPr>
                <w:rFonts w:ascii="Arial" w:hAnsi="Arial" w:cs="Arial"/>
              </w:rPr>
              <w:t>tool, not yet in public domain</w:t>
            </w:r>
          </w:p>
        </w:tc>
        <w:tc>
          <w:tcPr>
            <w:tcW w:w="2552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 care profile</w:t>
            </w:r>
          </w:p>
        </w:tc>
        <w:tc>
          <w:tcPr>
            <w:tcW w:w="3827" w:type="dxa"/>
          </w:tcPr>
          <w:p w:rsidR="008100B6" w:rsidRPr="005C06FD" w:rsidRDefault="00385A5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</w:t>
            </w:r>
            <w:r w:rsidRPr="001E4008">
              <w:rPr>
                <w:rFonts w:ascii="Arial" w:hAnsi="Arial" w:cs="Arial"/>
              </w:rPr>
              <w:t>1*</w:t>
            </w:r>
            <w:r w:rsidRPr="005C06FD">
              <w:rPr>
                <w:rFonts w:ascii="Arial" w:hAnsi="Arial" w:cs="Arial"/>
              </w:rPr>
              <w:t xml:space="preserve"> (1 month, ±</w:t>
            </w:r>
            <w:r w:rsidR="00FE67E1">
              <w:rPr>
                <w:rFonts w:ascii="Arial" w:hAnsi="Arial" w:cs="Arial"/>
              </w:rPr>
              <w:t xml:space="preserve">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Patient</w:t>
            </w:r>
          </w:p>
        </w:tc>
        <w:tc>
          <w:tcPr>
            <w:tcW w:w="2126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Mobility</w:t>
            </w:r>
          </w:p>
        </w:tc>
        <w:tc>
          <w:tcPr>
            <w:tcW w:w="2552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Timed Up &amp; Go</w:t>
            </w:r>
            <w:r w:rsidR="00385A56" w:rsidRPr="005C06FD">
              <w:rPr>
                <w:rFonts w:ascii="Arial" w:eastAsia="Times New Roman" w:hAnsi="Arial" w:cs="Arial"/>
                <w:bCs/>
                <w:lang w:val="en-US"/>
              </w:rPr>
              <w:t xml:space="preserve"> [6]</w:t>
            </w:r>
          </w:p>
        </w:tc>
        <w:tc>
          <w:tcPr>
            <w:tcW w:w="3827" w:type="dxa"/>
          </w:tcPr>
          <w:p w:rsidR="008100B6" w:rsidRPr="005C06FD" w:rsidRDefault="00385A5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T2 (3 months, ± 5 days)</w:t>
            </w:r>
          </w:p>
        </w:tc>
      </w:tr>
      <w:tr w:rsidR="00993F91" w:rsidTr="00095EAA">
        <w:tc>
          <w:tcPr>
            <w:tcW w:w="1271" w:type="dxa"/>
          </w:tcPr>
          <w:p w:rsidR="008100B6" w:rsidRPr="005C06FD" w:rsidRDefault="008100B6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8100B6" w:rsidRPr="005C06FD" w:rsidRDefault="007120C3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Physical function for activities for daily living</w:t>
            </w:r>
          </w:p>
        </w:tc>
        <w:tc>
          <w:tcPr>
            <w:tcW w:w="2552" w:type="dxa"/>
          </w:tcPr>
          <w:p w:rsidR="008100B6" w:rsidRPr="005C06FD" w:rsidRDefault="004C349A" w:rsidP="000F349B">
            <w:pPr>
              <w:spacing w:line="360" w:lineRule="auto"/>
              <w:rPr>
                <w:rFonts w:ascii="Arial" w:hAnsi="Arial" w:cs="Arial"/>
              </w:rPr>
            </w:pPr>
            <w:hyperlink r:id="rId8" w:history="1">
              <w:r w:rsidR="00385A56" w:rsidRPr="005C06FD">
                <w:rPr>
                  <w:rFonts w:ascii="Arial" w:eastAsia="Times New Roman" w:hAnsi="Arial" w:cs="Arial"/>
                  <w:color w:val="000000" w:themeColor="text1"/>
                  <w:lang w:eastAsia="en-GB"/>
                </w:rPr>
                <w:t>Bristol Activities of Daily Living Scale</w:t>
              </w:r>
            </w:hyperlink>
            <w:r w:rsidR="00385A56" w:rsidRPr="005C06FD">
              <w:rPr>
                <w:rFonts w:ascii="Arial" w:eastAsia="Times New Roman" w:hAnsi="Arial" w:cs="Arial"/>
                <w:color w:val="000000" w:themeColor="text1"/>
                <w:lang w:eastAsia="en-GB"/>
              </w:rPr>
              <w:t xml:space="preserve"> (</w:t>
            </w:r>
            <w:r w:rsidR="00385A56" w:rsidRPr="005C06FD">
              <w:rPr>
                <w:rFonts w:ascii="Arial" w:eastAsia="Times New Roman" w:hAnsi="Arial" w:cs="Arial"/>
                <w:bCs/>
                <w:lang w:val="en-US"/>
              </w:rPr>
              <w:t>BADLS) [7]</w:t>
            </w:r>
          </w:p>
        </w:tc>
        <w:tc>
          <w:tcPr>
            <w:tcW w:w="3827" w:type="dxa"/>
          </w:tcPr>
          <w:p w:rsidR="008100B6" w:rsidRPr="005C06FD" w:rsidRDefault="00385A56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1E4008" w:rsidTr="00095EAA">
        <w:trPr>
          <w:trHeight w:val="1710"/>
        </w:trPr>
        <w:tc>
          <w:tcPr>
            <w:tcW w:w="1271" w:type="dxa"/>
          </w:tcPr>
          <w:p w:rsidR="001E4008" w:rsidRPr="005C06FD" w:rsidRDefault="001E4008" w:rsidP="000F349B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1E4008" w:rsidRPr="005C06FD" w:rsidRDefault="001E4008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Quality of Life</w:t>
            </w:r>
          </w:p>
        </w:tc>
        <w:tc>
          <w:tcPr>
            <w:tcW w:w="2552" w:type="dxa"/>
          </w:tcPr>
          <w:p w:rsidR="001E4008" w:rsidRPr="005C06FD" w:rsidRDefault="001E4008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DEMQOL-Proxy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 [8]</w:t>
            </w:r>
          </w:p>
        </w:tc>
        <w:tc>
          <w:tcPr>
            <w:tcW w:w="3827" w:type="dxa"/>
          </w:tcPr>
          <w:p w:rsidR="001E4008" w:rsidRPr="005C06FD" w:rsidRDefault="001E4008" w:rsidP="000F349B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4A077A" w:rsidTr="004A077A">
        <w:tc>
          <w:tcPr>
            <w:tcW w:w="1271" w:type="dxa"/>
            <w:shd w:val="clear" w:color="auto" w:fill="auto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 xml:space="preserve">Suitable Informant </w:t>
            </w:r>
          </w:p>
        </w:tc>
        <w:tc>
          <w:tcPr>
            <w:tcW w:w="2126" w:type="dxa"/>
            <w:shd w:val="clear" w:color="auto" w:fill="auto"/>
          </w:tcPr>
          <w:p w:rsidR="004A077A" w:rsidRPr="005C06FD" w:rsidRDefault="004A077A" w:rsidP="00FE67E1">
            <w:pPr>
              <w:spacing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 xml:space="preserve">Quality of </w:t>
            </w:r>
            <w:r>
              <w:rPr>
                <w:rFonts w:ascii="Arial" w:eastAsia="Times New Roman" w:hAnsi="Arial" w:cs="Arial"/>
                <w:bCs/>
                <w:lang w:val="en-US"/>
              </w:rPr>
              <w:t>L</w:t>
            </w:r>
            <w:r w:rsidRPr="005C06FD">
              <w:rPr>
                <w:rFonts w:ascii="Arial" w:eastAsia="Times New Roman" w:hAnsi="Arial" w:cs="Arial"/>
                <w:bCs/>
                <w:lang w:val="en-US"/>
              </w:rPr>
              <w:t>ife</w:t>
            </w:r>
          </w:p>
        </w:tc>
        <w:tc>
          <w:tcPr>
            <w:tcW w:w="2552" w:type="dxa"/>
            <w:shd w:val="clear" w:color="auto" w:fill="auto"/>
          </w:tcPr>
          <w:p w:rsidR="004A077A" w:rsidRPr="005C06FD" w:rsidRDefault="004A077A" w:rsidP="00FE67E1">
            <w:pPr>
              <w:spacing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proofErr w:type="spellStart"/>
            <w:r w:rsidRPr="005C06FD">
              <w:rPr>
                <w:rFonts w:ascii="Arial" w:eastAsia="Times New Roman" w:hAnsi="Arial" w:cs="Arial"/>
                <w:bCs/>
                <w:lang w:val="en-US"/>
              </w:rPr>
              <w:t>EQ-5D-5L</w:t>
            </w:r>
            <w:proofErr w:type="spellEnd"/>
            <w:r w:rsidRPr="005C06FD">
              <w:rPr>
                <w:rFonts w:ascii="Arial" w:eastAsia="Times New Roman" w:hAnsi="Arial" w:cs="Arial"/>
                <w:bCs/>
                <w:lang w:val="en-US"/>
              </w:rPr>
              <w:t xml:space="preserve"> </w:t>
            </w:r>
            <w:proofErr w:type="spellStart"/>
            <w:r w:rsidRPr="005C06FD">
              <w:rPr>
                <w:rFonts w:ascii="Arial" w:eastAsia="Times New Roman" w:hAnsi="Arial" w:cs="Arial"/>
                <w:bCs/>
                <w:lang w:val="en-US"/>
              </w:rPr>
              <w:t>Carer</w:t>
            </w:r>
            <w:proofErr w:type="spellEnd"/>
            <w:r w:rsidRPr="005C06FD">
              <w:rPr>
                <w:rFonts w:ascii="Arial" w:eastAsia="Times New Roman" w:hAnsi="Arial" w:cs="Arial"/>
                <w:bCs/>
                <w:lang w:val="en-US"/>
              </w:rPr>
              <w:t xml:space="preserve"> self-report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 [3]</w:t>
            </w:r>
          </w:p>
        </w:tc>
        <w:tc>
          <w:tcPr>
            <w:tcW w:w="3827" w:type="dxa"/>
            <w:shd w:val="clear" w:color="auto" w:fill="auto"/>
          </w:tcPr>
          <w:p w:rsidR="004A077A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A077A" w:rsidTr="004A077A">
        <w:tc>
          <w:tcPr>
            <w:tcW w:w="1271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after="200" w:line="360" w:lineRule="auto"/>
              <w:jc w:val="center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hAnsi="Arial" w:cs="Arial"/>
                <w:b/>
              </w:rPr>
              <w:lastRenderedPageBreak/>
              <w:t>Source of data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  <w:b/>
              </w:rPr>
              <w:t>Instrument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  <w:b/>
              </w:rPr>
              <w:t>Data collection time points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Service use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 xml:space="preserve">Client Service Receipt Inventory </w:t>
            </w:r>
            <w:r w:rsidRPr="001E4008">
              <w:rPr>
                <w:rFonts w:ascii="Arial" w:eastAsia="Times New Roman" w:hAnsi="Arial" w:cs="Arial"/>
                <w:bCs/>
                <w:lang w:val="en-US"/>
              </w:rPr>
              <w:t>CSRI** [9]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Service use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Number of days in institutional care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T1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Carer </w:t>
            </w:r>
            <w:r w:rsidRPr="005C06FD">
              <w:rPr>
                <w:rFonts w:ascii="Arial" w:hAnsi="Arial" w:cs="Arial"/>
              </w:rPr>
              <w:t>perspective on</w:t>
            </w:r>
            <w:r>
              <w:rPr>
                <w:rFonts w:ascii="Arial" w:hAnsi="Arial" w:cs="Arial"/>
              </w:rPr>
              <w:t xml:space="preserve"> patient</w:t>
            </w:r>
            <w:r w:rsidRPr="005C06FD">
              <w:rPr>
                <w:rFonts w:ascii="Arial" w:hAnsi="Arial" w:cs="Arial"/>
              </w:rPr>
              <w:t xml:space="preserve"> care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5C06FD">
              <w:rPr>
                <w:rFonts w:ascii="Arial" w:eastAsia="Times New Roman" w:hAnsi="Arial" w:cs="Arial"/>
                <w:bCs/>
                <w:lang w:val="en-US"/>
              </w:rPr>
              <w:t>howRthey</w:t>
            </w:r>
            <w:proofErr w:type="spellEnd"/>
            <w:r>
              <w:rPr>
                <w:rFonts w:ascii="Arial" w:eastAsia="Times New Roman" w:hAnsi="Arial" w:cs="Arial"/>
                <w:bCs/>
                <w:lang w:val="en-US"/>
              </w:rPr>
              <w:t xml:space="preserve"> [10]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</w:t>
            </w:r>
            <w:r>
              <w:rPr>
                <w:rFonts w:ascii="Arial" w:hAnsi="Arial" w:cs="Arial"/>
              </w:rPr>
              <w:t>*</w:t>
            </w:r>
            <w:r w:rsidRPr="005C06FD">
              <w:rPr>
                <w:rFonts w:ascii="Arial" w:hAnsi="Arial" w:cs="Arial"/>
              </w:rPr>
              <w:t xml:space="preserve">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Service use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Patient’s place of residence</w:t>
            </w:r>
            <w:r>
              <w:rPr>
                <w:rFonts w:ascii="Arial" w:eastAsia="Calibri" w:hAnsi="Arial" w:cs="Arial"/>
              </w:rPr>
              <w:t xml:space="preserve"> question 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</w:t>
            </w:r>
            <w:r>
              <w:rPr>
                <w:rFonts w:ascii="Arial" w:hAnsi="Arial" w:cs="Arial"/>
              </w:rPr>
              <w:t>***</w:t>
            </w:r>
            <w:r w:rsidRPr="005C06FD">
              <w:rPr>
                <w:rFonts w:ascii="Arial" w:hAnsi="Arial" w:cs="Arial"/>
              </w:rPr>
              <w:t>, T1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Cognition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Clinical Dementia Rating (CDR) [5]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Calibri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Suitable Informant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Cognition</w:t>
            </w:r>
          </w:p>
        </w:tc>
        <w:tc>
          <w:tcPr>
            <w:tcW w:w="2552" w:type="dxa"/>
          </w:tcPr>
          <w:p w:rsidR="004A077A" w:rsidRPr="00030F46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030F46">
              <w:rPr>
                <w:rFonts w:ascii="Arial" w:hAnsi="Arial" w:cs="Arial"/>
              </w:rPr>
              <w:t>Informant Questionnaire on Cognitive Decline in the Elderly (</w:t>
            </w:r>
            <w:r w:rsidRPr="00030F46">
              <w:rPr>
                <w:rFonts w:ascii="Arial" w:eastAsia="Calibri" w:hAnsi="Arial" w:cs="Arial"/>
              </w:rPr>
              <w:t>IQCODE)</w:t>
            </w:r>
            <w:r>
              <w:rPr>
                <w:rFonts w:ascii="Arial" w:eastAsia="Calibri" w:hAnsi="Arial" w:cs="Arial"/>
              </w:rPr>
              <w:t xml:space="preserve"> [11]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</w:t>
            </w:r>
            <w:r>
              <w:rPr>
                <w:rFonts w:ascii="Arial" w:hAnsi="Arial" w:cs="Arial"/>
              </w:rPr>
              <w:t xml:space="preserve"> only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Patient hospital records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Service use</w:t>
            </w:r>
          </w:p>
        </w:tc>
        <w:tc>
          <w:tcPr>
            <w:tcW w:w="2552" w:type="dxa"/>
          </w:tcPr>
          <w:p w:rsidR="004A077A" w:rsidRDefault="004A077A" w:rsidP="00FE67E1">
            <w:pPr>
              <w:spacing w:line="360" w:lineRule="auto"/>
              <w:rPr>
                <w:rFonts w:ascii="Arial" w:eastAsia="Calibri" w:hAnsi="Arial" w:cs="Arial"/>
              </w:rPr>
            </w:pPr>
            <w:r w:rsidRPr="005C06FD">
              <w:rPr>
                <w:rFonts w:ascii="Arial" w:eastAsia="Calibri" w:hAnsi="Arial" w:cs="Arial"/>
              </w:rPr>
              <w:t>Length of stay in index hospitalisation</w:t>
            </w:r>
            <w:r>
              <w:rPr>
                <w:rFonts w:ascii="Arial" w:eastAsia="Calibri" w:hAnsi="Arial" w:cs="Arial"/>
              </w:rPr>
              <w:t xml:space="preserve"> question</w:t>
            </w:r>
          </w:p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T1</w:t>
            </w:r>
            <w:r>
              <w:rPr>
                <w:rFonts w:ascii="Arial" w:hAnsi="Arial" w:cs="Arial"/>
              </w:rPr>
              <w:t>****</w:t>
            </w:r>
            <w:r w:rsidRPr="005C06FD">
              <w:rPr>
                <w:rFonts w:ascii="Arial" w:hAnsi="Arial" w:cs="Arial"/>
              </w:rPr>
              <w:t xml:space="preserve">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  <w:shd w:val="clear" w:color="auto" w:fill="FFFFFF" w:themeFill="background1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Patient hospital records</w:t>
            </w:r>
          </w:p>
        </w:tc>
        <w:tc>
          <w:tcPr>
            <w:tcW w:w="2126" w:type="dxa"/>
            <w:shd w:val="clear" w:color="auto" w:fill="FFFFFF" w:themeFill="background1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Service use</w:t>
            </w:r>
          </w:p>
        </w:tc>
        <w:tc>
          <w:tcPr>
            <w:tcW w:w="2552" w:type="dxa"/>
            <w:shd w:val="clear" w:color="auto" w:fill="FFFFFF" w:themeFill="background1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Discharge destination from index hospitalisation</w:t>
            </w:r>
            <w:r>
              <w:rPr>
                <w:rFonts w:ascii="Arial" w:eastAsia="Calibri" w:hAnsi="Arial" w:cs="Arial"/>
              </w:rPr>
              <w:t xml:space="preserve"> question</w:t>
            </w:r>
          </w:p>
        </w:tc>
        <w:tc>
          <w:tcPr>
            <w:tcW w:w="3827" w:type="dxa"/>
            <w:shd w:val="clear" w:color="auto" w:fill="FFFFFF" w:themeFill="background1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T1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Patient  records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Hospital re-admission rates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Hospital re-admission rates question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T3 (6 months, ± 5 days)</w:t>
            </w:r>
          </w:p>
        </w:tc>
      </w:tr>
      <w:tr w:rsidR="004A077A" w:rsidTr="00560AD6">
        <w:trPr>
          <w:trHeight w:val="1548"/>
        </w:trPr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Patient  records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Hospital service us</w:t>
            </w:r>
            <w:r w:rsidRPr="000F349B">
              <w:rPr>
                <w:rFonts w:ascii="Arial" w:eastAsia="Calibri" w:hAnsi="Arial" w:cs="Arial"/>
              </w:rPr>
              <w:t>e*****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Hospital service use</w:t>
            </w:r>
            <w:r>
              <w:rPr>
                <w:rFonts w:ascii="Arial" w:eastAsia="Calibri" w:hAnsi="Arial" w:cs="Arial"/>
              </w:rPr>
              <w:t xml:space="preserve"> question 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4A077A" w:rsidTr="00FE67E1">
        <w:trPr>
          <w:trHeight w:val="841"/>
        </w:trPr>
        <w:tc>
          <w:tcPr>
            <w:tcW w:w="1271" w:type="dxa"/>
            <w:shd w:val="clear" w:color="auto" w:fill="D9D9D9" w:themeFill="background1" w:themeFillShade="D9"/>
          </w:tcPr>
          <w:p w:rsidR="004A077A" w:rsidRDefault="004A077A" w:rsidP="00FE67E1">
            <w:pPr>
              <w:spacing w:after="200" w:line="360" w:lineRule="auto"/>
              <w:jc w:val="center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  <w:b/>
              </w:rPr>
              <w:lastRenderedPageBreak/>
              <w:t>Source of data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5C06FD">
              <w:rPr>
                <w:rFonts w:ascii="Arial" w:hAnsi="Arial" w:cs="Arial"/>
                <w:b/>
              </w:rPr>
              <w:t>Domain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line="360" w:lineRule="auto"/>
              <w:jc w:val="center"/>
              <w:rPr>
                <w:rFonts w:ascii="Arial" w:eastAsia="Calibri" w:hAnsi="Arial" w:cs="Arial"/>
              </w:rPr>
            </w:pPr>
            <w:r w:rsidRPr="005C06FD">
              <w:rPr>
                <w:rFonts w:ascii="Arial" w:hAnsi="Arial" w:cs="Arial"/>
                <w:b/>
              </w:rPr>
              <w:t>Instrument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:rsidR="004A077A" w:rsidRPr="005C06FD" w:rsidRDefault="004A077A" w:rsidP="00FE67E1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  <w:b/>
              </w:rPr>
              <w:t>Data collection time points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Patient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Delirium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Calibri" w:hAnsi="Arial" w:cs="Arial"/>
              </w:rPr>
              <w:t>4AT</w:t>
            </w:r>
            <w:r>
              <w:rPr>
                <w:rFonts w:ascii="Arial" w:eastAsia="Calibri" w:hAnsi="Arial" w:cs="Arial"/>
              </w:rPr>
              <w:t xml:space="preserve"> [12] 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</w:t>
            </w:r>
            <w:r>
              <w:rPr>
                <w:rFonts w:ascii="Arial" w:hAnsi="Arial" w:cs="Arial"/>
              </w:rPr>
              <w:t>*</w:t>
            </w:r>
            <w:r w:rsidR="00FE67E1">
              <w:rPr>
                <w:rFonts w:ascii="Arial" w:hAnsi="Arial" w:cs="Arial"/>
              </w:rPr>
              <w:t xml:space="preserve"> (1 month,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Patient records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Comorbid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ity </w:t>
            </w:r>
            <w:r w:rsidRPr="005C06FD">
              <w:rPr>
                <w:rFonts w:ascii="Arial" w:eastAsia="Times New Roman" w:hAnsi="Arial" w:cs="Arial"/>
                <w:bCs/>
                <w:lang w:val="en-US"/>
              </w:rPr>
              <w:t>marker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Charlson Co-morbidity Index (CCI)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 [13] 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Baseline, T1 (1 month, ± 5 days), T2 (3 months, ± 5 days), T3 (6 months, ± 5 days)</w:t>
            </w:r>
          </w:p>
        </w:tc>
      </w:tr>
      <w:tr w:rsidR="004A077A" w:rsidTr="00095EAA">
        <w:tc>
          <w:tcPr>
            <w:tcW w:w="1271" w:type="dxa"/>
          </w:tcPr>
          <w:p w:rsidR="004A077A" w:rsidRPr="005C06FD" w:rsidRDefault="004A077A" w:rsidP="00FE67E1">
            <w:pPr>
              <w:spacing w:after="200" w:line="360" w:lineRule="auto"/>
              <w:rPr>
                <w:rFonts w:ascii="Arial" w:eastAsia="Times New Roman" w:hAnsi="Arial" w:cs="Arial"/>
                <w:bCs/>
                <w:lang w:val="en-US"/>
              </w:rPr>
            </w:pPr>
            <w:r>
              <w:rPr>
                <w:rFonts w:ascii="Arial" w:eastAsia="Times New Roman" w:hAnsi="Arial" w:cs="Arial"/>
                <w:bCs/>
                <w:lang w:val="en-US"/>
              </w:rPr>
              <w:t>Patient records</w:t>
            </w:r>
          </w:p>
        </w:tc>
        <w:tc>
          <w:tcPr>
            <w:tcW w:w="2126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Service delivery comparator  </w:t>
            </w:r>
          </w:p>
        </w:tc>
        <w:tc>
          <w:tcPr>
            <w:tcW w:w="2552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eastAsia="Times New Roman" w:hAnsi="Arial" w:cs="Arial"/>
                <w:bCs/>
                <w:lang w:val="en-US"/>
              </w:rPr>
              <w:t>National Hip Fracture Database (NHFD) (England only)</w:t>
            </w:r>
            <w:r>
              <w:rPr>
                <w:rFonts w:ascii="Arial" w:eastAsia="Times New Roman" w:hAnsi="Arial" w:cs="Arial"/>
                <w:bCs/>
                <w:lang w:val="en-US"/>
              </w:rPr>
              <w:t xml:space="preserve"> [14]</w:t>
            </w:r>
          </w:p>
        </w:tc>
        <w:tc>
          <w:tcPr>
            <w:tcW w:w="3827" w:type="dxa"/>
          </w:tcPr>
          <w:p w:rsidR="004A077A" w:rsidRPr="005C06FD" w:rsidRDefault="004A077A" w:rsidP="00FE67E1">
            <w:pPr>
              <w:spacing w:line="360" w:lineRule="auto"/>
              <w:rPr>
                <w:rFonts w:ascii="Arial" w:hAnsi="Arial" w:cs="Arial"/>
              </w:rPr>
            </w:pPr>
            <w:r w:rsidRPr="005C06FD">
              <w:rPr>
                <w:rFonts w:ascii="Arial" w:hAnsi="Arial" w:cs="Arial"/>
              </w:rPr>
              <w:t>T3</w:t>
            </w:r>
            <w:r w:rsidRPr="000F349B">
              <w:rPr>
                <w:rFonts w:ascii="Arial" w:hAnsi="Arial" w:cs="Arial"/>
              </w:rPr>
              <w:t>******</w:t>
            </w:r>
            <w:r w:rsidRPr="005C06FD">
              <w:rPr>
                <w:rFonts w:ascii="Arial" w:hAnsi="Arial" w:cs="Arial"/>
              </w:rPr>
              <w:t xml:space="preserve"> (6 months, ± 5 days)</w:t>
            </w:r>
          </w:p>
        </w:tc>
      </w:tr>
    </w:tbl>
    <w:p w:rsidR="008100B6" w:rsidRDefault="008100B6" w:rsidP="008100B6"/>
    <w:p w:rsidR="00030F46" w:rsidRPr="006031CC" w:rsidRDefault="00030F46" w:rsidP="00B47C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6031CC">
        <w:rPr>
          <w:rFonts w:ascii="Arial" w:hAnsi="Arial" w:cs="Arial"/>
        </w:rPr>
        <w:t>* Patients may be discharged from study ward before or after T1. Measure to be collected</w:t>
      </w:r>
    </w:p>
    <w:p w:rsidR="00030F46" w:rsidRPr="001E4008" w:rsidRDefault="00030F46" w:rsidP="00B47C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proofErr w:type="gramStart"/>
      <w:r w:rsidRPr="001E4008">
        <w:rPr>
          <w:rFonts w:ascii="Arial" w:hAnsi="Arial" w:cs="Arial"/>
        </w:rPr>
        <w:t>whenever</w:t>
      </w:r>
      <w:proofErr w:type="gramEnd"/>
      <w:r w:rsidRPr="001E4008">
        <w:rPr>
          <w:rFonts w:ascii="Arial" w:hAnsi="Arial" w:cs="Arial"/>
        </w:rPr>
        <w:t xml:space="preserve"> discharge occurs from study ward. This point maybe ± 5 days;</w:t>
      </w:r>
    </w:p>
    <w:p w:rsidR="00030F46" w:rsidRPr="001E4008" w:rsidRDefault="00030F46" w:rsidP="00B47C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1E4008">
        <w:rPr>
          <w:rFonts w:ascii="Arial" w:hAnsi="Arial" w:cs="Arial"/>
        </w:rPr>
        <w:t>***duration of retrospective period covered varies by assessment point;</w:t>
      </w:r>
    </w:p>
    <w:p w:rsidR="00030F46" w:rsidRPr="000F349B" w:rsidRDefault="000F349B" w:rsidP="00B47C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**</w:t>
      </w:r>
      <w:r w:rsidR="00030F46" w:rsidRPr="000F349B">
        <w:rPr>
          <w:rFonts w:ascii="Arial" w:hAnsi="Arial" w:cs="Arial"/>
        </w:rPr>
        <w:t>*pre-baseline ordinary residence;</w:t>
      </w:r>
    </w:p>
    <w:p w:rsidR="00030F46" w:rsidRPr="000F349B" w:rsidRDefault="000F349B" w:rsidP="00B47C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F349B">
        <w:rPr>
          <w:rFonts w:ascii="Arial" w:hAnsi="Arial" w:cs="Arial"/>
        </w:rPr>
        <w:t>**</w:t>
      </w:r>
      <w:r w:rsidR="00030F46" w:rsidRPr="000F349B">
        <w:rPr>
          <w:rFonts w:ascii="Arial" w:hAnsi="Arial" w:cs="Arial"/>
        </w:rPr>
        <w:t>** If patient is still in acute hospital at 30 days this will be recorded;</w:t>
      </w:r>
    </w:p>
    <w:p w:rsidR="00030F46" w:rsidRPr="000F349B" w:rsidRDefault="000F349B" w:rsidP="00B47C12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</w:rPr>
      </w:pPr>
      <w:r w:rsidRPr="000F349B">
        <w:rPr>
          <w:rFonts w:ascii="Arial" w:hAnsi="Arial" w:cs="Arial"/>
        </w:rPr>
        <w:t>****</w:t>
      </w:r>
      <w:r w:rsidR="00030F46" w:rsidRPr="000F349B">
        <w:rPr>
          <w:rFonts w:ascii="Arial" w:hAnsi="Arial" w:cs="Arial"/>
        </w:rPr>
        <w:t xml:space="preserve">*from hospital patient records, of service use within </w:t>
      </w:r>
      <w:proofErr w:type="spellStart"/>
      <w:r w:rsidR="00030F46" w:rsidRPr="000F349B">
        <w:rPr>
          <w:rFonts w:ascii="Arial" w:hAnsi="Arial" w:cs="Arial"/>
        </w:rPr>
        <w:t>site</w:t>
      </w:r>
      <w:proofErr w:type="spellEnd"/>
      <w:r w:rsidR="00030F46" w:rsidRPr="000F349B">
        <w:rPr>
          <w:rFonts w:ascii="Arial" w:hAnsi="Arial" w:cs="Arial"/>
        </w:rPr>
        <w:t xml:space="preserve"> of index hospitalisation</w:t>
      </w:r>
    </w:p>
    <w:p w:rsidR="008100B6" w:rsidRDefault="000F349B" w:rsidP="00B47C12">
      <w:pPr>
        <w:spacing w:line="360" w:lineRule="auto"/>
      </w:pPr>
      <w:r w:rsidRPr="000F349B">
        <w:rPr>
          <w:rFonts w:ascii="Arial" w:hAnsi="Arial" w:cs="Arial"/>
        </w:rPr>
        <w:t>******</w:t>
      </w:r>
      <w:r w:rsidR="00030F46" w:rsidRPr="000F349B">
        <w:rPr>
          <w:rFonts w:ascii="Arial" w:hAnsi="Arial" w:cs="Arial"/>
        </w:rPr>
        <w:t>extracted from National Hip Fracture Database post recruitment window closing</w:t>
      </w:r>
    </w:p>
    <w:p w:rsidR="008100B6" w:rsidRDefault="008100B6">
      <w:pPr>
        <w:rPr>
          <w:rFonts w:asciiTheme="majorHAnsi" w:eastAsiaTheme="majorEastAsia" w:hAnsiTheme="majorHAnsi" w:cstheme="majorBidi"/>
          <w:color w:val="7030A0"/>
          <w:sz w:val="32"/>
          <w:szCs w:val="32"/>
        </w:rPr>
      </w:pPr>
      <w:r>
        <w:rPr>
          <w:color w:val="7030A0"/>
        </w:rPr>
        <w:br w:type="page"/>
      </w:r>
      <w:bookmarkStart w:id="0" w:name="_GoBack"/>
      <w:bookmarkEnd w:id="0"/>
    </w:p>
    <w:p w:rsidR="008100B6" w:rsidRDefault="008100B6" w:rsidP="008100B6">
      <w:pPr>
        <w:pStyle w:val="Heading1"/>
        <w:rPr>
          <w:color w:val="7030A0"/>
        </w:rPr>
      </w:pPr>
      <w:r>
        <w:rPr>
          <w:color w:val="7030A0"/>
        </w:rPr>
        <w:lastRenderedPageBreak/>
        <w:t>References</w:t>
      </w:r>
      <w:r w:rsidRPr="008100B6">
        <w:rPr>
          <w:color w:val="7030A0"/>
        </w:rPr>
        <w:t xml:space="preserve">  </w:t>
      </w:r>
    </w:p>
    <w:p w:rsidR="00990299" w:rsidRDefault="00990299" w:rsidP="008100B6">
      <w:pPr>
        <w:rPr>
          <w:rFonts w:ascii="Calibri" w:hAnsi="Calibri"/>
          <w:noProof/>
          <w:lang w:val="en-US"/>
        </w:rPr>
      </w:pPr>
    </w:p>
    <w:p w:rsidR="003E2732" w:rsidRDefault="004C349A" w:rsidP="00990299">
      <w:pPr>
        <w:pStyle w:val="EndNoteBibliography"/>
        <w:spacing w:after="0" w:line="360" w:lineRule="auto"/>
        <w:ind w:left="720" w:hanging="720"/>
        <w:jc w:val="left"/>
      </w:pPr>
      <w:r>
        <w:rPr>
          <w:color w:val="7030A0"/>
          <w:szCs w:val="24"/>
        </w:rPr>
        <w:fldChar w:fldCharType="begin"/>
      </w:r>
      <w:r w:rsidR="00990299">
        <w:rPr>
          <w:color w:val="7030A0"/>
          <w:szCs w:val="24"/>
        </w:rPr>
        <w:instrText xml:space="preserve"> ADDIN EN.REFLIST </w:instrText>
      </w:r>
      <w:r>
        <w:rPr>
          <w:color w:val="7030A0"/>
          <w:szCs w:val="24"/>
        </w:rPr>
        <w:fldChar w:fldCharType="separate"/>
      </w:r>
      <w:r w:rsidR="00990299" w:rsidRPr="007727B9">
        <w:t>1.</w:t>
      </w:r>
      <w:r w:rsidR="00990299" w:rsidRPr="007727B9">
        <w:tab/>
      </w:r>
      <w:r w:rsidR="00990299" w:rsidRPr="00990299">
        <w:t>Folstein M</w:t>
      </w:r>
      <w:r w:rsidR="003E2732">
        <w:t>F, Folstein SE, White T</w:t>
      </w:r>
      <w:r w:rsidR="00990299" w:rsidRPr="00990299">
        <w:t xml:space="preserve">, </w:t>
      </w:r>
      <w:r w:rsidR="003E2732">
        <w:t>Messer M</w:t>
      </w:r>
      <w:r w:rsidR="00990299" w:rsidRPr="00990299">
        <w:t>A</w:t>
      </w:r>
      <w:r w:rsidR="003E2732">
        <w:t>:</w:t>
      </w:r>
      <w:r w:rsidR="00990299" w:rsidRPr="00990299">
        <w:t xml:space="preserve"> </w:t>
      </w:r>
      <w:r w:rsidR="00990299" w:rsidRPr="003E2732">
        <w:rPr>
          <w:b/>
        </w:rPr>
        <w:t>Mini-Mental</w:t>
      </w:r>
      <w:r w:rsidR="003E2732">
        <w:rPr>
          <w:b/>
        </w:rPr>
        <w:t xml:space="preserve"> State Examination, 2nd edition.</w:t>
      </w:r>
      <w:r w:rsidR="00990299" w:rsidRPr="00990299">
        <w:t xml:space="preserve"> 2010. Psychological Assessment Resources, Florida.</w:t>
      </w:r>
    </w:p>
    <w:p w:rsidR="00990299" w:rsidRPr="007727B9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2.</w:t>
      </w:r>
      <w:r w:rsidRPr="007727B9">
        <w:tab/>
      </w:r>
      <w:r w:rsidR="003E2732" w:rsidRPr="003E2732">
        <w:t>Smith SC, Lamping DL, Banerjee S, Har</w:t>
      </w:r>
      <w:r w:rsidR="003E2732">
        <w:t>wood R, Foley B, Smith P, et al:</w:t>
      </w:r>
      <w:r w:rsidR="003E2732" w:rsidRPr="003E2732">
        <w:t xml:space="preserve"> </w:t>
      </w:r>
      <w:r w:rsidR="003E2732" w:rsidRPr="003E2732">
        <w:rPr>
          <w:b/>
        </w:rPr>
        <w:t>Measurement of health-related quality of life for people with dementia: development of a new instrument (DEMQOL) and an evaluation of current methodology.</w:t>
      </w:r>
      <w:r w:rsidR="003E2732" w:rsidRPr="003E2732">
        <w:t xml:space="preserve"> Health Tec</w:t>
      </w:r>
      <w:r w:rsidR="003E2732">
        <w:t>hnol As</w:t>
      </w:r>
      <w:r w:rsidR="00817167">
        <w:t xml:space="preserve">sess 2005, </w:t>
      </w:r>
      <w:r w:rsidR="003E2732" w:rsidRPr="00817167">
        <w:rPr>
          <w:b/>
        </w:rPr>
        <w:t>9</w:t>
      </w:r>
      <w:r w:rsidR="003E2732">
        <w:t>(10)</w:t>
      </w:r>
      <w:r w:rsidRPr="007727B9">
        <w:t>.</w:t>
      </w:r>
    </w:p>
    <w:p w:rsidR="003E2732" w:rsidRDefault="00990299" w:rsidP="003E2732">
      <w:pPr>
        <w:pStyle w:val="EndNoteBibliography"/>
        <w:spacing w:after="0" w:line="360" w:lineRule="auto"/>
        <w:ind w:left="720" w:hanging="720"/>
        <w:jc w:val="left"/>
      </w:pPr>
      <w:r w:rsidRPr="007727B9">
        <w:t>3.</w:t>
      </w:r>
      <w:r w:rsidRPr="007727B9">
        <w:tab/>
      </w:r>
      <w:r w:rsidR="003E2732">
        <w:t>Herdman M</w:t>
      </w:r>
      <w:r w:rsidR="003E2732" w:rsidRPr="003E2732">
        <w:t xml:space="preserve">, Gudex C, Lloyd A, Janssen M, Kind P, Parkin D, Bonsel G, Badia X. </w:t>
      </w:r>
      <w:r w:rsidR="003E2732" w:rsidRPr="003E2732">
        <w:rPr>
          <w:b/>
        </w:rPr>
        <w:t>Development and preliminary testing of the new five-level version of EQ-5D (EQ-5D-5L).</w:t>
      </w:r>
      <w:r w:rsidR="003E2732">
        <w:t xml:space="preserve"> </w:t>
      </w:r>
      <w:r w:rsidR="003E2732" w:rsidRPr="003E2732">
        <w:rPr>
          <w:i/>
        </w:rPr>
        <w:t>Qual Life Res</w:t>
      </w:r>
      <w:r w:rsidR="003E2732" w:rsidRPr="003E2732">
        <w:t>. 2011</w:t>
      </w:r>
      <w:r w:rsidR="00817167">
        <w:t>,</w:t>
      </w:r>
      <w:r w:rsidR="003E2732">
        <w:t xml:space="preserve"> </w:t>
      </w:r>
      <w:r w:rsidR="003E2732" w:rsidRPr="003E2732">
        <w:rPr>
          <w:b/>
        </w:rPr>
        <w:t>10</w:t>
      </w:r>
      <w:r w:rsidR="003E2732" w:rsidRPr="00BC669A">
        <w:rPr>
          <w:b/>
        </w:rPr>
        <w:t>:</w:t>
      </w:r>
      <w:r w:rsidR="003E2732">
        <w:t>1727-36.</w:t>
      </w:r>
    </w:p>
    <w:p w:rsidR="003E2732" w:rsidRDefault="00990299" w:rsidP="003E2732">
      <w:pPr>
        <w:pStyle w:val="EndNoteBibliography"/>
        <w:spacing w:after="0" w:line="360" w:lineRule="auto"/>
        <w:ind w:left="720" w:hanging="720"/>
      </w:pPr>
      <w:r w:rsidRPr="007727B9">
        <w:t>4.</w:t>
      </w:r>
      <w:r w:rsidRPr="007727B9">
        <w:tab/>
      </w:r>
      <w:r w:rsidR="003E2732">
        <w:t xml:space="preserve">Benson T, Potts HWW: </w:t>
      </w:r>
      <w:r w:rsidR="003E2732" w:rsidRPr="003E2732">
        <w:rPr>
          <w:b/>
        </w:rPr>
        <w:t>A short generic patient experience questionnaire: howRwe development and validation</w:t>
      </w:r>
      <w:r w:rsidR="003E2732">
        <w:t xml:space="preserve">. </w:t>
      </w:r>
      <w:r w:rsidR="003E2732" w:rsidRPr="003E2732">
        <w:rPr>
          <w:i/>
        </w:rPr>
        <w:t>BMC Health Services Research 2014</w:t>
      </w:r>
      <w:r w:rsidR="003E2732">
        <w:t xml:space="preserve">, </w:t>
      </w:r>
      <w:r w:rsidR="003E2732" w:rsidRPr="003E2732">
        <w:rPr>
          <w:b/>
        </w:rPr>
        <w:t>14</w:t>
      </w:r>
      <w:r w:rsidR="0089586D">
        <w:t>:499.</w:t>
      </w:r>
    </w:p>
    <w:p w:rsidR="003E2732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5.</w:t>
      </w:r>
      <w:r w:rsidRPr="007727B9">
        <w:tab/>
      </w:r>
      <w:r w:rsidR="003E2732" w:rsidRPr="003E2732">
        <w:t xml:space="preserve">Morris JC. </w:t>
      </w:r>
      <w:r w:rsidR="003E2732" w:rsidRPr="003E2732">
        <w:rPr>
          <w:b/>
        </w:rPr>
        <w:t>The Clinical Dementia Rating (CDR): Current version and scoring rules.</w:t>
      </w:r>
      <w:r w:rsidR="003E2732" w:rsidRPr="003E2732">
        <w:t xml:space="preserve"> </w:t>
      </w:r>
      <w:r w:rsidR="003E2732" w:rsidRPr="003E2732">
        <w:rPr>
          <w:i/>
        </w:rPr>
        <w:t xml:space="preserve">Neurology </w:t>
      </w:r>
      <w:r w:rsidR="003E2732" w:rsidRPr="003E2732">
        <w:t>1993</w:t>
      </w:r>
      <w:r w:rsidR="00817167">
        <w:t>,</w:t>
      </w:r>
      <w:r w:rsidR="003E2732" w:rsidRPr="003E2732">
        <w:t xml:space="preserve"> </w:t>
      </w:r>
      <w:r w:rsidR="003E2732" w:rsidRPr="003E2732">
        <w:rPr>
          <w:b/>
        </w:rPr>
        <w:t>43</w:t>
      </w:r>
      <w:r w:rsidR="003E2732" w:rsidRPr="003E2732">
        <w:t>:2412-2414</w:t>
      </w:r>
      <w:r w:rsidR="003E2732">
        <w:t>.</w:t>
      </w:r>
    </w:p>
    <w:p w:rsidR="003E2732" w:rsidRDefault="00990299" w:rsidP="003E2732">
      <w:pPr>
        <w:ind w:left="720" w:hanging="720"/>
      </w:pPr>
      <w:r w:rsidRPr="007727B9">
        <w:t>6.</w:t>
      </w:r>
      <w:r w:rsidRPr="007727B9">
        <w:tab/>
      </w:r>
      <w:r w:rsidR="003E2732">
        <w:t>Podsiadlo D, Richardson S:</w:t>
      </w:r>
      <w:r w:rsidR="003E2732" w:rsidRPr="00385A56">
        <w:t xml:space="preserve"> </w:t>
      </w:r>
      <w:r w:rsidR="003E2732" w:rsidRPr="003E2732">
        <w:rPr>
          <w:b/>
        </w:rPr>
        <w:t>The timed "Up &amp; Go": a test of basic functional mobility for frail elderly persons.</w:t>
      </w:r>
      <w:r w:rsidR="003E2732">
        <w:t xml:space="preserve"> </w:t>
      </w:r>
      <w:r w:rsidR="003E2732" w:rsidRPr="003E2732">
        <w:rPr>
          <w:i/>
        </w:rPr>
        <w:t>J Am Geriatr Soc</w:t>
      </w:r>
      <w:r w:rsidR="003E2732">
        <w:t xml:space="preserve">. 1991, </w:t>
      </w:r>
      <w:r w:rsidR="003E2732" w:rsidRPr="003E2732">
        <w:rPr>
          <w:b/>
        </w:rPr>
        <w:t>2:</w:t>
      </w:r>
      <w:r w:rsidR="003E2732">
        <w:t xml:space="preserve"> 142-8.</w:t>
      </w:r>
    </w:p>
    <w:p w:rsidR="00FA2802" w:rsidRDefault="00990299" w:rsidP="00FA2802">
      <w:pPr>
        <w:ind w:left="720" w:hanging="720"/>
      </w:pPr>
      <w:r w:rsidRPr="007727B9">
        <w:t>7.</w:t>
      </w:r>
      <w:r w:rsidRPr="007727B9">
        <w:tab/>
      </w:r>
      <w:r w:rsidR="00FA2802">
        <w:t>Bucks RS, Ashworth DL, Wilcock GK, Siegfried</w:t>
      </w:r>
      <w:r w:rsidR="00FA2802" w:rsidRPr="00FA2802">
        <w:t xml:space="preserve"> K</w:t>
      </w:r>
      <w:r w:rsidR="00FA2802">
        <w:t xml:space="preserve">: </w:t>
      </w:r>
      <w:r w:rsidR="00FA2802" w:rsidRPr="00FA2802">
        <w:rPr>
          <w:b/>
        </w:rPr>
        <w:t>Assessment of activities of daily living in dementia: development of the Bristol Activities of Daily Living Scale 1996.</w:t>
      </w:r>
      <w:r w:rsidR="00FA2802" w:rsidRPr="00FA2802">
        <w:t xml:space="preserve"> </w:t>
      </w:r>
      <w:r w:rsidR="00FA2802" w:rsidRPr="00FA2802">
        <w:rPr>
          <w:i/>
        </w:rPr>
        <w:t>Age and Ageing</w:t>
      </w:r>
      <w:r w:rsidR="00817167">
        <w:rPr>
          <w:i/>
        </w:rPr>
        <w:t>,</w:t>
      </w:r>
      <w:r w:rsidR="00FA2802">
        <w:t xml:space="preserve"> </w:t>
      </w:r>
      <w:r w:rsidR="00FA2802" w:rsidRPr="00FA2802">
        <w:rPr>
          <w:b/>
        </w:rPr>
        <w:t>25:</w:t>
      </w:r>
      <w:r w:rsidR="00FA2802" w:rsidRPr="00FA2802">
        <w:t>113–120.</w:t>
      </w:r>
    </w:p>
    <w:p w:rsidR="00DE2021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8.</w:t>
      </w:r>
      <w:r w:rsidRPr="007727B9">
        <w:tab/>
      </w:r>
      <w:r w:rsidR="00DE2021" w:rsidRPr="00DE2021">
        <w:t>Smith SC, Murray J, Banerjee S, Foley</w:t>
      </w:r>
      <w:r w:rsidR="00DE2021">
        <w:t xml:space="preserve"> B, Cook JC, Lamping DL, et al:</w:t>
      </w:r>
      <w:r w:rsidR="00DE2021" w:rsidRPr="00DE2021">
        <w:t xml:space="preserve"> </w:t>
      </w:r>
      <w:r w:rsidR="00DE2021" w:rsidRPr="00DE2021">
        <w:rPr>
          <w:b/>
        </w:rPr>
        <w:t>What constitutes health-related quality of life in dementia? Development of a conceptual framework for people with dementia and their carers.</w:t>
      </w:r>
      <w:r w:rsidR="00DE2021" w:rsidRPr="00DE2021">
        <w:t xml:space="preserve"> </w:t>
      </w:r>
      <w:r w:rsidR="00DE2021" w:rsidRPr="00DE2021">
        <w:rPr>
          <w:i/>
        </w:rPr>
        <w:t>Int J Geriatr Psychiatry</w:t>
      </w:r>
      <w:r w:rsidR="00DE2021">
        <w:t xml:space="preserve"> 2005</w:t>
      </w:r>
      <w:r w:rsidR="00817167">
        <w:t>,</w:t>
      </w:r>
      <w:r w:rsidR="00DE2021">
        <w:t xml:space="preserve"> </w:t>
      </w:r>
      <w:r w:rsidR="00DE2021" w:rsidRPr="00DE2021">
        <w:rPr>
          <w:b/>
        </w:rPr>
        <w:t>20</w:t>
      </w:r>
      <w:r w:rsidR="00DE2021" w:rsidRPr="00DE2021">
        <w:t>:889–</w:t>
      </w:r>
      <w:r w:rsidR="00DE2021">
        <w:t>8</w:t>
      </w:r>
      <w:r w:rsidR="00DE2021" w:rsidRPr="00DE2021">
        <w:t>95</w:t>
      </w:r>
      <w:r w:rsidR="0089586D">
        <w:t>.</w:t>
      </w:r>
      <w:r w:rsidR="00DE2021" w:rsidRPr="00DE2021">
        <w:t xml:space="preserve"> </w:t>
      </w:r>
    </w:p>
    <w:p w:rsidR="00990299" w:rsidRDefault="00990299" w:rsidP="00990299">
      <w:pPr>
        <w:pStyle w:val="EndNoteBibliography"/>
        <w:spacing w:after="0" w:line="360" w:lineRule="auto"/>
        <w:ind w:left="720" w:hanging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</w:pPr>
      <w:r w:rsidRPr="007727B9">
        <w:t>9.</w:t>
      </w:r>
      <w:r w:rsidRPr="007727B9">
        <w:tab/>
      </w:r>
      <w:r w:rsidR="00072FA3" w:rsidRPr="00072FA3">
        <w:t>Beecham J</w:t>
      </w:r>
      <w:r w:rsidR="004A077A">
        <w:t>,</w:t>
      </w:r>
      <w:r w:rsidR="00072FA3" w:rsidRPr="00072FA3">
        <w:t xml:space="preserve"> </w:t>
      </w:r>
      <w:r w:rsidR="004A077A">
        <w:t>Knapp M:</w:t>
      </w:r>
      <w:r w:rsidR="00072FA3" w:rsidRPr="00072FA3">
        <w:t xml:space="preserve"> Costing Psychiatric Interventions, in Measuring Mental Health Needs, Eds.Thornicroft G, Brewin C &amp; Wing JK. 1992. Gaskell: London.</w:t>
      </w:r>
    </w:p>
    <w:p w:rsidR="0089586D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10.</w:t>
      </w:r>
      <w:r w:rsidRPr="007727B9">
        <w:tab/>
      </w:r>
      <w:r w:rsidR="0089586D" w:rsidRPr="0089586D">
        <w:rPr>
          <w:b/>
        </w:rPr>
        <w:t>howRthey?</w:t>
      </w:r>
    </w:p>
    <w:p w:rsidR="00990299" w:rsidRPr="007727B9" w:rsidRDefault="0089586D" w:rsidP="0089586D">
      <w:pPr>
        <w:pStyle w:val="EndNoteBibliography"/>
        <w:spacing w:after="0" w:line="360" w:lineRule="auto"/>
        <w:ind w:left="720"/>
        <w:jc w:val="left"/>
      </w:pPr>
      <w:r>
        <w:t>[</w:t>
      </w:r>
      <w:r w:rsidR="004A077A" w:rsidRPr="004A077A">
        <w:t>http://r-outcomes.com/measures/carer-measures/</w:t>
      </w:r>
      <w:r>
        <w:t>]</w:t>
      </w:r>
    </w:p>
    <w:p w:rsidR="004A077A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11.</w:t>
      </w:r>
      <w:r w:rsidRPr="007727B9">
        <w:tab/>
      </w:r>
      <w:r w:rsidR="004A077A" w:rsidRPr="004A077A">
        <w:t>Jorm AF</w:t>
      </w:r>
      <w:r w:rsidR="004A077A">
        <w:t>:</w:t>
      </w:r>
      <w:r w:rsidR="004A077A" w:rsidRPr="004A077A">
        <w:t xml:space="preserve"> </w:t>
      </w:r>
      <w:r w:rsidR="004A077A" w:rsidRPr="004A077A">
        <w:rPr>
          <w:b/>
        </w:rPr>
        <w:t>A short form of the Informant Questionnaire on Cognitive Decline in the Elderly (IQCODE): development and cross-validation</w:t>
      </w:r>
      <w:r w:rsidR="004A077A" w:rsidRPr="004A077A">
        <w:t xml:space="preserve">. </w:t>
      </w:r>
      <w:r w:rsidR="004A077A" w:rsidRPr="004A077A">
        <w:rPr>
          <w:i/>
        </w:rPr>
        <w:t>Psychol Med</w:t>
      </w:r>
      <w:r w:rsidR="00817167">
        <w:t xml:space="preserve"> 1994,</w:t>
      </w:r>
      <w:r w:rsidR="004A077A" w:rsidRPr="004A077A">
        <w:t xml:space="preserve"> </w:t>
      </w:r>
      <w:r w:rsidR="004A077A" w:rsidRPr="004A077A">
        <w:rPr>
          <w:b/>
        </w:rPr>
        <w:t>24</w:t>
      </w:r>
      <w:r w:rsidR="004A077A" w:rsidRPr="004A077A">
        <w:t>: 145–153.</w:t>
      </w:r>
    </w:p>
    <w:p w:rsidR="00990299" w:rsidRPr="007727B9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12.</w:t>
      </w:r>
      <w:r w:rsidRPr="007727B9">
        <w:tab/>
      </w:r>
      <w:r w:rsidR="004A077A" w:rsidRPr="004A077A">
        <w:t>Shenkin SD, Russ TC, Ryan TM, MacLullich AM</w:t>
      </w:r>
      <w:r w:rsidR="004A077A">
        <w:t>:</w:t>
      </w:r>
      <w:r w:rsidR="004A077A" w:rsidRPr="004A077A">
        <w:t xml:space="preserve"> </w:t>
      </w:r>
      <w:r w:rsidR="004A077A" w:rsidRPr="004A077A">
        <w:rPr>
          <w:b/>
        </w:rPr>
        <w:t>Screening for dementia and other causes of cognitive impairment in general hospital in-patients</w:t>
      </w:r>
      <w:r w:rsidR="004A077A">
        <w:t xml:space="preserve">. </w:t>
      </w:r>
      <w:r w:rsidR="004A077A" w:rsidRPr="004A077A">
        <w:rPr>
          <w:i/>
        </w:rPr>
        <w:t xml:space="preserve">Age </w:t>
      </w:r>
      <w:r w:rsidR="004A077A">
        <w:rPr>
          <w:i/>
        </w:rPr>
        <w:t xml:space="preserve">&amp; </w:t>
      </w:r>
      <w:r w:rsidR="004A077A" w:rsidRPr="004A077A">
        <w:rPr>
          <w:i/>
        </w:rPr>
        <w:t>Ageing</w:t>
      </w:r>
      <w:r w:rsidR="004A077A">
        <w:t xml:space="preserve"> 2014,</w:t>
      </w:r>
      <w:r w:rsidR="004A077A" w:rsidRPr="004A077A">
        <w:t xml:space="preserve"> </w:t>
      </w:r>
      <w:r w:rsidR="004A077A" w:rsidRPr="004A077A">
        <w:rPr>
          <w:b/>
        </w:rPr>
        <w:t>43</w:t>
      </w:r>
      <w:r w:rsidR="004A077A" w:rsidRPr="004A077A">
        <w:t>:166-8</w:t>
      </w:r>
      <w:r w:rsidR="0089586D">
        <w:t>.</w:t>
      </w:r>
      <w:r w:rsidR="004A077A" w:rsidRPr="004A077A">
        <w:t xml:space="preserve"> </w:t>
      </w:r>
    </w:p>
    <w:p w:rsidR="00990299" w:rsidRPr="007727B9" w:rsidRDefault="00990299" w:rsidP="00990299">
      <w:pPr>
        <w:pStyle w:val="EndNoteBibliography"/>
        <w:spacing w:after="0" w:line="360" w:lineRule="auto"/>
        <w:ind w:left="720" w:hanging="720"/>
        <w:jc w:val="left"/>
      </w:pPr>
      <w:r w:rsidRPr="007727B9">
        <w:t>13.</w:t>
      </w:r>
      <w:r w:rsidRPr="007727B9">
        <w:tab/>
      </w:r>
      <w:r w:rsidR="004A077A" w:rsidRPr="004A077A">
        <w:t>de Groot V, Beckerman H, Lankhorst GJ, et al.</w:t>
      </w:r>
      <w:r w:rsidR="004A077A" w:rsidRPr="004A077A">
        <w:rPr>
          <w:b/>
        </w:rPr>
        <w:t xml:space="preserve"> How to measure comorbidity: a critical review of available methods.</w:t>
      </w:r>
      <w:r w:rsidR="004A077A" w:rsidRPr="004A077A">
        <w:t xml:space="preserve"> </w:t>
      </w:r>
      <w:r w:rsidR="004A077A" w:rsidRPr="004A077A">
        <w:rPr>
          <w:i/>
        </w:rPr>
        <w:t>J Clin Epidemiol</w:t>
      </w:r>
      <w:r w:rsidR="004A077A">
        <w:rPr>
          <w:i/>
        </w:rPr>
        <w:t>.</w:t>
      </w:r>
      <w:r w:rsidR="004A077A" w:rsidRPr="004A077A">
        <w:t xml:space="preserve"> 2003</w:t>
      </w:r>
      <w:r w:rsidR="004A077A">
        <w:t xml:space="preserve">, </w:t>
      </w:r>
      <w:r w:rsidR="004A077A" w:rsidRPr="004A077A">
        <w:rPr>
          <w:b/>
        </w:rPr>
        <w:t>3:</w:t>
      </w:r>
      <w:r w:rsidR="004A077A" w:rsidRPr="004A077A">
        <w:t>221–229</w:t>
      </w:r>
      <w:r w:rsidRPr="007727B9">
        <w:t>.</w:t>
      </w:r>
    </w:p>
    <w:p w:rsidR="00993F91" w:rsidRPr="004A077A" w:rsidRDefault="00990299" w:rsidP="0089586D">
      <w:pPr>
        <w:pStyle w:val="EndNoteBibliography"/>
        <w:spacing w:after="0" w:line="360" w:lineRule="auto"/>
        <w:ind w:left="720" w:hanging="720"/>
        <w:jc w:val="left"/>
        <w:rPr>
          <w:rFonts w:ascii="Arial" w:eastAsia="Times New Roman" w:hAnsi="Arial" w:cs="Arial"/>
          <w:sz w:val="15"/>
          <w:szCs w:val="15"/>
          <w:lang w:eastAsia="en-GB"/>
        </w:rPr>
      </w:pPr>
      <w:r w:rsidRPr="007727B9">
        <w:t>14.</w:t>
      </w:r>
      <w:r w:rsidRPr="007727B9">
        <w:tab/>
      </w:r>
      <w:r w:rsidR="004A077A" w:rsidRPr="004A077A">
        <w:t xml:space="preserve">Royal College of Physicians. </w:t>
      </w:r>
      <w:r w:rsidR="004A077A" w:rsidRPr="004A077A">
        <w:rPr>
          <w:b/>
        </w:rPr>
        <w:t>National Hip Fracture Database annual report 2017</w:t>
      </w:r>
      <w:r w:rsidR="004A077A" w:rsidRPr="004A077A">
        <w:t>. London: RCP, 2017</w:t>
      </w:r>
      <w:r w:rsidR="0089586D">
        <w:t>.</w:t>
      </w:r>
      <w:r w:rsidR="004C349A">
        <w:rPr>
          <w:color w:val="7030A0"/>
          <w:szCs w:val="24"/>
        </w:rPr>
        <w:fldChar w:fldCharType="end"/>
      </w:r>
    </w:p>
    <w:sectPr w:rsidR="00993F91" w:rsidRPr="004A077A" w:rsidSect="00BC1E64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0B6" w:rsidRDefault="008100B6" w:rsidP="008100B6">
      <w:pPr>
        <w:spacing w:after="0" w:line="240" w:lineRule="auto"/>
      </w:pPr>
      <w:r>
        <w:separator/>
      </w:r>
    </w:p>
  </w:endnote>
  <w:endnote w:type="continuationSeparator" w:id="0">
    <w:p w:rsidR="008100B6" w:rsidRDefault="008100B6" w:rsidP="00810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77A" w:rsidRDefault="00420C7C" w:rsidP="00194AD7">
    <w:pPr>
      <w:pStyle w:val="Footer"/>
    </w:pPr>
    <w:r>
      <w:t>Figure 3</w:t>
    </w:r>
    <w:r w:rsidR="00194AD7">
      <w:t xml:space="preserve"> </w:t>
    </w:r>
    <w:r w:rsidR="00194AD7">
      <w:tab/>
    </w:r>
    <w:r w:rsidR="00194AD7">
      <w:tab/>
    </w:r>
    <w:sdt>
      <w:sdtPr>
        <w:id w:val="-11121001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C349A">
          <w:fldChar w:fldCharType="begin"/>
        </w:r>
        <w:r w:rsidR="004A077A">
          <w:instrText xml:space="preserve"> PAGE   \* MERGEFORMAT </w:instrText>
        </w:r>
        <w:r w:rsidR="004C349A">
          <w:fldChar w:fldCharType="separate"/>
        </w:r>
        <w:r w:rsidR="000F728F">
          <w:rPr>
            <w:noProof/>
          </w:rPr>
          <w:t>1</w:t>
        </w:r>
        <w:r w:rsidR="004C349A">
          <w:rPr>
            <w:noProof/>
          </w:rPr>
          <w:fldChar w:fldCharType="end"/>
        </w:r>
      </w:sdtContent>
    </w:sdt>
  </w:p>
  <w:p w:rsidR="008100B6" w:rsidRDefault="008100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0B6" w:rsidRDefault="008100B6" w:rsidP="008100B6">
      <w:pPr>
        <w:spacing w:after="0" w:line="240" w:lineRule="auto"/>
      </w:pPr>
      <w:r>
        <w:separator/>
      </w:r>
    </w:p>
  </w:footnote>
  <w:footnote w:type="continuationSeparator" w:id="0">
    <w:p w:rsidR="008100B6" w:rsidRDefault="008100B6" w:rsidP="00810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6F95" w:rsidRPr="00076F95" w:rsidRDefault="00232099" w:rsidP="00076F95">
    <w:pPr>
      <w:pStyle w:val="Heading3"/>
      <w:spacing w:line="240" w:lineRule="auto"/>
      <w:jc w:val="both"/>
      <w:rPr>
        <w:sz w:val="20"/>
        <w:szCs w:val="20"/>
      </w:rPr>
    </w:pPr>
    <w:r>
      <w:rPr>
        <w:sz w:val="20"/>
        <w:szCs w:val="20"/>
      </w:rPr>
      <w:t xml:space="preserve">From Hammond et al., </w:t>
    </w:r>
    <w:r w:rsidR="00076F95" w:rsidRPr="00076F95">
      <w:rPr>
        <w:sz w:val="20"/>
        <w:szCs w:val="20"/>
      </w:rPr>
      <w:t>PERFECTED Enhanced Recovery (PERFECT-ER) care versus standard acute care for patients admitted to acute settings with hip fracture identified as experiencing confusion: study protocol for a feasibility cluster randomized controlled trial</w:t>
    </w:r>
  </w:p>
  <w:p w:rsidR="004A077A" w:rsidRDefault="004A077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95B6E"/>
    <w:multiLevelType w:val="multilevel"/>
    <w:tmpl w:val="84CE7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Total_Editing_Time" w:val="158"/>
  </w:docVars>
  <w:rsids>
    <w:rsidRoot w:val="008100B6"/>
    <w:rsid w:val="000143BB"/>
    <w:rsid w:val="00030F46"/>
    <w:rsid w:val="00072FA3"/>
    <w:rsid w:val="00076F95"/>
    <w:rsid w:val="00095EAA"/>
    <w:rsid w:val="000F349B"/>
    <w:rsid w:val="000F728F"/>
    <w:rsid w:val="00181D8C"/>
    <w:rsid w:val="001853F1"/>
    <w:rsid w:val="00194AD7"/>
    <w:rsid w:val="001E4008"/>
    <w:rsid w:val="00232099"/>
    <w:rsid w:val="002D7E29"/>
    <w:rsid w:val="00385A56"/>
    <w:rsid w:val="003E2732"/>
    <w:rsid w:val="00420C7C"/>
    <w:rsid w:val="004A077A"/>
    <w:rsid w:val="004C349A"/>
    <w:rsid w:val="005C06FD"/>
    <w:rsid w:val="006031CC"/>
    <w:rsid w:val="006A5EC8"/>
    <w:rsid w:val="006B1B0B"/>
    <w:rsid w:val="007120C3"/>
    <w:rsid w:val="0076567C"/>
    <w:rsid w:val="008100B6"/>
    <w:rsid w:val="00817167"/>
    <w:rsid w:val="0089232D"/>
    <w:rsid w:val="0089586D"/>
    <w:rsid w:val="00990299"/>
    <w:rsid w:val="00993F91"/>
    <w:rsid w:val="009E0425"/>
    <w:rsid w:val="00B47C12"/>
    <w:rsid w:val="00BA596C"/>
    <w:rsid w:val="00BC1E64"/>
    <w:rsid w:val="00BC669A"/>
    <w:rsid w:val="00C4168E"/>
    <w:rsid w:val="00CF3C6D"/>
    <w:rsid w:val="00DB3F0C"/>
    <w:rsid w:val="00DD404C"/>
    <w:rsid w:val="00DE2021"/>
    <w:rsid w:val="00E20E6C"/>
    <w:rsid w:val="00F107E9"/>
    <w:rsid w:val="00F402B9"/>
    <w:rsid w:val="00FA2802"/>
    <w:rsid w:val="00FE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1E64"/>
  </w:style>
  <w:style w:type="paragraph" w:styleId="Heading1">
    <w:name w:val="heading 1"/>
    <w:basedOn w:val="Normal"/>
    <w:next w:val="Normal"/>
    <w:link w:val="Heading1Char"/>
    <w:uiPriority w:val="9"/>
    <w:qFormat/>
    <w:rsid w:val="008100B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00B6"/>
    <w:pPr>
      <w:keepNext/>
      <w:keepLines/>
      <w:spacing w:before="40" w:after="0" w:line="480" w:lineRule="auto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0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00B6"/>
  </w:style>
  <w:style w:type="paragraph" w:styleId="Footer">
    <w:name w:val="footer"/>
    <w:basedOn w:val="Normal"/>
    <w:link w:val="FooterChar"/>
    <w:uiPriority w:val="99"/>
    <w:unhideWhenUsed/>
    <w:rsid w:val="00810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00B6"/>
  </w:style>
  <w:style w:type="character" w:customStyle="1" w:styleId="Heading3Char">
    <w:name w:val="Heading 3 Char"/>
    <w:basedOn w:val="DefaultParagraphFont"/>
    <w:link w:val="Heading3"/>
    <w:uiPriority w:val="9"/>
    <w:rsid w:val="008100B6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100B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810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100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0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0B6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100B6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8100B6"/>
  </w:style>
  <w:style w:type="paragraph" w:styleId="BalloonText">
    <w:name w:val="Balloon Text"/>
    <w:basedOn w:val="Normal"/>
    <w:link w:val="BalloonTextChar"/>
    <w:uiPriority w:val="99"/>
    <w:semiHidden/>
    <w:unhideWhenUsed/>
    <w:rsid w:val="008100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00B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D404C"/>
    <w:rPr>
      <w:i/>
      <w:iCs/>
    </w:rPr>
  </w:style>
  <w:style w:type="paragraph" w:styleId="NormalWeb">
    <w:name w:val="Normal (Web)"/>
    <w:basedOn w:val="Normal"/>
    <w:uiPriority w:val="99"/>
    <w:unhideWhenUsed/>
    <w:rsid w:val="00CF3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f-title">
    <w:name w:val="ref-title"/>
    <w:basedOn w:val="DefaultParagraphFont"/>
    <w:rsid w:val="005C06FD"/>
  </w:style>
  <w:style w:type="character" w:customStyle="1" w:styleId="ref-journal">
    <w:name w:val="ref-journal"/>
    <w:basedOn w:val="DefaultParagraphFont"/>
    <w:rsid w:val="005C06FD"/>
  </w:style>
  <w:style w:type="paragraph" w:customStyle="1" w:styleId="EndNoteBibliography">
    <w:name w:val="EndNote Bibliography"/>
    <w:basedOn w:val="Normal"/>
    <w:link w:val="EndNoteBibliographyChar"/>
    <w:rsid w:val="00990299"/>
    <w:pPr>
      <w:spacing w:line="240" w:lineRule="auto"/>
      <w:jc w:val="both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90299"/>
    <w:rPr>
      <w:rFonts w:ascii="Calibri" w:hAnsi="Calibri"/>
      <w:noProof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8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geing.oxfordjournals.org/content/25/2/113.ful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85B43D-22E7-405E-A5EC-E629D9E68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880</Words>
  <Characters>5284</Characters>
  <Application>Microsoft Office Word</Application>
  <DocSecurity>0</DocSecurity>
  <Lines>110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East Anglia</Company>
  <LinksUpToDate>false</LinksUpToDate>
  <CharactersWithSpaces>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Hammond (MED - Staff)</dc:creator>
  <cp:keywords/>
  <dc:description/>
  <cp:lastModifiedBy>VKIRAM</cp:lastModifiedBy>
  <cp:revision>35</cp:revision>
  <cp:lastPrinted>2017-10-24T09:19:00Z</cp:lastPrinted>
  <dcterms:created xsi:type="dcterms:W3CDTF">2017-10-23T11:30:00Z</dcterms:created>
  <dcterms:modified xsi:type="dcterms:W3CDTF">2017-11-10T18:14:00Z</dcterms:modified>
</cp:coreProperties>
</file>