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EA083" w14:textId="1CFF27D8" w:rsidR="00BB74EB" w:rsidRPr="001B2FD9" w:rsidRDefault="001B2FD9" w:rsidP="00897F8B">
      <w:pPr>
        <w:spacing w:line="480" w:lineRule="auto"/>
        <w:rPr>
          <w:rFonts w:ascii="Times New Roman" w:hAnsi="Times New Roman" w:cs="Times New Roman"/>
          <w:b/>
          <w:sz w:val="28"/>
        </w:rPr>
      </w:pPr>
      <w:r w:rsidRPr="001B2FD9">
        <w:rPr>
          <w:rFonts w:ascii="Times New Roman" w:hAnsi="Times New Roman" w:cs="Times New Roman"/>
          <w:b/>
          <w:sz w:val="28"/>
        </w:rPr>
        <w:t>Electronic supplementary material</w:t>
      </w:r>
    </w:p>
    <w:p w14:paraId="4C091622" w14:textId="46EB19F3" w:rsidR="00BB74EB" w:rsidRPr="00A747DF" w:rsidRDefault="001B2FD9" w:rsidP="00BB74EB">
      <w:pPr>
        <w:spacing w:line="480" w:lineRule="auto"/>
        <w:rPr>
          <w:rFonts w:ascii="Times New Roman" w:hAnsi="Times New Roman" w:cs="Times New Roman"/>
          <w:b/>
        </w:rPr>
      </w:pPr>
      <w:r>
        <w:rPr>
          <w:rFonts w:ascii="Times New Roman" w:hAnsi="Times New Roman" w:cs="Times New Roman"/>
          <w:b/>
        </w:rPr>
        <w:t>Study data – further outcomes</w:t>
      </w:r>
    </w:p>
    <w:p w14:paraId="444F4F4D" w14:textId="7AC1691F" w:rsidR="001B2FD9" w:rsidRPr="001B2FD9" w:rsidRDefault="001B2FD9" w:rsidP="00B67B7D">
      <w:pPr>
        <w:spacing w:line="480" w:lineRule="auto"/>
        <w:rPr>
          <w:rFonts w:ascii="Times New Roman" w:hAnsi="Times New Roman" w:cs="Times New Roman"/>
        </w:rPr>
      </w:pPr>
      <w:r>
        <w:rPr>
          <w:rFonts w:ascii="Times New Roman" w:hAnsi="Times New Roman" w:cs="Times New Roman"/>
        </w:rPr>
        <w:t>The following measures are collected at baseline, 1 week and 3 months post intervention.</w:t>
      </w:r>
    </w:p>
    <w:p w14:paraId="2E7E1CA0" w14:textId="77777777" w:rsidR="001B2FD9" w:rsidRDefault="001B2FD9" w:rsidP="00B67B7D">
      <w:pPr>
        <w:spacing w:line="480" w:lineRule="auto"/>
        <w:rPr>
          <w:rFonts w:ascii="Times New Roman" w:hAnsi="Times New Roman" w:cs="Times New Roman"/>
          <w:i/>
        </w:rPr>
      </w:pPr>
    </w:p>
    <w:p w14:paraId="4DF96D28" w14:textId="01443AE1" w:rsidR="00B67B7D" w:rsidRPr="00DD35BD" w:rsidRDefault="00B67B7D" w:rsidP="00B67B7D">
      <w:pPr>
        <w:spacing w:line="480" w:lineRule="auto"/>
        <w:rPr>
          <w:rFonts w:ascii="Times New Roman" w:hAnsi="Times New Roman" w:cs="Times New Roman"/>
          <w:b/>
          <w:u w:val="single"/>
        </w:rPr>
      </w:pPr>
      <w:r w:rsidRPr="00DD35BD">
        <w:rPr>
          <w:rFonts w:ascii="Times New Roman" w:hAnsi="Times New Roman" w:cs="Times New Roman"/>
          <w:b/>
          <w:u w:val="single"/>
        </w:rPr>
        <w:t>Social Cognitive Theory</w:t>
      </w:r>
      <w:r w:rsidR="00DD35BD" w:rsidRPr="00DD35BD">
        <w:rPr>
          <w:rFonts w:ascii="Times New Roman" w:hAnsi="Times New Roman" w:cs="Times New Roman"/>
          <w:b/>
          <w:u w:val="single"/>
        </w:rPr>
        <w:t xml:space="preserve"> Constructs</w:t>
      </w:r>
    </w:p>
    <w:p w14:paraId="6C7E9043" w14:textId="014896D8" w:rsidR="00B67B7D" w:rsidRDefault="00B67B7D" w:rsidP="00B67B7D">
      <w:pPr>
        <w:spacing w:line="480" w:lineRule="auto"/>
        <w:ind w:firstLine="720"/>
        <w:rPr>
          <w:rFonts w:ascii="Times New Roman" w:hAnsi="Times New Roman" w:cs="Times New Roman"/>
        </w:rPr>
      </w:pPr>
      <w:r w:rsidRPr="000F314D">
        <w:rPr>
          <w:rFonts w:ascii="Times New Roman" w:hAnsi="Times New Roman" w:cs="Times New Roman"/>
          <w:b/>
        </w:rPr>
        <w:t>Knowledge</w:t>
      </w:r>
      <w:r w:rsidRPr="000F314D">
        <w:rPr>
          <w:rFonts w:ascii="Times New Roman" w:hAnsi="Times New Roman" w:cs="Times New Roman"/>
        </w:rPr>
        <w:t>.</w:t>
      </w:r>
      <w:r>
        <w:rPr>
          <w:rFonts w:ascii="Times New Roman" w:hAnsi="Times New Roman" w:cs="Times New Roman"/>
        </w:rPr>
        <w:t xml:space="preserve"> We developed </w:t>
      </w:r>
      <w:r w:rsidR="00D65747">
        <w:rPr>
          <w:rFonts w:ascii="Times New Roman" w:hAnsi="Times New Roman" w:cs="Times New Roman"/>
        </w:rPr>
        <w:t>a measure of perceptions</w:t>
      </w:r>
      <w:r>
        <w:rPr>
          <w:rFonts w:ascii="Times New Roman" w:hAnsi="Times New Roman" w:cs="Times New Roman"/>
        </w:rPr>
        <w:t xml:space="preserve"> of </w:t>
      </w:r>
      <w:r w:rsidR="00D65747">
        <w:rPr>
          <w:rFonts w:ascii="Times New Roman" w:hAnsi="Times New Roman" w:cs="Times New Roman"/>
        </w:rPr>
        <w:t>r</w:t>
      </w:r>
      <w:r>
        <w:rPr>
          <w:rFonts w:ascii="Times New Roman" w:hAnsi="Times New Roman" w:cs="Times New Roman"/>
        </w:rPr>
        <w:t xml:space="preserve">isky </w:t>
      </w:r>
      <w:r w:rsidR="00D65747">
        <w:rPr>
          <w:rFonts w:ascii="Times New Roman" w:hAnsi="Times New Roman" w:cs="Times New Roman"/>
        </w:rPr>
        <w:t>p</w:t>
      </w:r>
      <w:r>
        <w:rPr>
          <w:rFonts w:ascii="Times New Roman" w:hAnsi="Times New Roman" w:cs="Times New Roman"/>
        </w:rPr>
        <w:t xml:space="preserve">lay to assess the participant’s knowledge and belief that allowing children to engage in risky play will have positive outcomes. It includes 10 items measured on a 5-point scale from “strongly disagree” to “strongly agree.” The participant is asked to rate the extent to which they agree that “Risky play can help a child:”, with items including: “learn to make decisions”, and “develop skills to manage risks”.  </w:t>
      </w:r>
    </w:p>
    <w:p w14:paraId="4E71475C" w14:textId="77777777" w:rsidR="00B67B7D" w:rsidRDefault="00B67B7D" w:rsidP="00B67B7D">
      <w:pPr>
        <w:spacing w:line="480" w:lineRule="auto"/>
        <w:ind w:firstLine="720"/>
        <w:rPr>
          <w:rFonts w:ascii="Times New Roman" w:hAnsi="Times New Roman" w:cs="Times New Roman"/>
        </w:rPr>
      </w:pPr>
      <w:r w:rsidRPr="00BF56CA">
        <w:rPr>
          <w:rFonts w:ascii="Times New Roman" w:hAnsi="Times New Roman" w:cs="Times New Roman"/>
          <w:b/>
        </w:rPr>
        <w:t>Outcome expectations</w:t>
      </w:r>
      <w:r w:rsidRPr="00BF56CA">
        <w:rPr>
          <w:rFonts w:ascii="Times New Roman" w:hAnsi="Times New Roman" w:cs="Times New Roman"/>
        </w:rPr>
        <w:t>.</w:t>
      </w:r>
      <w:r>
        <w:rPr>
          <w:rFonts w:ascii="Times New Roman" w:hAnsi="Times New Roman" w:cs="Times New Roman"/>
        </w:rPr>
        <w:t xml:space="preserve"> The Positive Potentiality of Risky Play measure described above was altered such that the participant was asked to rate the</w:t>
      </w:r>
      <w:r w:rsidRPr="002B66B4">
        <w:rPr>
          <w:rFonts w:ascii="Times New Roman" w:hAnsi="Times New Roman" w:cs="Times New Roman"/>
        </w:rPr>
        <w:t xml:space="preserve"> </w:t>
      </w:r>
      <w:r>
        <w:rPr>
          <w:rFonts w:ascii="Times New Roman" w:hAnsi="Times New Roman" w:cs="Times New Roman"/>
        </w:rPr>
        <w:t xml:space="preserve">extent to which they agree that “Risky play can help my child,” as opposed to “a child.” All other aspects are the same. </w:t>
      </w:r>
    </w:p>
    <w:p w14:paraId="6ACB7959" w14:textId="2F257627" w:rsidR="00B67B7D" w:rsidRPr="00456F24" w:rsidRDefault="00B67B7D" w:rsidP="00B67B7D">
      <w:pPr>
        <w:spacing w:line="480" w:lineRule="auto"/>
        <w:ind w:firstLine="720"/>
        <w:rPr>
          <w:rFonts w:ascii="Times New Roman" w:hAnsi="Times New Roman" w:cs="Times New Roman"/>
        </w:rPr>
      </w:pPr>
      <w:r w:rsidRPr="00BF56CA">
        <w:rPr>
          <w:rFonts w:ascii="Times New Roman" w:hAnsi="Times New Roman" w:cs="Times New Roman"/>
          <w:b/>
        </w:rPr>
        <w:t>Self-efficacy</w:t>
      </w:r>
      <w:r w:rsidR="006557E5">
        <w:rPr>
          <w:rFonts w:ascii="Times New Roman" w:hAnsi="Times New Roman" w:cs="Times New Roman"/>
          <w:b/>
        </w:rPr>
        <w:t xml:space="preserve"> and behavioural skills</w:t>
      </w:r>
      <w:r w:rsidRPr="00BF56CA">
        <w:rPr>
          <w:rFonts w:ascii="Times New Roman" w:hAnsi="Times New Roman" w:cs="Times New Roman"/>
        </w:rPr>
        <w:t>.</w:t>
      </w:r>
      <w:r w:rsidRPr="00456F24">
        <w:rPr>
          <w:rFonts w:ascii="Times New Roman" w:hAnsi="Times New Roman" w:cs="Times New Roman"/>
        </w:rPr>
        <w:t xml:space="preserve"> </w:t>
      </w:r>
      <w:r>
        <w:rPr>
          <w:rFonts w:ascii="Times New Roman" w:hAnsi="Times New Roman" w:cs="Times New Roman"/>
        </w:rPr>
        <w:t xml:space="preserve">Participants complete 4 items on a 5-point scale from “strongly disagree” to “strongly agree” assessing their belief in their ability to provide their child with opportunities for risky play, resisting the urge to intervene when their child is engaged in risky play, convincing their co-parent to support their intentions, and being able to maintain long-term change.  </w:t>
      </w:r>
    </w:p>
    <w:p w14:paraId="1AFB3EE0" w14:textId="77777777" w:rsidR="00B67B7D" w:rsidRDefault="00B67B7D" w:rsidP="00B67B7D">
      <w:pPr>
        <w:spacing w:line="480" w:lineRule="auto"/>
        <w:ind w:firstLine="720"/>
        <w:rPr>
          <w:rFonts w:ascii="Times New Roman" w:hAnsi="Times New Roman" w:cs="Times New Roman"/>
        </w:rPr>
      </w:pPr>
      <w:r w:rsidRPr="00BF56CA">
        <w:rPr>
          <w:rFonts w:ascii="Times New Roman" w:hAnsi="Times New Roman" w:cs="Times New Roman"/>
          <w:b/>
        </w:rPr>
        <w:t>Social support</w:t>
      </w:r>
      <w:r w:rsidRPr="00BF56CA">
        <w:rPr>
          <w:rFonts w:ascii="Times New Roman" w:hAnsi="Times New Roman" w:cs="Times New Roman"/>
        </w:rPr>
        <w:t>.</w:t>
      </w:r>
      <w:r>
        <w:rPr>
          <w:rFonts w:ascii="Times New Roman" w:hAnsi="Times New Roman" w:cs="Times New Roman"/>
        </w:rPr>
        <w:t xml:space="preserve"> Participants are asked whether they have shared the online RR tool with their co-parent (yes/no), and to rate on a 5-point scale the extent to which their co-parent sees the benefits of risky play, they have talked to their co-parent about risky play and made plans for change together. </w:t>
      </w:r>
    </w:p>
    <w:p w14:paraId="33A7CE73" w14:textId="77777777" w:rsidR="00B67B7D" w:rsidRPr="005747C0" w:rsidRDefault="00B67B7D" w:rsidP="00B67B7D">
      <w:pPr>
        <w:spacing w:line="480" w:lineRule="auto"/>
        <w:ind w:firstLine="720"/>
        <w:rPr>
          <w:rFonts w:ascii="Times New Roman" w:hAnsi="Times New Roman" w:cs="Times New Roman"/>
        </w:rPr>
      </w:pPr>
      <w:r w:rsidRPr="00BF56CA">
        <w:rPr>
          <w:rFonts w:ascii="Times New Roman" w:hAnsi="Times New Roman" w:cs="Times New Roman"/>
          <w:b/>
        </w:rPr>
        <w:lastRenderedPageBreak/>
        <w:t>Barriers and opportunities</w:t>
      </w:r>
      <w:r w:rsidRPr="007919D8">
        <w:rPr>
          <w:rFonts w:ascii="Times New Roman" w:hAnsi="Times New Roman" w:cs="Times New Roman"/>
        </w:rPr>
        <w:t xml:space="preserve">. </w:t>
      </w:r>
      <w:r>
        <w:rPr>
          <w:rFonts w:ascii="Times New Roman" w:hAnsi="Times New Roman" w:cs="Times New Roman"/>
        </w:rPr>
        <w:t xml:space="preserve">Participants use a four-point scale ranging from “never” to “often” to rate the extent to which four concerns (injury, harm by others, social censure, lack of confidence in child’s abilities to stay safe) make it difficult for them to let their child engage in risky play. The same scale is used to rate the extent to which four beliefs (trust in child, want to support child’s desire, want to give child opportunity to build skills, see learning opportunity) help them let their child engage in risky play. </w:t>
      </w:r>
    </w:p>
    <w:p w14:paraId="032E2995" w14:textId="1524FBFC" w:rsidR="001B2FD9" w:rsidRDefault="001B2FD9" w:rsidP="001B2FD9">
      <w:pPr>
        <w:spacing w:line="480" w:lineRule="auto"/>
        <w:ind w:firstLine="720"/>
        <w:rPr>
          <w:rFonts w:ascii="Times New Roman" w:hAnsi="Times New Roman" w:cs="Times New Roman"/>
        </w:rPr>
      </w:pPr>
      <w:r w:rsidRPr="00F711AC">
        <w:rPr>
          <w:rFonts w:ascii="Times New Roman" w:hAnsi="Times New Roman" w:cs="Times New Roman"/>
          <w:b/>
        </w:rPr>
        <w:t>Normative beliefs.</w:t>
      </w:r>
      <w:r>
        <w:rPr>
          <w:rFonts w:ascii="Times New Roman" w:hAnsi="Times New Roman" w:cs="Times New Roman"/>
        </w:rPr>
        <w:t xml:space="preserve"> We adapted a scale used in previous research </w:t>
      </w:r>
      <w:r w:rsidRPr="00A122B2">
        <w:rPr>
          <w:rFonts w:ascii="Times New Roman" w:hAnsi="Times New Roman" w:cs="Times New Roman"/>
          <w:b/>
          <w:color w:val="000000" w:themeColor="text1"/>
        </w:rPr>
        <w:fldChar w:fldCharType="begin" w:fldLock="1"/>
      </w:r>
      <w:r w:rsidR="00306024">
        <w:rPr>
          <w:rFonts w:ascii="Times New Roman" w:hAnsi="Times New Roman" w:cs="Times New Roman"/>
          <w:b/>
          <w:color w:val="000000" w:themeColor="text1"/>
        </w:rPr>
        <w:instrText>ADDIN CSL_CITATION { "citationItems" : [ { "id" : "ITEM-1", "itemData" : { "author" : [ { "dropping-particle" : "", "family" : "Duncan", "given" : "S.", "non-dropping-particle" : "", "parse-names" : false, "suffix" : "" }, { "dropping-particle" : "", "family" : "McPhee", "given" : "Julia", "non-dropping-particle" : "", "parse-names" : false, "suffix" : "" } ], "id" : "ITEM-1", "issued" : { "date-parts" : [ [ "2015" ] ] }, "number-of-pages" : "29", "publisher-place" : "Auckland, NZ", "title" : "State of play survey: Executive report", "type" : "report" }, "uris" : [ "http://www.mendeley.com/documents/?uuid=f5f3b411-214a-44d7-a801-45e7368e5796" ] } ], "mendeley" : { "formattedCitation" : "[1]", "plainTextFormattedCitation" : "[1]", "previouslyFormattedCitation" : "[1]" }, "properties" : {  }, "schema" : "https://github.com/citation-style-language/schema/raw/master/csl-citation.json" }</w:instrText>
      </w:r>
      <w:r w:rsidRPr="00A122B2">
        <w:rPr>
          <w:rFonts w:ascii="Times New Roman" w:hAnsi="Times New Roman" w:cs="Times New Roman"/>
          <w:b/>
          <w:color w:val="000000" w:themeColor="text1"/>
        </w:rPr>
        <w:fldChar w:fldCharType="separate"/>
      </w:r>
      <w:r w:rsidR="00306024" w:rsidRPr="00306024">
        <w:rPr>
          <w:rFonts w:ascii="Times New Roman" w:hAnsi="Times New Roman" w:cs="Times New Roman"/>
          <w:noProof/>
          <w:color w:val="000000" w:themeColor="text1"/>
        </w:rPr>
        <w:t>[1]</w:t>
      </w:r>
      <w:r w:rsidRPr="00A122B2">
        <w:rPr>
          <w:rFonts w:ascii="Times New Roman" w:hAnsi="Times New Roman" w:cs="Times New Roman"/>
          <w:b/>
          <w:color w:val="000000" w:themeColor="text1"/>
        </w:rPr>
        <w:fldChar w:fldCharType="end"/>
      </w:r>
      <w:r>
        <w:rPr>
          <w:rFonts w:ascii="Times New Roman" w:hAnsi="Times New Roman" w:cs="Times New Roman"/>
        </w:rPr>
        <w:t xml:space="preserve"> to measure normative beliefs regarding how normal it is for children in the participant’s neighbourhood to engage in ten risky play behaviours, as well as how normal it is for parents to be criticized for letting their child do risky play and for children to get in trouble. It is rated on a 5-point scale ranging from “strongly disagree” to “strongly agree.” </w:t>
      </w:r>
    </w:p>
    <w:p w14:paraId="1CFDDA7A" w14:textId="77777777" w:rsidR="001B2FD9" w:rsidRPr="00F711AC" w:rsidRDefault="001B2FD9" w:rsidP="001B2FD9">
      <w:pPr>
        <w:spacing w:line="480" w:lineRule="auto"/>
        <w:ind w:firstLine="720"/>
        <w:rPr>
          <w:rFonts w:ascii="Times New Roman" w:hAnsi="Times New Roman" w:cs="Times New Roman"/>
        </w:rPr>
      </w:pPr>
      <w:r w:rsidRPr="00A747DF">
        <w:rPr>
          <w:rFonts w:ascii="Times New Roman" w:hAnsi="Times New Roman" w:cs="Times New Roman"/>
          <w:b/>
        </w:rPr>
        <w:t xml:space="preserve">Reinforcements and </w:t>
      </w:r>
      <w:r w:rsidRPr="00F711AC">
        <w:rPr>
          <w:rFonts w:ascii="Times New Roman" w:hAnsi="Times New Roman" w:cs="Times New Roman"/>
          <w:b/>
        </w:rPr>
        <w:t>punishments.</w:t>
      </w:r>
      <w:r>
        <w:rPr>
          <w:rFonts w:ascii="Times New Roman" w:hAnsi="Times New Roman" w:cs="Times New Roman"/>
        </w:rPr>
        <w:t xml:space="preserve"> At follow-ups, we will be measuring five positive and five negative events that participants experienced in the interim resulting from their child’s engagement in risky play. Sample positive events are that their child seems more confident or more physically active; sample negative events are their child experiencing an injury or being criticized by others for letting their child engage in risky play. These are rated on a four-point scale ranging from “strongly disagree” to “strongly agree”. </w:t>
      </w:r>
    </w:p>
    <w:p w14:paraId="3E14FF60" w14:textId="77777777" w:rsidR="00306024" w:rsidRDefault="00306024" w:rsidP="00B67B7D">
      <w:pPr>
        <w:spacing w:line="480" w:lineRule="auto"/>
        <w:rPr>
          <w:rFonts w:ascii="Times New Roman" w:hAnsi="Times New Roman" w:cs="Times New Roman"/>
        </w:rPr>
      </w:pPr>
    </w:p>
    <w:p w14:paraId="004F4EAA" w14:textId="7D8974EB" w:rsidR="00306024" w:rsidRPr="00306024" w:rsidRDefault="00306024" w:rsidP="00B67B7D">
      <w:pPr>
        <w:spacing w:line="480" w:lineRule="auto"/>
        <w:rPr>
          <w:rFonts w:ascii="Times New Roman" w:hAnsi="Times New Roman" w:cs="Times New Roman"/>
          <w:b/>
          <w:u w:val="single"/>
        </w:rPr>
      </w:pPr>
      <w:r w:rsidRPr="00306024">
        <w:rPr>
          <w:rFonts w:ascii="Times New Roman" w:hAnsi="Times New Roman" w:cs="Times New Roman"/>
          <w:b/>
          <w:u w:val="single"/>
        </w:rPr>
        <w:t>Additional data</w:t>
      </w:r>
    </w:p>
    <w:p w14:paraId="0D2F9ECB" w14:textId="0AAFEE17" w:rsidR="00B67B7D" w:rsidRDefault="00B67B7D" w:rsidP="00B67B7D">
      <w:pPr>
        <w:spacing w:line="480" w:lineRule="auto"/>
        <w:rPr>
          <w:rFonts w:ascii="Times New Roman" w:hAnsi="Times New Roman" w:cs="Times New Roman"/>
        </w:rPr>
      </w:pPr>
      <w:r w:rsidRPr="00467065">
        <w:rPr>
          <w:rFonts w:ascii="Times New Roman" w:hAnsi="Times New Roman" w:cs="Times New Roman"/>
          <w:b/>
        </w:rPr>
        <w:t>Overprotection</w:t>
      </w:r>
      <w:r>
        <w:rPr>
          <w:rFonts w:ascii="Times New Roman" w:hAnsi="Times New Roman" w:cs="Times New Roman"/>
        </w:rPr>
        <w:t xml:space="preserve">. The Parental Overprotection Measure </w:t>
      </w:r>
      <w:r>
        <w:rPr>
          <w:rFonts w:ascii="Times New Roman" w:hAnsi="Times New Roman" w:cs="Times New Roman"/>
          <w:b/>
          <w:color w:val="000000" w:themeColor="text1"/>
        </w:rPr>
        <w:fldChar w:fldCharType="begin" w:fldLock="1"/>
      </w:r>
      <w:r w:rsidR="00AD1A82">
        <w:rPr>
          <w:rFonts w:ascii="Times New Roman" w:hAnsi="Times New Roman" w:cs="Times New Roman"/>
          <w:b/>
          <w:color w:val="000000" w:themeColor="text1"/>
        </w:rPr>
        <w:instrText>ADDIN CSL_CITATION { "citationItems" : [ { "id" : "ITEM-1", "itemData" : { "DOI" : "10.1016/j.jad.2013.07.007", "ISBN" : "1573-2517 (Electronic)\\r0165-0327 (Linking)", "ISSN" : "01650327", "PMID" : "23916305", "abstract" : "Background Parental overprotection has commonly been implicated in the development and maintenance of childhood anxiety disorders. Overprotection has been assessed using questionnaire and observational methods interchangeably; however, the extent to which these methods access the same construct has received little attention. Edwards et al. (2008, 2010) developed a promising parent-report measure of overprotection (OP) and reported that, with parents of pre-school children, the measure correlated with observational assessments and predicted changes in child anxiety symptoms. We aimed to validate the use of the OP measure with mothers of children in middle childhood, and examine its association with child and parental anxiety. Methods Mothers of 90 children (60 clinically anxious, 30 non-anxious) aged 7-12 years completed the measure and engaged in a series of mildly stressful tasks with their child. Results The internal reliability of the measure was good and scores correlated significantly with observations of maternal overprotection in a challenging puzzle task. Contrary to expectations, OP was not significantly associated with child anxiety status or symptoms, but was significantly associated with maternal anxiety symptoms. Limitations Participants were predominantly from affluent social groups and of non-minority status. Overprotection is a broad construct, the use of specific sub-dimensions of behavioural constructs may be preferable. Conclusions The findings support the use of the OP measure to assess parental overprotection among 7-12 year-old children; however, they suggest that parental responses may be more closely related to the degree of parental rather than child anxiety. ?? 2013 The Authors.", "author" : [ { "dropping-particle" : "", "family" : "Clarke", "given" : "Kiri", "non-dropping-particle" : "", "parse-names" : false, "suffix" : "" }, { "dropping-particle" : "", "family" : "Cooper", "given" : "Peter", "non-dropping-particle" : "", "parse-names" : false, "suffix" : "" }, { "dropping-particle" : "", "family" : "Creswell", "given" : "Cathy", "non-dropping-particle" : "", "parse-names" : false, "suffix" : "" } ], "container-title" : "Journal of Affective Disorders", "id" : "ITEM-1", "issue" : "2", "issued" : { "date-parts" : [ [ "2013", "11" ] ] }, "page" : "618-624", "title" : "The Parental Overprotection Scale: Associations with child and parental anxiety", "type" : "article-journal", "volume" : "151" }, "uris" : [ "http://www.mendeley.com/documents/?uuid=c8cfc82a-ce8e-376c-9d35-f87f5531cefa" ] }, { "id" : "ITEM-2", "itemData" : { "DOI" : "10.1111/j.1469-7610.2009.02160.x", "ISBN" : "1469-7610 (Electronic)\\n0021-9630 (Linking)", "ISSN" : "00219630", "PMID" : "19769584", "abstract" : "BACKGROUND: Little is known about risk factors for anxiety in young children. The current study investigated the value of a set of theoretically derived risk factors to predict symptoms of anxiety in a sample of preschool-aged children. METHODS: Mothers (n = 632) and fathers (n = 249) completed questionnaires twice, 12 months apart. Measures were selected to assess several risk factors derived from current theory, including parental negative affectivity, child inhibition, parent overprotection, and impact of life events. RESULTS: Even at this young age anxiety across 12 months was moderately to highly stable (r's = .75 and .74 based on maternal and paternal report respectively). Over and above this stability, according to maternal report, anxiety at 12 months was significantly predicted by prior maternal overprotection, impact of negative life events, child's inhibition, and maternal negative affectivity. According to paternal report, anxiety at 12 months was significantly predicted by prior paternal overprotection and impact of negative life events. The models did not differ significantly for girls and boys. CONCLUSIONS: The results support theories of the development of anxiety, especially the role of parental and external environmental factors, and point to possible targets for prevention of heightened anxiety in young children.", "author" : [ { "dropping-particle" : "", "family" : "Edwards", "given" : "Susan L.", "non-dropping-particle" : "", "parse-names" : false, "suffix" : "" }, { "dropping-particle" : "", "family" : "Rapee", "given" : "Ronald M.", "non-dropping-particle" : "", "parse-names" : false, "suffix" : "" }, { "dropping-particle" : "", "family" : "Kennedy", "given" : "Susan", "non-dropping-particle" : "", "parse-names" : false, "suffix" : "" } ], "container-title" : "Journal of Child Psychology and Psychiatry and Allied Disciplines", "id" : "ITEM-2", "issue" : "3", "issued" : { "date-parts" : [ [ "2010", "3" ] ] }, "page" : "313-321", "title" : "Prediction of anxiety symptoms in preschool-aged children: Examination of maternal and paternal perspectives", "type" : "article-journal", "volume" : "51" }, "uris" : [ "http://www.mendeley.com/documents/?uuid=39a2473d-f908-35fa-a21d-8ae68415dcb1" ] } ], "mendeley" : { "formattedCitation" : "[2,3]", "plainTextFormattedCitation" : "[2,3]", "previouslyFormattedCitation" : "[2,3]" }, "properties" : {  }, "schema" : "https://github.com/citation-style-language/schema/raw/master/csl-citation.json" }</w:instrText>
      </w:r>
      <w:r>
        <w:rPr>
          <w:rFonts w:ascii="Times New Roman" w:hAnsi="Times New Roman" w:cs="Times New Roman"/>
          <w:b/>
          <w:color w:val="000000" w:themeColor="text1"/>
        </w:rPr>
        <w:fldChar w:fldCharType="separate"/>
      </w:r>
      <w:r w:rsidR="00306024" w:rsidRPr="00306024">
        <w:rPr>
          <w:rFonts w:ascii="Times New Roman" w:hAnsi="Times New Roman" w:cs="Times New Roman"/>
          <w:noProof/>
          <w:color w:val="000000" w:themeColor="text1"/>
        </w:rPr>
        <w:t>[2,3]</w:t>
      </w:r>
      <w:r>
        <w:rPr>
          <w:rFonts w:ascii="Times New Roman" w:hAnsi="Times New Roman" w:cs="Times New Roman"/>
          <w:b/>
          <w:color w:val="000000" w:themeColor="text1"/>
        </w:rPr>
        <w:fldChar w:fldCharType="end"/>
      </w:r>
      <w:r>
        <w:rPr>
          <w:rFonts w:ascii="Times New Roman" w:hAnsi="Times New Roman" w:cs="Times New Roman"/>
        </w:rPr>
        <w:t xml:space="preserve"> will be completed at baseline to assess mothers’ tendency for overprotection. Items are completed on a 5-point scale ranging from “not at all” to “very much” and ask parents to select the number that represents their usual response to their child. Sample items include “I anticipate and avoid situations where my child might do something risky” and “I shelter my child from life’s difficulties.” </w:t>
      </w:r>
    </w:p>
    <w:p w14:paraId="76EB8B96" w14:textId="4B32703D" w:rsidR="00B67B7D" w:rsidRPr="00C525ED" w:rsidRDefault="00B67B7D" w:rsidP="00B67B7D">
      <w:pPr>
        <w:spacing w:line="480" w:lineRule="auto"/>
        <w:rPr>
          <w:rFonts w:ascii="Times New Roman" w:hAnsi="Times New Roman" w:cs="Times New Roman"/>
        </w:rPr>
      </w:pPr>
      <w:r>
        <w:rPr>
          <w:rFonts w:ascii="Times New Roman" w:hAnsi="Times New Roman" w:cs="Times New Roman"/>
        </w:rPr>
        <w:tab/>
      </w:r>
      <w:r w:rsidRPr="00306024">
        <w:rPr>
          <w:rFonts w:ascii="Times New Roman" w:hAnsi="Times New Roman" w:cs="Times New Roman"/>
          <w:b/>
        </w:rPr>
        <w:t>Parent anxiety</w:t>
      </w:r>
      <w:r w:rsidRPr="00306024">
        <w:rPr>
          <w:rFonts w:ascii="Times New Roman" w:hAnsi="Times New Roman" w:cs="Times New Roman"/>
        </w:rPr>
        <w:t>. The</w:t>
      </w:r>
      <w:r>
        <w:rPr>
          <w:rFonts w:ascii="Times New Roman" w:hAnsi="Times New Roman" w:cs="Times New Roman"/>
        </w:rPr>
        <w:t xml:space="preserve"> </w:t>
      </w:r>
      <w:r w:rsidR="00A86324">
        <w:rPr>
          <w:rFonts w:ascii="Times New Roman" w:hAnsi="Times New Roman" w:cs="Times New Roman"/>
        </w:rPr>
        <w:t>Depression Anxiety Stress Scale</w:t>
      </w:r>
      <w:r w:rsidR="007450DC">
        <w:rPr>
          <w:rFonts w:ascii="Times New Roman" w:hAnsi="Times New Roman" w:cs="Times New Roman"/>
        </w:rPr>
        <w:t>s 21</w:t>
      </w:r>
      <w:r w:rsidR="00A86324">
        <w:rPr>
          <w:rFonts w:ascii="Times New Roman" w:hAnsi="Times New Roman" w:cs="Times New Roman"/>
        </w:rPr>
        <w:t xml:space="preserve"> (</w:t>
      </w:r>
      <w:r>
        <w:rPr>
          <w:rFonts w:ascii="Times New Roman" w:hAnsi="Times New Roman" w:cs="Times New Roman"/>
        </w:rPr>
        <w:t>DASS-21</w:t>
      </w:r>
      <w:r w:rsidR="00A86324">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b/>
          <w:color w:val="000000" w:themeColor="text1"/>
        </w:rPr>
        <w:fldChar w:fldCharType="begin" w:fldLock="1"/>
      </w:r>
      <w:r w:rsidR="00306024">
        <w:rPr>
          <w:rFonts w:ascii="Times New Roman" w:hAnsi="Times New Roman" w:cs="Times New Roman"/>
          <w:b/>
          <w:color w:val="000000" w:themeColor="text1"/>
        </w:rPr>
        <w:instrText>ADDIN CSL_CITATION { "citationItems" : [ { "id" : "ITEM-1", "itemData" : { "DOI" : "10.1348/014466505X29657", "ISBN" : "0144-6657 (Print)\\r0144-6657 (Linking)", "ISSN" : "01446657", "PMID" : "16004657", "abstract" : "OBJECTIVES: To test the construct validity of the short-form version of the Depression anxiety and stress scale (DASS-21), and in particular, to assess whether stress as indexed by this measure is synonymous with negative affectivity (NA) or whether it represents a related, but distinct, construct. To provide normative data for the general adult population.\\n\\nDESIGN: Cross-sectional, correlational and confirmatory factor analysis (CFA).\\n\\nMETHODS: The DASS-21 was administered to a non-clinical sample, broadly representative of the general adult UK population (N = 1,794). Competing models of the latent structure of the DASS-21 were evaluated using CFA.\\n\\nRESULTS: The model with optimal fit (RCFI = 0.94) had a quadripartite structure, and consisted of a general factor of psychological distress plus orthogonal specific factors of depression, anxiety, and stress. This model was a significantly better fit than a competing model that tested the possibility that the Stress scale simply measures NA.\\n\\nCONCLUSIONS: The DASS-21 subscales can validly be used to measure the dimensions of depression, anxiety, and stress. However, each of these subscales also taps a more general dimension of psychological distress or NA. The utility of the measure is enhanced by the provision of normative data based on a large sample.", "author" : [ { "dropping-particle" : "", "family" : "Henry", "given" : "Julie D.", "non-dropping-particle" : "", "parse-names" : false, "suffix" : "" }, { "dropping-particle" : "", "family" : "Crawford", "given" : "John R.", "non-dropping-particle" : "", "parse-names" : false, "suffix" : "" } ], "container-title" : "British Journal of Clinical Psychology", "id" : "ITEM-1", "issue" : "2", "issued" : { "date-parts" : [ [ "2005", "6", "1" ] ] }, "page" : "227-239", "publisher" : "Blackwell Publishing Ltd", "title" : "The short-form version of the Depression Anxiety Stress Scales (DASS-21): Construct validity and normative data in a large non-clinical sample", "type" : "article-journal", "volume" : "44" }, "uris" : [ "http://www.mendeley.com/documents/?uuid=0ae9bbc4-8481-375b-adb4-ac67bf6ffd38" ] }, { "id" : "ITEM-2", "itemData" : { "DOI" : "10.1037/1040-3590.10.2.176", "ISBN" : "1040-3590\\r1939-134X", "ISSN" : "1939-134X", "PMID" : "633", "abstract" : "The factor structure, reliability, and validity of the Depression Anxiety Stress Scales (DASS; S. H. Lovibond &amp; P. F. Lovibond, 1995) and the 21-item short form of these measures (DASS-21 ) were examined in nonclinical volunteers (n\u00e2\u20ac\u201a=\u00e2\u20ac\u201a49) and patients with Diagnostic and Statistical Manual of Mental Disorders (4th ed.; American Psychiatric Association, 1994) diagnoses of panic disorder (n\u00e2\u20ac\u201a=\u00e2\u20ac\u201a 67), obsessive-compulsive disorder (n\u00e2\u20ac\u201a=\u00e2\u20ac\u201a54), social phobia (n\u00e2\u20ac\u201a=\u00e2\u20ac\u201a74), specific phobia (n\u00e2\u20ac\u201a=\u00e2\u20ac\u201a17), and major depressive disorder (n\u00e2\u20ac\u201a=\u00e2\u20ac\u201a46). This study replicates previous findings indicating that the DASS distinguishes well between features of depression, physical arousal, and psychological tension and agitation and extends these observations to the DASS-21. In addition, the internal consistency and concurrent validity of the DASS and DASS-21 were in the acceptable to excellent ranges. Mean scores for the various groups were similar to those in previous research, and in the expected direction. The implications of these findings are discussed. (PsycINFO Database Record (c) 2008 APA, all rights reserved). (from the journal abstract)", "author" : [ { "dropping-particle" : "", "family" : "Antony", "given" : "Martin M.", "non-dropping-particle" : "", "parse-names" : false, "suffix" : "" }, { "dropping-particle" : "", "family" : "Bieling", "given" : "Peter J.", "non-dropping-particle" : "", "parse-names" : false, "suffix" : "" }, { "dropping-particle" : "", "family" : "Cox", "given" : "Brian J.", "non-dropping-particle" : "", "parse-names" : false, "suffix" : "" }, { "dropping-particle" : "", "family" : "Enns", "given" : "Murray W.", "non-dropping-particle" : "", "parse-names" : false, "suffix" : "" }, { "dropping-particle" : "", "family" : "Swinson", "given" : "Richard P.", "non-dropping-particle" : "", "parse-names" : false, "suffix" : "" } ], "container-title" : "Psychological Assessment", "id" : "ITEM-2", "issue" : "2", "issued" : { "date-parts" : [ [ "1998" ] ] }, "page" : "176-181", "title" : "Psychometric properties of the 42-item and 21-item versions of the Depression Anxiety Stress Scales in clinical groups and a community sample.", "type" : "article-journal", "volume" : "10" }, "uris" : [ "http://www.mendeley.com/documents/?uuid=703ad7b1-8c7e-3891-bc71-982b2569f36c" ] } ], "mendeley" : { "formattedCitation" : "[4,5]", "plainTextFormattedCitation" : "[4,5]", "previouslyFormattedCitation" : "[4,5]" }, "properties" : {  }, "schema" : "https://github.com/citation-style-language/schema/raw/master/csl-citation.json" }</w:instrText>
      </w:r>
      <w:r>
        <w:rPr>
          <w:rFonts w:ascii="Times New Roman" w:hAnsi="Times New Roman" w:cs="Times New Roman"/>
          <w:b/>
          <w:color w:val="000000" w:themeColor="text1"/>
        </w:rPr>
        <w:fldChar w:fldCharType="separate"/>
      </w:r>
      <w:r w:rsidR="00306024" w:rsidRPr="00306024">
        <w:rPr>
          <w:rFonts w:ascii="Times New Roman" w:hAnsi="Times New Roman" w:cs="Times New Roman"/>
          <w:noProof/>
          <w:color w:val="000000" w:themeColor="text1"/>
        </w:rPr>
        <w:t>[4,5]</w:t>
      </w:r>
      <w:r>
        <w:rPr>
          <w:rFonts w:ascii="Times New Roman" w:hAnsi="Times New Roman" w:cs="Times New Roman"/>
          <w:b/>
          <w:color w:val="000000" w:themeColor="text1"/>
        </w:rPr>
        <w:fldChar w:fldCharType="end"/>
      </w:r>
      <w:r>
        <w:rPr>
          <w:rFonts w:ascii="Times New Roman" w:hAnsi="Times New Roman" w:cs="Times New Roman"/>
          <w:b/>
          <w:color w:val="000000" w:themeColor="text1"/>
        </w:rPr>
        <w:t xml:space="preserve"> </w:t>
      </w:r>
      <w:r>
        <w:rPr>
          <w:rFonts w:ascii="Times New Roman" w:hAnsi="Times New Roman" w:cs="Times New Roman"/>
          <w:color w:val="000000" w:themeColor="text1"/>
        </w:rPr>
        <w:t xml:space="preserve">is included to measure baseline anxiety. </w:t>
      </w:r>
      <w:r w:rsidR="002A340C">
        <w:rPr>
          <w:rFonts w:ascii="Times New Roman" w:hAnsi="Times New Roman" w:cs="Times New Roman"/>
          <w:color w:val="000000" w:themeColor="text1"/>
        </w:rPr>
        <w:t xml:space="preserve">It includes three </w:t>
      </w:r>
      <w:r w:rsidR="00654DE9">
        <w:rPr>
          <w:rFonts w:ascii="Times New Roman" w:hAnsi="Times New Roman" w:cs="Times New Roman"/>
          <w:color w:val="000000" w:themeColor="text1"/>
        </w:rPr>
        <w:t>seven</w:t>
      </w:r>
      <w:r w:rsidR="002A340C">
        <w:rPr>
          <w:rFonts w:ascii="Times New Roman" w:hAnsi="Times New Roman" w:cs="Times New Roman"/>
          <w:color w:val="000000" w:themeColor="text1"/>
        </w:rPr>
        <w:t xml:space="preserve">-item scales that measure self-reported depression, anxiety and stress </w:t>
      </w:r>
      <w:r w:rsidR="00BA0E27">
        <w:rPr>
          <w:rFonts w:ascii="Times New Roman" w:hAnsi="Times New Roman" w:cs="Times New Roman"/>
          <w:color w:val="000000" w:themeColor="text1"/>
        </w:rPr>
        <w:t>over the past week</w:t>
      </w:r>
      <w:r w:rsidR="00654DE9">
        <w:rPr>
          <w:rFonts w:ascii="Times New Roman" w:hAnsi="Times New Roman" w:cs="Times New Roman"/>
          <w:color w:val="000000" w:themeColor="text1"/>
        </w:rPr>
        <w:t xml:space="preserve"> on a four-point scale, ranging from “0 did not apply to me at all” to “3 applied to me very much or most of the time.” Cronbach’s alpha was 0.93 in a non-clinical community sample </w:t>
      </w:r>
      <w:r w:rsidR="00654DE9">
        <w:rPr>
          <w:rFonts w:ascii="Times New Roman" w:hAnsi="Times New Roman" w:cs="Times New Roman"/>
          <w:color w:val="000000" w:themeColor="text1"/>
        </w:rPr>
        <w:fldChar w:fldCharType="begin" w:fldLock="1"/>
      </w:r>
      <w:r w:rsidR="00654DE9">
        <w:rPr>
          <w:rFonts w:ascii="Times New Roman" w:hAnsi="Times New Roman" w:cs="Times New Roman"/>
          <w:color w:val="000000" w:themeColor="text1"/>
        </w:rPr>
        <w:instrText>ADDIN CSL_CITATION { "citationItems" : [ { "id" : "ITEM-1", "itemData" : { "DOI" : "10.1348/014466505X29657", "ISBN" : "0144-6657 (Print)\\r0144-6657 (Linking)", "ISSN" : "01446657", "PMID" : "16004657", "abstract" : "OBJECTIVES: To test the construct validity of the short-form version of the Depression anxiety and stress scale (DASS-21), and in particular, to assess whether stress as indexed by this measure is synonymous with negative affectivity (NA) or whether it represents a related, but distinct, construct. To provide normative data for the general adult population.\\n\\nDESIGN: Cross-sectional, correlational and confirmatory factor analysis (CFA).\\n\\nMETHODS: The DASS-21 was administered to a non-clinical sample, broadly representative of the general adult UK population (N = 1,794). Competing models of the latent structure of the DASS-21 were evaluated using CFA.\\n\\nRESULTS: The model with optimal fit (RCFI = 0.94) had a quadripartite structure, and consisted of a general factor of psychological distress plus orthogonal specific factors of depression, anxiety, and stress. This model was a significantly better fit than a competing model that tested the possibility that the Stress scale simply measures NA.\\n\\nCONCLUSIONS: The DASS-21 subscales can validly be used to measure the dimensions of depression, anxiety, and stress. However, each of these subscales also taps a more general dimension of psychological distress or NA. The utility of the measure is enhanced by the provision of normative data based on a large sample.", "author" : [ { "dropping-particle" : "", "family" : "Henry", "given" : "Julie D.", "non-dropping-particle" : "", "parse-names" : false, "suffix" : "" }, { "dropping-particle" : "", "family" : "Crawford", "given" : "John R.", "non-dropping-particle" : "", "parse-names" : false, "suffix" : "" } ], "container-title" : "British Journal of Clinical Psychology", "id" : "ITEM-1", "issue" : "2", "issued" : { "date-parts" : [ [ "2005", "6", "1" ] ] }, "page" : "227-239", "publisher" : "Blackwell Publishing Ltd", "title" : "The short-form version of the Depression Anxiety Stress Scales (DASS-21): Construct validity and normative data in a large non-clinical sample", "type" : "article-journal", "volume" : "44" }, "uris" : [ "http://www.mendeley.com/documents/?uuid=0ae9bbc4-8481-375b-adb4-ac67bf6ffd38" ] } ], "mendeley" : { "formattedCitation" : "[4]", "plainTextFormattedCitation" : "[4]", "previouslyFormattedCitation" : "[4]" }, "properties" : {  }, "schema" : "https://github.com/citation-style-language/schema/raw/master/csl-citation.json" }</w:instrText>
      </w:r>
      <w:r w:rsidR="00654DE9">
        <w:rPr>
          <w:rFonts w:ascii="Times New Roman" w:hAnsi="Times New Roman" w:cs="Times New Roman"/>
          <w:color w:val="000000" w:themeColor="text1"/>
        </w:rPr>
        <w:fldChar w:fldCharType="separate"/>
      </w:r>
      <w:r w:rsidR="00654DE9" w:rsidRPr="00654DE9">
        <w:rPr>
          <w:rFonts w:ascii="Times New Roman" w:hAnsi="Times New Roman" w:cs="Times New Roman"/>
          <w:noProof/>
          <w:color w:val="000000" w:themeColor="text1"/>
        </w:rPr>
        <w:t>[4]</w:t>
      </w:r>
      <w:r w:rsidR="00654DE9">
        <w:rPr>
          <w:rFonts w:ascii="Times New Roman" w:hAnsi="Times New Roman" w:cs="Times New Roman"/>
          <w:color w:val="000000" w:themeColor="text1"/>
        </w:rPr>
        <w:fldChar w:fldCharType="end"/>
      </w:r>
      <w:r w:rsidR="004D3F74">
        <w:rPr>
          <w:rFonts w:ascii="Times New Roman" w:hAnsi="Times New Roman" w:cs="Times New Roman"/>
          <w:color w:val="000000" w:themeColor="text1"/>
        </w:rPr>
        <w:t xml:space="preserve">. The DASS-21 also shows good convergent and discriminant validity when compared with other measures of depression and anxiety </w:t>
      </w:r>
      <w:r w:rsidR="004D3F74">
        <w:rPr>
          <w:rFonts w:ascii="Times New Roman" w:hAnsi="Times New Roman" w:cs="Times New Roman"/>
          <w:color w:val="000000" w:themeColor="text1"/>
        </w:rPr>
        <w:fldChar w:fldCharType="begin" w:fldLock="1"/>
      </w:r>
      <w:r w:rsidR="004D3F74">
        <w:rPr>
          <w:rFonts w:ascii="Times New Roman" w:hAnsi="Times New Roman" w:cs="Times New Roman"/>
          <w:color w:val="000000" w:themeColor="text1"/>
        </w:rPr>
        <w:instrText>ADDIN CSL_CITATION { "citationItems" : [ { "id" : "ITEM-1", "itemData" : { "DOI" : "10.1348/014466505X29657", "ISBN" : "0144-6657 (Print)\\r0144-6657 (Linking)", "ISSN" : "01446657", "PMID" : "16004657", "abstract" : "OBJECTIVES: To test the construct validity of the short-form version of the Depression anxiety and stress scale (DASS-21), and in particular, to assess whether stress as indexed by this measure is synonymous with negative affectivity (NA) or whether it represents a related, but distinct, construct. To provide normative data for the general adult population.\\n\\nDESIGN: Cross-sectional, correlational and confirmatory factor analysis (CFA).\\n\\nMETHODS: The DASS-21 was administered to a non-clinical sample, broadly representative of the general adult UK population (N = 1,794). Competing models of the latent structure of the DASS-21 were evaluated using CFA.\\n\\nRESULTS: The model with optimal fit (RCFI = 0.94) had a quadripartite structure, and consisted of a general factor of psychological distress plus orthogonal specific factors of depression, anxiety, and stress. This model was a significantly better fit than a competing model that tested the possibility that the Stress scale simply measures NA.\\n\\nCONCLUSIONS: The DASS-21 subscales can validly be used to measure the dimensions of depression, anxiety, and stress. However, each of these subscales also taps a more general dimension of psychological distress or NA. The utility of the measure is enhanced by the provision of normative data based on a large sample.", "author" : [ { "dropping-particle" : "", "family" : "Henry", "given" : "Julie D.", "non-dropping-particle" : "", "parse-names" : false, "suffix" : "" }, { "dropping-particle" : "", "family" : "Crawford", "given" : "John R.", "non-dropping-particle" : "", "parse-names" : false, "suffix" : "" } ], "container-title" : "British Journal of Clinical Psychology", "id" : "ITEM-1", "issue" : "2", "issued" : { "date-parts" : [ [ "2005", "6", "1" ] ] }, "page" : "227-239", "publisher" : "Blackwell Publishing Ltd", "title" : "The short-form version of the Depression Anxiety Stress Scales (DASS-21): Construct validity and normative data in a large non-clinical sample", "type" : "article-journal", "volume" : "44" }, "uris" : [ "http://www.mendeley.com/documents/?uuid=0ae9bbc4-8481-375b-adb4-ac67bf6ffd38" ] } ], "mendeley" : { "formattedCitation" : "[4]", "plainTextFormattedCitation" : "[4]", "previouslyFormattedCitation" : "[4]" }, "properties" : {  }, "schema" : "https://github.com/citation-style-language/schema/raw/master/csl-citation.json" }</w:instrText>
      </w:r>
      <w:r w:rsidR="004D3F74">
        <w:rPr>
          <w:rFonts w:ascii="Times New Roman" w:hAnsi="Times New Roman" w:cs="Times New Roman"/>
          <w:color w:val="000000" w:themeColor="text1"/>
        </w:rPr>
        <w:fldChar w:fldCharType="separate"/>
      </w:r>
      <w:r w:rsidR="004D3F74" w:rsidRPr="00654DE9">
        <w:rPr>
          <w:rFonts w:ascii="Times New Roman" w:hAnsi="Times New Roman" w:cs="Times New Roman"/>
          <w:noProof/>
          <w:color w:val="000000" w:themeColor="text1"/>
        </w:rPr>
        <w:t>[4]</w:t>
      </w:r>
      <w:r w:rsidR="004D3F74">
        <w:rPr>
          <w:rFonts w:ascii="Times New Roman" w:hAnsi="Times New Roman" w:cs="Times New Roman"/>
          <w:color w:val="000000" w:themeColor="text1"/>
        </w:rPr>
        <w:fldChar w:fldCharType="end"/>
      </w:r>
      <w:r w:rsidR="004D3F74">
        <w:rPr>
          <w:rFonts w:ascii="Times New Roman" w:hAnsi="Times New Roman" w:cs="Times New Roman"/>
          <w:color w:val="000000" w:themeColor="text1"/>
        </w:rPr>
        <w:t xml:space="preserve">. </w:t>
      </w:r>
    </w:p>
    <w:p w14:paraId="45570263" w14:textId="4EEC085F" w:rsidR="00B67B7D" w:rsidRPr="00DC6148" w:rsidRDefault="00B67B7D" w:rsidP="00B67B7D">
      <w:pPr>
        <w:spacing w:line="480" w:lineRule="auto"/>
        <w:ind w:firstLine="720"/>
        <w:rPr>
          <w:rFonts w:ascii="Times New Roman" w:hAnsi="Times New Roman" w:cs="Times New Roman"/>
        </w:rPr>
      </w:pPr>
      <w:r w:rsidRPr="00DC6148">
        <w:rPr>
          <w:rFonts w:ascii="Times New Roman" w:hAnsi="Times New Roman" w:cs="Times New Roman"/>
          <w:b/>
        </w:rPr>
        <w:t xml:space="preserve">Perception of neighbourhood social and physical environment. </w:t>
      </w:r>
      <w:r>
        <w:rPr>
          <w:rFonts w:ascii="Times New Roman" w:hAnsi="Times New Roman" w:cs="Times New Roman"/>
        </w:rPr>
        <w:t xml:space="preserve">The Neighbourhood Relations Scale </w:t>
      </w:r>
      <w:r w:rsidRPr="000A27DB">
        <w:rPr>
          <w:rFonts w:ascii="Times New Roman" w:hAnsi="Times New Roman" w:cs="Times New Roman"/>
          <w:b/>
        </w:rPr>
        <w:fldChar w:fldCharType="begin" w:fldLock="1"/>
      </w:r>
      <w:r w:rsidR="00654DE9">
        <w:rPr>
          <w:rFonts w:ascii="Times New Roman" w:hAnsi="Times New Roman" w:cs="Times New Roman"/>
          <w:b/>
        </w:rPr>
        <w:instrText>ADDIN CSL_CITATION { "citationItems" : [ { "id" : "ITEM-1", "itemData" : { "DOI" : "10.1002/1520-6629(200101)29:1&lt;29::AID-JCOP3&gt;3.0.CO;2-C", "ISSN" : "0090-4392", "author" : [ { "dropping-particle" : "", "family" : "Prezza", "given" : "Miretta", "non-dropping-particle" : "", "parse-names" : false, "suffix" : "" }, { "dropping-particle" : "", "family" : "Amici", "given" : "Matilde", "non-dropping-particle" : "", "parse-names" : false, "suffix" : "" }, { "dropping-particle" : "", "family" : "Roberti", "given" : "Tiziana", "non-dropping-particle" : "", "parse-names" : false, "suffix" : "" }, { "dropping-particle" : "", "family" : "Tedeschi", "given" : "Gloria", "non-dropping-particle" : "", "parse-names" : false, "suffix" : "" } ], "container-title" : "Journal of Community Psychology", "id" : "ITEM-1", "issue" : "1", "issued" : { "date-parts" : [ [ "2001", "1" ] ] }, "page" : "29-52", "title" : "Sense of community referred to the whole town: Its relations with neighboring, loneliness, life satisfaction, and area of residence", "type" : "article-journal", "volume" : "29" }, "uris" : [ "http://www.mendeley.com/documents/?uuid=c9b3cc73-5061-4163-9aa7-e9f09b84ea3d" ] } ], "mendeley" : { "formattedCitation" : "[6]", "plainTextFormattedCitation" : "[6]", "previouslyFormattedCitation" : "[6]" }, "properties" : {  }, "schema" : "https://github.com/citation-style-language/schema/raw/master/csl-citation.json" }</w:instrText>
      </w:r>
      <w:r w:rsidRPr="000A27DB">
        <w:rPr>
          <w:rFonts w:ascii="Times New Roman" w:hAnsi="Times New Roman" w:cs="Times New Roman"/>
          <w:b/>
        </w:rPr>
        <w:fldChar w:fldCharType="separate"/>
      </w:r>
      <w:r w:rsidR="00654DE9" w:rsidRPr="00654DE9">
        <w:rPr>
          <w:rFonts w:ascii="Times New Roman" w:hAnsi="Times New Roman" w:cs="Times New Roman"/>
          <w:noProof/>
        </w:rPr>
        <w:t>[6]</w:t>
      </w:r>
      <w:r w:rsidRPr="000A27DB">
        <w:rPr>
          <w:rFonts w:ascii="Times New Roman" w:hAnsi="Times New Roman" w:cs="Times New Roman"/>
          <w:b/>
        </w:rPr>
        <w:fldChar w:fldCharType="end"/>
      </w:r>
      <w:r>
        <w:rPr>
          <w:rFonts w:ascii="Times New Roman" w:hAnsi="Times New Roman" w:cs="Times New Roman"/>
          <w:b/>
        </w:rPr>
        <w:t xml:space="preserve"> </w:t>
      </w:r>
      <w:r>
        <w:rPr>
          <w:rFonts w:ascii="Times New Roman" w:hAnsi="Times New Roman" w:cs="Times New Roman"/>
        </w:rPr>
        <w:t xml:space="preserve">includes five items rated on a five-point scale from “every day” to “never” that measures frequency and types of interaction with neighbours. We are also including two scales from the Neighbourhood Environment Walkability Scale </w:t>
      </w:r>
      <w:r w:rsidRPr="000A27DB">
        <w:rPr>
          <w:rFonts w:ascii="Times New Roman" w:hAnsi="Times New Roman" w:cs="Times New Roman"/>
          <w:color w:val="000000" w:themeColor="text1"/>
        </w:rPr>
        <w:fldChar w:fldCharType="begin" w:fldLock="1"/>
      </w:r>
      <w:r w:rsidR="00654DE9">
        <w:rPr>
          <w:rFonts w:ascii="Times New Roman" w:hAnsi="Times New Roman" w:cs="Times New Roman"/>
          <w:color w:val="000000" w:themeColor="text1"/>
        </w:rPr>
        <w:instrText>ADDIN CSL_CITATION { "citationItems" : [ { "id" : "ITEM-1", "itemData" : { "author" : [ { "dropping-particle" : "", "family" : "Rosenberg", "given" : "D.", "non-dropping-particle" : "", "parse-names" : false, "suffix" : "" }, { "dropping-particle" : "", "family" : "Ding", "given" : "D.", "non-dropping-particle" : "", "parse-names" : false, "suffix" : "" }, { "dropping-particle" : "", "family" : "Sallis", "given" : "J.F.", "non-dropping-particle" : "", "parse-names" : false, "suffix" : "" }, { "dropping-particle" : "", "family" : "Kerr", "given" : "J.", "non-dropping-particle" : "", "parse-names" : false, "suffix" : "" }, { "dropping-particle" : "", "family" : "Norman", "given" : "G.J.", "non-dropping-particle" : "", "parse-names" : false, "suffix" : "" }, { "dropping-particle" : "", "family" : "Durant", "given" : "N.", "non-dropping-particle" : "", "parse-names" : false, "suffix" : "" }, { "dropping-particle" : "", "family" : "Harris", "given" : "S.K.", "non-dropping-particle" : "", "parse-names" : false, "suffix" : "" }, { "dropping-particle" : "", "family" : "Saelens", "given" : "Brian E.", "non-dropping-particle" : "", "parse-names" : false, "suffix" : "" } ], "container-title" : "Preventive Medicine", "id" : "ITEM-1", "issued" : { "date-parts" : [ [ "2009" ] ] }, "page" : "213-218", "title" : "Neighborhood environment walkability scale for youth (NEWS-Y): Reliability and relationship with physical activity", "type" : "article-journal", "volume" : "49" }, "uris" : [ "http://www.mendeley.com/documents/?uuid=1fe8afb5-057c-421e-bcce-8eef7b212e93" ] } ], "mendeley" : { "formattedCitation" : "[7]", "plainTextFormattedCitation" : "[7]", "previouslyFormattedCitation" : "[7]" }, "properties" : {  }, "schema" : "https://github.com/citation-style-language/schema/raw/master/csl-citation.json" }</w:instrText>
      </w:r>
      <w:r w:rsidRPr="000A27DB">
        <w:rPr>
          <w:rFonts w:ascii="Times New Roman" w:hAnsi="Times New Roman" w:cs="Times New Roman"/>
          <w:color w:val="000000" w:themeColor="text1"/>
        </w:rPr>
        <w:fldChar w:fldCharType="separate"/>
      </w:r>
      <w:r w:rsidR="00654DE9" w:rsidRPr="00654DE9">
        <w:rPr>
          <w:rFonts w:ascii="Times New Roman" w:hAnsi="Times New Roman" w:cs="Times New Roman"/>
          <w:noProof/>
          <w:color w:val="000000" w:themeColor="text1"/>
        </w:rPr>
        <w:t>[7]</w:t>
      </w:r>
      <w:r w:rsidRPr="000A27DB">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Neighbourhood safety and Crime safety. Measured on a five-point scale ranging from “strongly disagree” to “strongly agree”, items assess elements such as perceptions of density of traffic and pedestrian safety, and their worries about letting their child out.  </w:t>
      </w:r>
    </w:p>
    <w:p w14:paraId="3683ED7D" w14:textId="77777777" w:rsidR="00B67B7D" w:rsidRPr="00F711AC" w:rsidRDefault="00B67B7D" w:rsidP="00B67B7D">
      <w:pPr>
        <w:spacing w:line="480" w:lineRule="auto"/>
        <w:ind w:firstLine="720"/>
        <w:rPr>
          <w:rFonts w:ascii="Times New Roman" w:hAnsi="Times New Roman" w:cs="Times New Roman"/>
        </w:rPr>
      </w:pPr>
      <w:r>
        <w:rPr>
          <w:rFonts w:ascii="Times New Roman" w:hAnsi="Times New Roman" w:cs="Times New Roman"/>
          <w:b/>
        </w:rPr>
        <w:t>Intention to</w:t>
      </w:r>
      <w:r w:rsidRPr="00F711AC">
        <w:rPr>
          <w:rFonts w:ascii="Times New Roman" w:hAnsi="Times New Roman" w:cs="Times New Roman"/>
          <w:b/>
        </w:rPr>
        <w:t xml:space="preserve"> change. </w:t>
      </w:r>
      <w:r>
        <w:rPr>
          <w:rFonts w:ascii="Times New Roman" w:hAnsi="Times New Roman" w:cs="Times New Roman"/>
        </w:rPr>
        <w:t>Immediately after completing the intervention, participants complete two questions. On a four-point scale ranging from “strongly disagree” to “strongly agree,” participants rate whether they think the benefits of risky play outweigh the harms. They also select one statement from five statements assessing their intention to change (e.g., “I have no intention of letting my child do risky play”).</w:t>
      </w:r>
    </w:p>
    <w:p w14:paraId="6DD0A697" w14:textId="77777777" w:rsidR="00BB74EB" w:rsidRDefault="00BB74EB" w:rsidP="00897F8B">
      <w:pPr>
        <w:spacing w:line="480" w:lineRule="auto"/>
        <w:rPr>
          <w:rFonts w:ascii="Times New Roman" w:hAnsi="Times New Roman" w:cs="Times New Roman"/>
          <w:i/>
        </w:rPr>
      </w:pPr>
    </w:p>
    <w:p w14:paraId="3DA1D126" w14:textId="77777777" w:rsidR="00AD1A82" w:rsidRPr="00023BF0" w:rsidRDefault="00AD1A82" w:rsidP="00AD1A82">
      <w:pPr>
        <w:spacing w:line="480" w:lineRule="auto"/>
        <w:rPr>
          <w:rFonts w:ascii="Times New Roman" w:hAnsi="Times New Roman" w:cs="Times New Roman"/>
          <w:b/>
        </w:rPr>
      </w:pPr>
      <w:r w:rsidRPr="00023BF0">
        <w:rPr>
          <w:rFonts w:ascii="Times New Roman" w:hAnsi="Times New Roman" w:cs="Times New Roman"/>
          <w:b/>
        </w:rPr>
        <w:t>References</w:t>
      </w:r>
    </w:p>
    <w:p w14:paraId="48B2A043" w14:textId="21184A19" w:rsidR="00AD1A82" w:rsidRPr="00AD1A82" w:rsidRDefault="00AD1A82" w:rsidP="00AD1A82">
      <w:pPr>
        <w:widowControl w:val="0"/>
        <w:autoSpaceDE w:val="0"/>
        <w:autoSpaceDN w:val="0"/>
        <w:adjustRightInd w:val="0"/>
        <w:spacing w:line="480" w:lineRule="auto"/>
        <w:rPr>
          <w:rFonts w:ascii="Times New Roman" w:eastAsia="Times New Roman" w:hAnsi="Times New Roman" w:cs="Times New Roman"/>
          <w:noProof/>
        </w:rPr>
      </w:pPr>
      <w:r>
        <w:rPr>
          <w:rFonts w:ascii="Times New Roman" w:hAnsi="Times New Roman" w:cs="Times New Roman"/>
          <w:i/>
        </w:rPr>
        <w:fldChar w:fldCharType="begin" w:fldLock="1"/>
      </w:r>
      <w:r>
        <w:rPr>
          <w:rFonts w:ascii="Times New Roman" w:hAnsi="Times New Roman" w:cs="Times New Roman"/>
          <w:i/>
        </w:rPr>
        <w:instrText xml:space="preserve">ADDIN Mendeley Bibliography CSL_BIBLIOGRAPHY </w:instrText>
      </w:r>
      <w:r>
        <w:rPr>
          <w:rFonts w:ascii="Times New Roman" w:hAnsi="Times New Roman" w:cs="Times New Roman"/>
          <w:i/>
        </w:rPr>
        <w:fldChar w:fldCharType="separate"/>
      </w:r>
      <w:r w:rsidRPr="00AD1A82">
        <w:rPr>
          <w:rFonts w:ascii="Times New Roman" w:eastAsia="Times New Roman" w:hAnsi="Times New Roman" w:cs="Times New Roman"/>
          <w:noProof/>
        </w:rPr>
        <w:t xml:space="preserve">1. Duncan S, McPhee J. State of play survey: Executive report. Auckland, NZ; 2015. </w:t>
      </w:r>
    </w:p>
    <w:p w14:paraId="07BB1138" w14:textId="77777777" w:rsidR="00AD1A82" w:rsidRPr="00AD1A82" w:rsidRDefault="00AD1A82" w:rsidP="00AD1A82">
      <w:pPr>
        <w:widowControl w:val="0"/>
        <w:autoSpaceDE w:val="0"/>
        <w:autoSpaceDN w:val="0"/>
        <w:adjustRightInd w:val="0"/>
        <w:spacing w:line="480" w:lineRule="auto"/>
        <w:rPr>
          <w:rFonts w:ascii="Times New Roman" w:eastAsia="Times New Roman" w:hAnsi="Times New Roman" w:cs="Times New Roman"/>
          <w:noProof/>
        </w:rPr>
      </w:pPr>
      <w:r w:rsidRPr="00AD1A82">
        <w:rPr>
          <w:rFonts w:ascii="Times New Roman" w:eastAsia="Times New Roman" w:hAnsi="Times New Roman" w:cs="Times New Roman"/>
          <w:noProof/>
        </w:rPr>
        <w:t xml:space="preserve">2. Clarke K, Cooper P, Creswell C. The Parental Overprotection Scale: Associations with child and parental anxiety. J. Affect. Disord. 2013;151:618–24. </w:t>
      </w:r>
    </w:p>
    <w:p w14:paraId="2E9053E2" w14:textId="591E1952" w:rsidR="00AD1A82" w:rsidRPr="00AD1A82" w:rsidRDefault="00AD1A82" w:rsidP="00AD1A82">
      <w:pPr>
        <w:widowControl w:val="0"/>
        <w:autoSpaceDE w:val="0"/>
        <w:autoSpaceDN w:val="0"/>
        <w:adjustRightInd w:val="0"/>
        <w:spacing w:line="480" w:lineRule="auto"/>
        <w:rPr>
          <w:rFonts w:ascii="Times New Roman" w:eastAsia="Times New Roman" w:hAnsi="Times New Roman" w:cs="Times New Roman"/>
          <w:noProof/>
        </w:rPr>
      </w:pPr>
      <w:r w:rsidRPr="00AD1A82">
        <w:rPr>
          <w:rFonts w:ascii="Times New Roman" w:eastAsia="Times New Roman" w:hAnsi="Times New Roman" w:cs="Times New Roman"/>
          <w:noProof/>
        </w:rPr>
        <w:t xml:space="preserve">3. Edwards SL, Rapee RM, Kennedy S. Prediction of anxiety symptoms in preschool-aged children: Examination of maternal and paternal perspectives. J. Child Psychol. 2010;51:313–21. </w:t>
      </w:r>
    </w:p>
    <w:p w14:paraId="71EEC3F7" w14:textId="72BE33AE" w:rsidR="00AD1A82" w:rsidRPr="00AD1A82" w:rsidRDefault="00AD1A82" w:rsidP="00AD1A82">
      <w:pPr>
        <w:widowControl w:val="0"/>
        <w:autoSpaceDE w:val="0"/>
        <w:autoSpaceDN w:val="0"/>
        <w:adjustRightInd w:val="0"/>
        <w:spacing w:line="480" w:lineRule="auto"/>
        <w:rPr>
          <w:rFonts w:ascii="Times New Roman" w:eastAsia="Times New Roman" w:hAnsi="Times New Roman" w:cs="Times New Roman"/>
          <w:noProof/>
        </w:rPr>
      </w:pPr>
      <w:r w:rsidRPr="00AD1A82">
        <w:rPr>
          <w:rFonts w:ascii="Times New Roman" w:eastAsia="Times New Roman" w:hAnsi="Times New Roman" w:cs="Times New Roman"/>
          <w:noProof/>
        </w:rPr>
        <w:t xml:space="preserve">4. Henry JD, Crawford JR. The short-form version of the Depression Anxiety Stress Scales (DASS-21): Construct validity and normative data in a large non-clinical sample. Br. J. Clin. Psychol. 2005;44:227–39. </w:t>
      </w:r>
    </w:p>
    <w:p w14:paraId="6FE0C3C7" w14:textId="77777777" w:rsidR="00AD1A82" w:rsidRPr="00AD1A82" w:rsidRDefault="00AD1A82" w:rsidP="00AD1A82">
      <w:pPr>
        <w:widowControl w:val="0"/>
        <w:autoSpaceDE w:val="0"/>
        <w:autoSpaceDN w:val="0"/>
        <w:adjustRightInd w:val="0"/>
        <w:spacing w:line="480" w:lineRule="auto"/>
        <w:rPr>
          <w:rFonts w:ascii="Times New Roman" w:eastAsia="Times New Roman" w:hAnsi="Times New Roman" w:cs="Times New Roman"/>
          <w:noProof/>
        </w:rPr>
      </w:pPr>
      <w:r w:rsidRPr="00AD1A82">
        <w:rPr>
          <w:rFonts w:ascii="Times New Roman" w:eastAsia="Times New Roman" w:hAnsi="Times New Roman" w:cs="Times New Roman"/>
          <w:noProof/>
        </w:rPr>
        <w:t xml:space="preserve">5. Antony MM, Bieling PJ, Cox BJ, Enns MW, Swinson RP. Psychometric properties of the 42-item and 21-item versions of the Depression Anxiety Stress Scales in clinical groups and a community sample. Psychol. Assess. 1998;10:176–81. </w:t>
      </w:r>
    </w:p>
    <w:p w14:paraId="1CC39C9C" w14:textId="77777777" w:rsidR="00AD1A82" w:rsidRPr="00AD1A82" w:rsidRDefault="00AD1A82" w:rsidP="00AD1A82">
      <w:pPr>
        <w:widowControl w:val="0"/>
        <w:autoSpaceDE w:val="0"/>
        <w:autoSpaceDN w:val="0"/>
        <w:adjustRightInd w:val="0"/>
        <w:spacing w:line="480" w:lineRule="auto"/>
        <w:rPr>
          <w:rFonts w:ascii="Times New Roman" w:eastAsia="Times New Roman" w:hAnsi="Times New Roman" w:cs="Times New Roman"/>
          <w:noProof/>
        </w:rPr>
      </w:pPr>
      <w:r w:rsidRPr="00AD1A82">
        <w:rPr>
          <w:rFonts w:ascii="Times New Roman" w:eastAsia="Times New Roman" w:hAnsi="Times New Roman" w:cs="Times New Roman"/>
          <w:noProof/>
        </w:rPr>
        <w:t xml:space="preserve">6. Prezza M, Amici M, Roberti T, Tedeschi G. Sense of community referred to the whole town: Its relations with neighboring, loneliness, life satisfaction, and area of residence. J. Community Psychol. 2001;29:29–52. </w:t>
      </w:r>
    </w:p>
    <w:p w14:paraId="175BD521" w14:textId="3BDF651E" w:rsidR="00AD1A82" w:rsidRPr="00AD1A82" w:rsidRDefault="00AD1A82" w:rsidP="00AD1A82">
      <w:pPr>
        <w:widowControl w:val="0"/>
        <w:autoSpaceDE w:val="0"/>
        <w:autoSpaceDN w:val="0"/>
        <w:adjustRightInd w:val="0"/>
        <w:spacing w:line="480" w:lineRule="auto"/>
        <w:rPr>
          <w:rFonts w:ascii="Times New Roman" w:eastAsia="Times New Roman" w:hAnsi="Times New Roman" w:cs="Times New Roman"/>
          <w:noProof/>
        </w:rPr>
      </w:pPr>
      <w:r w:rsidRPr="00AD1A82">
        <w:rPr>
          <w:rFonts w:ascii="Times New Roman" w:eastAsia="Times New Roman" w:hAnsi="Times New Roman" w:cs="Times New Roman"/>
          <w:noProof/>
        </w:rPr>
        <w:t xml:space="preserve">7. Rosenberg D, Ding D, Sallis JF, Kerr J, Norman GJ, Durant N, et al. Neighborhood environment walkability scale for youth (NEWS-Y): Reliability and relationship with physical activity. Prev. Med. 2009;49:213–8. </w:t>
      </w:r>
    </w:p>
    <w:p w14:paraId="390C1F44" w14:textId="0F28715E" w:rsidR="00AD1A82" w:rsidRPr="00AD1A82" w:rsidRDefault="00AD1A82" w:rsidP="00AD1A82">
      <w:pPr>
        <w:widowControl w:val="0"/>
        <w:autoSpaceDE w:val="0"/>
        <w:autoSpaceDN w:val="0"/>
        <w:adjustRightInd w:val="0"/>
        <w:spacing w:line="480" w:lineRule="auto"/>
        <w:rPr>
          <w:rFonts w:ascii="Times New Roman" w:hAnsi="Times New Roman" w:cs="Times New Roman"/>
          <w:noProof/>
        </w:rPr>
      </w:pPr>
      <w:r w:rsidRPr="00AD1A82">
        <w:rPr>
          <w:rFonts w:ascii="Times New Roman" w:eastAsia="Times New Roman" w:hAnsi="Times New Roman" w:cs="Times New Roman"/>
          <w:noProof/>
        </w:rPr>
        <w:t>8. Donkin L, Christensen H, Naismith SL, Neal B, Hickie IB, Glozier N. A systematic review of the impact of adherence on the effectiveness of e-therapies. J. Med. Internet Res.</w:t>
      </w:r>
      <w:r w:rsidR="00342655">
        <w:rPr>
          <w:rFonts w:ascii="Times New Roman" w:eastAsia="Times New Roman" w:hAnsi="Times New Roman" w:cs="Times New Roman"/>
          <w:noProof/>
        </w:rPr>
        <w:t xml:space="preserve"> 2</w:t>
      </w:r>
      <w:bookmarkStart w:id="0" w:name="_GoBack"/>
      <w:bookmarkEnd w:id="0"/>
      <w:r w:rsidRPr="00AD1A82">
        <w:rPr>
          <w:rFonts w:ascii="Times New Roman" w:eastAsia="Times New Roman" w:hAnsi="Times New Roman" w:cs="Times New Roman"/>
          <w:noProof/>
        </w:rPr>
        <w:t xml:space="preserve">011;13:e52. </w:t>
      </w:r>
    </w:p>
    <w:p w14:paraId="766F88CB" w14:textId="35624462" w:rsidR="00AD1A82" w:rsidRDefault="00AD1A82" w:rsidP="00AD1A82">
      <w:pPr>
        <w:widowControl w:val="0"/>
        <w:autoSpaceDE w:val="0"/>
        <w:autoSpaceDN w:val="0"/>
        <w:adjustRightInd w:val="0"/>
        <w:spacing w:line="480" w:lineRule="auto"/>
        <w:rPr>
          <w:rFonts w:ascii="Times New Roman" w:hAnsi="Times New Roman" w:cs="Times New Roman"/>
          <w:i/>
        </w:rPr>
      </w:pPr>
      <w:r>
        <w:rPr>
          <w:rFonts w:ascii="Times New Roman" w:hAnsi="Times New Roman" w:cs="Times New Roman"/>
          <w:i/>
        </w:rPr>
        <w:fldChar w:fldCharType="end"/>
      </w:r>
    </w:p>
    <w:sectPr w:rsidR="00AD1A82" w:rsidSect="00035B84">
      <w:headerReference w:type="default" r:id="rId7"/>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0A7A7" w14:textId="77777777" w:rsidR="007B16E6" w:rsidRDefault="007B16E6" w:rsidP="00EB5BA9">
      <w:r>
        <w:separator/>
      </w:r>
    </w:p>
  </w:endnote>
  <w:endnote w:type="continuationSeparator" w:id="0">
    <w:p w14:paraId="36F0F142" w14:textId="77777777" w:rsidR="007B16E6" w:rsidRDefault="007B16E6" w:rsidP="00EB5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9264C" w14:textId="77777777" w:rsidR="00EB5BA9" w:rsidRDefault="00EB5BA9" w:rsidP="008E0D9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1F0AAC" w14:textId="77777777" w:rsidR="00EB5BA9" w:rsidRDefault="00EB5BA9" w:rsidP="00EB5BA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83364" w14:textId="77777777" w:rsidR="00EB5BA9" w:rsidRDefault="00EB5BA9" w:rsidP="008E0D9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B16E6">
      <w:rPr>
        <w:rStyle w:val="PageNumber"/>
        <w:noProof/>
      </w:rPr>
      <w:t>1</w:t>
    </w:r>
    <w:r>
      <w:rPr>
        <w:rStyle w:val="PageNumber"/>
      </w:rPr>
      <w:fldChar w:fldCharType="end"/>
    </w:r>
  </w:p>
  <w:p w14:paraId="7DFF33EE" w14:textId="77777777" w:rsidR="00EB5BA9" w:rsidRDefault="00EB5BA9" w:rsidP="00EB5BA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10B5BF" w14:textId="77777777" w:rsidR="007B16E6" w:rsidRDefault="007B16E6" w:rsidP="00EB5BA9">
      <w:r>
        <w:separator/>
      </w:r>
    </w:p>
  </w:footnote>
  <w:footnote w:type="continuationSeparator" w:id="0">
    <w:p w14:paraId="3ED097CA" w14:textId="77777777" w:rsidR="007B16E6" w:rsidRDefault="007B16E6" w:rsidP="00EB5BA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11C83" w14:textId="3A99A8BE" w:rsidR="00EB5BA9" w:rsidRDefault="00EB5BA9" w:rsidP="00EB5BA9">
    <w:pPr>
      <w:pStyle w:val="Header"/>
    </w:pPr>
    <w:r>
      <w:t>Brussoni et al. Go Play Outside! RCT</w:t>
    </w:r>
    <w:r>
      <w:tab/>
    </w:r>
    <w:r>
      <w:tab/>
      <w:t>Additional file 2</w:t>
    </w:r>
  </w:p>
  <w:p w14:paraId="33657EF2" w14:textId="77777777" w:rsidR="00EB5BA9" w:rsidRDefault="00EB5B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F8B"/>
    <w:rsid w:val="00035B84"/>
    <w:rsid w:val="001B2FD9"/>
    <w:rsid w:val="002579FA"/>
    <w:rsid w:val="002A340C"/>
    <w:rsid w:val="00306024"/>
    <w:rsid w:val="00342655"/>
    <w:rsid w:val="00381E3A"/>
    <w:rsid w:val="004826FA"/>
    <w:rsid w:val="004D3F74"/>
    <w:rsid w:val="005377AB"/>
    <w:rsid w:val="00594121"/>
    <w:rsid w:val="00654DE9"/>
    <w:rsid w:val="006557E5"/>
    <w:rsid w:val="006C5BBF"/>
    <w:rsid w:val="007450DC"/>
    <w:rsid w:val="007A0A92"/>
    <w:rsid w:val="007B16E6"/>
    <w:rsid w:val="0085436D"/>
    <w:rsid w:val="00897F8B"/>
    <w:rsid w:val="009A0E6A"/>
    <w:rsid w:val="00A86324"/>
    <w:rsid w:val="00AD1A82"/>
    <w:rsid w:val="00B40053"/>
    <w:rsid w:val="00B67B7D"/>
    <w:rsid w:val="00BA0E27"/>
    <w:rsid w:val="00BB74EB"/>
    <w:rsid w:val="00D65747"/>
    <w:rsid w:val="00DD35BD"/>
    <w:rsid w:val="00E92770"/>
    <w:rsid w:val="00EB5BA9"/>
    <w:rsid w:val="00F768B4"/>
  </w:rsids>
  <m:mathPr>
    <m:mathFont m:val="Cambria Math"/>
    <m:brkBin m:val="before"/>
    <m:brkBinSub m:val="--"/>
    <m:smallFrac m:val="0"/>
    <m:dispDef/>
    <m:lMargin m:val="0"/>
    <m:rMargin m:val="0"/>
    <m:defJc m:val="centerGroup"/>
    <m:wrapIndent m:val="1440"/>
    <m:intLim m:val="subSup"/>
    <m:naryLim m:val="undOvr"/>
  </m:mathPr>
  <w:themeFontLang w:val="en-CA" w:eastAsia="ja-JP"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927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97F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97F8B"/>
    <w:rPr>
      <w:sz w:val="16"/>
      <w:szCs w:val="16"/>
    </w:rPr>
  </w:style>
  <w:style w:type="paragraph" w:styleId="CommentText">
    <w:name w:val="annotation text"/>
    <w:basedOn w:val="Normal"/>
    <w:link w:val="CommentTextChar"/>
    <w:uiPriority w:val="99"/>
    <w:semiHidden/>
    <w:unhideWhenUsed/>
    <w:rsid w:val="00897F8B"/>
    <w:rPr>
      <w:sz w:val="20"/>
      <w:szCs w:val="20"/>
    </w:rPr>
  </w:style>
  <w:style w:type="character" w:customStyle="1" w:styleId="CommentTextChar">
    <w:name w:val="Comment Text Char"/>
    <w:basedOn w:val="DefaultParagraphFont"/>
    <w:link w:val="CommentText"/>
    <w:uiPriority w:val="99"/>
    <w:semiHidden/>
    <w:rsid w:val="00897F8B"/>
    <w:rPr>
      <w:sz w:val="20"/>
      <w:szCs w:val="20"/>
    </w:rPr>
  </w:style>
  <w:style w:type="paragraph" w:styleId="BalloonText">
    <w:name w:val="Balloon Text"/>
    <w:basedOn w:val="Normal"/>
    <w:link w:val="BalloonTextChar"/>
    <w:uiPriority w:val="99"/>
    <w:semiHidden/>
    <w:unhideWhenUsed/>
    <w:rsid w:val="00897F8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97F8B"/>
    <w:rPr>
      <w:rFonts w:ascii="Times New Roman" w:hAnsi="Times New Roman" w:cs="Times New Roman"/>
      <w:sz w:val="18"/>
      <w:szCs w:val="18"/>
    </w:rPr>
  </w:style>
  <w:style w:type="table" w:styleId="TableGrid">
    <w:name w:val="Table Grid"/>
    <w:basedOn w:val="TableNormal"/>
    <w:uiPriority w:val="59"/>
    <w:rsid w:val="00BB74EB"/>
    <w:rPr>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B5BA9"/>
    <w:pPr>
      <w:tabs>
        <w:tab w:val="center" w:pos="4680"/>
        <w:tab w:val="right" w:pos="9360"/>
      </w:tabs>
    </w:pPr>
  </w:style>
  <w:style w:type="character" w:customStyle="1" w:styleId="HeaderChar">
    <w:name w:val="Header Char"/>
    <w:basedOn w:val="DefaultParagraphFont"/>
    <w:link w:val="Header"/>
    <w:uiPriority w:val="99"/>
    <w:rsid w:val="00EB5BA9"/>
  </w:style>
  <w:style w:type="paragraph" w:styleId="Footer">
    <w:name w:val="footer"/>
    <w:basedOn w:val="Normal"/>
    <w:link w:val="FooterChar"/>
    <w:uiPriority w:val="99"/>
    <w:unhideWhenUsed/>
    <w:rsid w:val="00EB5BA9"/>
    <w:pPr>
      <w:tabs>
        <w:tab w:val="center" w:pos="4680"/>
        <w:tab w:val="right" w:pos="9360"/>
      </w:tabs>
    </w:pPr>
  </w:style>
  <w:style w:type="character" w:customStyle="1" w:styleId="FooterChar">
    <w:name w:val="Footer Char"/>
    <w:basedOn w:val="DefaultParagraphFont"/>
    <w:link w:val="Footer"/>
    <w:uiPriority w:val="99"/>
    <w:rsid w:val="00EB5BA9"/>
  </w:style>
  <w:style w:type="character" w:styleId="PageNumber">
    <w:name w:val="page number"/>
    <w:basedOn w:val="DefaultParagraphFont"/>
    <w:uiPriority w:val="99"/>
    <w:semiHidden/>
    <w:unhideWhenUsed/>
    <w:rsid w:val="00EB5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270F997-C8B6-E843-B77C-6F492CDF1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4001</Words>
  <Characters>22807</Characters>
  <Application>Microsoft Macintosh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Brussoni</dc:creator>
  <cp:keywords/>
  <dc:description/>
  <cp:lastModifiedBy>Mariana Brussoni</cp:lastModifiedBy>
  <cp:revision>9</cp:revision>
  <dcterms:created xsi:type="dcterms:W3CDTF">2017-12-06T21:55:00Z</dcterms:created>
  <dcterms:modified xsi:type="dcterms:W3CDTF">2017-12-15T22:01:00Z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http://www.zotero.org/styles/bmc-public-health</vt:lpwstr>
  </property>
  <property fmtid="{D5CDD505-2E9C-101B-9397-08002B2CF9AE}" pid="7" name="Mendeley Recent Style Name 2_1">
    <vt:lpwstr>BMC Public Health</vt:lpwstr>
  </property>
  <property fmtid="{D5CDD505-2E9C-101B-9397-08002B2CF9AE}" pid="8" name="Mendeley Recent Style Id 3_1">
    <vt:lpwstr>http://www.zotero.org/styles/early-childhood-education-journal</vt:lpwstr>
  </property>
  <property fmtid="{D5CDD505-2E9C-101B-9397-08002B2CF9AE}" pid="9" name="Mendeley Recent Style Name 3_1">
    <vt:lpwstr>Early Childhood Education Journal</vt:lpwstr>
  </property>
  <property fmtid="{D5CDD505-2E9C-101B-9397-08002B2CF9AE}" pid="10" name="Mendeley Recent Style Id 4_1">
    <vt:lpwstr>http://www.zotero.org/styles/early-childhood-research-quarterly</vt:lpwstr>
  </property>
  <property fmtid="{D5CDD505-2E9C-101B-9397-08002B2CF9AE}" pid="11" name="Mendeley Recent Style Name 4_1">
    <vt:lpwstr>Early Childhood Research Quarterly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http://www.zotero.org/styles/journal-of-medical-internet-research</vt:lpwstr>
  </property>
  <property fmtid="{D5CDD505-2E9C-101B-9397-08002B2CF9AE}" pid="15" name="Mendeley Recent Style Name 6_1">
    <vt:lpwstr>Journal of Medical Internet Research</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http://www.zotero.org/styles/plos-one</vt:lpwstr>
  </property>
  <property fmtid="{D5CDD505-2E9C-101B-9397-08002B2CF9AE}" pid="21" name="Mendeley Recent Style Name 9_1">
    <vt:lpwstr>PLOS ONE</vt:lpwstr>
  </property>
  <property fmtid="{D5CDD505-2E9C-101B-9397-08002B2CF9AE}" pid="22" name="Mendeley Document_1">
    <vt:lpwstr>True</vt:lpwstr>
  </property>
  <property fmtid="{D5CDD505-2E9C-101B-9397-08002B2CF9AE}" pid="23" name="Mendeley Unique User Id_1">
    <vt:lpwstr>0087407d-fbf8-3423-8a12-0db777ce9040</vt:lpwstr>
  </property>
  <property fmtid="{D5CDD505-2E9C-101B-9397-08002B2CF9AE}" pid="24" name="Mendeley Citation Style_1">
    <vt:lpwstr>http://www.zotero.org/styles/bmc-public-health</vt:lpwstr>
  </property>
</Properties>
</file>