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118FA" w14:textId="258C27AD" w:rsidR="006A52C5" w:rsidRPr="00713450" w:rsidRDefault="006A52C5" w:rsidP="006A52C5">
      <w:pPr>
        <w:outlineLvl w:val="0"/>
        <w:rPr>
          <w:rFonts w:ascii="Arial" w:hAnsi="Arial" w:cs="Times New Roman"/>
          <w:b/>
          <w:sz w:val="28"/>
          <w:szCs w:val="28"/>
        </w:rPr>
      </w:pPr>
      <w:r w:rsidRPr="00713450">
        <w:rPr>
          <w:rFonts w:ascii="Arial" w:hAnsi="Arial" w:cs="Times New Roman"/>
          <w:b/>
          <w:sz w:val="28"/>
          <w:szCs w:val="28"/>
        </w:rPr>
        <w:t xml:space="preserve">Additional File </w:t>
      </w:r>
      <w:r>
        <w:rPr>
          <w:rFonts w:ascii="Arial" w:hAnsi="Arial" w:cs="Times New Roman"/>
          <w:b/>
          <w:sz w:val="28"/>
          <w:szCs w:val="28"/>
        </w:rPr>
        <w:t>3</w:t>
      </w:r>
    </w:p>
    <w:p w14:paraId="45F81DA4" w14:textId="77777777" w:rsidR="006A52C5" w:rsidRDefault="006A52C5" w:rsidP="006A52C5">
      <w:pPr>
        <w:spacing w:line="360" w:lineRule="auto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95E8DB" w14:textId="77777777" w:rsidR="006A52C5" w:rsidRPr="00C62FD6" w:rsidRDefault="006A52C5" w:rsidP="006A52C5">
      <w:pPr>
        <w:rPr>
          <w:rFonts w:ascii="Arial" w:hAnsi="Arial" w:cs="Arial"/>
          <w:b/>
          <w:color w:val="000000"/>
        </w:rPr>
      </w:pPr>
      <w:r w:rsidRPr="00C62FD6">
        <w:rPr>
          <w:rFonts w:ascii="Arial" w:hAnsi="Arial" w:cs="Arial"/>
          <w:b/>
          <w:color w:val="000000"/>
          <w:lang w:val="en-CA"/>
        </w:rPr>
        <w:t xml:space="preserve">A Phase </w:t>
      </w:r>
      <w:r w:rsidRPr="00C62FD6">
        <w:rPr>
          <w:rFonts w:ascii="Arial" w:hAnsi="Arial" w:cs="Arial"/>
          <w:b/>
          <w:color w:val="000000"/>
        </w:rPr>
        <w:t xml:space="preserve">IIa proof-of-concept, </w:t>
      </w:r>
      <w:r w:rsidRPr="00C62FD6">
        <w:rPr>
          <w:rFonts w:ascii="Arial" w:hAnsi="Arial" w:cs="Arial"/>
          <w:b/>
          <w:color w:val="000000"/>
          <w:lang w:val="en-CA"/>
        </w:rPr>
        <w:t xml:space="preserve">placebo controlled, randomized, </w:t>
      </w:r>
      <w:r>
        <w:rPr>
          <w:rFonts w:ascii="Arial" w:hAnsi="Arial" w:cs="Arial"/>
          <w:b/>
          <w:color w:val="000000"/>
        </w:rPr>
        <w:t xml:space="preserve">double-blind, </w:t>
      </w:r>
      <w:r w:rsidRPr="00C62FD6">
        <w:rPr>
          <w:rFonts w:ascii="Arial" w:hAnsi="Arial" w:cs="Arial"/>
          <w:b/>
          <w:color w:val="000000"/>
        </w:rPr>
        <w:t>crossover, single-dose clinical trial</w:t>
      </w:r>
      <w:r w:rsidRPr="00C62FD6">
        <w:rPr>
          <w:rFonts w:ascii="Arial" w:hAnsi="Arial" w:cs="Arial"/>
          <w:b/>
          <w:color w:val="000000"/>
          <w:lang w:val="en-CA"/>
        </w:rPr>
        <w:t xml:space="preserve"> </w:t>
      </w:r>
      <w:r w:rsidRPr="00C62FD6">
        <w:rPr>
          <w:rFonts w:ascii="Arial" w:hAnsi="Arial" w:cs="Arial"/>
          <w:b/>
          <w:color w:val="000000"/>
        </w:rPr>
        <w:t>of a new class of bronchodilator for acute asthma</w:t>
      </w:r>
    </w:p>
    <w:p w14:paraId="7CA18CF8" w14:textId="77777777" w:rsidR="00EB23BE" w:rsidRPr="00EB23BE" w:rsidRDefault="00EB23BE" w:rsidP="00EB23BE">
      <w:pPr>
        <w:rPr>
          <w:rFonts w:ascii="Arial" w:hAnsi="Arial" w:cs="Arial"/>
          <w:b/>
          <w:sz w:val="20"/>
          <w:szCs w:val="20"/>
          <w:lang w:val="en-CA"/>
        </w:rPr>
      </w:pPr>
    </w:p>
    <w:p w14:paraId="685DB465" w14:textId="0CDAEEFE" w:rsidR="00C351F2" w:rsidRDefault="00EB23BE" w:rsidP="00C351F2">
      <w:pPr>
        <w:spacing w:line="360" w:lineRule="auto"/>
        <w:rPr>
          <w:rFonts w:ascii="Arial" w:hAnsi="Arial" w:cs="Arial"/>
          <w:b/>
          <w:lang w:val="en-CA"/>
        </w:rPr>
      </w:pPr>
      <w:bookmarkStart w:id="0" w:name="_GoBack"/>
      <w:bookmarkEnd w:id="0"/>
      <w:r w:rsidRPr="00EB23BE">
        <w:rPr>
          <w:rFonts w:ascii="Arial" w:hAnsi="Arial" w:cs="Arial"/>
          <w:b/>
          <w:lang w:val="en-CA"/>
        </w:rPr>
        <w:t xml:space="preserve">Adverse Events (AEs) by Severity, Relation to Drug, and Outcome. </w:t>
      </w:r>
    </w:p>
    <w:p w14:paraId="5CA9EFE4" w14:textId="6DDE6433" w:rsidR="00EB23BE" w:rsidRDefault="00EB23BE" w:rsidP="00C351F2">
      <w:pPr>
        <w:spacing w:line="360" w:lineRule="auto"/>
        <w:rPr>
          <w:rFonts w:ascii="Arial" w:hAnsi="Arial" w:cs="Times New Roman"/>
        </w:rPr>
      </w:pPr>
      <w:r w:rsidRPr="00EB23BE">
        <w:rPr>
          <w:rFonts w:ascii="Arial" w:hAnsi="Arial" w:cs="Times New Roman"/>
        </w:rPr>
        <w:t xml:space="preserve">Of the 17 AEs, the majority (n=10) was not related to the investigational products (S1226/placebo), 2 were possibly related, and 5 were probably related. A total of 11 and 4 AEs were reported for S1226 and placebo groups, respectively. A total of 7 (58.3%) subjects in the S1226 group experienced at least one AE compared with 3 (25.0%) subjects in the placebo group. Three (25.0%) subjects in the S1226 group experienced AEs that were judged as probably related to the study drug compared with no subjects in the placebo group, however 1 (8.3%) patient in the placebo group experienced AEs that were possibly related to the drug. </w:t>
      </w:r>
    </w:p>
    <w:p w14:paraId="498DEAEF" w14:textId="77777777" w:rsidR="00C351F2" w:rsidRPr="00EB23BE" w:rsidRDefault="00C351F2" w:rsidP="00EB23BE">
      <w:pPr>
        <w:rPr>
          <w:rFonts w:ascii="Arial" w:hAnsi="Arial" w:cs="Arial"/>
          <w:b/>
          <w:color w:val="000000"/>
        </w:rPr>
      </w:pPr>
    </w:p>
    <w:tbl>
      <w:tblPr>
        <w:tblW w:w="9270" w:type="dxa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0"/>
        <w:gridCol w:w="1080"/>
        <w:gridCol w:w="1080"/>
        <w:gridCol w:w="1170"/>
        <w:gridCol w:w="990"/>
        <w:gridCol w:w="1080"/>
        <w:gridCol w:w="1080"/>
      </w:tblGrid>
      <w:tr w:rsidR="00EB23BE" w:rsidRPr="005B601B" w14:paraId="01563B29" w14:textId="77777777" w:rsidTr="008D79DA">
        <w:trPr>
          <w:cantSplit/>
          <w:trHeight w:val="394"/>
          <w:tblHeader/>
        </w:trPr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E64E9F2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06FED3E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S-1226 (N=12)</w:t>
            </w:r>
          </w:p>
        </w:tc>
        <w:tc>
          <w:tcPr>
            <w:tcW w:w="3150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0ED0E9B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Placebo (N=12)</w:t>
            </w:r>
          </w:p>
        </w:tc>
      </w:tr>
      <w:tr w:rsidR="00EB23BE" w:rsidRPr="005B601B" w14:paraId="13923AC2" w14:textId="77777777" w:rsidTr="008D79DA">
        <w:trPr>
          <w:cantSplit/>
          <w:trHeight w:val="589"/>
          <w:tblHeader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4285395" w14:textId="77777777" w:rsidR="00EB23BE" w:rsidRPr="007E4B84" w:rsidRDefault="00EB23BE" w:rsidP="008D79DA">
            <w:pPr>
              <w:keepNext/>
              <w:adjustRightInd w:val="0"/>
              <w:spacing w:before="60" w:after="60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A1B641A" w14:textId="77777777" w:rsidR="00EB23BE" w:rsidRPr="007E4B84" w:rsidRDefault="00EB23BE" w:rsidP="008D79DA">
            <w:pPr>
              <w:keepNext/>
              <w:adjustRightInd w:val="0"/>
              <w:spacing w:before="60" w:after="60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7DC311C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N of Events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554B5CC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N of Subjects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DCF168C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% of Subjects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CA0BE9E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N of Events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DBD915C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N of Subjects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C7E47B7" w14:textId="77777777" w:rsidR="00EB23BE" w:rsidRPr="007E4B84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bCs/>
                <w:color w:val="000000"/>
                <w:sz w:val="20"/>
                <w:szCs w:val="20"/>
              </w:rPr>
              <w:t>% of Subjects</w:t>
            </w:r>
          </w:p>
        </w:tc>
      </w:tr>
      <w:tr w:rsidR="00EB23BE" w:rsidRPr="005B601B" w14:paraId="60B5B86C" w14:textId="77777777" w:rsidTr="008D79DA">
        <w:trPr>
          <w:cantSplit/>
          <w:trHeight w:val="36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4E0F1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66DCB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FEE27C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11*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36B71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D90F7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58.3%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F0F14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4*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2205A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FC503" w14:textId="77777777" w:rsidR="00EB23BE" w:rsidRPr="007E4B84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7E4B84">
              <w:rPr>
                <w:rFonts w:ascii="Arial" w:hAnsi="Arial" w:cs="Times New Roman"/>
                <w:color w:val="000000"/>
                <w:sz w:val="20"/>
                <w:szCs w:val="20"/>
              </w:rPr>
              <w:t>25.0%</w:t>
            </w:r>
          </w:p>
        </w:tc>
      </w:tr>
      <w:tr w:rsidR="00EB23BE" w:rsidRPr="005B601B" w14:paraId="2CDABF9E" w14:textId="77777777" w:rsidTr="008D79DA">
        <w:trPr>
          <w:cantSplit/>
          <w:trHeight w:val="376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0E7DB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Severity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B8BD6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Mild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04AF6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89E61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0AF02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58.3%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682F2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A3FA1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7C26E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25.0%</w:t>
            </w:r>
          </w:p>
        </w:tc>
      </w:tr>
      <w:tr w:rsidR="00EB23BE" w:rsidRPr="005B601B" w14:paraId="2B71FD29" w14:textId="77777777" w:rsidTr="008D79DA">
        <w:trPr>
          <w:cantSplit/>
          <w:trHeight w:val="36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5D914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Relationship to drug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5B573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Not related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5EC6CF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FDB85C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66E00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6C1E7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994D4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F8805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16.7%</w:t>
            </w:r>
          </w:p>
        </w:tc>
      </w:tr>
      <w:tr w:rsidR="00EB23BE" w:rsidRPr="005B601B" w14:paraId="6678F72E" w14:textId="77777777" w:rsidTr="008D79DA">
        <w:trPr>
          <w:cantSplit/>
          <w:trHeight w:val="36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09E376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81057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Possibly related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7B7B7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FC6B7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72F27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8A862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0A0CD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C5B336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8.3%</w:t>
            </w:r>
          </w:p>
        </w:tc>
      </w:tr>
      <w:tr w:rsidR="00EB23BE" w:rsidRPr="005B601B" w14:paraId="0349CCA2" w14:textId="77777777" w:rsidTr="008D79DA">
        <w:trPr>
          <w:cantSplit/>
          <w:trHeight w:val="36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F9460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BF998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Probably related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32A70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FEC05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E53C8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3102F1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4A7E84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452CF" w14:textId="77777777" w:rsidR="00EB23BE" w:rsidRPr="005B601B" w:rsidRDefault="00EB23BE" w:rsidP="00C351F2">
            <w:pPr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0.0%</w:t>
            </w:r>
          </w:p>
        </w:tc>
      </w:tr>
      <w:tr w:rsidR="00EB23BE" w:rsidRPr="005B601B" w14:paraId="6D1E6389" w14:textId="77777777" w:rsidTr="008D79DA">
        <w:trPr>
          <w:cantSplit/>
          <w:trHeight w:val="633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C18E0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321CB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Resolved without Sequelae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4401C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C6A6E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BEC42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58.3%</w:t>
            </w:r>
          </w:p>
        </w:tc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361D6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D41FC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9221C" w14:textId="77777777" w:rsidR="00EB23BE" w:rsidRPr="005B601B" w:rsidRDefault="00EB23BE" w:rsidP="00C351F2">
            <w:pPr>
              <w:keepNext/>
              <w:adjustRightInd w:val="0"/>
              <w:spacing w:before="60" w:after="60"/>
              <w:jc w:val="center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5B601B">
              <w:rPr>
                <w:rFonts w:ascii="Arial" w:hAnsi="Arial" w:cs="Times New Roman"/>
                <w:color w:val="000000"/>
                <w:sz w:val="20"/>
                <w:szCs w:val="20"/>
              </w:rPr>
              <w:t>25.0%</w:t>
            </w:r>
          </w:p>
        </w:tc>
      </w:tr>
    </w:tbl>
    <w:p w14:paraId="647ABBDF" w14:textId="77777777" w:rsidR="00C351F2" w:rsidRDefault="00C351F2" w:rsidP="00EB23BE">
      <w:pPr>
        <w:spacing w:afterLines="120" w:after="288"/>
        <w:rPr>
          <w:rFonts w:ascii="Arial" w:hAnsi="Arial" w:cs="Times New Roman"/>
        </w:rPr>
      </w:pPr>
    </w:p>
    <w:p w14:paraId="41DD7708" w14:textId="77777777" w:rsidR="00EB23BE" w:rsidRDefault="00EB23BE" w:rsidP="00EB23BE">
      <w:pPr>
        <w:spacing w:afterLines="120" w:after="288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* Two AEs were excluded from this table. One AE occurred during screening (Nervous system disorders: Headache) and one AE occurred during washout (Respiratory, thoracic and mediastinal disorders: Respiratory tract congestion). </w:t>
      </w:r>
    </w:p>
    <w:p w14:paraId="682C35E9" w14:textId="77777777" w:rsidR="00EB23BE" w:rsidRDefault="00EB23BE" w:rsidP="00EB23BE">
      <w:pPr>
        <w:spacing w:afterLines="120" w:after="288"/>
        <w:ind w:firstLine="720"/>
        <w:rPr>
          <w:rFonts w:ascii="Arial" w:hAnsi="Arial" w:cs="Times New Roman"/>
        </w:rPr>
      </w:pPr>
    </w:p>
    <w:p w14:paraId="031D1AD8" w14:textId="77777777" w:rsidR="00DD3246" w:rsidRDefault="00DD3246"/>
    <w:sectPr w:rsidR="00DD3246" w:rsidSect="00DD32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00"/>
    <w:family w:val="auto"/>
    <w:pitch w:val="variable"/>
    <w:sig w:usb0="00000001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E"/>
    <w:rsid w:val="006A52C5"/>
    <w:rsid w:val="008C0E00"/>
    <w:rsid w:val="00C351F2"/>
    <w:rsid w:val="00D334C6"/>
    <w:rsid w:val="00DD3246"/>
    <w:rsid w:val="00E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24A12"/>
  <w14:defaultImageDpi w14:val="300"/>
  <w15:docId w15:val="{993DF427-4814-4390-8DEA-BF4A5352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Gurkeet Lalli</dc:creator>
  <cp:keywords/>
  <dc:description/>
  <cp:lastModifiedBy>Francis H.Y. Green</cp:lastModifiedBy>
  <cp:revision>5</cp:revision>
  <dcterms:created xsi:type="dcterms:W3CDTF">2016-12-22T01:25:00Z</dcterms:created>
  <dcterms:modified xsi:type="dcterms:W3CDTF">2017-12-30T19:29:00Z</dcterms:modified>
</cp:coreProperties>
</file>