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FFA3A" w14:textId="77777777" w:rsidR="00FC74B8" w:rsidRDefault="00FC74B8" w:rsidP="00FC74B8">
      <w:pPr>
        <w:outlineLvl w:val="0"/>
        <w:rPr>
          <w:rFonts w:ascii="Times New Roman" w:eastAsia="Calibri" w:hAnsi="Times New Roman" w:cs="Times New Roman"/>
          <w:b/>
          <w:sz w:val="21"/>
          <w:szCs w:val="21"/>
        </w:rPr>
      </w:pPr>
      <w:r>
        <w:rPr>
          <w:rFonts w:ascii="Times New Roman" w:eastAsia="Calibri" w:hAnsi="Times New Roman" w:cs="Times New Roman"/>
          <w:b/>
          <w:sz w:val="21"/>
          <w:szCs w:val="21"/>
        </w:rPr>
        <w:t xml:space="preserve">Prospective Registration among Trials Published in High-Impact Specialty Society Journals </w:t>
      </w:r>
    </w:p>
    <w:p w14:paraId="325F36FF" w14:textId="77777777" w:rsidR="00FC74B8" w:rsidRDefault="00FC74B8" w:rsidP="00FC74B8">
      <w:pPr>
        <w:outlineLvl w:val="0"/>
        <w:rPr>
          <w:rFonts w:ascii="Times New Roman" w:eastAsia="Calibri" w:hAnsi="Times New Roman" w:cs="Times New Roman"/>
          <w:b/>
          <w:sz w:val="21"/>
          <w:szCs w:val="21"/>
        </w:rPr>
      </w:pPr>
    </w:p>
    <w:p w14:paraId="09CDA9C2" w14:textId="77777777" w:rsidR="00FC74B8" w:rsidRPr="00FC74B8" w:rsidRDefault="00503D15" w:rsidP="00FC74B8">
      <w:pPr>
        <w:outlineLvl w:val="0"/>
        <w:rPr>
          <w:rFonts w:ascii="Times New Roman" w:eastAsia="Calibri" w:hAnsi="Times New Roman" w:cs="Times New Roman"/>
          <w:b/>
          <w:sz w:val="21"/>
          <w:szCs w:val="21"/>
          <w:u w:val="single"/>
        </w:rPr>
      </w:pPr>
      <w:r>
        <w:rPr>
          <w:rFonts w:ascii="Times New Roman" w:eastAsia="Calibri" w:hAnsi="Times New Roman" w:cs="Times New Roman"/>
          <w:b/>
          <w:sz w:val="21"/>
          <w:szCs w:val="21"/>
        </w:rPr>
        <w:t>STUDY PROTOCOL</w:t>
      </w:r>
    </w:p>
    <w:p w14:paraId="31F63824" w14:textId="77777777" w:rsidR="00FC74B8" w:rsidRDefault="00FC74B8" w:rsidP="00FC74B8">
      <w:pPr>
        <w:outlineLvl w:val="0"/>
        <w:rPr>
          <w:rFonts w:ascii="Times New Roman" w:eastAsia="Calibri" w:hAnsi="Times New Roman" w:cs="Times New Roman"/>
          <w:b/>
          <w:sz w:val="21"/>
          <w:szCs w:val="21"/>
        </w:rPr>
      </w:pPr>
    </w:p>
    <w:p w14:paraId="4DD48D8D" w14:textId="77777777" w:rsidR="00FC74B8" w:rsidRPr="00477D5F" w:rsidRDefault="00FC74B8" w:rsidP="00FC74B8">
      <w:pPr>
        <w:outlineLvl w:val="0"/>
        <w:rPr>
          <w:rFonts w:ascii="Times New Roman" w:hAnsi="Times New Roman" w:cs="Times New Roman"/>
          <w:b/>
          <w:sz w:val="21"/>
          <w:szCs w:val="21"/>
        </w:rPr>
      </w:pPr>
      <w:r>
        <w:rPr>
          <w:rFonts w:ascii="Times New Roman" w:eastAsia="Calibri" w:hAnsi="Times New Roman" w:cs="Times New Roman"/>
          <w:b/>
          <w:sz w:val="21"/>
          <w:szCs w:val="21"/>
        </w:rPr>
        <w:t>I. Specific</w:t>
      </w:r>
      <w:r w:rsidRPr="00477D5F">
        <w:rPr>
          <w:rFonts w:ascii="Times New Roman" w:eastAsia="Calibri" w:hAnsi="Times New Roman" w:cs="Times New Roman"/>
          <w:b/>
          <w:sz w:val="21"/>
          <w:szCs w:val="21"/>
        </w:rPr>
        <w:t xml:space="preserve"> Aims</w:t>
      </w:r>
    </w:p>
    <w:p w14:paraId="6E473735" w14:textId="77777777" w:rsidR="00FC74B8" w:rsidRPr="00601933" w:rsidRDefault="00FC74B8" w:rsidP="00FC74B8">
      <w:pPr>
        <w:numPr>
          <w:ilvl w:val="0"/>
          <w:numId w:val="2"/>
        </w:numPr>
        <w:rPr>
          <w:rFonts w:ascii="Times New Roman" w:hAnsi="Times New Roman" w:cs="Times New Roman"/>
          <w:sz w:val="21"/>
          <w:szCs w:val="21"/>
        </w:rPr>
      </w:pPr>
      <w:r w:rsidRPr="00601933">
        <w:rPr>
          <w:rFonts w:ascii="Times New Roman" w:hAnsi="Times New Roman" w:cs="Times New Roman"/>
          <w:sz w:val="21"/>
          <w:szCs w:val="21"/>
        </w:rPr>
        <w:t>To determine the frequency of registration among clinical trials published in high-impact specialty journals</w:t>
      </w:r>
    </w:p>
    <w:p w14:paraId="3D1DD60E" w14:textId="77777777" w:rsidR="00FC74B8" w:rsidRPr="00601933" w:rsidRDefault="00FC74B8" w:rsidP="00FC74B8">
      <w:pPr>
        <w:numPr>
          <w:ilvl w:val="0"/>
          <w:numId w:val="2"/>
        </w:numPr>
        <w:rPr>
          <w:rFonts w:ascii="Times New Roman" w:hAnsi="Times New Roman" w:cs="Times New Roman"/>
          <w:sz w:val="21"/>
          <w:szCs w:val="21"/>
        </w:rPr>
      </w:pPr>
      <w:r w:rsidRPr="00601933">
        <w:rPr>
          <w:rFonts w:ascii="Times New Roman" w:hAnsi="Times New Roman" w:cs="Times New Roman"/>
          <w:sz w:val="21"/>
          <w:szCs w:val="21"/>
        </w:rPr>
        <w:t xml:space="preserve">To characterize rates of “prospective” versus “retrospective” registration of clinical trials published in these journals </w:t>
      </w:r>
    </w:p>
    <w:p w14:paraId="3CA99CD8" w14:textId="77777777" w:rsidR="00FC74B8" w:rsidRPr="00601933" w:rsidRDefault="00FC74B8" w:rsidP="00FC74B8">
      <w:pPr>
        <w:numPr>
          <w:ilvl w:val="0"/>
          <w:numId w:val="2"/>
        </w:numPr>
        <w:rPr>
          <w:rFonts w:ascii="Times New Roman" w:hAnsi="Times New Roman" w:cs="Times New Roman"/>
          <w:sz w:val="21"/>
          <w:szCs w:val="21"/>
        </w:rPr>
      </w:pPr>
      <w:r w:rsidRPr="00601933">
        <w:rPr>
          <w:rFonts w:ascii="Times New Roman" w:hAnsi="Times New Roman" w:cs="Times New Roman"/>
          <w:sz w:val="21"/>
          <w:szCs w:val="21"/>
        </w:rPr>
        <w:t>Among retrospectively-registered trials, to identify</w:t>
      </w:r>
      <w:r>
        <w:rPr>
          <w:rFonts w:ascii="Times New Roman" w:hAnsi="Times New Roman" w:cs="Times New Roman"/>
          <w:sz w:val="21"/>
          <w:szCs w:val="21"/>
        </w:rPr>
        <w:t>, where possible,</w:t>
      </w:r>
      <w:r w:rsidRPr="00601933">
        <w:rPr>
          <w:rFonts w:ascii="Times New Roman" w:hAnsi="Times New Roman" w:cs="Times New Roman"/>
          <w:sz w:val="21"/>
          <w:szCs w:val="21"/>
        </w:rPr>
        <w:t xml:space="preserve"> the proportion for which registration occurred after initial ascertainment of the primary outcome</w:t>
      </w:r>
    </w:p>
    <w:p w14:paraId="51F2E86E" w14:textId="77777777" w:rsidR="00FC74B8" w:rsidRPr="00477D5F" w:rsidRDefault="00FC74B8" w:rsidP="00FC74B8">
      <w:pPr>
        <w:rPr>
          <w:rFonts w:ascii="Times New Roman" w:hAnsi="Times New Roman" w:cs="Times New Roman"/>
          <w:sz w:val="21"/>
          <w:szCs w:val="21"/>
        </w:rPr>
      </w:pPr>
    </w:p>
    <w:p w14:paraId="6ECB9541" w14:textId="77777777" w:rsidR="00FC74B8" w:rsidRDefault="00FC74B8" w:rsidP="00FC74B8">
      <w:pPr>
        <w:outlineLvl w:val="0"/>
        <w:rPr>
          <w:rFonts w:ascii="Times New Roman" w:eastAsia="Calibri" w:hAnsi="Times New Roman" w:cs="Times New Roman"/>
          <w:b/>
          <w:sz w:val="21"/>
          <w:szCs w:val="21"/>
        </w:rPr>
      </w:pPr>
      <w:r>
        <w:rPr>
          <w:rFonts w:ascii="Times New Roman" w:eastAsia="Calibri" w:hAnsi="Times New Roman" w:cs="Times New Roman"/>
          <w:b/>
          <w:sz w:val="21"/>
          <w:szCs w:val="21"/>
        </w:rPr>
        <w:t xml:space="preserve">II. </w:t>
      </w:r>
      <w:r w:rsidRPr="00477D5F">
        <w:rPr>
          <w:rFonts w:ascii="Times New Roman" w:eastAsia="Calibri" w:hAnsi="Times New Roman" w:cs="Times New Roman"/>
          <w:b/>
          <w:sz w:val="21"/>
          <w:szCs w:val="21"/>
        </w:rPr>
        <w:t>Methods</w:t>
      </w:r>
    </w:p>
    <w:p w14:paraId="1329E1E4" w14:textId="77777777" w:rsidR="00FC74B8" w:rsidRPr="00477D5F" w:rsidRDefault="00FC74B8" w:rsidP="00FC74B8">
      <w:pPr>
        <w:outlineLvl w:val="0"/>
        <w:rPr>
          <w:rFonts w:ascii="Times New Roman" w:hAnsi="Times New Roman" w:cs="Times New Roman"/>
          <w:b/>
          <w:sz w:val="21"/>
          <w:szCs w:val="21"/>
        </w:rPr>
      </w:pPr>
    </w:p>
    <w:p w14:paraId="48CBA44C" w14:textId="77777777" w:rsidR="00FC74B8" w:rsidRPr="006E09FB" w:rsidRDefault="00FC74B8" w:rsidP="00FC74B8">
      <w:pPr>
        <w:outlineLvl w:val="0"/>
        <w:rPr>
          <w:rFonts w:ascii="Times New Roman" w:hAnsi="Times New Roman" w:cs="Times New Roman"/>
          <w:b/>
          <w:i/>
          <w:sz w:val="21"/>
          <w:szCs w:val="21"/>
        </w:rPr>
      </w:pPr>
      <w:proofErr w:type="spellStart"/>
      <w:r>
        <w:rPr>
          <w:rFonts w:ascii="Times New Roman" w:hAnsi="Times New Roman" w:cs="Times New Roman"/>
          <w:b/>
          <w:sz w:val="21"/>
          <w:szCs w:val="21"/>
        </w:rPr>
        <w:t>IIa</w:t>
      </w:r>
      <w:proofErr w:type="spellEnd"/>
      <w:r>
        <w:rPr>
          <w:rFonts w:ascii="Times New Roman" w:hAnsi="Times New Roman" w:cs="Times New Roman"/>
          <w:b/>
          <w:sz w:val="21"/>
          <w:szCs w:val="21"/>
        </w:rPr>
        <w:t xml:space="preserve">. </w:t>
      </w:r>
      <w:r w:rsidRPr="006E09FB">
        <w:rPr>
          <w:rFonts w:ascii="Times New Roman" w:hAnsi="Times New Roman" w:cs="Times New Roman"/>
          <w:b/>
          <w:i/>
          <w:sz w:val="21"/>
          <w:szCs w:val="21"/>
        </w:rPr>
        <w:t>Definitions</w:t>
      </w:r>
    </w:p>
    <w:p w14:paraId="476AC17D" w14:textId="77777777" w:rsidR="00FC74B8" w:rsidRDefault="00FC74B8" w:rsidP="00FC74B8">
      <w:pPr>
        <w:ind w:firstLine="720"/>
        <w:outlineLvl w:val="0"/>
        <w:rPr>
          <w:rFonts w:ascii="Times New Roman" w:hAnsi="Times New Roman" w:cs="Times New Roman"/>
          <w:sz w:val="21"/>
          <w:szCs w:val="21"/>
        </w:rPr>
      </w:pPr>
      <w:r w:rsidRPr="00601933">
        <w:rPr>
          <w:rFonts w:ascii="Times New Roman" w:hAnsi="Times New Roman" w:cs="Times New Roman"/>
          <w:sz w:val="21"/>
          <w:szCs w:val="21"/>
        </w:rPr>
        <w:t xml:space="preserve">The ICMJE defines a clinical trial as “any research project that prospectively assigns people or a group of people to an intervention, with or without concurrent comparison or control groups, to study the cause-and-effect relationship between a health-related intervention </w:t>
      </w:r>
      <w:r w:rsidRPr="00601933">
        <w:rPr>
          <w:rFonts w:ascii="Times New Roman" w:hAnsi="Times New Roman" w:cs="Times New Roman"/>
          <w:iCs/>
          <w:sz w:val="21"/>
          <w:szCs w:val="21"/>
        </w:rPr>
        <w:t>and</w:t>
      </w:r>
      <w:r w:rsidRPr="00601933">
        <w:rPr>
          <w:rFonts w:ascii="Times New Roman" w:hAnsi="Times New Roman" w:cs="Times New Roman"/>
          <w:sz w:val="21"/>
          <w:szCs w:val="21"/>
        </w:rPr>
        <w:t xml:space="preserve"> a health outcome” (ICMJE, 2007). “Prospectively” registered trials, as defined by the ICMJE, are those registered on or prior to the date of enrollment of the trial’s first participant. Trials registered after enrollment </w:t>
      </w:r>
      <w:proofErr w:type="gramStart"/>
      <w:r w:rsidRPr="00601933">
        <w:rPr>
          <w:rFonts w:ascii="Times New Roman" w:hAnsi="Times New Roman" w:cs="Times New Roman"/>
          <w:sz w:val="21"/>
          <w:szCs w:val="21"/>
        </w:rPr>
        <w:t>initiation are</w:t>
      </w:r>
      <w:proofErr w:type="gramEnd"/>
      <w:r w:rsidRPr="00601933">
        <w:rPr>
          <w:rFonts w:ascii="Times New Roman" w:hAnsi="Times New Roman" w:cs="Times New Roman"/>
          <w:sz w:val="21"/>
          <w:szCs w:val="21"/>
        </w:rPr>
        <w:t xml:space="preserve"> considered to have been registered “retrospectively.” According to ICMJE registration policy, trials that began recruiting patients on or after July 1, 2005 must be registered prospectively for consideration for publication. Trials that started enrollment prior to the date of policy enactment are considered by the ICJME to have been “ongoing” if data collection and analysis were pending; these trials must also register prior to manuscript submission, though retrospective registration is permissible. The ICMJE accepts registration of trials in ClinicalTrials.gov in addition to any of the primary registries that comprise the WHO International Clinical Tr</w:t>
      </w:r>
      <w:r>
        <w:rPr>
          <w:rFonts w:ascii="Times New Roman" w:hAnsi="Times New Roman" w:cs="Times New Roman"/>
          <w:sz w:val="21"/>
          <w:szCs w:val="21"/>
        </w:rPr>
        <w:t>ials Registry Platform (ICTRP).</w:t>
      </w:r>
    </w:p>
    <w:p w14:paraId="658DB5FE" w14:textId="77777777" w:rsidR="00FC74B8" w:rsidRPr="00AA5D77" w:rsidRDefault="00FC74B8" w:rsidP="00FC74B8">
      <w:pPr>
        <w:ind w:firstLine="720"/>
        <w:outlineLvl w:val="0"/>
        <w:rPr>
          <w:rFonts w:ascii="Times New Roman" w:hAnsi="Times New Roman" w:cs="Times New Roman"/>
          <w:sz w:val="21"/>
          <w:szCs w:val="21"/>
        </w:rPr>
      </w:pPr>
    </w:p>
    <w:p w14:paraId="088BCC76" w14:textId="77777777" w:rsidR="00FC74B8" w:rsidRDefault="00FC74B8" w:rsidP="00FC74B8">
      <w:pPr>
        <w:outlineLvl w:val="0"/>
        <w:rPr>
          <w:rFonts w:ascii="Times New Roman" w:eastAsia="Calibri" w:hAnsi="Times New Roman" w:cs="Times New Roman"/>
          <w:b/>
          <w:i/>
          <w:sz w:val="21"/>
          <w:szCs w:val="21"/>
        </w:rPr>
      </w:pPr>
      <w:proofErr w:type="spellStart"/>
      <w:r>
        <w:rPr>
          <w:rFonts w:ascii="Times New Roman" w:eastAsia="Calibri" w:hAnsi="Times New Roman" w:cs="Times New Roman"/>
          <w:b/>
          <w:sz w:val="21"/>
          <w:szCs w:val="21"/>
        </w:rPr>
        <w:t>IIb</w:t>
      </w:r>
      <w:proofErr w:type="spellEnd"/>
      <w:r>
        <w:rPr>
          <w:rFonts w:ascii="Times New Roman" w:eastAsia="Calibri" w:hAnsi="Times New Roman" w:cs="Times New Roman"/>
          <w:b/>
          <w:sz w:val="21"/>
          <w:szCs w:val="21"/>
        </w:rPr>
        <w:t xml:space="preserve">. </w:t>
      </w:r>
      <w:r w:rsidRPr="006E09FB">
        <w:rPr>
          <w:rFonts w:ascii="Times New Roman" w:eastAsia="Calibri" w:hAnsi="Times New Roman" w:cs="Times New Roman"/>
          <w:b/>
          <w:i/>
          <w:sz w:val="21"/>
          <w:szCs w:val="21"/>
        </w:rPr>
        <w:t>Sampling</w:t>
      </w:r>
      <w:r w:rsidRPr="006E09FB">
        <w:rPr>
          <w:rFonts w:ascii="Times New Roman" w:hAnsi="Times New Roman" w:cs="Times New Roman"/>
          <w:b/>
          <w:i/>
          <w:sz w:val="21"/>
          <w:szCs w:val="21"/>
        </w:rPr>
        <w:t xml:space="preserve"> </w:t>
      </w:r>
      <w:r w:rsidRPr="006E09FB">
        <w:rPr>
          <w:rFonts w:ascii="Times New Roman" w:eastAsia="Calibri" w:hAnsi="Times New Roman" w:cs="Times New Roman"/>
          <w:b/>
          <w:i/>
          <w:sz w:val="21"/>
          <w:szCs w:val="21"/>
        </w:rPr>
        <w:t>strategy</w:t>
      </w:r>
    </w:p>
    <w:p w14:paraId="762F6FA7" w14:textId="77777777" w:rsidR="00FC74B8" w:rsidRDefault="00FC74B8" w:rsidP="00FC74B8">
      <w:pPr>
        <w:ind w:firstLine="720"/>
        <w:outlineLvl w:val="0"/>
        <w:rPr>
          <w:rFonts w:ascii="Times New Roman" w:hAnsi="Times New Roman" w:cs="Times New Roman"/>
          <w:sz w:val="21"/>
          <w:szCs w:val="21"/>
        </w:rPr>
      </w:pPr>
      <w:r w:rsidRPr="00601933">
        <w:rPr>
          <w:rFonts w:ascii="Times New Roman" w:hAnsi="Times New Roman" w:cs="Times New Roman"/>
          <w:sz w:val="21"/>
          <w:szCs w:val="21"/>
        </w:rPr>
        <w:t xml:space="preserve">We will compile a list of all medical professional organizations in the US as registered with the American Board of Medical Specialties (American Board of Medical Specialties, 2016). We will then identify the medical journal(s) associated with each of these specialties and their 2015 impact factors as listed on Thomson Reuters </w:t>
      </w:r>
      <w:proofErr w:type="spellStart"/>
      <w:r w:rsidRPr="00601933">
        <w:rPr>
          <w:rFonts w:ascii="Times New Roman" w:hAnsi="Times New Roman" w:cs="Times New Roman"/>
          <w:sz w:val="21"/>
          <w:szCs w:val="21"/>
        </w:rPr>
        <w:t>InCites</w:t>
      </w:r>
      <w:proofErr w:type="spellEnd"/>
      <w:r w:rsidRPr="00601933">
        <w:rPr>
          <w:rFonts w:ascii="Times New Roman" w:hAnsi="Times New Roman" w:cs="Times New Roman"/>
          <w:sz w:val="21"/>
          <w:szCs w:val="21"/>
        </w:rPr>
        <w:t xml:space="preserve">™ Journal Citation Reports (Thomson Reuters, 2015). We will search for additional journals using </w:t>
      </w:r>
      <w:proofErr w:type="spellStart"/>
      <w:r w:rsidRPr="00601933">
        <w:rPr>
          <w:rFonts w:ascii="Times New Roman" w:hAnsi="Times New Roman" w:cs="Times New Roman"/>
          <w:sz w:val="21"/>
          <w:szCs w:val="21"/>
        </w:rPr>
        <w:t>SCImago</w:t>
      </w:r>
      <w:proofErr w:type="spellEnd"/>
      <w:r w:rsidRPr="00601933">
        <w:rPr>
          <w:rFonts w:ascii="Times New Roman" w:hAnsi="Times New Roman" w:cs="Times New Roman"/>
          <w:sz w:val="21"/>
          <w:szCs w:val="21"/>
        </w:rPr>
        <w:t xml:space="preserve"> Journal &amp; Country Rank listings and add to our list any that are associated with a US-based medical specialty organization (</w:t>
      </w:r>
      <w:proofErr w:type="spellStart"/>
      <w:r w:rsidRPr="00601933">
        <w:rPr>
          <w:rFonts w:ascii="Times New Roman" w:hAnsi="Times New Roman" w:cs="Times New Roman"/>
          <w:sz w:val="21"/>
          <w:szCs w:val="21"/>
        </w:rPr>
        <w:t>Scimago</w:t>
      </w:r>
      <w:proofErr w:type="spellEnd"/>
      <w:r w:rsidRPr="00601933">
        <w:rPr>
          <w:rFonts w:ascii="Times New Roman" w:hAnsi="Times New Roman" w:cs="Times New Roman"/>
          <w:sz w:val="21"/>
          <w:szCs w:val="21"/>
        </w:rPr>
        <w:t xml:space="preserve"> Lab, 2016). We will then rank these specialty society journals based on impact factor and select the ten highest-ranked journals. We will exclude journals that pertain to general practice, as our focus is studying specialty journals. Finally, for each journal in our sample, we will confirm endorsement of ICMJE policies on clinical trial registration by reviewing either the journal’s website for a statement indicating a trial registration policy in accordance with the ICMJE’s or verifying listing of the journal on the ICMJE’s website.</w:t>
      </w:r>
    </w:p>
    <w:p w14:paraId="14DB60FE" w14:textId="77777777" w:rsidR="00FC74B8" w:rsidRPr="00AA5D77" w:rsidRDefault="00FC74B8" w:rsidP="00FC74B8">
      <w:pPr>
        <w:ind w:firstLine="720"/>
        <w:outlineLvl w:val="0"/>
        <w:rPr>
          <w:rFonts w:ascii="Times New Roman" w:hAnsi="Times New Roman" w:cs="Times New Roman"/>
          <w:sz w:val="21"/>
          <w:szCs w:val="21"/>
        </w:rPr>
      </w:pPr>
      <w:r w:rsidRPr="00601933">
        <w:rPr>
          <w:rFonts w:ascii="Times New Roman" w:hAnsi="Times New Roman" w:cs="Times New Roman"/>
          <w:sz w:val="21"/>
          <w:szCs w:val="21"/>
        </w:rPr>
        <w:t xml:space="preserve">Clinical trials will be identified by review of the Abstract and/or Methods section of original research reports (including brief reports but not research letters/correspondences) for statements indicating that the study described is, per the ICMJE definition, a health-related prospective interventional design involving human subjects. We will limit our sample to primary publications of trials (identified as those reporting the results of the trial’s primary outcome at the time point, if applicable, described within the publication’s Introduction and/or Methods section </w:t>
      </w:r>
      <w:r>
        <w:rPr>
          <w:rFonts w:ascii="Times New Roman" w:hAnsi="Times New Roman" w:cs="Times New Roman"/>
          <w:sz w:val="21"/>
          <w:szCs w:val="21"/>
        </w:rPr>
        <w:t>as part</w:t>
      </w:r>
      <w:r w:rsidRPr="00601933">
        <w:rPr>
          <w:rFonts w:ascii="Times New Roman" w:hAnsi="Times New Roman" w:cs="Times New Roman"/>
          <w:sz w:val="21"/>
          <w:szCs w:val="21"/>
        </w:rPr>
        <w:t xml:space="preserve"> </w:t>
      </w:r>
      <w:r>
        <w:rPr>
          <w:rFonts w:ascii="Times New Roman" w:hAnsi="Times New Roman" w:cs="Times New Roman"/>
          <w:sz w:val="21"/>
          <w:szCs w:val="21"/>
        </w:rPr>
        <w:t xml:space="preserve">of </w:t>
      </w:r>
      <w:r w:rsidRPr="00601933">
        <w:rPr>
          <w:rFonts w:ascii="Times New Roman" w:hAnsi="Times New Roman" w:cs="Times New Roman"/>
          <w:sz w:val="21"/>
          <w:szCs w:val="21"/>
        </w:rPr>
        <w:t xml:space="preserve">the trial’s main analysis). Publications will be reviewed in the order listed within each journal issue’s Table of Contents. Within each specialty journal, we will sample the 50 most recently published primary publications of clinical trials, restricting our sample to trials published between January 2010 and December 2015. If a journal has not published at least 50 trials within this 6-year period, we will use the number published during this timeframe as our sample size for that journal. We will exclude publications of Phase I trials, as these studies are exempt from federal registration requirements and typically have minimal impact on clinical practice. We will additionally exclude publications of trials that began enrollment prior to July 2005, the date of ICMJE policy enactment, since trials that began enrollment </w:t>
      </w:r>
      <w:r w:rsidRPr="00601933">
        <w:rPr>
          <w:rFonts w:ascii="Times New Roman" w:hAnsi="Times New Roman" w:cs="Times New Roman"/>
          <w:sz w:val="21"/>
          <w:szCs w:val="21"/>
        </w:rPr>
        <w:lastRenderedPageBreak/>
        <w:t>prior to this are likely to have been retrospectively registered. If an article reports on more than 1 trial, we will include all trials described therein.</w:t>
      </w:r>
    </w:p>
    <w:p w14:paraId="3A0A377C" w14:textId="77777777" w:rsidR="004A18A1" w:rsidRDefault="004A18A1" w:rsidP="00FC74B8">
      <w:pPr>
        <w:rPr>
          <w:rFonts w:ascii="Times New Roman" w:eastAsia="Calibri" w:hAnsi="Times New Roman" w:cs="Times New Roman"/>
          <w:b/>
          <w:sz w:val="21"/>
          <w:szCs w:val="21"/>
        </w:rPr>
      </w:pPr>
    </w:p>
    <w:p w14:paraId="3F24A58C" w14:textId="77777777" w:rsidR="00FC74B8" w:rsidRPr="006E09FB" w:rsidRDefault="00FC74B8" w:rsidP="00FC74B8">
      <w:pPr>
        <w:rPr>
          <w:rFonts w:ascii="Times New Roman" w:eastAsia="Calibri" w:hAnsi="Times New Roman" w:cs="Times New Roman"/>
          <w:b/>
          <w:i/>
          <w:sz w:val="21"/>
          <w:szCs w:val="21"/>
        </w:rPr>
      </w:pPr>
      <w:proofErr w:type="spellStart"/>
      <w:r>
        <w:rPr>
          <w:rFonts w:ascii="Times New Roman" w:eastAsia="Calibri" w:hAnsi="Times New Roman" w:cs="Times New Roman"/>
          <w:b/>
          <w:sz w:val="21"/>
          <w:szCs w:val="21"/>
        </w:rPr>
        <w:t>IIc</w:t>
      </w:r>
      <w:proofErr w:type="spellEnd"/>
      <w:r>
        <w:rPr>
          <w:rFonts w:ascii="Times New Roman" w:eastAsia="Calibri" w:hAnsi="Times New Roman" w:cs="Times New Roman"/>
          <w:b/>
          <w:sz w:val="21"/>
          <w:szCs w:val="21"/>
        </w:rPr>
        <w:t xml:space="preserve">. </w:t>
      </w:r>
      <w:r w:rsidRPr="006E09FB">
        <w:rPr>
          <w:rFonts w:ascii="Times New Roman" w:eastAsia="Calibri" w:hAnsi="Times New Roman" w:cs="Times New Roman"/>
          <w:b/>
          <w:i/>
          <w:sz w:val="21"/>
          <w:szCs w:val="21"/>
        </w:rPr>
        <w:t xml:space="preserve">Data collection </w:t>
      </w:r>
    </w:p>
    <w:p w14:paraId="7BEFCB51" w14:textId="77777777" w:rsidR="00FC74B8" w:rsidRPr="00477D5F" w:rsidRDefault="00FC74B8" w:rsidP="00FC74B8">
      <w:pPr>
        <w:outlineLvl w:val="0"/>
        <w:rPr>
          <w:rFonts w:ascii="Times New Roman" w:hAnsi="Times New Roman" w:cs="Times New Roman"/>
          <w:sz w:val="21"/>
          <w:szCs w:val="21"/>
        </w:rPr>
      </w:pPr>
      <w:r>
        <w:rPr>
          <w:rFonts w:ascii="Times New Roman" w:hAnsi="Times New Roman" w:cs="Times New Roman"/>
          <w:sz w:val="21"/>
          <w:szCs w:val="21"/>
        </w:rPr>
        <w:t>Overall and w</w:t>
      </w:r>
      <w:r w:rsidRPr="00477D5F">
        <w:rPr>
          <w:rFonts w:ascii="Times New Roman" w:hAnsi="Times New Roman" w:cs="Times New Roman"/>
          <w:sz w:val="21"/>
          <w:szCs w:val="21"/>
        </w:rPr>
        <w:t>ithin each specialty journal, we will identify the following outcomes:</w:t>
      </w:r>
    </w:p>
    <w:p w14:paraId="3957CC00" w14:textId="77777777" w:rsidR="00FC74B8" w:rsidRPr="00477D5F" w:rsidRDefault="00FC74B8" w:rsidP="00FC74B8">
      <w:pPr>
        <w:pStyle w:val="ListParagraph"/>
        <w:numPr>
          <w:ilvl w:val="0"/>
          <w:numId w:val="1"/>
        </w:numPr>
        <w:rPr>
          <w:rFonts w:ascii="Times New Roman" w:hAnsi="Times New Roman" w:cs="Times New Roman"/>
          <w:sz w:val="21"/>
          <w:szCs w:val="21"/>
        </w:rPr>
      </w:pPr>
      <w:r w:rsidRPr="00477D5F">
        <w:rPr>
          <w:rFonts w:ascii="Times New Roman" w:eastAsia="Calibri" w:hAnsi="Times New Roman" w:cs="Times New Roman"/>
          <w:sz w:val="21"/>
          <w:szCs w:val="21"/>
        </w:rPr>
        <w:t>Proportion</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of</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trials</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registered</w:t>
      </w:r>
      <w:r w:rsidRPr="00477D5F">
        <w:rPr>
          <w:rFonts w:ascii="Times New Roman" w:hAnsi="Times New Roman" w:cs="Times New Roman"/>
          <w:sz w:val="21"/>
          <w:szCs w:val="21"/>
        </w:rPr>
        <w:t xml:space="preserve"> in any ICMJE-accepted registry</w:t>
      </w:r>
    </w:p>
    <w:p w14:paraId="7839F34A" w14:textId="77777777" w:rsidR="00FC74B8" w:rsidRPr="0009623B" w:rsidRDefault="00FC74B8" w:rsidP="00FC74B8">
      <w:pPr>
        <w:pStyle w:val="ListParagraph"/>
        <w:numPr>
          <w:ilvl w:val="0"/>
          <w:numId w:val="1"/>
        </w:numPr>
        <w:rPr>
          <w:rFonts w:ascii="Times New Roman" w:hAnsi="Times New Roman" w:cs="Times New Roman"/>
          <w:sz w:val="21"/>
          <w:szCs w:val="21"/>
        </w:rPr>
      </w:pPr>
      <w:r w:rsidRPr="00477D5F">
        <w:rPr>
          <w:rFonts w:ascii="Times New Roman" w:eastAsia="Calibri" w:hAnsi="Times New Roman" w:cs="Times New Roman"/>
          <w:sz w:val="21"/>
          <w:szCs w:val="21"/>
        </w:rPr>
        <w:t>Proportion</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of</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trials</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registered</w:t>
      </w:r>
      <w:r w:rsidRPr="00477D5F">
        <w:rPr>
          <w:rFonts w:ascii="Times New Roman" w:hAnsi="Times New Roman" w:cs="Times New Roman"/>
          <w:sz w:val="21"/>
          <w:szCs w:val="21"/>
        </w:rPr>
        <w:t xml:space="preserve"> </w:t>
      </w:r>
      <w:r w:rsidRPr="00477D5F">
        <w:rPr>
          <w:rFonts w:ascii="Times New Roman" w:eastAsia="Calibri" w:hAnsi="Times New Roman" w:cs="Times New Roman"/>
          <w:sz w:val="21"/>
          <w:szCs w:val="21"/>
        </w:rPr>
        <w:t>prospectively</w:t>
      </w:r>
      <w:r>
        <w:rPr>
          <w:rFonts w:ascii="Times New Roman" w:eastAsia="Calibri" w:hAnsi="Times New Roman" w:cs="Times New Roman"/>
          <w:sz w:val="21"/>
          <w:szCs w:val="21"/>
        </w:rPr>
        <w:t xml:space="preserve"> vs. retrospectively</w:t>
      </w:r>
    </w:p>
    <w:p w14:paraId="62374F2C" w14:textId="77777777" w:rsidR="00FC74B8" w:rsidRPr="0009623B" w:rsidRDefault="00FC74B8" w:rsidP="00FC74B8">
      <w:pPr>
        <w:pStyle w:val="ListParagraph"/>
        <w:numPr>
          <w:ilvl w:val="0"/>
          <w:numId w:val="1"/>
        </w:numPr>
        <w:rPr>
          <w:rFonts w:ascii="Times New Roman" w:hAnsi="Times New Roman" w:cs="Times New Roman"/>
          <w:sz w:val="21"/>
          <w:szCs w:val="21"/>
        </w:rPr>
      </w:pPr>
      <w:r w:rsidRPr="0009623B">
        <w:rPr>
          <w:rFonts w:ascii="Times New Roman" w:hAnsi="Times New Roman" w:cs="Times New Roman"/>
          <w:sz w:val="21"/>
          <w:szCs w:val="21"/>
        </w:rPr>
        <w:t>Among trials registered retrospectively, the proportion registered after initial ascertainment of the primary outcome</w:t>
      </w:r>
    </w:p>
    <w:p w14:paraId="7EE53D65" w14:textId="77777777" w:rsidR="00FC74B8" w:rsidRDefault="00FC74B8" w:rsidP="00FC74B8">
      <w:pPr>
        <w:ind w:firstLine="360"/>
        <w:rPr>
          <w:rFonts w:ascii="Times New Roman" w:hAnsi="Times New Roman" w:cs="Times New Roman"/>
          <w:sz w:val="21"/>
          <w:szCs w:val="21"/>
        </w:rPr>
      </w:pPr>
      <w:r w:rsidRPr="00601933">
        <w:rPr>
          <w:rFonts w:ascii="Times New Roman" w:hAnsi="Times New Roman" w:cs="Times New Roman"/>
          <w:sz w:val="21"/>
          <w:szCs w:val="21"/>
        </w:rPr>
        <w:t>From trial publications, we will collect the following data elements: journal, date of online publication, intervention type (drug vs. vaccine/biologic vs. device vs. other)</w:t>
      </w:r>
      <w:r>
        <w:rPr>
          <w:rFonts w:ascii="Times New Roman" w:hAnsi="Times New Roman" w:cs="Times New Roman"/>
          <w:sz w:val="21"/>
          <w:szCs w:val="21"/>
        </w:rPr>
        <w:t xml:space="preserve">, allocation mechanism (randomized vs. non-randomized), date of enrollment initiation (if available), and the registration number(s) associated with the trial(s) described therein. While we expect that most trials will be registered in a single registry, some may be registered in additional trial registries not reported in the publication. Because the reported registration may not necessarily correspond to a trial’s first registration, we will search the WHO ICRTP platform using the reported registration identifier in addition to reviewing the reported registration record for alternate registration numbers. Among all registrations for a trial, we will record the earliest registration, which we denote as the primary, and make note of all subsequent additional. We will further verify that the trial was registered within a registry accepted by the ICMJE. </w:t>
      </w:r>
      <w:r w:rsidRPr="00601933">
        <w:rPr>
          <w:rFonts w:ascii="Times New Roman" w:hAnsi="Times New Roman" w:cs="Times New Roman"/>
          <w:sz w:val="21"/>
          <w:szCs w:val="21"/>
        </w:rPr>
        <w:t>If a registration number is not reported in the publication, we will perform a search of all ICMJE-accepted registries (via the WHO ICTRP platform) using search terms pertaining to the intervention name, first author, senior author, sponsor, and target sample size before concluding that the published trial is unregistered.</w:t>
      </w:r>
      <w:r>
        <w:rPr>
          <w:rFonts w:ascii="Times New Roman" w:hAnsi="Times New Roman" w:cs="Times New Roman"/>
          <w:sz w:val="21"/>
          <w:szCs w:val="21"/>
        </w:rPr>
        <w:t xml:space="preserve"> </w:t>
      </w:r>
    </w:p>
    <w:p w14:paraId="3B7159E8" w14:textId="77777777" w:rsidR="00FC74B8" w:rsidRPr="00087EB3" w:rsidRDefault="00FC74B8" w:rsidP="00FC74B8">
      <w:pPr>
        <w:ind w:firstLine="360"/>
        <w:rPr>
          <w:rFonts w:ascii="Times New Roman" w:hAnsi="Times New Roman" w:cs="Times New Roman"/>
          <w:sz w:val="21"/>
          <w:szCs w:val="21"/>
        </w:rPr>
      </w:pPr>
      <w:r>
        <w:rPr>
          <w:rFonts w:ascii="Times New Roman" w:hAnsi="Times New Roman" w:cs="Times New Roman"/>
          <w:sz w:val="21"/>
          <w:szCs w:val="21"/>
        </w:rPr>
        <w:t>From the</w:t>
      </w:r>
      <w:r w:rsidRPr="00087EB3">
        <w:rPr>
          <w:rFonts w:ascii="Times New Roman" w:hAnsi="Times New Roman" w:cs="Times New Roman"/>
          <w:sz w:val="21"/>
          <w:szCs w:val="21"/>
        </w:rPr>
        <w:t xml:space="preserve"> </w:t>
      </w:r>
      <w:r>
        <w:rPr>
          <w:rFonts w:ascii="Times New Roman" w:hAnsi="Times New Roman" w:cs="Times New Roman"/>
          <w:sz w:val="21"/>
          <w:szCs w:val="21"/>
        </w:rPr>
        <w:t xml:space="preserve">primary trial </w:t>
      </w:r>
      <w:r w:rsidRPr="00087EB3">
        <w:rPr>
          <w:rFonts w:ascii="Times New Roman" w:hAnsi="Times New Roman" w:cs="Times New Roman"/>
          <w:sz w:val="21"/>
          <w:szCs w:val="21"/>
        </w:rPr>
        <w:t>registry</w:t>
      </w:r>
      <w:r>
        <w:rPr>
          <w:rFonts w:ascii="Times New Roman" w:hAnsi="Times New Roman" w:cs="Times New Roman"/>
          <w:sz w:val="21"/>
          <w:szCs w:val="21"/>
        </w:rPr>
        <w:t xml:space="preserve">, we will record the registration date and the date of enrollment initiation. </w:t>
      </w:r>
      <w:r w:rsidRPr="00087EB3">
        <w:rPr>
          <w:rFonts w:ascii="Times New Roman" w:hAnsi="Times New Roman" w:cs="Times New Roman"/>
          <w:sz w:val="21"/>
          <w:szCs w:val="21"/>
        </w:rPr>
        <w:t xml:space="preserve">Using </w:t>
      </w:r>
      <w:r>
        <w:rPr>
          <w:rFonts w:ascii="Times New Roman" w:hAnsi="Times New Roman" w:cs="Times New Roman"/>
          <w:sz w:val="21"/>
          <w:szCs w:val="21"/>
        </w:rPr>
        <w:t>this information</w:t>
      </w:r>
      <w:r w:rsidRPr="00087EB3">
        <w:rPr>
          <w:rFonts w:ascii="Times New Roman" w:hAnsi="Times New Roman" w:cs="Times New Roman"/>
          <w:sz w:val="21"/>
          <w:szCs w:val="21"/>
        </w:rPr>
        <w:t xml:space="preserve">, we will </w:t>
      </w:r>
      <w:r>
        <w:rPr>
          <w:rFonts w:ascii="Times New Roman" w:hAnsi="Times New Roman" w:cs="Times New Roman"/>
          <w:sz w:val="21"/>
          <w:szCs w:val="21"/>
        </w:rPr>
        <w:t>determine</w:t>
      </w:r>
      <w:r w:rsidRPr="00087EB3">
        <w:rPr>
          <w:rFonts w:ascii="Times New Roman" w:hAnsi="Times New Roman" w:cs="Times New Roman"/>
          <w:sz w:val="21"/>
          <w:szCs w:val="21"/>
        </w:rPr>
        <w:t xml:space="preserve"> whether registration occurred prospectively or retrospectively.</w:t>
      </w:r>
      <w:r>
        <w:rPr>
          <w:rFonts w:ascii="Times New Roman" w:hAnsi="Times New Roman" w:cs="Times New Roman"/>
          <w:sz w:val="21"/>
          <w:szCs w:val="21"/>
        </w:rPr>
        <w:t xml:space="preserve"> Among trials initially registered on ClinicalTrials.gov, we will also collect the date corresponding to submission of the original primary outcome measure. </w:t>
      </w:r>
      <w:r w:rsidRPr="00087EB3">
        <w:rPr>
          <w:rFonts w:ascii="Times New Roman" w:hAnsi="Times New Roman" w:cs="Times New Roman"/>
          <w:sz w:val="21"/>
          <w:szCs w:val="21"/>
        </w:rPr>
        <w:t xml:space="preserve">For </w:t>
      </w:r>
      <w:r>
        <w:rPr>
          <w:rFonts w:ascii="Times New Roman" w:hAnsi="Times New Roman" w:cs="Times New Roman"/>
          <w:sz w:val="21"/>
          <w:szCs w:val="21"/>
        </w:rPr>
        <w:t xml:space="preserve">enrollment initiation </w:t>
      </w:r>
      <w:r w:rsidRPr="00087EB3">
        <w:rPr>
          <w:rFonts w:ascii="Times New Roman" w:hAnsi="Times New Roman" w:cs="Times New Roman"/>
          <w:sz w:val="21"/>
          <w:szCs w:val="21"/>
        </w:rPr>
        <w:t xml:space="preserve">dates reported as only a month and year, we will consider the last day of the corresponding month as the date </w:t>
      </w:r>
      <w:r>
        <w:rPr>
          <w:rFonts w:ascii="Times New Roman" w:hAnsi="Times New Roman" w:cs="Times New Roman"/>
          <w:sz w:val="21"/>
          <w:szCs w:val="21"/>
        </w:rPr>
        <w:t>in question</w:t>
      </w:r>
      <w:r w:rsidRPr="00087EB3">
        <w:rPr>
          <w:rFonts w:ascii="Times New Roman" w:hAnsi="Times New Roman" w:cs="Times New Roman"/>
          <w:sz w:val="21"/>
          <w:szCs w:val="21"/>
        </w:rPr>
        <w:t xml:space="preserve"> (i.e. September 2012 would be converted to September 30, 2012) so as to </w:t>
      </w:r>
      <w:r>
        <w:rPr>
          <w:rFonts w:ascii="Times New Roman" w:hAnsi="Times New Roman" w:cs="Times New Roman"/>
          <w:sz w:val="21"/>
          <w:szCs w:val="21"/>
        </w:rPr>
        <w:t>remain</w:t>
      </w:r>
      <w:r w:rsidRPr="00087EB3">
        <w:rPr>
          <w:rFonts w:ascii="Times New Roman" w:hAnsi="Times New Roman" w:cs="Times New Roman"/>
          <w:sz w:val="21"/>
          <w:szCs w:val="21"/>
        </w:rPr>
        <w:t xml:space="preserve"> conservative in classifying registrations as retrospective. </w:t>
      </w:r>
    </w:p>
    <w:p w14:paraId="0692E9D5" w14:textId="77777777" w:rsidR="00FC74B8" w:rsidRPr="00087EB3" w:rsidRDefault="00FC74B8" w:rsidP="00FC74B8">
      <w:pPr>
        <w:ind w:firstLine="720"/>
        <w:rPr>
          <w:rFonts w:ascii="Times New Roman" w:hAnsi="Times New Roman" w:cs="Times New Roman"/>
          <w:sz w:val="21"/>
          <w:szCs w:val="21"/>
        </w:rPr>
      </w:pPr>
      <w:r w:rsidRPr="00087EB3">
        <w:rPr>
          <w:rFonts w:ascii="Times New Roman" w:hAnsi="Times New Roman" w:cs="Times New Roman"/>
          <w:sz w:val="21"/>
          <w:szCs w:val="21"/>
        </w:rPr>
        <w:t>Among trials deduced to have been registered retrospectively, we will next establish whether registration might have occurred after primary outcome ascertainment by comparing the trial’s date of registration against the date on which primary outcome ascertainment would have occurred for the trial’s first participant given the</w:t>
      </w:r>
      <w:r>
        <w:rPr>
          <w:rFonts w:ascii="Times New Roman" w:hAnsi="Times New Roman" w:cs="Times New Roman"/>
          <w:sz w:val="21"/>
          <w:szCs w:val="21"/>
        </w:rPr>
        <w:t xml:space="preserve"> registered enrollment initiation date</w:t>
      </w:r>
      <w:r w:rsidRPr="00087EB3">
        <w:rPr>
          <w:rFonts w:ascii="Times New Roman" w:hAnsi="Times New Roman" w:cs="Times New Roman"/>
          <w:sz w:val="21"/>
          <w:szCs w:val="21"/>
        </w:rPr>
        <w:t xml:space="preserve">. </w:t>
      </w:r>
      <w:r>
        <w:rPr>
          <w:rFonts w:ascii="Times New Roman" w:hAnsi="Times New Roman" w:cs="Times New Roman"/>
          <w:sz w:val="21"/>
          <w:szCs w:val="21"/>
        </w:rPr>
        <w:t>Among all trials, w</w:t>
      </w:r>
      <w:r w:rsidRPr="00087EB3">
        <w:rPr>
          <w:rFonts w:ascii="Times New Roman" w:hAnsi="Times New Roman" w:cs="Times New Roman"/>
          <w:sz w:val="21"/>
          <w:szCs w:val="21"/>
        </w:rPr>
        <w:t>e will also compare the original primary outcome</w:t>
      </w:r>
      <w:r>
        <w:rPr>
          <w:rFonts w:ascii="Times New Roman" w:hAnsi="Times New Roman" w:cs="Times New Roman"/>
          <w:sz w:val="21"/>
          <w:szCs w:val="21"/>
        </w:rPr>
        <w:t>(s)</w:t>
      </w:r>
      <w:r w:rsidRPr="00087EB3">
        <w:rPr>
          <w:rFonts w:ascii="Times New Roman" w:hAnsi="Times New Roman" w:cs="Times New Roman"/>
          <w:sz w:val="21"/>
          <w:szCs w:val="21"/>
        </w:rPr>
        <w:t xml:space="preserve"> as reported in the registry record with </w:t>
      </w:r>
      <w:r>
        <w:rPr>
          <w:rFonts w:ascii="Times New Roman" w:hAnsi="Times New Roman" w:cs="Times New Roman"/>
          <w:sz w:val="21"/>
          <w:szCs w:val="21"/>
        </w:rPr>
        <w:t>the outcome(s)</w:t>
      </w:r>
      <w:r w:rsidRPr="00087EB3">
        <w:rPr>
          <w:rFonts w:ascii="Times New Roman" w:hAnsi="Times New Roman" w:cs="Times New Roman"/>
          <w:sz w:val="21"/>
          <w:szCs w:val="21"/>
        </w:rPr>
        <w:t xml:space="preserve"> </w:t>
      </w:r>
      <w:r>
        <w:rPr>
          <w:rFonts w:ascii="Times New Roman" w:hAnsi="Times New Roman" w:cs="Times New Roman"/>
          <w:sz w:val="21"/>
          <w:szCs w:val="21"/>
        </w:rPr>
        <w:t>reported</w:t>
      </w:r>
      <w:r w:rsidRPr="00087EB3">
        <w:rPr>
          <w:rFonts w:ascii="Times New Roman" w:hAnsi="Times New Roman" w:cs="Times New Roman"/>
          <w:sz w:val="21"/>
          <w:szCs w:val="21"/>
        </w:rPr>
        <w:t xml:space="preserve"> within the trial’s publication to note differences in </w:t>
      </w:r>
      <w:r>
        <w:rPr>
          <w:rFonts w:ascii="Times New Roman" w:hAnsi="Times New Roman" w:cs="Times New Roman"/>
          <w:sz w:val="21"/>
          <w:szCs w:val="21"/>
        </w:rPr>
        <w:t>registered and published primary endpoints</w:t>
      </w:r>
      <w:r w:rsidRPr="00087EB3">
        <w:rPr>
          <w:rFonts w:ascii="Times New Roman" w:hAnsi="Times New Roman" w:cs="Times New Roman"/>
          <w:sz w:val="21"/>
          <w:szCs w:val="21"/>
        </w:rPr>
        <w:t xml:space="preserve">. </w:t>
      </w:r>
    </w:p>
    <w:p w14:paraId="4D214DF8" w14:textId="77777777" w:rsidR="00FC74B8" w:rsidRDefault="00FC74B8" w:rsidP="00FC74B8">
      <w:pPr>
        <w:ind w:firstLine="720"/>
        <w:rPr>
          <w:rFonts w:ascii="Times New Roman" w:hAnsi="Times New Roman" w:cs="Times New Roman"/>
          <w:sz w:val="21"/>
          <w:szCs w:val="21"/>
        </w:rPr>
      </w:pPr>
      <w:r w:rsidRPr="00087EB3">
        <w:rPr>
          <w:rFonts w:ascii="Times New Roman" w:hAnsi="Times New Roman" w:cs="Times New Roman"/>
          <w:sz w:val="21"/>
          <w:szCs w:val="21"/>
        </w:rPr>
        <w:t xml:space="preserve">Additional information to be extracted from the </w:t>
      </w:r>
      <w:r>
        <w:rPr>
          <w:rFonts w:ascii="Times New Roman" w:hAnsi="Times New Roman" w:cs="Times New Roman"/>
          <w:sz w:val="21"/>
          <w:szCs w:val="21"/>
        </w:rPr>
        <w:t xml:space="preserve">primary </w:t>
      </w:r>
      <w:r w:rsidRPr="00087EB3">
        <w:rPr>
          <w:rFonts w:ascii="Times New Roman" w:hAnsi="Times New Roman" w:cs="Times New Roman"/>
          <w:sz w:val="21"/>
          <w:szCs w:val="21"/>
        </w:rPr>
        <w:t xml:space="preserve">registry record </w:t>
      </w:r>
      <w:r>
        <w:rPr>
          <w:rFonts w:ascii="Times New Roman" w:hAnsi="Times New Roman" w:cs="Times New Roman"/>
          <w:sz w:val="21"/>
          <w:szCs w:val="21"/>
        </w:rPr>
        <w:t>includes</w:t>
      </w:r>
      <w:r w:rsidRPr="00087EB3">
        <w:rPr>
          <w:rFonts w:ascii="Times New Roman" w:hAnsi="Times New Roman" w:cs="Times New Roman"/>
          <w:sz w:val="21"/>
          <w:szCs w:val="21"/>
        </w:rPr>
        <w:t xml:space="preserve"> anticipated enrollment, study phase, study location(s) (US/Canada only vs. US/Canada and international vs. international only)</w:t>
      </w:r>
      <w:r>
        <w:rPr>
          <w:rFonts w:ascii="Times New Roman" w:hAnsi="Times New Roman" w:cs="Times New Roman"/>
          <w:sz w:val="21"/>
          <w:szCs w:val="21"/>
        </w:rPr>
        <w:t xml:space="preserve">, </w:t>
      </w:r>
      <w:r w:rsidRPr="00087EB3">
        <w:rPr>
          <w:rFonts w:ascii="Times New Roman" w:hAnsi="Times New Roman" w:cs="Times New Roman"/>
          <w:sz w:val="21"/>
          <w:szCs w:val="21"/>
        </w:rPr>
        <w:t xml:space="preserve">funding source (industry vs. NIH vs. other </w:t>
      </w:r>
      <w:r>
        <w:rPr>
          <w:rFonts w:ascii="Times New Roman" w:hAnsi="Times New Roman" w:cs="Times New Roman"/>
          <w:sz w:val="21"/>
          <w:szCs w:val="21"/>
        </w:rPr>
        <w:t>government entity</w:t>
      </w:r>
      <w:r w:rsidRPr="00087EB3">
        <w:rPr>
          <w:rFonts w:ascii="Times New Roman" w:hAnsi="Times New Roman" w:cs="Times New Roman"/>
          <w:sz w:val="21"/>
          <w:szCs w:val="21"/>
        </w:rPr>
        <w:t xml:space="preserve"> vs. </w:t>
      </w:r>
      <w:r>
        <w:rPr>
          <w:rFonts w:ascii="Times New Roman" w:hAnsi="Times New Roman" w:cs="Times New Roman"/>
          <w:sz w:val="21"/>
          <w:szCs w:val="21"/>
        </w:rPr>
        <w:t xml:space="preserve">academic institution vs. </w:t>
      </w:r>
      <w:r w:rsidRPr="00087EB3">
        <w:rPr>
          <w:rFonts w:ascii="Times New Roman" w:hAnsi="Times New Roman" w:cs="Times New Roman"/>
          <w:sz w:val="21"/>
          <w:szCs w:val="21"/>
        </w:rPr>
        <w:t>other)</w:t>
      </w:r>
      <w:r>
        <w:rPr>
          <w:rFonts w:ascii="Times New Roman" w:hAnsi="Times New Roman" w:cs="Times New Roman"/>
          <w:sz w:val="21"/>
          <w:szCs w:val="21"/>
        </w:rPr>
        <w:t>, and the primary completion date (i.e. date of final data collection for the primary outcome measure)</w:t>
      </w:r>
      <w:r w:rsidRPr="00087EB3">
        <w:rPr>
          <w:rFonts w:ascii="Times New Roman" w:hAnsi="Times New Roman" w:cs="Times New Roman"/>
          <w:sz w:val="21"/>
          <w:szCs w:val="21"/>
        </w:rPr>
        <w:t xml:space="preserve">. </w:t>
      </w:r>
    </w:p>
    <w:p w14:paraId="11B908C6" w14:textId="77777777" w:rsidR="00FC74B8" w:rsidRPr="00087EB3" w:rsidRDefault="00FC74B8" w:rsidP="00FC74B8">
      <w:pPr>
        <w:ind w:firstLine="720"/>
        <w:rPr>
          <w:rFonts w:ascii="Times New Roman" w:hAnsi="Times New Roman" w:cs="Times New Roman"/>
          <w:sz w:val="21"/>
          <w:szCs w:val="21"/>
        </w:rPr>
      </w:pPr>
      <w:r w:rsidRPr="00087EB3">
        <w:rPr>
          <w:rFonts w:ascii="Times New Roman" w:hAnsi="Times New Roman" w:cs="Times New Roman"/>
          <w:sz w:val="21"/>
          <w:szCs w:val="21"/>
        </w:rPr>
        <w:t>For trials that have been registered retrospectively, we will review the corresponding publication for a statement acknowledging or explaining the delay</w:t>
      </w:r>
      <w:r>
        <w:rPr>
          <w:rFonts w:ascii="Times New Roman" w:hAnsi="Times New Roman" w:cs="Times New Roman"/>
          <w:sz w:val="21"/>
          <w:szCs w:val="21"/>
        </w:rPr>
        <w:t xml:space="preserve"> by searching for the following terms: “registration,” “retrospective,” and “delay”</w:t>
      </w:r>
      <w:r w:rsidRPr="00087EB3">
        <w:rPr>
          <w:rFonts w:ascii="Times New Roman" w:hAnsi="Times New Roman" w:cs="Times New Roman"/>
          <w:sz w:val="21"/>
          <w:szCs w:val="21"/>
        </w:rPr>
        <w:t xml:space="preserve">. </w:t>
      </w:r>
    </w:p>
    <w:p w14:paraId="34FF6B03" w14:textId="77777777" w:rsidR="004A18A1" w:rsidRDefault="004A18A1" w:rsidP="00FC74B8">
      <w:pPr>
        <w:rPr>
          <w:rFonts w:ascii="Times New Roman" w:hAnsi="Times New Roman" w:cs="Times New Roman"/>
          <w:b/>
          <w:sz w:val="21"/>
          <w:szCs w:val="21"/>
        </w:rPr>
      </w:pPr>
    </w:p>
    <w:p w14:paraId="02925A11" w14:textId="77777777" w:rsidR="00FC74B8" w:rsidRDefault="00FC74B8" w:rsidP="00FC74B8">
      <w:pPr>
        <w:rPr>
          <w:rFonts w:ascii="Times New Roman" w:hAnsi="Times New Roman" w:cs="Times New Roman"/>
          <w:b/>
          <w:i/>
          <w:sz w:val="21"/>
          <w:szCs w:val="21"/>
        </w:rPr>
      </w:pPr>
      <w:proofErr w:type="spellStart"/>
      <w:r>
        <w:rPr>
          <w:rFonts w:ascii="Times New Roman" w:hAnsi="Times New Roman" w:cs="Times New Roman"/>
          <w:b/>
          <w:sz w:val="21"/>
          <w:szCs w:val="21"/>
        </w:rPr>
        <w:t>IId</w:t>
      </w:r>
      <w:proofErr w:type="spellEnd"/>
      <w:r>
        <w:rPr>
          <w:rFonts w:ascii="Times New Roman" w:hAnsi="Times New Roman" w:cs="Times New Roman"/>
          <w:b/>
          <w:sz w:val="21"/>
          <w:szCs w:val="21"/>
        </w:rPr>
        <w:t xml:space="preserve">. </w:t>
      </w:r>
      <w:r w:rsidRPr="00087EB3">
        <w:rPr>
          <w:rFonts w:ascii="Times New Roman" w:hAnsi="Times New Roman" w:cs="Times New Roman"/>
          <w:b/>
          <w:i/>
          <w:sz w:val="21"/>
          <w:szCs w:val="21"/>
        </w:rPr>
        <w:t>Data Validation</w:t>
      </w:r>
    </w:p>
    <w:p w14:paraId="4395F240" w14:textId="77777777" w:rsidR="00FC74B8" w:rsidRPr="00AC0AC4" w:rsidRDefault="00FC74B8" w:rsidP="00FC74B8">
      <w:pPr>
        <w:ind w:firstLine="720"/>
        <w:rPr>
          <w:rFonts w:ascii="Times New Roman" w:hAnsi="Times New Roman" w:cs="Times New Roman"/>
          <w:sz w:val="21"/>
          <w:szCs w:val="21"/>
        </w:rPr>
      </w:pPr>
      <w:r>
        <w:rPr>
          <w:rFonts w:ascii="Times New Roman" w:hAnsi="Times New Roman" w:cs="Times New Roman"/>
          <w:sz w:val="21"/>
          <w:szCs w:val="21"/>
        </w:rPr>
        <w:t>Two investigators will work simultaneously to perform a uniform fraction of abstractions across journals. Upon completion of data abstraction for all publications in the sample, we will randomly select 10% of trials for validation. Each data abstractor will v</w:t>
      </w:r>
      <w:r w:rsidRPr="00AC0AC4">
        <w:rPr>
          <w:rFonts w:ascii="Times New Roman" w:hAnsi="Times New Roman" w:cs="Times New Roman"/>
          <w:sz w:val="21"/>
          <w:szCs w:val="21"/>
        </w:rPr>
        <w:t xml:space="preserve">alidate </w:t>
      </w:r>
      <w:r>
        <w:rPr>
          <w:rFonts w:ascii="Times New Roman" w:hAnsi="Times New Roman" w:cs="Times New Roman"/>
          <w:sz w:val="21"/>
          <w:szCs w:val="21"/>
        </w:rPr>
        <w:t>the</w:t>
      </w:r>
      <w:r w:rsidRPr="00AC0AC4">
        <w:rPr>
          <w:rFonts w:ascii="Times New Roman" w:hAnsi="Times New Roman" w:cs="Times New Roman"/>
          <w:sz w:val="21"/>
          <w:szCs w:val="21"/>
        </w:rPr>
        <w:t xml:space="preserve"> other's </w:t>
      </w:r>
      <w:r>
        <w:rPr>
          <w:rFonts w:ascii="Times New Roman" w:hAnsi="Times New Roman" w:cs="Times New Roman"/>
          <w:sz w:val="21"/>
          <w:szCs w:val="21"/>
        </w:rPr>
        <w:t xml:space="preserve">randomly selected </w:t>
      </w:r>
      <w:r w:rsidRPr="00AC0AC4">
        <w:rPr>
          <w:rFonts w:ascii="Times New Roman" w:hAnsi="Times New Roman" w:cs="Times New Roman"/>
          <w:sz w:val="21"/>
          <w:szCs w:val="21"/>
        </w:rPr>
        <w:t>abstractions in proportion to the number that the other abstracted</w:t>
      </w:r>
      <w:r>
        <w:rPr>
          <w:rFonts w:ascii="Times New Roman" w:hAnsi="Times New Roman" w:cs="Times New Roman"/>
          <w:sz w:val="21"/>
          <w:szCs w:val="21"/>
        </w:rPr>
        <w:t>. We will calculate a measure of inter-rate agreement. A third investigator with expertise in clinical trial design and reporting will adjudicate discrepancies and determine whether systematic disagreements warrant re-abstraction of particular data elements. For trials designated as “unregistered,” a third investigator will independently review the appropriateness of their inclusion in the sample and subsequently perform an additional search of the WHO ICRTP platform to ensure that they are indeed unregistered.</w:t>
      </w:r>
    </w:p>
    <w:p w14:paraId="45B91932" w14:textId="77777777" w:rsidR="004A18A1" w:rsidRDefault="004A18A1" w:rsidP="00FC74B8">
      <w:pPr>
        <w:rPr>
          <w:rFonts w:ascii="Times New Roman" w:eastAsia="Calibri" w:hAnsi="Times New Roman" w:cs="Times New Roman"/>
          <w:b/>
          <w:sz w:val="21"/>
          <w:szCs w:val="21"/>
        </w:rPr>
      </w:pPr>
    </w:p>
    <w:p w14:paraId="6A7B644E" w14:textId="77777777" w:rsidR="00FC74B8" w:rsidRPr="00477D5F" w:rsidRDefault="00FC74B8" w:rsidP="00FC74B8">
      <w:pPr>
        <w:rPr>
          <w:rFonts w:ascii="Times New Roman" w:eastAsia="Times New Roman" w:hAnsi="Times New Roman" w:cs="Times New Roman"/>
          <w:sz w:val="21"/>
          <w:szCs w:val="21"/>
        </w:rPr>
      </w:pPr>
      <w:proofErr w:type="spellStart"/>
      <w:r>
        <w:rPr>
          <w:rFonts w:ascii="Times New Roman" w:eastAsia="Calibri" w:hAnsi="Times New Roman" w:cs="Times New Roman"/>
          <w:b/>
          <w:sz w:val="21"/>
          <w:szCs w:val="21"/>
        </w:rPr>
        <w:t>IIe</w:t>
      </w:r>
      <w:proofErr w:type="spellEnd"/>
      <w:r>
        <w:rPr>
          <w:rFonts w:ascii="Times New Roman" w:eastAsia="Calibri" w:hAnsi="Times New Roman" w:cs="Times New Roman"/>
          <w:b/>
          <w:sz w:val="21"/>
          <w:szCs w:val="21"/>
        </w:rPr>
        <w:t xml:space="preserve">. </w:t>
      </w:r>
      <w:r>
        <w:rPr>
          <w:rFonts w:ascii="Times New Roman" w:eastAsia="Calibri" w:hAnsi="Times New Roman" w:cs="Times New Roman"/>
          <w:b/>
          <w:i/>
          <w:sz w:val="21"/>
          <w:szCs w:val="21"/>
        </w:rPr>
        <w:t>S</w:t>
      </w:r>
      <w:r w:rsidRPr="006E09FB">
        <w:rPr>
          <w:rFonts w:ascii="Times New Roman" w:eastAsia="Calibri" w:hAnsi="Times New Roman" w:cs="Times New Roman"/>
          <w:b/>
          <w:i/>
          <w:sz w:val="21"/>
          <w:szCs w:val="21"/>
        </w:rPr>
        <w:t>tatistical analysis</w:t>
      </w:r>
    </w:p>
    <w:p w14:paraId="1AC3FA20" w14:textId="77777777" w:rsidR="00FC74B8" w:rsidRDefault="00FC74B8" w:rsidP="00FC74B8">
      <w:pPr>
        <w:ind w:firstLine="720"/>
        <w:rPr>
          <w:rFonts w:ascii="Times New Roman" w:eastAsia="Times New Roman" w:hAnsi="Times New Roman" w:cs="Times New Roman"/>
          <w:sz w:val="21"/>
          <w:szCs w:val="21"/>
        </w:rPr>
      </w:pPr>
      <w:r w:rsidRPr="00087EB3">
        <w:rPr>
          <w:rFonts w:ascii="Times New Roman" w:eastAsia="Times New Roman" w:hAnsi="Times New Roman" w:cs="Times New Roman"/>
          <w:sz w:val="21"/>
          <w:szCs w:val="21"/>
        </w:rPr>
        <w:t xml:space="preserve">Our primary analysis will include a presentation of descriptive statistics summarizing the proportion of trials registered and the proportion registered prospectively/retrospectively, overall, and stratified by specialty journal. </w:t>
      </w:r>
      <w:r>
        <w:rPr>
          <w:rFonts w:ascii="Times New Roman" w:eastAsia="Times New Roman" w:hAnsi="Times New Roman" w:cs="Times New Roman"/>
          <w:sz w:val="21"/>
          <w:szCs w:val="21"/>
        </w:rPr>
        <w:t xml:space="preserve">Significant differences across journals will be assessed using a chi-squared test. </w:t>
      </w:r>
      <w:r w:rsidRPr="00087EB3">
        <w:rPr>
          <w:rFonts w:ascii="Times New Roman" w:eastAsia="Times New Roman" w:hAnsi="Times New Roman" w:cs="Times New Roman"/>
          <w:sz w:val="21"/>
          <w:szCs w:val="21"/>
        </w:rPr>
        <w:t xml:space="preserve">Among trials registered retrospectively, we will present the proportion registered after initial ascertainment of the primary outcome. </w:t>
      </w:r>
      <w:r>
        <w:rPr>
          <w:rFonts w:ascii="Times New Roman" w:eastAsia="Times New Roman" w:hAnsi="Times New Roman" w:cs="Times New Roman"/>
          <w:sz w:val="21"/>
          <w:szCs w:val="21"/>
        </w:rPr>
        <w:t xml:space="preserve">We will also report the proportion of trials with differences between the originally registered and published primary outcome measures, overall, and stratified by registration status. Association between registration status and primary endpoint consistency will be characterized using a chi-squared test.  </w:t>
      </w:r>
    </w:p>
    <w:p w14:paraId="6B5F65C7" w14:textId="77777777" w:rsidR="00FC74B8" w:rsidRPr="00087EB3" w:rsidRDefault="00FC74B8" w:rsidP="00FC74B8">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We will additionally conduct sensitivity analyses around prospective/retrospective registration status determination using the published enrollment initiation date (instead of the registered enrollment initiation date) and report the above outcomes in parallel using this approach. </w:t>
      </w:r>
    </w:p>
    <w:p w14:paraId="45D0806C" w14:textId="77777777" w:rsidR="00774CF9" w:rsidRDefault="00FC74B8" w:rsidP="00FC74B8">
      <w:pPr>
        <w:rPr>
          <w:rFonts w:ascii="Times New Roman" w:eastAsia="Times New Roman" w:hAnsi="Times New Roman" w:cs="Times New Roman"/>
          <w:sz w:val="21"/>
          <w:szCs w:val="21"/>
        </w:rPr>
      </w:pPr>
      <w:r>
        <w:rPr>
          <w:rFonts w:ascii="Times New Roman" w:eastAsia="Times New Roman" w:hAnsi="Times New Roman" w:cs="Times New Roman"/>
          <w:sz w:val="21"/>
          <w:szCs w:val="21"/>
        </w:rPr>
        <w:tab/>
      </w:r>
      <w:r w:rsidRPr="00087EB3">
        <w:rPr>
          <w:rFonts w:ascii="Times New Roman" w:eastAsia="Times New Roman" w:hAnsi="Times New Roman" w:cs="Times New Roman"/>
          <w:sz w:val="21"/>
          <w:szCs w:val="21"/>
        </w:rPr>
        <w:t xml:space="preserve">Secondary statistical analyses will include comparisons of prospective registrations by trial characteristics, including intervention type, FDA regulation status, funding source, enrollment (categorized based on median split), and location. We will perform tests of association between study characteristics and </w:t>
      </w:r>
      <w:r>
        <w:rPr>
          <w:rFonts w:ascii="Times New Roman" w:eastAsia="Times New Roman" w:hAnsi="Times New Roman" w:cs="Times New Roman"/>
          <w:sz w:val="21"/>
          <w:szCs w:val="21"/>
        </w:rPr>
        <w:t xml:space="preserve">prospective/retrospective </w:t>
      </w:r>
      <w:r w:rsidRPr="00087EB3">
        <w:rPr>
          <w:rFonts w:ascii="Times New Roman" w:eastAsia="Times New Roman" w:hAnsi="Times New Roman" w:cs="Times New Roman"/>
          <w:sz w:val="21"/>
          <w:szCs w:val="21"/>
        </w:rPr>
        <w:t>registration</w:t>
      </w:r>
      <w:r>
        <w:rPr>
          <w:rFonts w:ascii="Times New Roman" w:eastAsia="Times New Roman" w:hAnsi="Times New Roman" w:cs="Times New Roman"/>
          <w:sz w:val="21"/>
          <w:szCs w:val="21"/>
        </w:rPr>
        <w:t xml:space="preserve"> status</w:t>
      </w:r>
      <w:r w:rsidRPr="00087EB3">
        <w:rPr>
          <w:rFonts w:ascii="Times New Roman" w:eastAsia="Times New Roman" w:hAnsi="Times New Roman" w:cs="Times New Roman"/>
          <w:sz w:val="21"/>
          <w:szCs w:val="21"/>
        </w:rPr>
        <w:t xml:space="preserve"> by fitting a series of bivariate models with trials as the unit of observation and robust standard errors clustering by journal. Analyses will be conducted using JMP version -- (SAS Institute </w:t>
      </w:r>
      <w:proofErr w:type="spellStart"/>
      <w:r w:rsidRPr="00087EB3">
        <w:rPr>
          <w:rFonts w:ascii="Times New Roman" w:eastAsia="Times New Roman" w:hAnsi="Times New Roman" w:cs="Times New Roman"/>
          <w:sz w:val="21"/>
          <w:szCs w:val="21"/>
        </w:rPr>
        <w:t>Inc</w:t>
      </w:r>
      <w:proofErr w:type="spellEnd"/>
      <w:r w:rsidRPr="00087EB3">
        <w:rPr>
          <w:rFonts w:ascii="Times New Roman" w:eastAsia="Times New Roman" w:hAnsi="Times New Roman" w:cs="Times New Roman"/>
          <w:sz w:val="21"/>
          <w:szCs w:val="21"/>
        </w:rPr>
        <w:t>).</w:t>
      </w:r>
    </w:p>
    <w:p w14:paraId="6ADB9642" w14:textId="77777777" w:rsidR="00A14BB6" w:rsidRDefault="00A14BB6" w:rsidP="00FC74B8">
      <w:pPr>
        <w:rPr>
          <w:rFonts w:ascii="Times New Roman" w:eastAsia="Times New Roman" w:hAnsi="Times New Roman" w:cs="Times New Roman"/>
          <w:sz w:val="21"/>
          <w:szCs w:val="21"/>
        </w:rPr>
      </w:pPr>
    </w:p>
    <w:p w14:paraId="12B3A467" w14:textId="77777777" w:rsidR="00A14BB6" w:rsidRDefault="00A14BB6" w:rsidP="00A14BB6">
      <w:pPr>
        <w:rPr>
          <w:rFonts w:ascii="Times New Roman" w:hAnsi="Times New Roman" w:cs="Times New Roman"/>
          <w:b/>
          <w:sz w:val="21"/>
          <w:szCs w:val="21"/>
        </w:rPr>
      </w:pPr>
      <w:bookmarkStart w:id="0" w:name="_GoBack"/>
      <w:bookmarkEnd w:id="0"/>
    </w:p>
    <w:p w14:paraId="10B6C0F0" w14:textId="77777777" w:rsidR="00A14BB6" w:rsidRPr="001D395C" w:rsidRDefault="00503D15" w:rsidP="00A14BB6">
      <w:pPr>
        <w:rPr>
          <w:rFonts w:ascii="Times New Roman" w:hAnsi="Times New Roman" w:cs="Times New Roman"/>
          <w:b/>
          <w:sz w:val="21"/>
          <w:szCs w:val="21"/>
        </w:rPr>
      </w:pPr>
      <w:r>
        <w:rPr>
          <w:rFonts w:ascii="Times New Roman" w:hAnsi="Times New Roman" w:cs="Times New Roman"/>
          <w:b/>
          <w:sz w:val="21"/>
          <w:szCs w:val="21"/>
        </w:rPr>
        <w:t>STUDY PROTOCOL AMENDMENTS</w:t>
      </w:r>
    </w:p>
    <w:p w14:paraId="4E146F88" w14:textId="77777777" w:rsidR="00A14BB6" w:rsidRPr="001D395C" w:rsidRDefault="00A14BB6" w:rsidP="00A14BB6">
      <w:pPr>
        <w:rPr>
          <w:rFonts w:ascii="Times New Roman" w:hAnsi="Times New Roman" w:cs="Times New Roman"/>
          <w:sz w:val="21"/>
          <w:szCs w:val="21"/>
        </w:rPr>
      </w:pPr>
    </w:p>
    <w:tbl>
      <w:tblPr>
        <w:tblStyle w:val="TableGrid"/>
        <w:tblW w:w="0" w:type="auto"/>
        <w:tblLook w:val="04A0" w:firstRow="1" w:lastRow="0" w:firstColumn="1" w:lastColumn="0" w:noHBand="0" w:noVBand="1"/>
      </w:tblPr>
      <w:tblGrid>
        <w:gridCol w:w="1638"/>
        <w:gridCol w:w="4746"/>
        <w:gridCol w:w="3192"/>
      </w:tblGrid>
      <w:tr w:rsidR="00A14BB6" w:rsidRPr="001D395C" w14:paraId="5F0083F9" w14:textId="77777777" w:rsidTr="00ED4B63">
        <w:tc>
          <w:tcPr>
            <w:tcW w:w="1638" w:type="dxa"/>
          </w:tcPr>
          <w:p w14:paraId="0107A507" w14:textId="77777777" w:rsidR="00A14BB6" w:rsidRPr="001D395C" w:rsidRDefault="00A14BB6" w:rsidP="00A14BB6">
            <w:pPr>
              <w:jc w:val="center"/>
              <w:rPr>
                <w:rFonts w:ascii="Times New Roman" w:hAnsi="Times New Roman" w:cs="Times New Roman"/>
                <w:b/>
                <w:sz w:val="21"/>
                <w:szCs w:val="21"/>
              </w:rPr>
            </w:pPr>
            <w:r w:rsidRPr="001D395C">
              <w:rPr>
                <w:rFonts w:ascii="Times New Roman" w:hAnsi="Times New Roman" w:cs="Times New Roman"/>
                <w:b/>
                <w:sz w:val="21"/>
                <w:szCs w:val="21"/>
              </w:rPr>
              <w:t>Protocol Section</w:t>
            </w:r>
          </w:p>
        </w:tc>
        <w:tc>
          <w:tcPr>
            <w:tcW w:w="4746" w:type="dxa"/>
          </w:tcPr>
          <w:p w14:paraId="1D52B13F" w14:textId="77777777" w:rsidR="00A14BB6" w:rsidRPr="001D395C" w:rsidRDefault="00A14BB6" w:rsidP="00A14BB6">
            <w:pPr>
              <w:jc w:val="center"/>
              <w:rPr>
                <w:rFonts w:ascii="Times New Roman" w:hAnsi="Times New Roman" w:cs="Times New Roman"/>
                <w:b/>
                <w:sz w:val="21"/>
                <w:szCs w:val="21"/>
              </w:rPr>
            </w:pPr>
            <w:r w:rsidRPr="001D395C">
              <w:rPr>
                <w:rFonts w:ascii="Times New Roman" w:hAnsi="Times New Roman" w:cs="Times New Roman"/>
                <w:b/>
                <w:sz w:val="21"/>
                <w:szCs w:val="21"/>
              </w:rPr>
              <w:t>Amendment</w:t>
            </w:r>
          </w:p>
        </w:tc>
        <w:tc>
          <w:tcPr>
            <w:tcW w:w="3192" w:type="dxa"/>
          </w:tcPr>
          <w:p w14:paraId="08667E1B" w14:textId="77777777" w:rsidR="00A14BB6" w:rsidRPr="001D395C" w:rsidRDefault="00A14BB6" w:rsidP="00A14BB6">
            <w:pPr>
              <w:jc w:val="center"/>
              <w:rPr>
                <w:rFonts w:ascii="Times New Roman" w:hAnsi="Times New Roman" w:cs="Times New Roman"/>
                <w:b/>
                <w:sz w:val="21"/>
                <w:szCs w:val="21"/>
              </w:rPr>
            </w:pPr>
            <w:r w:rsidRPr="001D395C">
              <w:rPr>
                <w:rFonts w:ascii="Times New Roman" w:hAnsi="Times New Roman" w:cs="Times New Roman"/>
                <w:b/>
                <w:sz w:val="21"/>
                <w:szCs w:val="21"/>
              </w:rPr>
              <w:t>Rationale</w:t>
            </w:r>
          </w:p>
        </w:tc>
      </w:tr>
      <w:tr w:rsidR="00A14BB6" w:rsidRPr="001D395C" w14:paraId="4E25FA48" w14:textId="77777777" w:rsidTr="00A14BB6">
        <w:tc>
          <w:tcPr>
            <w:tcW w:w="1638" w:type="dxa"/>
          </w:tcPr>
          <w:p w14:paraId="31D3C575"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I. Specific Aims</w:t>
            </w:r>
          </w:p>
        </w:tc>
        <w:tc>
          <w:tcPr>
            <w:tcW w:w="4746" w:type="dxa"/>
          </w:tcPr>
          <w:p w14:paraId="244ADB25"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d. To determine characteristics associated with timely registration</w:t>
            </w:r>
          </w:p>
        </w:tc>
        <w:tc>
          <w:tcPr>
            <w:tcW w:w="3192" w:type="dxa"/>
          </w:tcPr>
          <w:p w14:paraId="66C5D269"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aim was described in the Methods section of the original protocol, but not included previously as an objective.</w:t>
            </w:r>
          </w:p>
        </w:tc>
      </w:tr>
      <w:tr w:rsidR="00A14BB6" w:rsidRPr="001D395C" w14:paraId="5E65D9F3" w14:textId="77777777" w:rsidTr="00A14BB6">
        <w:tc>
          <w:tcPr>
            <w:tcW w:w="1638" w:type="dxa"/>
          </w:tcPr>
          <w:p w14:paraId="21FF8AD4"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I. Specific Aims</w:t>
            </w:r>
          </w:p>
        </w:tc>
        <w:tc>
          <w:tcPr>
            <w:tcW w:w="4746" w:type="dxa"/>
          </w:tcPr>
          <w:p w14:paraId="637DA55B"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e. To assess the frequency at which trials publish primary endpoints concordant with those initially registered</w:t>
            </w:r>
          </w:p>
        </w:tc>
        <w:tc>
          <w:tcPr>
            <w:tcW w:w="3192" w:type="dxa"/>
          </w:tcPr>
          <w:p w14:paraId="663D72B1"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aim was described in the Methods section of the original protocol, but not included previously as an objective.</w:t>
            </w:r>
          </w:p>
        </w:tc>
      </w:tr>
      <w:tr w:rsidR="00A14BB6" w:rsidRPr="001D395C" w14:paraId="52D454F3" w14:textId="77777777" w:rsidTr="00A14BB6">
        <w:tc>
          <w:tcPr>
            <w:tcW w:w="1638" w:type="dxa"/>
          </w:tcPr>
          <w:p w14:paraId="04671D77"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I. Specific Aims</w:t>
            </w:r>
          </w:p>
        </w:tc>
        <w:tc>
          <w:tcPr>
            <w:tcW w:w="4746" w:type="dxa"/>
          </w:tcPr>
          <w:p w14:paraId="02E21E13" w14:textId="1BC527D0" w:rsidR="00A14BB6" w:rsidRPr="001D395C" w:rsidRDefault="002233B6" w:rsidP="00A14BB6">
            <w:pPr>
              <w:rPr>
                <w:rFonts w:ascii="Times New Roman" w:hAnsi="Times New Roman" w:cs="Times New Roman"/>
                <w:sz w:val="21"/>
                <w:szCs w:val="21"/>
              </w:rPr>
            </w:pPr>
            <w:r>
              <w:rPr>
                <w:rFonts w:ascii="Times New Roman" w:hAnsi="Times New Roman" w:cs="Times New Roman"/>
                <w:sz w:val="21"/>
                <w:szCs w:val="21"/>
              </w:rPr>
              <w:t>f</w:t>
            </w:r>
            <w:r w:rsidR="00A14BB6" w:rsidRPr="001D395C">
              <w:rPr>
                <w:rFonts w:ascii="Times New Roman" w:hAnsi="Times New Roman" w:cs="Times New Roman"/>
                <w:sz w:val="21"/>
                <w:szCs w:val="21"/>
              </w:rPr>
              <w:t xml:space="preserve">. To evaluate whether trials lacking accountability (e.g. unregistered trials and those registered after initial primary outcome ascertainment) are more likely to report </w:t>
            </w:r>
            <w:r w:rsidR="00A14BB6">
              <w:rPr>
                <w:rFonts w:ascii="Times New Roman" w:hAnsi="Times New Roman" w:cs="Times New Roman"/>
                <w:sz w:val="21"/>
                <w:szCs w:val="21"/>
              </w:rPr>
              <w:t>favorable findings</w:t>
            </w:r>
          </w:p>
        </w:tc>
        <w:tc>
          <w:tcPr>
            <w:tcW w:w="3192" w:type="dxa"/>
          </w:tcPr>
          <w:p w14:paraId="37A86916"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aim was not included in the original protocol, but was added to the study after data collection was completed though before relevant analyses were conducted. Study results were classified in a blinded fashion with regard to registration status according to the scheme outlined in the “Methods, Main Outcome Measures” section of the manuscript</w:t>
            </w:r>
            <w:r>
              <w:rPr>
                <w:rFonts w:ascii="Times New Roman" w:hAnsi="Times New Roman" w:cs="Times New Roman"/>
                <w:sz w:val="21"/>
                <w:szCs w:val="21"/>
              </w:rPr>
              <w:t>.</w:t>
            </w:r>
          </w:p>
        </w:tc>
      </w:tr>
      <w:tr w:rsidR="00A14BB6" w:rsidRPr="001D395C" w14:paraId="5A36DAA8" w14:textId="77777777" w:rsidTr="00A14BB6">
        <w:tc>
          <w:tcPr>
            <w:tcW w:w="1638" w:type="dxa"/>
          </w:tcPr>
          <w:p w14:paraId="36CBC498"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4241DEA6"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The following additional data elements were collected: manuscript submission date</w:t>
            </w:r>
          </w:p>
        </w:tc>
        <w:tc>
          <w:tcPr>
            <w:tcW w:w="3192" w:type="dxa"/>
          </w:tcPr>
          <w:p w14:paraId="74076191"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data element was not included in the original protocol but later collected to determine the number of trials registering after submission to the publishing journal.</w:t>
            </w:r>
          </w:p>
        </w:tc>
      </w:tr>
      <w:tr w:rsidR="00A14BB6" w:rsidRPr="001D395C" w14:paraId="53D46AAF" w14:textId="77777777" w:rsidTr="00A14BB6">
        <w:tc>
          <w:tcPr>
            <w:tcW w:w="1638" w:type="dxa"/>
          </w:tcPr>
          <w:p w14:paraId="056F36ED"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169AD80D"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For all trials for which we could not locate a registration record, we additionally emailed corresponding authors to inquire about registration information before concluding that the trial was unregistered.</w:t>
            </w:r>
          </w:p>
        </w:tc>
        <w:tc>
          <w:tcPr>
            <w:tcW w:w="3192" w:type="dxa"/>
          </w:tcPr>
          <w:p w14:paraId="4D5F15CE"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This additional search strategy was not included in the original protocol, but added later in order to increase the specificity of our ‘unregistered’ determinations. </w:t>
            </w:r>
          </w:p>
        </w:tc>
      </w:tr>
      <w:tr w:rsidR="00A14BB6" w:rsidRPr="001D395C" w14:paraId="258518C6" w14:textId="77777777" w:rsidTr="00A14BB6">
        <w:tc>
          <w:tcPr>
            <w:tcW w:w="1638" w:type="dxa"/>
          </w:tcPr>
          <w:p w14:paraId="170D962A"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7F4693E2"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For all trials for which we could not locate a regi</w:t>
            </w:r>
            <w:r>
              <w:rPr>
                <w:rFonts w:ascii="Times New Roman" w:hAnsi="Times New Roman" w:cs="Times New Roman"/>
                <w:sz w:val="21"/>
                <w:szCs w:val="21"/>
              </w:rPr>
              <w:t xml:space="preserve">stration record, a third </w:t>
            </w:r>
            <w:proofErr w:type="spellStart"/>
            <w:r>
              <w:rPr>
                <w:rFonts w:ascii="Times New Roman" w:hAnsi="Times New Roman" w:cs="Times New Roman"/>
                <w:sz w:val="21"/>
                <w:szCs w:val="21"/>
              </w:rPr>
              <w:t>author</w:t>
            </w:r>
            <w:r w:rsidRPr="001D395C">
              <w:rPr>
                <w:rFonts w:ascii="Times New Roman" w:hAnsi="Times New Roman" w:cs="Times New Roman"/>
                <w:sz w:val="21"/>
                <w:szCs w:val="21"/>
              </w:rPr>
              <w:t>performed</w:t>
            </w:r>
            <w:proofErr w:type="spellEnd"/>
            <w:r w:rsidRPr="001D395C">
              <w:rPr>
                <w:rFonts w:ascii="Times New Roman" w:hAnsi="Times New Roman" w:cs="Times New Roman"/>
                <w:sz w:val="21"/>
                <w:szCs w:val="21"/>
              </w:rPr>
              <w:t xml:space="preserve"> searches on NIH REPORTER using grant identifiers where available.</w:t>
            </w:r>
          </w:p>
        </w:tc>
        <w:tc>
          <w:tcPr>
            <w:tcW w:w="3192" w:type="dxa"/>
          </w:tcPr>
          <w:p w14:paraId="51A44202"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additional search strategy was not included in the original protocol, but added later in order to increase the specificity of our ‘unregistered’ determinations.</w:t>
            </w:r>
          </w:p>
        </w:tc>
      </w:tr>
      <w:tr w:rsidR="00A14BB6" w:rsidRPr="001D395C" w14:paraId="13699D93" w14:textId="77777777" w:rsidTr="00A14BB6">
        <w:tc>
          <w:tcPr>
            <w:tcW w:w="1638" w:type="dxa"/>
          </w:tcPr>
          <w:p w14:paraId="7E1439CB"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68FA2717"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When information on enrollment, phase, location, and funding source was missing from trial registries or the trial was unregistered, this information was collected from trial publications. </w:t>
            </w:r>
          </w:p>
        </w:tc>
        <w:tc>
          <w:tcPr>
            <w:tcW w:w="3192" w:type="dxa"/>
          </w:tcPr>
          <w:p w14:paraId="5FBA916B"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statement was not included in the original protocol but added to account for potentially missing data from trial registration records.</w:t>
            </w:r>
          </w:p>
        </w:tc>
      </w:tr>
      <w:tr w:rsidR="00A14BB6" w:rsidRPr="001D395C" w14:paraId="1E507FA0" w14:textId="77777777" w:rsidTr="00A14BB6">
        <w:tc>
          <w:tcPr>
            <w:tcW w:w="1638" w:type="dxa"/>
          </w:tcPr>
          <w:p w14:paraId="55CED2DD"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7A7C468B"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In determining whether registration was prospective vs. retrospective, we allowed a 30-day grace period between enrollment start and registration.</w:t>
            </w:r>
          </w:p>
        </w:tc>
        <w:tc>
          <w:tcPr>
            <w:tcW w:w="3192" w:type="dxa"/>
          </w:tcPr>
          <w:p w14:paraId="0CAB2FAC"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30-day window was not specified in the original protocol, but later determined to be most appropriate (prior to analyses) to account for potential journal flexibility in enforcing ICMJE policy among trials whose registration may have only been slightly delayed.</w:t>
            </w:r>
          </w:p>
        </w:tc>
      </w:tr>
      <w:tr w:rsidR="00A14BB6" w:rsidRPr="001D395C" w14:paraId="56B89DDA" w14:textId="77777777" w:rsidTr="00A14BB6">
        <w:tc>
          <w:tcPr>
            <w:tcW w:w="1638" w:type="dxa"/>
          </w:tcPr>
          <w:p w14:paraId="113CE210"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67B9377B"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The specific scheme for comparing primary outcome measures was not described in the original protocol. As outlined in the manuscript, we classified published-registered primary outcome pairs as follows: “We classified registered-published primary outcome pairs as discordant if they differed in any of the following: number of primary outcomes, definition(s) of primary outcomes, or specified time frame(s) for outcome(s) ascertainment. If no discrepancies were noted in these three domains, pairs were classified as concordant. We noted cases where registered endpoints were too poorly specified (e.g. vague study of “efficacy of intervention”) to permit comparison.”</w:t>
            </w:r>
          </w:p>
        </w:tc>
        <w:tc>
          <w:tcPr>
            <w:tcW w:w="3192" w:type="dxa"/>
          </w:tcPr>
          <w:p w14:paraId="47926850"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The specific details of our classification scheme were not included in the original protocol, but were decided on prior to any analysis of the data. Outcome pairs were classified in a blinded fashion with regards to registration status.</w:t>
            </w:r>
          </w:p>
        </w:tc>
      </w:tr>
      <w:tr w:rsidR="00A14BB6" w:rsidRPr="001D395C" w14:paraId="5091331F" w14:textId="77777777" w:rsidTr="00A14BB6">
        <w:tc>
          <w:tcPr>
            <w:tcW w:w="1638" w:type="dxa"/>
          </w:tcPr>
          <w:p w14:paraId="038C9768"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439910C7"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We determined registration timeliness using the registry enrollment start date rather than the published enrollment start date. </w:t>
            </w:r>
          </w:p>
        </w:tc>
        <w:tc>
          <w:tcPr>
            <w:tcW w:w="3192" w:type="dxa"/>
          </w:tcPr>
          <w:p w14:paraId="62256B45" w14:textId="2097E290"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This detail was not specified in the original protocol, but was decided prior to data collection, as we anticipated, based on experience with the medical literature, that publications may not consistently report enrollment start dates. We also collected publication enrollment start dates when available for the purposes of a sensitivity analysis (specified in </w:t>
            </w:r>
            <w:proofErr w:type="spellStart"/>
            <w:r w:rsidRPr="001D395C">
              <w:rPr>
                <w:rFonts w:ascii="Times New Roman" w:hAnsi="Times New Roman" w:cs="Times New Roman"/>
                <w:sz w:val="21"/>
                <w:szCs w:val="21"/>
              </w:rPr>
              <w:t>IIe</w:t>
            </w:r>
            <w:proofErr w:type="spellEnd"/>
            <w:r w:rsidRPr="001D395C">
              <w:rPr>
                <w:rFonts w:ascii="Times New Roman" w:hAnsi="Times New Roman" w:cs="Times New Roman"/>
                <w:sz w:val="21"/>
                <w:szCs w:val="21"/>
              </w:rPr>
              <w:t>. Statistical Analysis of the protocol and reported in</w:t>
            </w:r>
            <w:r w:rsidR="00797A01">
              <w:rPr>
                <w:rFonts w:ascii="Times New Roman" w:hAnsi="Times New Roman" w:cs="Times New Roman"/>
                <w:sz w:val="21"/>
                <w:szCs w:val="21"/>
              </w:rPr>
              <w:t xml:space="preserve"> Appendix 2 of the</w:t>
            </w:r>
            <w:r w:rsidRPr="001D395C">
              <w:rPr>
                <w:rFonts w:ascii="Times New Roman" w:hAnsi="Times New Roman" w:cs="Times New Roman"/>
                <w:sz w:val="21"/>
                <w:szCs w:val="21"/>
              </w:rPr>
              <w:t xml:space="preserve"> </w:t>
            </w:r>
            <w:r w:rsidR="00797A01">
              <w:rPr>
                <w:rFonts w:ascii="Times New Roman" w:hAnsi="Times New Roman" w:cs="Times New Roman"/>
                <w:sz w:val="21"/>
                <w:szCs w:val="21"/>
              </w:rPr>
              <w:t>study s</w:t>
            </w:r>
            <w:r w:rsidRPr="001D395C">
              <w:rPr>
                <w:rFonts w:ascii="Times New Roman" w:hAnsi="Times New Roman" w:cs="Times New Roman"/>
                <w:sz w:val="21"/>
                <w:szCs w:val="21"/>
              </w:rPr>
              <w:t xml:space="preserve">upplement) around registration timeliness.  </w:t>
            </w:r>
          </w:p>
        </w:tc>
      </w:tr>
      <w:tr w:rsidR="00A14BB6" w:rsidRPr="001D395C" w14:paraId="2076EA68" w14:textId="77777777" w:rsidTr="00A14BB6">
        <w:tc>
          <w:tcPr>
            <w:tcW w:w="1638" w:type="dxa"/>
          </w:tcPr>
          <w:p w14:paraId="6D630C2B"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IIc</w:t>
            </w:r>
            <w:proofErr w:type="spellEnd"/>
            <w:r w:rsidRPr="001D395C">
              <w:rPr>
                <w:rFonts w:ascii="Times New Roman" w:hAnsi="Times New Roman" w:cs="Times New Roman"/>
                <w:sz w:val="21"/>
                <w:szCs w:val="21"/>
              </w:rPr>
              <w:t>. Data collection</w:t>
            </w:r>
          </w:p>
        </w:tc>
        <w:tc>
          <w:tcPr>
            <w:tcW w:w="4746" w:type="dxa"/>
          </w:tcPr>
          <w:p w14:paraId="0BD6BAA5"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In cases where the primary endpoint(s) included multiple time frames, we used the shortest time frame specified in the registry in our determinations of whether registration might have occurred after initial primary outcome ascertainment. If time frame information was not specified in the registry, we used the shortest time frame reported in the publication.</w:t>
            </w:r>
          </w:p>
        </w:tc>
        <w:tc>
          <w:tcPr>
            <w:tcW w:w="3192" w:type="dxa"/>
          </w:tcPr>
          <w:p w14:paraId="47C30A82"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This detail was not specified in the original protocol, but was decided prior to data collection to ensure consistent determinations of whether the primary endpoint might have been ascertained prior to trial registration among retrospectively registered trials (in cases where such a determination was possible).</w:t>
            </w:r>
          </w:p>
        </w:tc>
      </w:tr>
      <w:tr w:rsidR="00A14BB6" w:rsidRPr="001D395C" w14:paraId="122BC184" w14:textId="77777777" w:rsidTr="00A14BB6">
        <w:tc>
          <w:tcPr>
            <w:tcW w:w="1638" w:type="dxa"/>
          </w:tcPr>
          <w:p w14:paraId="0D0B4EB5" w14:textId="77777777" w:rsidR="00A14BB6" w:rsidRPr="001D395C" w:rsidRDefault="00A14BB6" w:rsidP="00A14BB6">
            <w:pPr>
              <w:rPr>
                <w:rFonts w:ascii="Times New Roman" w:hAnsi="Times New Roman" w:cs="Times New Roman"/>
                <w:sz w:val="21"/>
                <w:szCs w:val="21"/>
              </w:rPr>
            </w:pPr>
            <w:proofErr w:type="spellStart"/>
            <w:r w:rsidRPr="001D395C">
              <w:rPr>
                <w:rFonts w:ascii="Times New Roman" w:hAnsi="Times New Roman" w:cs="Times New Roman"/>
                <w:sz w:val="21"/>
                <w:szCs w:val="21"/>
              </w:rPr>
              <w:t>IIe</w:t>
            </w:r>
            <w:proofErr w:type="spellEnd"/>
            <w:r w:rsidRPr="001D395C">
              <w:rPr>
                <w:rFonts w:ascii="Times New Roman" w:hAnsi="Times New Roman" w:cs="Times New Roman"/>
                <w:sz w:val="21"/>
                <w:szCs w:val="21"/>
              </w:rPr>
              <w:t>. Statistical Analysis</w:t>
            </w:r>
          </w:p>
        </w:tc>
        <w:tc>
          <w:tcPr>
            <w:tcW w:w="4746" w:type="dxa"/>
          </w:tcPr>
          <w:p w14:paraId="05D72EB4"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Our statistical analysis plan as specified in the original protocol includes the following amendments, </w:t>
            </w:r>
            <w:r w:rsidRPr="001D395C">
              <w:rPr>
                <w:rFonts w:ascii="Times New Roman" w:hAnsi="Times New Roman" w:cs="Times New Roman"/>
                <w:sz w:val="21"/>
                <w:szCs w:val="21"/>
                <w:u w:val="single"/>
              </w:rPr>
              <w:t>underlined</w:t>
            </w:r>
            <w:r w:rsidRPr="001D395C">
              <w:rPr>
                <w:rFonts w:ascii="Times New Roman" w:hAnsi="Times New Roman" w:cs="Times New Roman"/>
                <w:sz w:val="21"/>
                <w:szCs w:val="21"/>
              </w:rPr>
              <w:t xml:space="preserve"> below:</w:t>
            </w:r>
          </w:p>
          <w:p w14:paraId="2B2764AB" w14:textId="77777777" w:rsidR="00A14BB6" w:rsidRPr="001D395C" w:rsidRDefault="00A14BB6" w:rsidP="00A14BB6">
            <w:pPr>
              <w:rPr>
                <w:rFonts w:ascii="Times New Roman" w:hAnsi="Times New Roman" w:cs="Times New Roman"/>
                <w:sz w:val="21"/>
                <w:szCs w:val="21"/>
              </w:rPr>
            </w:pPr>
          </w:p>
          <w:p w14:paraId="214DAD38" w14:textId="12DDB895" w:rsidR="00A14BB6" w:rsidRPr="001D395C" w:rsidRDefault="00A14BB6" w:rsidP="00A14BB6">
            <w:pPr>
              <w:rPr>
                <w:rFonts w:ascii="Times New Roman" w:eastAsia="Times New Roman" w:hAnsi="Times New Roman" w:cs="Times New Roman"/>
                <w:sz w:val="21"/>
                <w:szCs w:val="21"/>
              </w:rPr>
            </w:pPr>
            <w:r w:rsidRPr="001D395C">
              <w:rPr>
                <w:rFonts w:ascii="Times New Roman" w:eastAsia="Times New Roman" w:hAnsi="Times New Roman" w:cs="Times New Roman"/>
                <w:sz w:val="21"/>
                <w:szCs w:val="21"/>
              </w:rPr>
              <w:t xml:space="preserve">“Our primary analysis will include a presentation of descriptive statistics summarizing the proportion of trials registered and the proportion registered prospectively/retrospectively, overall, and stratified by specialty journal </w:t>
            </w:r>
            <w:r w:rsidRPr="001D395C">
              <w:rPr>
                <w:rFonts w:ascii="Times New Roman" w:eastAsia="Times New Roman" w:hAnsi="Times New Roman" w:cs="Times New Roman"/>
                <w:sz w:val="21"/>
                <w:szCs w:val="21"/>
                <w:u w:val="single"/>
              </w:rPr>
              <w:t>and trial characteristics</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sz w:val="21"/>
                <w:szCs w:val="21"/>
                <w:u w:val="single"/>
              </w:rPr>
              <w:t>Trial characteristics will include and will be coded as follows: intervention type (drug/device/biological vs. non-drug/device/biological, funding source (industry vs. non-industry), enrollment (categorized based on median split), randomization (yes/no) and location (US vs. non-US</w:t>
            </w:r>
            <w:r w:rsidRPr="001D395C">
              <w:rPr>
                <w:rFonts w:ascii="Times New Roman" w:eastAsia="Times New Roman" w:hAnsi="Times New Roman" w:cs="Times New Roman"/>
                <w:sz w:val="21"/>
                <w:szCs w:val="21"/>
              </w:rPr>
              <w:t xml:space="preserve">). Significant differences across journals </w:t>
            </w:r>
            <w:r w:rsidRPr="001D395C">
              <w:rPr>
                <w:rFonts w:ascii="Times New Roman" w:eastAsia="Times New Roman" w:hAnsi="Times New Roman" w:cs="Times New Roman"/>
                <w:sz w:val="21"/>
                <w:szCs w:val="21"/>
                <w:u w:val="single"/>
              </w:rPr>
              <w:t>and trial characteristics</w:t>
            </w:r>
            <w:r w:rsidRPr="001D395C">
              <w:rPr>
                <w:rFonts w:ascii="Times New Roman" w:eastAsia="Times New Roman" w:hAnsi="Times New Roman" w:cs="Times New Roman"/>
                <w:sz w:val="21"/>
                <w:szCs w:val="21"/>
              </w:rPr>
              <w:t xml:space="preserve"> will be assessed using a chi-squared test. Among trials registered retrospectively, we will present the proportion registered after initial ascertainment of the primary outcome. </w:t>
            </w:r>
            <w:r w:rsidRPr="001D395C">
              <w:rPr>
                <w:rFonts w:ascii="Times New Roman" w:eastAsia="Times New Roman" w:hAnsi="Times New Roman" w:cs="Times New Roman"/>
                <w:sz w:val="21"/>
                <w:szCs w:val="21"/>
                <w:u w:val="single"/>
              </w:rPr>
              <w:t>Significant differences across journals and trial characteristics will be assessed using chi-squared testing.</w:t>
            </w:r>
            <w:r w:rsidRPr="001D395C">
              <w:rPr>
                <w:rFonts w:ascii="Times New Roman" w:eastAsia="Times New Roman" w:hAnsi="Times New Roman" w:cs="Times New Roman"/>
                <w:sz w:val="21"/>
                <w:szCs w:val="21"/>
              </w:rPr>
              <w:t xml:space="preserve"> We will also report the proportion of trials with differences between the originally registered and published primary outcome measures, overall, and stratified by registration status, </w:t>
            </w:r>
            <w:r w:rsidRPr="001D395C">
              <w:rPr>
                <w:rFonts w:ascii="Times New Roman" w:eastAsia="Times New Roman" w:hAnsi="Times New Roman" w:cs="Times New Roman"/>
                <w:sz w:val="21"/>
                <w:szCs w:val="21"/>
                <w:u w:val="single"/>
              </w:rPr>
              <w:t>journal, and trial characteristics</w:t>
            </w:r>
            <w:r w:rsidRPr="001D395C">
              <w:rPr>
                <w:rFonts w:ascii="Times New Roman" w:eastAsia="Times New Roman" w:hAnsi="Times New Roman" w:cs="Times New Roman"/>
                <w:sz w:val="21"/>
                <w:szCs w:val="21"/>
              </w:rPr>
              <w:t>. Association between registration status</w:t>
            </w:r>
            <w:r w:rsidRPr="001D395C">
              <w:rPr>
                <w:rFonts w:ascii="Times New Roman" w:eastAsia="Times New Roman" w:hAnsi="Times New Roman" w:cs="Times New Roman"/>
                <w:sz w:val="21"/>
                <w:szCs w:val="21"/>
                <w:u w:val="single"/>
              </w:rPr>
              <w:t>, journal, and trial characteristics</w:t>
            </w:r>
            <w:r w:rsidRPr="001D395C">
              <w:rPr>
                <w:rFonts w:ascii="Times New Roman" w:eastAsia="Times New Roman" w:hAnsi="Times New Roman" w:cs="Times New Roman"/>
                <w:sz w:val="21"/>
                <w:szCs w:val="21"/>
              </w:rPr>
              <w:t xml:space="preserve"> and primary endpoint consistency will be characterized using a chi-squared test. We will additionally conduct sensitivity analyses around prospective/retrospective registration status determination using the published enrollment initiation date (instead of the registered enrollment initiation date) </w:t>
            </w:r>
            <w:r w:rsidRPr="001D395C">
              <w:rPr>
                <w:rFonts w:ascii="Times New Roman" w:eastAsia="Times New Roman" w:hAnsi="Times New Roman" w:cs="Times New Roman"/>
                <w:strike/>
                <w:sz w:val="21"/>
                <w:szCs w:val="21"/>
              </w:rPr>
              <w:t>and report the above outcomes in parallel using this approach</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i/>
                <w:sz w:val="21"/>
                <w:szCs w:val="21"/>
              </w:rPr>
              <w:t>[The sensitivity analysis using published enrollment start will be reported in</w:t>
            </w:r>
            <w:r w:rsidR="00797A01">
              <w:rPr>
                <w:rFonts w:ascii="Times New Roman" w:eastAsia="Times New Roman" w:hAnsi="Times New Roman" w:cs="Times New Roman"/>
                <w:i/>
                <w:sz w:val="21"/>
                <w:szCs w:val="21"/>
              </w:rPr>
              <w:t xml:space="preserve"> Appendix 2 of the study s</w:t>
            </w:r>
            <w:r w:rsidRPr="001D395C">
              <w:rPr>
                <w:rFonts w:ascii="Times New Roman" w:eastAsia="Times New Roman" w:hAnsi="Times New Roman" w:cs="Times New Roman"/>
                <w:i/>
                <w:sz w:val="21"/>
                <w:szCs w:val="21"/>
              </w:rPr>
              <w:t>upplement</w:t>
            </w:r>
            <w:r w:rsidRPr="001D395C">
              <w:rPr>
                <w:rFonts w:ascii="Times New Roman" w:eastAsia="Times New Roman" w:hAnsi="Times New Roman" w:cs="Times New Roman"/>
                <w:sz w:val="21"/>
                <w:szCs w:val="21"/>
              </w:rPr>
              <w:t>]</w:t>
            </w:r>
          </w:p>
          <w:p w14:paraId="3BFB008E" w14:textId="77777777" w:rsidR="00A14BB6" w:rsidRPr="001D395C" w:rsidRDefault="00A14BB6" w:rsidP="00A14BB6">
            <w:pPr>
              <w:rPr>
                <w:rFonts w:ascii="Times New Roman" w:eastAsia="Times New Roman" w:hAnsi="Times New Roman" w:cs="Times New Roman"/>
                <w:sz w:val="21"/>
                <w:szCs w:val="21"/>
              </w:rPr>
            </w:pPr>
            <w:r w:rsidRPr="001D395C">
              <w:rPr>
                <w:rFonts w:ascii="Times New Roman" w:eastAsia="Times New Roman" w:hAnsi="Times New Roman" w:cs="Times New Roman"/>
                <w:sz w:val="21"/>
                <w:szCs w:val="21"/>
              </w:rPr>
              <w:tab/>
              <w:t>[</w:t>
            </w:r>
            <w:r w:rsidRPr="001D395C">
              <w:rPr>
                <w:rFonts w:ascii="Times New Roman" w:eastAsia="Times New Roman" w:hAnsi="Times New Roman" w:cs="Times New Roman"/>
                <w:i/>
                <w:sz w:val="21"/>
                <w:szCs w:val="21"/>
              </w:rPr>
              <w:t>Note that</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i/>
                <w:sz w:val="21"/>
                <w:szCs w:val="21"/>
              </w:rPr>
              <w:t xml:space="preserve">portions of the next paragraph are redundant with the above] </w:t>
            </w:r>
            <w:r w:rsidRPr="001D395C">
              <w:rPr>
                <w:rFonts w:ascii="Times New Roman" w:eastAsia="Times New Roman" w:hAnsi="Times New Roman" w:cs="Times New Roman"/>
                <w:sz w:val="21"/>
                <w:szCs w:val="21"/>
              </w:rPr>
              <w:t>Secondary statistical analyses will include comparisons of prospective registrations by trial characteristics, including intervention type (</w:t>
            </w:r>
            <w:r w:rsidRPr="001D395C">
              <w:rPr>
                <w:rFonts w:ascii="Times New Roman" w:eastAsia="Times New Roman" w:hAnsi="Times New Roman" w:cs="Times New Roman"/>
                <w:sz w:val="21"/>
                <w:szCs w:val="21"/>
                <w:u w:val="single"/>
              </w:rPr>
              <w:t>drug/device/biological vs. non-drug/device/biological)</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strike/>
                <w:sz w:val="21"/>
                <w:szCs w:val="21"/>
              </w:rPr>
              <w:t>FDA regulation status</w:t>
            </w:r>
            <w:r w:rsidRPr="001D395C">
              <w:rPr>
                <w:rFonts w:ascii="Times New Roman" w:eastAsia="Times New Roman" w:hAnsi="Times New Roman" w:cs="Times New Roman"/>
                <w:sz w:val="21"/>
                <w:szCs w:val="21"/>
              </w:rPr>
              <w:t>, funding source (</w:t>
            </w:r>
            <w:r w:rsidRPr="001D395C">
              <w:rPr>
                <w:rFonts w:ascii="Times New Roman" w:eastAsia="Times New Roman" w:hAnsi="Times New Roman" w:cs="Times New Roman"/>
                <w:sz w:val="21"/>
                <w:szCs w:val="21"/>
                <w:u w:val="single"/>
              </w:rPr>
              <w:t>industry vs. non-industry)</w:t>
            </w:r>
            <w:r w:rsidRPr="001D395C">
              <w:rPr>
                <w:rFonts w:ascii="Times New Roman" w:eastAsia="Times New Roman" w:hAnsi="Times New Roman" w:cs="Times New Roman"/>
                <w:sz w:val="21"/>
                <w:szCs w:val="21"/>
              </w:rPr>
              <w:t xml:space="preserve">, enrollment (categorized based on median split), </w:t>
            </w:r>
            <w:r w:rsidRPr="001D395C">
              <w:rPr>
                <w:rFonts w:ascii="Times New Roman" w:eastAsia="Times New Roman" w:hAnsi="Times New Roman" w:cs="Times New Roman"/>
                <w:sz w:val="21"/>
                <w:szCs w:val="21"/>
                <w:u w:val="single"/>
              </w:rPr>
              <w:t xml:space="preserve">randomization (yes/no) </w:t>
            </w:r>
            <w:r w:rsidRPr="001D395C">
              <w:rPr>
                <w:rFonts w:ascii="Times New Roman" w:eastAsia="Times New Roman" w:hAnsi="Times New Roman" w:cs="Times New Roman"/>
                <w:sz w:val="21"/>
                <w:szCs w:val="21"/>
              </w:rPr>
              <w:t>and location (</w:t>
            </w:r>
            <w:r w:rsidRPr="001D395C">
              <w:rPr>
                <w:rFonts w:ascii="Times New Roman" w:eastAsia="Times New Roman" w:hAnsi="Times New Roman" w:cs="Times New Roman"/>
                <w:sz w:val="21"/>
                <w:szCs w:val="21"/>
                <w:u w:val="single"/>
              </w:rPr>
              <w:t>US vs. non-US</w:t>
            </w:r>
            <w:r w:rsidRPr="001D395C">
              <w:rPr>
                <w:rFonts w:ascii="Times New Roman" w:eastAsia="Times New Roman" w:hAnsi="Times New Roman" w:cs="Times New Roman"/>
                <w:sz w:val="21"/>
                <w:szCs w:val="21"/>
              </w:rPr>
              <w:t xml:space="preserve">). We will perform tests of association between study characteristics and prospective/retrospective registration status by </w:t>
            </w:r>
            <w:r w:rsidRPr="001D395C">
              <w:rPr>
                <w:rFonts w:ascii="Times New Roman" w:eastAsia="Times New Roman" w:hAnsi="Times New Roman" w:cs="Times New Roman"/>
                <w:sz w:val="21"/>
                <w:szCs w:val="21"/>
                <w:u w:val="single"/>
              </w:rPr>
              <w:t>using chi-squared testing</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strike/>
                <w:sz w:val="21"/>
                <w:szCs w:val="21"/>
              </w:rPr>
              <w:t>fitting a series of bivariate models with trials as the unit of observation and robust standard errors clustering by journal</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sz w:val="21"/>
                <w:szCs w:val="21"/>
                <w:u w:val="single"/>
              </w:rPr>
              <w:t>We will additionally determine the proportion of trials reporting favorable results, overall, and stratified by journal, registration timeliness, and trial characteristics.</w:t>
            </w:r>
            <w:r w:rsidRPr="001D395C">
              <w:rPr>
                <w:rFonts w:ascii="Times New Roman" w:eastAsia="Times New Roman" w:hAnsi="Times New Roman" w:cs="Times New Roman"/>
                <w:sz w:val="21"/>
                <w:szCs w:val="21"/>
              </w:rPr>
              <w:t xml:space="preserve"> </w:t>
            </w:r>
            <w:r w:rsidRPr="001D395C">
              <w:rPr>
                <w:rFonts w:ascii="Times New Roman" w:eastAsia="Times New Roman" w:hAnsi="Times New Roman" w:cs="Times New Roman"/>
                <w:sz w:val="21"/>
                <w:szCs w:val="21"/>
                <w:u w:val="single"/>
              </w:rPr>
              <w:t>We will use Chi-squared testing to assess differences in study results by journal, trial characteristics, and timeliness of registration</w:t>
            </w:r>
            <w:r w:rsidRPr="001D395C">
              <w:rPr>
                <w:rFonts w:ascii="Times New Roman" w:eastAsia="Times New Roman" w:hAnsi="Times New Roman" w:cs="Times New Roman"/>
                <w:sz w:val="21"/>
                <w:szCs w:val="21"/>
              </w:rPr>
              <w:t xml:space="preserve">. Analyses will be conducted using JMP version -- (SAS Institute </w:t>
            </w:r>
            <w:proofErr w:type="spellStart"/>
            <w:r w:rsidRPr="001D395C">
              <w:rPr>
                <w:rFonts w:ascii="Times New Roman" w:eastAsia="Times New Roman" w:hAnsi="Times New Roman" w:cs="Times New Roman"/>
                <w:sz w:val="21"/>
                <w:szCs w:val="21"/>
              </w:rPr>
              <w:t>Inc</w:t>
            </w:r>
            <w:proofErr w:type="spellEnd"/>
            <w:r w:rsidRPr="001D395C">
              <w:rPr>
                <w:rFonts w:ascii="Times New Roman" w:eastAsia="Times New Roman" w:hAnsi="Times New Roman" w:cs="Times New Roman"/>
                <w:sz w:val="21"/>
                <w:szCs w:val="21"/>
              </w:rPr>
              <w:t>).</w:t>
            </w:r>
          </w:p>
          <w:p w14:paraId="27511ECE" w14:textId="77777777" w:rsidR="00A14BB6" w:rsidRPr="001D395C" w:rsidRDefault="00A14BB6" w:rsidP="00A14BB6">
            <w:pPr>
              <w:rPr>
                <w:rFonts w:ascii="Times New Roman" w:hAnsi="Times New Roman" w:cs="Times New Roman"/>
                <w:sz w:val="21"/>
                <w:szCs w:val="21"/>
              </w:rPr>
            </w:pPr>
          </w:p>
          <w:p w14:paraId="6E1788CB" w14:textId="77777777" w:rsidR="00A14BB6" w:rsidRPr="001D395C" w:rsidRDefault="00A14BB6" w:rsidP="00A14BB6">
            <w:pPr>
              <w:rPr>
                <w:rFonts w:ascii="Times New Roman" w:hAnsi="Times New Roman" w:cs="Times New Roman"/>
                <w:sz w:val="21"/>
                <w:szCs w:val="21"/>
              </w:rPr>
            </w:pPr>
          </w:p>
          <w:p w14:paraId="17E7CA49" w14:textId="77777777" w:rsidR="00A14BB6" w:rsidRPr="001D395C" w:rsidRDefault="00A14BB6" w:rsidP="00A14BB6">
            <w:pPr>
              <w:rPr>
                <w:rFonts w:ascii="Times New Roman" w:hAnsi="Times New Roman" w:cs="Times New Roman"/>
                <w:sz w:val="21"/>
                <w:szCs w:val="21"/>
              </w:rPr>
            </w:pPr>
          </w:p>
        </w:tc>
        <w:tc>
          <w:tcPr>
            <w:tcW w:w="3192" w:type="dxa"/>
          </w:tcPr>
          <w:p w14:paraId="324813C9" w14:textId="77777777" w:rsidR="00A14BB6" w:rsidRPr="001D395C" w:rsidRDefault="00A14BB6" w:rsidP="00A14BB6">
            <w:pPr>
              <w:rPr>
                <w:rFonts w:ascii="Times New Roman" w:hAnsi="Times New Roman" w:cs="Times New Roman"/>
                <w:sz w:val="21"/>
                <w:szCs w:val="21"/>
              </w:rPr>
            </w:pPr>
            <w:r w:rsidRPr="001D395C">
              <w:rPr>
                <w:rFonts w:ascii="Times New Roman" w:hAnsi="Times New Roman" w:cs="Times New Roman"/>
                <w:sz w:val="21"/>
                <w:szCs w:val="21"/>
              </w:rPr>
              <w:t xml:space="preserve">The statistical analysis plan as explicitly outlined in the original trial protocol was not sufficiently detailed. The amendments made to the statistical analysis plan, specifically with regards to specific testing, were made prior to analysis of the data. </w:t>
            </w:r>
          </w:p>
        </w:tc>
      </w:tr>
    </w:tbl>
    <w:p w14:paraId="33ABA0F9" w14:textId="77777777" w:rsidR="00A14BB6" w:rsidRPr="001D395C" w:rsidRDefault="00A14BB6" w:rsidP="00A14BB6">
      <w:pPr>
        <w:rPr>
          <w:rFonts w:ascii="Times New Roman" w:hAnsi="Times New Roman" w:cs="Times New Roman"/>
          <w:sz w:val="21"/>
          <w:szCs w:val="21"/>
        </w:rPr>
      </w:pPr>
    </w:p>
    <w:p w14:paraId="5A4B36E3" w14:textId="77777777" w:rsidR="00A14BB6" w:rsidRPr="001D395C" w:rsidRDefault="00A14BB6" w:rsidP="00A14BB6">
      <w:pPr>
        <w:rPr>
          <w:rFonts w:ascii="Times New Roman" w:hAnsi="Times New Roman" w:cs="Times New Roman"/>
          <w:sz w:val="21"/>
          <w:szCs w:val="21"/>
        </w:rPr>
      </w:pPr>
    </w:p>
    <w:p w14:paraId="128598C8" w14:textId="77777777" w:rsidR="00A14BB6" w:rsidRDefault="00A14BB6" w:rsidP="00FC74B8"/>
    <w:sectPr w:rsidR="00A14BB6" w:rsidSect="00503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069A8"/>
    <w:multiLevelType w:val="hybridMultilevel"/>
    <w:tmpl w:val="45B6DD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F022A9"/>
    <w:multiLevelType w:val="hybridMultilevel"/>
    <w:tmpl w:val="B5F62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B8"/>
    <w:rsid w:val="002233B6"/>
    <w:rsid w:val="004A18A1"/>
    <w:rsid w:val="00503D15"/>
    <w:rsid w:val="005262BD"/>
    <w:rsid w:val="00774CF9"/>
    <w:rsid w:val="00797A01"/>
    <w:rsid w:val="00992A21"/>
    <w:rsid w:val="009C5771"/>
    <w:rsid w:val="00A106B4"/>
    <w:rsid w:val="00A14BB6"/>
    <w:rsid w:val="00ED4B63"/>
    <w:rsid w:val="00F41D04"/>
    <w:rsid w:val="00FC7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1FEA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4B8"/>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4B8"/>
    <w:pPr>
      <w:ind w:left="720"/>
      <w:contextualSpacing/>
    </w:pPr>
  </w:style>
  <w:style w:type="character" w:styleId="LineNumber">
    <w:name w:val="line number"/>
    <w:basedOn w:val="DefaultParagraphFont"/>
    <w:uiPriority w:val="99"/>
    <w:semiHidden/>
    <w:unhideWhenUsed/>
    <w:rsid w:val="009C5771"/>
  </w:style>
  <w:style w:type="table" w:styleId="TableGrid">
    <w:name w:val="Table Grid"/>
    <w:basedOn w:val="TableNormal"/>
    <w:uiPriority w:val="59"/>
    <w:rsid w:val="00A14B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4B8"/>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4B8"/>
    <w:pPr>
      <w:ind w:left="720"/>
      <w:contextualSpacing/>
    </w:pPr>
  </w:style>
  <w:style w:type="character" w:styleId="LineNumber">
    <w:name w:val="line number"/>
    <w:basedOn w:val="DefaultParagraphFont"/>
    <w:uiPriority w:val="99"/>
    <w:semiHidden/>
    <w:unhideWhenUsed/>
    <w:rsid w:val="009C5771"/>
  </w:style>
  <w:style w:type="table" w:styleId="TableGrid">
    <w:name w:val="Table Grid"/>
    <w:basedOn w:val="TableNormal"/>
    <w:uiPriority w:val="59"/>
    <w:rsid w:val="00A14B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2825</Words>
  <Characters>16109</Characters>
  <Application>Microsoft Macintosh Word</Application>
  <DocSecurity>0</DocSecurity>
  <Lines>134</Lines>
  <Paragraphs>37</Paragraphs>
  <ScaleCrop>false</ScaleCrop>
  <Company/>
  <LinksUpToDate>false</LinksUpToDate>
  <CharactersWithSpaces>18897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Gopal</dc:creator>
  <cp:keywords/>
  <dc:description/>
  <cp:lastModifiedBy>Anand  Gopal</cp:lastModifiedBy>
  <cp:revision>3</cp:revision>
  <dcterms:created xsi:type="dcterms:W3CDTF">2017-08-02T02:40:00Z</dcterms:created>
  <dcterms:modified xsi:type="dcterms:W3CDTF">2017-08-02T02:41:00Z</dcterms:modified>
</cp:coreProperties>
</file>