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A27" w:rsidRPr="009B564D" w:rsidRDefault="00D94A27" w:rsidP="009B564D">
      <w:pPr>
        <w:pStyle w:val="Titel2"/>
        <w:spacing w:line="480" w:lineRule="auto"/>
      </w:pPr>
      <w:r w:rsidRPr="009B564D">
        <w:t>Data monitoring committee</w:t>
      </w:r>
    </w:p>
    <w:p w:rsidR="00D94A27" w:rsidRPr="009B564D" w:rsidRDefault="00D94A27" w:rsidP="009B564D">
      <w:pPr>
        <w:tabs>
          <w:tab w:val="left" w:pos="709"/>
        </w:tabs>
        <w:spacing w:before="100" w:beforeAutospacing="1" w:after="0" w:line="480" w:lineRule="auto"/>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Role</w:t>
      </w:r>
    </w:p>
    <w:p w:rsidR="00D94A27" w:rsidRPr="009B564D" w:rsidRDefault="00D94A27" w:rsidP="009B564D">
      <w:pPr>
        <w:tabs>
          <w:tab w:val="left" w:pos="709"/>
        </w:tabs>
        <w:spacing w:before="100" w:beforeAutospacing="1" w:after="0" w:line="480" w:lineRule="auto"/>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The DMC will perform interim analyses to evaluate safety endpoints and study progression.</w:t>
      </w:r>
    </w:p>
    <w:p w:rsidR="00D94A27" w:rsidRPr="009B564D" w:rsidRDefault="00D94A27" w:rsidP="009B564D">
      <w:pPr>
        <w:tabs>
          <w:tab w:val="left" w:pos="709"/>
        </w:tabs>
        <w:spacing w:before="100" w:beforeAutospacing="1" w:after="0" w:line="480" w:lineRule="auto"/>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Composition of DMC</w:t>
      </w:r>
    </w:p>
    <w:p w:rsidR="00D94A27" w:rsidRPr="009B564D" w:rsidRDefault="00D94A27" w:rsidP="009B564D">
      <w:pPr>
        <w:tabs>
          <w:tab w:val="left" w:pos="709"/>
        </w:tabs>
        <w:spacing w:before="100" w:beforeAutospacing="1" w:after="0" w:line="480" w:lineRule="auto"/>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 xml:space="preserve">The DMC consists of two independent (sponsor and competing interests) cardiologists and a biostatistician. </w:t>
      </w:r>
      <w:r w:rsidRPr="009B564D">
        <w:rPr>
          <w:rFonts w:ascii="Helvetica" w:eastAsia="Times New Roman" w:hAnsi="Helvetica" w:cs="Times New Roman"/>
          <w:sz w:val="24"/>
          <w:szCs w:val="24"/>
          <w:lang w:val="en-GB" w:eastAsia="da-DK"/>
        </w:rPr>
        <w:br/>
        <w:t>Cardiologists: Rikke Sørensen and Charlotte Kragelund</w:t>
      </w:r>
      <w:r w:rsidRPr="009B564D">
        <w:rPr>
          <w:rFonts w:ascii="Helvetica" w:eastAsia="Times New Roman" w:hAnsi="Helvetica" w:cs="Times New Roman"/>
          <w:sz w:val="24"/>
          <w:szCs w:val="24"/>
          <w:lang w:val="en-GB" w:eastAsia="da-DK"/>
        </w:rPr>
        <w:br/>
        <w:t>Biostatistician: Morten Madsen</w:t>
      </w:r>
    </w:p>
    <w:p w:rsidR="00D94A27" w:rsidRPr="009B564D" w:rsidRDefault="00D94A27" w:rsidP="009B564D">
      <w:pPr>
        <w:tabs>
          <w:tab w:val="left" w:pos="709"/>
        </w:tabs>
        <w:spacing w:before="100" w:beforeAutospacing="1" w:after="0" w:line="480" w:lineRule="auto"/>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 xml:space="preserve">Interim analyses: </w:t>
      </w:r>
    </w:p>
    <w:p w:rsidR="00D94A27" w:rsidRPr="009B564D" w:rsidRDefault="00D94A27" w:rsidP="009B564D">
      <w:pPr>
        <w:tabs>
          <w:tab w:val="left" w:pos="709"/>
        </w:tabs>
        <w:spacing w:before="100" w:beforeAutospacing="1" w:after="0" w:line="480" w:lineRule="auto"/>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The committee meets after enrolment of 500, 1000 and 3000 patients in order to:</w:t>
      </w:r>
    </w:p>
    <w:p w:rsidR="00D94A27" w:rsidRPr="009B564D" w:rsidRDefault="00D94A27" w:rsidP="009B564D">
      <w:pPr>
        <w:pStyle w:val="Opstilling-talellerbogst"/>
        <w:numPr>
          <w:ilvl w:val="0"/>
          <w:numId w:val="3"/>
        </w:numPr>
        <w:tabs>
          <w:tab w:val="left" w:pos="709"/>
        </w:tabs>
        <w:spacing w:line="480" w:lineRule="auto"/>
        <w:rPr>
          <w:rFonts w:ascii="Helvetica" w:hAnsi="Helvetica" w:cs="Helvetica"/>
          <w:sz w:val="24"/>
          <w:szCs w:val="24"/>
          <w:lang w:val="en-GB" w:eastAsia="da-DK"/>
        </w:rPr>
      </w:pPr>
      <w:r w:rsidRPr="009B564D">
        <w:rPr>
          <w:rFonts w:ascii="Helvetica" w:hAnsi="Helvetica" w:cs="Helvetica"/>
          <w:sz w:val="24"/>
          <w:szCs w:val="24"/>
          <w:lang w:val="en-GB" w:eastAsia="da-DK"/>
        </w:rPr>
        <w:t>Evaluate safety endpoints, using data extractions from the Danish National Registry of Patients.</w:t>
      </w:r>
    </w:p>
    <w:p w:rsidR="00D94A27" w:rsidRPr="009B564D" w:rsidRDefault="00D94A27" w:rsidP="009B564D">
      <w:pPr>
        <w:pStyle w:val="Opstilling-talellerbogst"/>
        <w:numPr>
          <w:ilvl w:val="0"/>
          <w:numId w:val="3"/>
        </w:numPr>
        <w:tabs>
          <w:tab w:val="left" w:pos="709"/>
        </w:tabs>
        <w:spacing w:line="480" w:lineRule="auto"/>
        <w:rPr>
          <w:rFonts w:ascii="Helvetica" w:hAnsi="Helvetica" w:cs="Helvetica"/>
          <w:sz w:val="24"/>
          <w:szCs w:val="24"/>
          <w:lang w:val="en-GB" w:eastAsia="da-DK"/>
        </w:rPr>
      </w:pPr>
      <w:r w:rsidRPr="009B564D">
        <w:rPr>
          <w:rFonts w:ascii="Helvetica" w:hAnsi="Helvetica" w:cs="Helvetica"/>
          <w:sz w:val="24"/>
          <w:szCs w:val="24"/>
          <w:lang w:val="en-GB" w:eastAsia="da-DK"/>
        </w:rPr>
        <w:t>Evaluation of study endpoints</w:t>
      </w:r>
    </w:p>
    <w:p w:rsidR="00D94A27" w:rsidRPr="009B564D" w:rsidRDefault="00D94A27" w:rsidP="009B564D">
      <w:pPr>
        <w:tabs>
          <w:tab w:val="left" w:pos="709"/>
        </w:tabs>
        <w:spacing w:before="100" w:beforeAutospacing="1" w:after="0" w:line="480" w:lineRule="auto"/>
        <w:rPr>
          <w:rFonts w:ascii="Helvetica" w:eastAsia="Times New Roman" w:hAnsi="Helvetica" w:cs="Times New Roman"/>
          <w:sz w:val="24"/>
          <w:szCs w:val="24"/>
          <w:lang w:val="en-GB" w:eastAsia="da-DK"/>
        </w:rPr>
      </w:pPr>
    </w:p>
    <w:p w:rsidR="00D94A27" w:rsidRPr="009B564D" w:rsidRDefault="00D94A27" w:rsidP="009B564D">
      <w:pPr>
        <w:tabs>
          <w:tab w:val="left" w:pos="709"/>
        </w:tabs>
        <w:spacing w:after="0" w:line="480" w:lineRule="auto"/>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Safety endpoints</w:t>
      </w:r>
    </w:p>
    <w:p w:rsidR="00D94A27" w:rsidRPr="009B564D" w:rsidRDefault="00D94A27" w:rsidP="009B564D">
      <w:pPr>
        <w:pStyle w:val="Listeafsnit"/>
        <w:numPr>
          <w:ilvl w:val="0"/>
          <w:numId w:val="2"/>
        </w:numPr>
        <w:tabs>
          <w:tab w:val="left" w:pos="709"/>
        </w:tabs>
        <w:spacing w:after="0" w:line="480" w:lineRule="auto"/>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30 day rate of combined MACE, occurring after discharge or during index admission (in total)</w:t>
      </w:r>
    </w:p>
    <w:p w:rsidR="00D94A27" w:rsidRPr="009B564D" w:rsidRDefault="00D94A27" w:rsidP="009B564D">
      <w:pPr>
        <w:pStyle w:val="Listeafsnit"/>
        <w:numPr>
          <w:ilvl w:val="0"/>
          <w:numId w:val="2"/>
        </w:numPr>
        <w:tabs>
          <w:tab w:val="left" w:pos="709"/>
        </w:tabs>
        <w:spacing w:before="100" w:beforeAutospacing="1" w:after="0" w:line="480" w:lineRule="auto"/>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30 day rate of combined MACE, occurring during index admission.</w:t>
      </w:r>
    </w:p>
    <w:p w:rsidR="00D94A27" w:rsidRPr="009B564D" w:rsidRDefault="00D94A27" w:rsidP="009B564D">
      <w:pPr>
        <w:pStyle w:val="Listeafsnit"/>
        <w:numPr>
          <w:ilvl w:val="0"/>
          <w:numId w:val="2"/>
        </w:numPr>
        <w:tabs>
          <w:tab w:val="left" w:pos="709"/>
        </w:tabs>
        <w:spacing w:before="100" w:beforeAutospacing="1" w:after="0" w:line="480" w:lineRule="auto"/>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30 day rate of combined MACE, occurring after discharge.</w:t>
      </w:r>
    </w:p>
    <w:p w:rsidR="00D94A27" w:rsidRPr="009B564D" w:rsidRDefault="00D94A27" w:rsidP="009B564D">
      <w:pPr>
        <w:pStyle w:val="Listeafsnit"/>
        <w:numPr>
          <w:ilvl w:val="0"/>
          <w:numId w:val="2"/>
        </w:numPr>
        <w:tabs>
          <w:tab w:val="left" w:pos="709"/>
        </w:tabs>
        <w:spacing w:before="100" w:beforeAutospacing="1" w:after="0" w:line="480" w:lineRule="auto"/>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lastRenderedPageBreak/>
        <w:t>30 day rate of MACE (separately)</w:t>
      </w:r>
    </w:p>
    <w:p w:rsidR="00D94A27" w:rsidRPr="009B564D" w:rsidRDefault="00D94A27" w:rsidP="009B564D">
      <w:pPr>
        <w:pStyle w:val="Listeafsnit"/>
        <w:numPr>
          <w:ilvl w:val="0"/>
          <w:numId w:val="2"/>
        </w:numPr>
        <w:tabs>
          <w:tab w:val="left" w:pos="709"/>
        </w:tabs>
        <w:spacing w:before="100" w:beforeAutospacing="1" w:after="0" w:line="480" w:lineRule="auto"/>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90 and 365 day rate of combined MACE, occurring after discharge; under index admission; and in total (separately and combined MACE)</w:t>
      </w:r>
    </w:p>
    <w:p w:rsidR="00D94A27" w:rsidRPr="009B564D" w:rsidRDefault="00D94A27" w:rsidP="009B564D">
      <w:pPr>
        <w:tabs>
          <w:tab w:val="left" w:pos="709"/>
        </w:tabs>
        <w:spacing w:before="100" w:beforeAutospacing="1" w:after="0" w:line="480" w:lineRule="auto"/>
        <w:rPr>
          <w:rStyle w:val="Strk"/>
          <w:rFonts w:ascii="Helvetica" w:hAnsi="Helvetica" w:cs="Helvetica"/>
          <w:color w:val="000000"/>
          <w:sz w:val="24"/>
          <w:szCs w:val="24"/>
          <w:lang w:val="en-GB"/>
        </w:rPr>
      </w:pPr>
      <w:r w:rsidRPr="009B564D">
        <w:rPr>
          <w:rFonts w:ascii="Helvetica" w:eastAsia="Times New Roman" w:hAnsi="Helvetica" w:cs="Times New Roman"/>
          <w:sz w:val="24"/>
          <w:szCs w:val="24"/>
          <w:lang w:val="en-GB" w:eastAsia="da-DK"/>
        </w:rPr>
        <w:t xml:space="preserve">MACE: see </w:t>
      </w:r>
      <w:r w:rsidRPr="009B564D">
        <w:rPr>
          <w:rStyle w:val="Strk"/>
          <w:rFonts w:ascii="Helvetica" w:hAnsi="Helvetica" w:cs="Helvetica"/>
          <w:color w:val="000000"/>
          <w:sz w:val="24"/>
          <w:szCs w:val="24"/>
          <w:lang w:val="en-GB"/>
        </w:rPr>
        <w:t>Outcome Measures.</w:t>
      </w:r>
    </w:p>
    <w:p w:rsidR="00D94A27" w:rsidRPr="009B564D" w:rsidRDefault="00D94A27" w:rsidP="009B564D">
      <w:pPr>
        <w:tabs>
          <w:tab w:val="left" w:pos="709"/>
        </w:tabs>
        <w:spacing w:before="100" w:beforeAutospacing="1" w:after="0" w:line="480" w:lineRule="auto"/>
        <w:rPr>
          <w:rStyle w:val="Strk"/>
          <w:rFonts w:ascii="Helvetica" w:hAnsi="Helvetica" w:cs="Helvetica"/>
          <w:color w:val="000000"/>
          <w:sz w:val="24"/>
          <w:szCs w:val="24"/>
          <w:lang w:val="en-GB"/>
        </w:rPr>
      </w:pPr>
      <w:r w:rsidRPr="009B564D">
        <w:rPr>
          <w:rFonts w:ascii="Helvetica" w:eastAsia="Times New Roman" w:hAnsi="Helvetica" w:cs="Times New Roman"/>
          <w:sz w:val="24"/>
          <w:szCs w:val="24"/>
          <w:lang w:val="en-GB" w:eastAsia="da-DK"/>
        </w:rPr>
        <w:t xml:space="preserve">Study endpoints: see </w:t>
      </w:r>
      <w:r w:rsidRPr="009B564D">
        <w:rPr>
          <w:rStyle w:val="Strk"/>
          <w:rFonts w:ascii="Helvetica" w:hAnsi="Helvetica" w:cs="Helvetica"/>
          <w:color w:val="000000"/>
          <w:sz w:val="24"/>
          <w:szCs w:val="24"/>
          <w:lang w:val="en-GB"/>
        </w:rPr>
        <w:t>Outcome Measures.</w:t>
      </w:r>
    </w:p>
    <w:p w:rsidR="00D94A27" w:rsidRPr="009B564D" w:rsidRDefault="00D94A27" w:rsidP="009B564D">
      <w:pPr>
        <w:tabs>
          <w:tab w:val="left" w:pos="709"/>
        </w:tabs>
        <w:spacing w:before="100" w:beforeAutospacing="1" w:after="0" w:line="480" w:lineRule="auto"/>
        <w:ind w:left="1304" w:hanging="1304"/>
        <w:rPr>
          <w:rFonts w:ascii="Helvetica" w:eastAsia="Times New Roman" w:hAnsi="Helvetica" w:cs="Helvetica"/>
          <w:sz w:val="24"/>
          <w:szCs w:val="24"/>
          <w:lang w:val="en-GB" w:eastAsia="da-DK"/>
        </w:rPr>
      </w:pPr>
      <w:r w:rsidRPr="009B564D">
        <w:rPr>
          <w:rFonts w:ascii="Helvetica" w:hAnsi="Helvetica" w:cs="Helvetica"/>
          <w:sz w:val="24"/>
          <w:szCs w:val="24"/>
          <w:lang w:val="en-GB"/>
        </w:rPr>
        <w:t>Stopping guidelines</w:t>
      </w:r>
      <w:r w:rsidRPr="009B564D">
        <w:rPr>
          <w:rFonts w:ascii="Helvetica" w:eastAsia="Times New Roman" w:hAnsi="Helvetica" w:cs="Helvetica"/>
          <w:sz w:val="24"/>
          <w:szCs w:val="24"/>
          <w:lang w:val="en-GB" w:eastAsia="da-DK"/>
        </w:rPr>
        <w:t xml:space="preserve"> </w:t>
      </w:r>
    </w:p>
    <w:p w:rsidR="00D94A27" w:rsidRPr="009B564D" w:rsidRDefault="00D94A27" w:rsidP="009B564D">
      <w:pPr>
        <w:tabs>
          <w:tab w:val="left" w:pos="709"/>
        </w:tabs>
        <w:spacing w:before="100" w:beforeAutospacing="1" w:after="0" w:line="480" w:lineRule="auto"/>
        <w:ind w:left="709"/>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The DMC shall recommend termination of the study if MACE rate is shown to be significantly higher in the intervention group (</w:t>
      </w:r>
      <w:r w:rsidRPr="009B564D">
        <w:rPr>
          <w:rFonts w:ascii="Helvetica" w:eastAsia="Times New Roman" w:hAnsi="Helvetica" w:cs="Times New Roman"/>
          <w:i/>
          <w:sz w:val="24"/>
          <w:szCs w:val="24"/>
          <w:lang w:val="en-GB" w:eastAsia="da-DK"/>
        </w:rPr>
        <w:t>“Accelerated”</w:t>
      </w:r>
      <w:r w:rsidRPr="009B564D">
        <w:rPr>
          <w:rFonts w:ascii="Helvetica" w:eastAsia="Times New Roman" w:hAnsi="Helvetica" w:cs="Times New Roman"/>
          <w:sz w:val="24"/>
          <w:szCs w:val="24"/>
          <w:lang w:val="en-GB" w:eastAsia="da-DK"/>
        </w:rPr>
        <w:t>) compared with the control group (</w:t>
      </w:r>
      <w:r w:rsidRPr="009B564D">
        <w:rPr>
          <w:rFonts w:ascii="Helvetica" w:eastAsia="Times New Roman" w:hAnsi="Helvetica" w:cs="Times New Roman"/>
          <w:i/>
          <w:sz w:val="24"/>
          <w:szCs w:val="24"/>
          <w:lang w:val="en-GB" w:eastAsia="da-DK"/>
        </w:rPr>
        <w:t>“Standard”</w:t>
      </w:r>
      <w:r w:rsidRPr="009B564D">
        <w:rPr>
          <w:rFonts w:ascii="Helvetica" w:eastAsia="Times New Roman" w:hAnsi="Helvetica" w:cs="Times New Roman"/>
          <w:sz w:val="24"/>
          <w:szCs w:val="24"/>
          <w:lang w:val="en-GB" w:eastAsia="da-DK"/>
        </w:rPr>
        <w:t>), with a p-value below 0.01.</w:t>
      </w:r>
    </w:p>
    <w:p w:rsidR="00D94A27" w:rsidRPr="009B564D" w:rsidRDefault="00D94A27" w:rsidP="009B564D">
      <w:pPr>
        <w:tabs>
          <w:tab w:val="left" w:pos="709"/>
        </w:tabs>
        <w:spacing w:before="100" w:beforeAutospacing="1" w:after="0" w:line="480" w:lineRule="auto"/>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This applies to safety endpoint:</w:t>
      </w:r>
    </w:p>
    <w:p w:rsidR="00D94A27" w:rsidRPr="009B564D" w:rsidRDefault="00D94A27" w:rsidP="009B564D">
      <w:pPr>
        <w:pStyle w:val="Opstilling-talellerbogst"/>
        <w:tabs>
          <w:tab w:val="left" w:pos="709"/>
        </w:tabs>
        <w:spacing w:after="0" w:line="480" w:lineRule="auto"/>
        <w:ind w:left="720" w:hanging="360"/>
        <w:rPr>
          <w:rFonts w:ascii="Helvetica" w:hAnsi="Helvetica" w:cs="Helvetica"/>
          <w:sz w:val="24"/>
          <w:lang w:val="en-GB" w:eastAsia="da-DK"/>
        </w:rPr>
      </w:pPr>
      <w:r w:rsidRPr="009B564D">
        <w:rPr>
          <w:rFonts w:ascii="Helvetica" w:hAnsi="Helvetica" w:cs="Helvetica"/>
          <w:sz w:val="24"/>
          <w:lang w:val="en-GB" w:eastAsia="da-DK"/>
        </w:rPr>
        <w:t>30 day rate of combined MACE, occurring after discharge or during index admission (in total)</w:t>
      </w:r>
    </w:p>
    <w:p w:rsidR="00D94A27" w:rsidRPr="009B564D" w:rsidRDefault="00D94A27" w:rsidP="009B564D">
      <w:pPr>
        <w:pStyle w:val="Opstilling-talellerbogst"/>
        <w:tabs>
          <w:tab w:val="left" w:pos="709"/>
        </w:tabs>
        <w:spacing w:after="0" w:line="480" w:lineRule="auto"/>
        <w:rPr>
          <w:lang w:val="en-GB" w:eastAsia="da-DK"/>
        </w:rPr>
      </w:pPr>
    </w:p>
    <w:p w:rsidR="00D94A27" w:rsidRPr="009B564D" w:rsidRDefault="00D94A27" w:rsidP="009B564D">
      <w:pPr>
        <w:pStyle w:val="Opstilling-talellerbogst"/>
        <w:tabs>
          <w:tab w:val="left" w:pos="709"/>
        </w:tabs>
        <w:spacing w:after="0" w:line="480" w:lineRule="auto"/>
        <w:rPr>
          <w:rFonts w:ascii="Helvetica" w:hAnsi="Helvetica" w:cs="Helvetica"/>
          <w:sz w:val="24"/>
          <w:lang w:val="en-GB" w:eastAsia="da-DK"/>
        </w:rPr>
      </w:pPr>
      <w:r w:rsidRPr="009B564D">
        <w:rPr>
          <w:rFonts w:ascii="Helvetica" w:hAnsi="Helvetica" w:cs="Helvetica"/>
          <w:sz w:val="24"/>
          <w:lang w:val="en-GB" w:eastAsia="da-DK"/>
        </w:rPr>
        <w:t xml:space="preserve">For the </w:t>
      </w:r>
      <w:r w:rsidRPr="009B564D">
        <w:rPr>
          <w:rFonts w:ascii="Helvetica" w:eastAsia="Times New Roman" w:hAnsi="Helvetica" w:cs="Times New Roman"/>
          <w:sz w:val="24"/>
          <w:szCs w:val="24"/>
          <w:lang w:val="en-GB" w:eastAsia="da-DK"/>
        </w:rPr>
        <w:t>safety endpoints</w:t>
      </w:r>
      <w:r w:rsidRPr="009B564D">
        <w:rPr>
          <w:rFonts w:ascii="Helvetica" w:hAnsi="Helvetica" w:cs="Helvetica"/>
          <w:sz w:val="24"/>
          <w:lang w:val="en-GB" w:eastAsia="da-DK"/>
        </w:rPr>
        <w:t xml:space="preserve"> 2-5 applies that:</w:t>
      </w:r>
    </w:p>
    <w:p w:rsidR="00D94A27" w:rsidRPr="009B564D" w:rsidRDefault="00D94A27" w:rsidP="009B564D">
      <w:pPr>
        <w:pStyle w:val="Opstilling-talellerbogst"/>
        <w:numPr>
          <w:ilvl w:val="0"/>
          <w:numId w:val="5"/>
        </w:numPr>
        <w:tabs>
          <w:tab w:val="left" w:pos="709"/>
        </w:tabs>
        <w:spacing w:before="240" w:line="480" w:lineRule="auto"/>
        <w:rPr>
          <w:rFonts w:ascii="Helvetica" w:hAnsi="Helvetica" w:cs="Helvetica"/>
          <w:sz w:val="24"/>
          <w:lang w:val="en-GB" w:eastAsia="da-DK"/>
        </w:rPr>
      </w:pPr>
      <w:r w:rsidRPr="009B564D">
        <w:rPr>
          <w:rFonts w:ascii="Helvetica" w:hAnsi="Helvetica" w:cs="Helvetica"/>
          <w:sz w:val="24"/>
          <w:lang w:val="en-GB" w:eastAsia="da-DK"/>
        </w:rPr>
        <w:t>i</w:t>
      </w:r>
      <w:r w:rsidRPr="009B564D">
        <w:rPr>
          <w:rFonts w:ascii="Helvetica" w:eastAsia="Times New Roman" w:hAnsi="Helvetica" w:cs="Times New Roman"/>
          <w:sz w:val="24"/>
          <w:szCs w:val="24"/>
          <w:lang w:val="en-GB" w:eastAsia="da-DK"/>
        </w:rPr>
        <w:t>f MACE rate is shown to be significantly higher in the intervention group (</w:t>
      </w:r>
      <w:r w:rsidRPr="009B564D">
        <w:rPr>
          <w:rFonts w:ascii="Helvetica" w:eastAsia="Times New Roman" w:hAnsi="Helvetica" w:cs="Times New Roman"/>
          <w:i/>
          <w:sz w:val="24"/>
          <w:szCs w:val="24"/>
          <w:lang w:val="en-GB" w:eastAsia="da-DK"/>
        </w:rPr>
        <w:t>“Accelerated”</w:t>
      </w:r>
      <w:r w:rsidRPr="009B564D">
        <w:rPr>
          <w:rFonts w:ascii="Helvetica" w:eastAsia="Times New Roman" w:hAnsi="Helvetica" w:cs="Times New Roman"/>
          <w:sz w:val="24"/>
          <w:szCs w:val="24"/>
          <w:lang w:val="en-GB" w:eastAsia="da-DK"/>
        </w:rPr>
        <w:t>) compared with the control group (</w:t>
      </w:r>
      <w:r w:rsidRPr="009B564D">
        <w:rPr>
          <w:rFonts w:ascii="Helvetica" w:eastAsia="Times New Roman" w:hAnsi="Helvetica" w:cs="Times New Roman"/>
          <w:i/>
          <w:sz w:val="24"/>
          <w:szCs w:val="24"/>
          <w:lang w:val="en-GB" w:eastAsia="da-DK"/>
        </w:rPr>
        <w:t>“Standard”</w:t>
      </w:r>
      <w:r w:rsidRPr="009B564D">
        <w:rPr>
          <w:rFonts w:ascii="Helvetica" w:eastAsia="Times New Roman" w:hAnsi="Helvetica" w:cs="Times New Roman"/>
          <w:sz w:val="24"/>
          <w:szCs w:val="24"/>
          <w:lang w:val="en-GB" w:eastAsia="da-DK"/>
        </w:rPr>
        <w:t>), with a p-value below 0.01, the DMC shall inform the sponsor/project management. The consequence of this depends on the remaining data and is determined in agreement between DMC and sponsor/project management.</w:t>
      </w:r>
    </w:p>
    <w:p w:rsidR="00D94A27" w:rsidRPr="009B564D" w:rsidRDefault="00D94A27" w:rsidP="009B564D">
      <w:pPr>
        <w:pStyle w:val="Opstilling-talellerbogst"/>
        <w:tabs>
          <w:tab w:val="left" w:pos="709"/>
        </w:tabs>
        <w:spacing w:before="240" w:line="480" w:lineRule="auto"/>
        <w:rPr>
          <w:rFonts w:ascii="Helvetica" w:hAnsi="Helvetica" w:cs="Helvetica"/>
          <w:sz w:val="24"/>
          <w:lang w:val="en-GB" w:eastAsia="da-DK"/>
        </w:rPr>
      </w:pPr>
      <w:r w:rsidRPr="009B564D">
        <w:rPr>
          <w:rFonts w:ascii="Helvetica" w:eastAsia="Times New Roman" w:hAnsi="Helvetica" w:cs="Times New Roman"/>
          <w:sz w:val="24"/>
          <w:szCs w:val="24"/>
          <w:lang w:val="en-GB" w:eastAsia="da-DK"/>
        </w:rPr>
        <w:t>For all 5 safety endpoints applies that:</w:t>
      </w:r>
    </w:p>
    <w:p w:rsidR="00D94A27" w:rsidRPr="009B564D" w:rsidRDefault="00D94A27" w:rsidP="009B564D">
      <w:pPr>
        <w:pStyle w:val="Opstilling-talellerbogst"/>
        <w:numPr>
          <w:ilvl w:val="0"/>
          <w:numId w:val="4"/>
        </w:numPr>
        <w:tabs>
          <w:tab w:val="left" w:pos="709"/>
        </w:tabs>
        <w:spacing w:after="0" w:line="480" w:lineRule="auto"/>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 xml:space="preserve"> if MACE rate is shown to be significantly higher in the control group (</w:t>
      </w:r>
      <w:r w:rsidRPr="009B564D">
        <w:rPr>
          <w:rFonts w:ascii="Helvetica" w:eastAsia="Times New Roman" w:hAnsi="Helvetica" w:cs="Times New Roman"/>
          <w:i/>
          <w:sz w:val="24"/>
          <w:szCs w:val="24"/>
          <w:lang w:val="en-GB" w:eastAsia="da-DK"/>
        </w:rPr>
        <w:t>“Standard”</w:t>
      </w:r>
      <w:r w:rsidRPr="009B564D">
        <w:rPr>
          <w:rFonts w:ascii="Helvetica" w:eastAsia="Times New Roman" w:hAnsi="Helvetica" w:cs="Times New Roman"/>
          <w:sz w:val="24"/>
          <w:szCs w:val="24"/>
          <w:lang w:val="en-GB" w:eastAsia="da-DK"/>
        </w:rPr>
        <w:t>) compared with the intervention group (</w:t>
      </w:r>
      <w:r w:rsidRPr="009B564D">
        <w:rPr>
          <w:rFonts w:ascii="Helvetica" w:eastAsia="Times New Roman" w:hAnsi="Helvetica" w:cs="Times New Roman"/>
          <w:i/>
          <w:sz w:val="24"/>
          <w:szCs w:val="24"/>
          <w:lang w:val="en-GB" w:eastAsia="da-DK"/>
        </w:rPr>
        <w:t>“Accelerated”</w:t>
      </w:r>
      <w:r w:rsidRPr="009B564D">
        <w:rPr>
          <w:rFonts w:ascii="Helvetica" w:eastAsia="Times New Roman" w:hAnsi="Helvetica" w:cs="Times New Roman"/>
          <w:sz w:val="24"/>
          <w:szCs w:val="24"/>
          <w:lang w:val="en-GB" w:eastAsia="da-DK"/>
        </w:rPr>
        <w:t xml:space="preserve">), with a p-value below 0.01, the </w:t>
      </w:r>
      <w:r w:rsidRPr="009B564D">
        <w:rPr>
          <w:rFonts w:ascii="Helvetica" w:eastAsia="Times New Roman" w:hAnsi="Helvetica" w:cs="Times New Roman"/>
          <w:sz w:val="24"/>
          <w:szCs w:val="24"/>
          <w:lang w:val="en-GB" w:eastAsia="da-DK"/>
        </w:rPr>
        <w:lastRenderedPageBreak/>
        <w:t>DMC shall inform the sponsor/project management. The consequence of this depends on the remaining data and is determined in agreement between DMC and sponsor/project management.</w:t>
      </w:r>
    </w:p>
    <w:p w:rsidR="00D94A27" w:rsidRPr="009B564D" w:rsidRDefault="00D94A27" w:rsidP="009B564D">
      <w:pPr>
        <w:tabs>
          <w:tab w:val="left" w:pos="709"/>
        </w:tabs>
        <w:spacing w:before="100" w:beforeAutospacing="1" w:after="0" w:line="480" w:lineRule="auto"/>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Other recommendations from the DMC</w:t>
      </w:r>
    </w:p>
    <w:p w:rsidR="00D94A27" w:rsidRPr="009B564D" w:rsidRDefault="00D94A27" w:rsidP="009B564D">
      <w:pPr>
        <w:tabs>
          <w:tab w:val="left" w:pos="709"/>
        </w:tabs>
        <w:spacing w:before="100" w:beforeAutospacing="1" w:after="0" w:line="480" w:lineRule="auto"/>
        <w:ind w:left="709"/>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The total MACE rate (total for both diagnostic groups) using data extractions from the Danish National Registry of Patients, is reported to sponsor, in order to evaluate the need for prolongation of study period or increasing the number of study sites or alternatively recalculation of sample size.</w:t>
      </w:r>
    </w:p>
    <w:p w:rsidR="00D94A27" w:rsidRPr="009B564D" w:rsidRDefault="00D94A27" w:rsidP="009B564D">
      <w:pPr>
        <w:tabs>
          <w:tab w:val="left" w:pos="709"/>
        </w:tabs>
        <w:spacing w:before="100" w:beforeAutospacing="1" w:after="0" w:line="480" w:lineRule="auto"/>
        <w:ind w:left="709"/>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Readmissions with the first 24 hours are reviewed, initially using data extractions from the Danish National Registry of Patients. If the registered discharge diagnosis (from the readmission) raises suspicion of possible connection</w:t>
      </w:r>
      <w:r w:rsidR="00D91DFA">
        <w:rPr>
          <w:rFonts w:ascii="Helvetica" w:eastAsia="Times New Roman" w:hAnsi="Helvetica" w:cs="Times New Roman"/>
          <w:sz w:val="24"/>
          <w:szCs w:val="24"/>
          <w:lang w:val="en-GB" w:eastAsia="da-DK"/>
        </w:rPr>
        <w:t>s between</w:t>
      </w:r>
      <w:r w:rsidRPr="009B564D">
        <w:rPr>
          <w:rFonts w:ascii="Helvetica" w:eastAsia="Times New Roman" w:hAnsi="Helvetica" w:cs="Times New Roman"/>
          <w:sz w:val="24"/>
          <w:szCs w:val="24"/>
          <w:lang w:val="en-GB" w:eastAsia="da-DK"/>
        </w:rPr>
        <w:t xml:space="preserve"> readmission and the study intervention (specifically early discharge based on Copeptin and hs-cTnT) medical journals are reviewed for the concerned patients. If the suspicion of connection is confirmed or maintained after journal review, the event is reported as a ”</w:t>
      </w:r>
      <w:r w:rsidRPr="009B564D">
        <w:rPr>
          <w:lang w:val="en-GB"/>
        </w:rPr>
        <w:t xml:space="preserve"> </w:t>
      </w:r>
      <w:r w:rsidRPr="009B564D">
        <w:rPr>
          <w:rFonts w:ascii="Helvetica" w:eastAsia="Times New Roman" w:hAnsi="Helvetica" w:cs="Times New Roman"/>
          <w:sz w:val="24"/>
          <w:szCs w:val="24"/>
          <w:lang w:val="en-GB" w:eastAsia="da-DK"/>
        </w:rPr>
        <w:t>Suspected Unexpected Serious Adverse Reaction” to the sponsor/project management in order to report the event to The National Research Ethics Committee, as dictated in ”Indberetningspligten i sundhedsvidenskabelige forsøg, bortset fra lægemiddelforsøg”.</w:t>
      </w:r>
    </w:p>
    <w:p w:rsidR="00D94A27" w:rsidRPr="009B564D" w:rsidRDefault="00D94A27" w:rsidP="009B564D">
      <w:pPr>
        <w:tabs>
          <w:tab w:val="left" w:pos="709"/>
        </w:tabs>
        <w:spacing w:before="100" w:beforeAutospacing="1" w:after="0" w:line="480" w:lineRule="auto"/>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 xml:space="preserve">Data analysis </w:t>
      </w:r>
      <w:r w:rsidR="00D91DFA">
        <w:rPr>
          <w:rFonts w:ascii="Helvetica" w:eastAsia="Times New Roman" w:hAnsi="Helvetica" w:cs="Times New Roman"/>
          <w:sz w:val="24"/>
          <w:szCs w:val="24"/>
          <w:lang w:val="en-GB" w:eastAsia="da-DK"/>
        </w:rPr>
        <w:t>in</w:t>
      </w:r>
      <w:bookmarkStart w:id="0" w:name="_GoBack"/>
      <w:bookmarkEnd w:id="0"/>
      <w:r w:rsidRPr="009B564D">
        <w:rPr>
          <w:rFonts w:ascii="Helvetica" w:eastAsia="Times New Roman" w:hAnsi="Helvetica" w:cs="Times New Roman"/>
          <w:sz w:val="24"/>
          <w:szCs w:val="24"/>
          <w:lang w:val="en-GB" w:eastAsia="da-DK"/>
        </w:rPr>
        <w:t xml:space="preserve"> DMC</w:t>
      </w:r>
    </w:p>
    <w:p w:rsidR="00D94A27" w:rsidRPr="009B564D" w:rsidRDefault="00D94A27" w:rsidP="009B564D">
      <w:pPr>
        <w:tabs>
          <w:tab w:val="left" w:pos="709"/>
        </w:tabs>
        <w:spacing w:before="100" w:beforeAutospacing="1" w:after="0" w:line="480" w:lineRule="auto"/>
        <w:ind w:left="709"/>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All data (un-blinded) are available for the DMC. The data analysis is performed by biostatistician.</w:t>
      </w:r>
    </w:p>
    <w:p w:rsidR="00D94A27" w:rsidRPr="009B564D" w:rsidRDefault="00D94A27" w:rsidP="009B564D">
      <w:pPr>
        <w:tabs>
          <w:tab w:val="left" w:pos="709"/>
        </w:tabs>
        <w:spacing w:before="100" w:beforeAutospacing="1" w:after="0" w:line="480" w:lineRule="auto"/>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lastRenderedPageBreak/>
        <w:t>Remuneration</w:t>
      </w:r>
    </w:p>
    <w:p w:rsidR="00D94A27" w:rsidRPr="009B564D" w:rsidRDefault="00D94A27" w:rsidP="009B564D">
      <w:pPr>
        <w:tabs>
          <w:tab w:val="left" w:pos="709"/>
        </w:tabs>
        <w:spacing w:before="100" w:beforeAutospacing="1" w:after="0" w:line="480" w:lineRule="auto"/>
        <w:ind w:left="709"/>
        <w:rPr>
          <w:rFonts w:ascii="Helvetica" w:eastAsia="Times New Roman" w:hAnsi="Helvetica" w:cs="Times New Roman"/>
          <w:sz w:val="24"/>
          <w:szCs w:val="24"/>
          <w:lang w:val="en-GB" w:eastAsia="da-DK"/>
        </w:rPr>
      </w:pPr>
      <w:r w:rsidRPr="009B564D">
        <w:rPr>
          <w:rFonts w:ascii="Helvetica" w:eastAsia="Times New Roman" w:hAnsi="Helvetica" w:cs="Times New Roman"/>
          <w:sz w:val="24"/>
          <w:szCs w:val="24"/>
          <w:lang w:val="en-GB" w:eastAsia="da-DK"/>
        </w:rPr>
        <w:t>The biostatistician is bought to participate from the Department of Clinical Epidemiology, Aarhus University Hospital, Aarhus, Denmark. The two cardiologists are participating unpaid.</w:t>
      </w:r>
      <w:r w:rsidRPr="009B564D">
        <w:rPr>
          <w:rFonts w:ascii="Helvetica" w:eastAsia="Times New Roman" w:hAnsi="Helvetica" w:cs="Times New Roman"/>
          <w:sz w:val="24"/>
          <w:szCs w:val="24"/>
          <w:lang w:val="en-GB" w:eastAsia="da-DK"/>
        </w:rPr>
        <w:br/>
        <w:t>Expenses for transport, meals and meetings are covered.</w:t>
      </w:r>
    </w:p>
    <w:p w:rsidR="007D60AA" w:rsidRPr="009B564D" w:rsidRDefault="007D60AA" w:rsidP="009B564D">
      <w:pPr>
        <w:spacing w:line="480" w:lineRule="auto"/>
        <w:rPr>
          <w:lang w:val="en-GB"/>
        </w:rPr>
      </w:pPr>
    </w:p>
    <w:sectPr w:rsidR="007D60AA" w:rsidRPr="009B564D" w:rsidSect="009B564D">
      <w:footerReference w:type="default" r:id="rId8"/>
      <w:pgSz w:w="11906" w:h="16838"/>
      <w:pgMar w:top="1701" w:right="1134" w:bottom="1701" w:left="1134" w:header="709" w:footer="709" w:gutter="0"/>
      <w:lnNumType w:countBy="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64D" w:rsidRDefault="009B564D" w:rsidP="009B564D">
      <w:pPr>
        <w:spacing w:after="0" w:line="240" w:lineRule="auto"/>
      </w:pPr>
      <w:r>
        <w:separator/>
      </w:r>
    </w:p>
  </w:endnote>
  <w:endnote w:type="continuationSeparator" w:id="0">
    <w:p w:rsidR="009B564D" w:rsidRDefault="009B564D" w:rsidP="009B5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1463289"/>
      <w:docPartObj>
        <w:docPartGallery w:val="Page Numbers (Bottom of Page)"/>
        <w:docPartUnique/>
      </w:docPartObj>
    </w:sdtPr>
    <w:sdtEndPr/>
    <w:sdtContent>
      <w:p w:rsidR="009B564D" w:rsidRDefault="009B564D">
        <w:pPr>
          <w:pStyle w:val="Sidefod"/>
        </w:pPr>
        <w:r>
          <w:fldChar w:fldCharType="begin"/>
        </w:r>
        <w:r>
          <w:instrText>PAGE   \* MERGEFORMAT</w:instrText>
        </w:r>
        <w:r>
          <w:fldChar w:fldCharType="separate"/>
        </w:r>
        <w:r w:rsidR="00D91DFA">
          <w:rPr>
            <w:noProof/>
          </w:rPr>
          <w:t>3</w:t>
        </w:r>
        <w:r>
          <w:fldChar w:fldCharType="end"/>
        </w:r>
      </w:p>
    </w:sdtContent>
  </w:sdt>
  <w:p w:rsidR="009B564D" w:rsidRDefault="009B564D">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64D" w:rsidRDefault="009B564D" w:rsidP="009B564D">
      <w:pPr>
        <w:spacing w:after="0" w:line="240" w:lineRule="auto"/>
      </w:pPr>
      <w:r>
        <w:separator/>
      </w:r>
    </w:p>
  </w:footnote>
  <w:footnote w:type="continuationSeparator" w:id="0">
    <w:p w:rsidR="009B564D" w:rsidRDefault="009B564D" w:rsidP="009B56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85EC3576"/>
    <w:lvl w:ilvl="0">
      <w:start w:val="1"/>
      <w:numFmt w:val="decimal"/>
      <w:pStyle w:val="Opstilling-talellerbogst"/>
      <w:lvlText w:val="%1."/>
      <w:lvlJc w:val="left"/>
      <w:pPr>
        <w:ind w:left="720" w:hanging="360"/>
      </w:pPr>
    </w:lvl>
  </w:abstractNum>
  <w:abstractNum w:abstractNumId="1">
    <w:nsid w:val="58C67743"/>
    <w:multiLevelType w:val="hybridMultilevel"/>
    <w:tmpl w:val="50AE74F2"/>
    <w:lvl w:ilvl="0" w:tplc="0809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nsid w:val="5D53015A"/>
    <w:multiLevelType w:val="hybridMultilevel"/>
    <w:tmpl w:val="914ED68A"/>
    <w:lvl w:ilvl="0" w:tplc="DDB63B98">
      <w:start w:val="1"/>
      <w:numFmt w:val="bullet"/>
      <w:lvlText w:val="-"/>
      <w:lvlJc w:val="left"/>
      <w:pPr>
        <w:ind w:left="720" w:hanging="360"/>
      </w:pPr>
      <w:rPr>
        <w:rFonts w:ascii="Helvetica" w:eastAsia="Times New Roman" w:hAnsi="Helvetic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72BC62E8"/>
    <w:multiLevelType w:val="hybridMultilevel"/>
    <w:tmpl w:val="6F628D76"/>
    <w:lvl w:ilvl="0" w:tplc="0809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nsid w:val="7F331AE5"/>
    <w:multiLevelType w:val="hybridMultilevel"/>
    <w:tmpl w:val="52642F72"/>
    <w:lvl w:ilvl="0" w:tplc="CF582114">
      <w:start w:val="1"/>
      <w:numFmt w:val="bullet"/>
      <w:lvlText w:val="-"/>
      <w:lvlJc w:val="left"/>
      <w:pPr>
        <w:ind w:left="720" w:hanging="360"/>
      </w:pPr>
      <w:rPr>
        <w:rFonts w:ascii="Helvetica" w:eastAsiaTheme="minorHAnsi" w:hAnsi="Helvetica" w:cs="Helvetic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1304"/>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A27"/>
    <w:rsid w:val="000A5897"/>
    <w:rsid w:val="000F72DB"/>
    <w:rsid w:val="00105BBC"/>
    <w:rsid w:val="0012240C"/>
    <w:rsid w:val="0013515E"/>
    <w:rsid w:val="00167B66"/>
    <w:rsid w:val="0019122A"/>
    <w:rsid w:val="00195729"/>
    <w:rsid w:val="001C12AA"/>
    <w:rsid w:val="001C1DA4"/>
    <w:rsid w:val="00292FD6"/>
    <w:rsid w:val="002A3A3B"/>
    <w:rsid w:val="0037179A"/>
    <w:rsid w:val="00433936"/>
    <w:rsid w:val="00501143"/>
    <w:rsid w:val="005673AB"/>
    <w:rsid w:val="005F10AB"/>
    <w:rsid w:val="00652889"/>
    <w:rsid w:val="0066735F"/>
    <w:rsid w:val="006B2157"/>
    <w:rsid w:val="007D60AA"/>
    <w:rsid w:val="008226A7"/>
    <w:rsid w:val="00841FB3"/>
    <w:rsid w:val="009B564D"/>
    <w:rsid w:val="00A31D5E"/>
    <w:rsid w:val="00AD2E8E"/>
    <w:rsid w:val="00BD352E"/>
    <w:rsid w:val="00C45AC2"/>
    <w:rsid w:val="00D91DFA"/>
    <w:rsid w:val="00D94A27"/>
    <w:rsid w:val="00F16AB0"/>
    <w:rsid w:val="00FB1F36"/>
    <w:rsid w:val="00FE0AC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A27"/>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Strk">
    <w:name w:val="Strong"/>
    <w:basedOn w:val="Standardskrifttypeiafsnit"/>
    <w:uiPriority w:val="22"/>
    <w:qFormat/>
    <w:rsid w:val="00D94A27"/>
    <w:rPr>
      <w:b/>
      <w:bCs/>
    </w:rPr>
  </w:style>
  <w:style w:type="paragraph" w:styleId="Listeafsnit">
    <w:name w:val="List Paragraph"/>
    <w:basedOn w:val="Normal"/>
    <w:qFormat/>
    <w:rsid w:val="00D94A27"/>
    <w:pPr>
      <w:ind w:left="720"/>
      <w:contextualSpacing/>
    </w:pPr>
  </w:style>
  <w:style w:type="character" w:styleId="Kommentarhenvisning">
    <w:name w:val="annotation reference"/>
    <w:basedOn w:val="Standardskrifttypeiafsnit"/>
    <w:uiPriority w:val="99"/>
    <w:semiHidden/>
    <w:unhideWhenUsed/>
    <w:rsid w:val="00D94A27"/>
    <w:rPr>
      <w:sz w:val="16"/>
      <w:szCs w:val="16"/>
    </w:rPr>
  </w:style>
  <w:style w:type="paragraph" w:styleId="Kommentartekst">
    <w:name w:val="annotation text"/>
    <w:basedOn w:val="Normal"/>
    <w:link w:val="KommentartekstTegn"/>
    <w:uiPriority w:val="99"/>
    <w:semiHidden/>
    <w:unhideWhenUsed/>
    <w:rsid w:val="00D94A27"/>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D94A27"/>
    <w:rPr>
      <w:sz w:val="20"/>
      <w:szCs w:val="20"/>
    </w:rPr>
  </w:style>
  <w:style w:type="paragraph" w:styleId="Opstilling-talellerbogst">
    <w:name w:val="List Number"/>
    <w:basedOn w:val="Normal"/>
    <w:uiPriority w:val="99"/>
    <w:unhideWhenUsed/>
    <w:rsid w:val="00D94A27"/>
    <w:pPr>
      <w:numPr>
        <w:numId w:val="1"/>
      </w:numPr>
      <w:ind w:left="0" w:firstLine="0"/>
      <w:contextualSpacing/>
    </w:pPr>
  </w:style>
  <w:style w:type="paragraph" w:styleId="Markeringsbobletekst">
    <w:name w:val="Balloon Text"/>
    <w:basedOn w:val="Normal"/>
    <w:link w:val="MarkeringsbobletekstTegn"/>
    <w:uiPriority w:val="99"/>
    <w:semiHidden/>
    <w:unhideWhenUsed/>
    <w:rsid w:val="00D94A27"/>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94A27"/>
    <w:rPr>
      <w:rFonts w:ascii="Tahoma" w:hAnsi="Tahoma" w:cs="Tahoma"/>
      <w:sz w:val="16"/>
      <w:szCs w:val="16"/>
    </w:rPr>
  </w:style>
  <w:style w:type="paragraph" w:styleId="Titel">
    <w:name w:val="Title"/>
    <w:basedOn w:val="Normal"/>
    <w:next w:val="Normal"/>
    <w:link w:val="TitelTegn"/>
    <w:uiPriority w:val="10"/>
    <w:qFormat/>
    <w:rsid w:val="00D94A2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D94A27"/>
    <w:rPr>
      <w:rFonts w:asciiTheme="majorHAnsi" w:eastAsiaTheme="majorEastAsia" w:hAnsiTheme="majorHAnsi" w:cstheme="majorBidi"/>
      <w:color w:val="17365D" w:themeColor="text2" w:themeShade="BF"/>
      <w:spacing w:val="5"/>
      <w:kern w:val="28"/>
      <w:sz w:val="52"/>
      <w:szCs w:val="52"/>
    </w:rPr>
  </w:style>
  <w:style w:type="paragraph" w:customStyle="1" w:styleId="Titel2">
    <w:name w:val="Titel 2"/>
    <w:basedOn w:val="Normal"/>
    <w:link w:val="Titel2Tegn"/>
    <w:qFormat/>
    <w:rsid w:val="0013515E"/>
    <w:pPr>
      <w:pBdr>
        <w:bottom w:val="single" w:sz="6" w:space="1" w:color="auto"/>
      </w:pBdr>
    </w:pPr>
    <w:rPr>
      <w:rFonts w:ascii="Helvetica" w:hAnsi="Helvetica" w:cs="Helvetica"/>
      <w:sz w:val="36"/>
      <w:lang w:val="en-GB"/>
    </w:rPr>
  </w:style>
  <w:style w:type="character" w:customStyle="1" w:styleId="Titel2Tegn">
    <w:name w:val="Titel 2 Tegn"/>
    <w:basedOn w:val="Standardskrifttypeiafsnit"/>
    <w:link w:val="Titel2"/>
    <w:rsid w:val="0013515E"/>
    <w:rPr>
      <w:rFonts w:ascii="Helvetica" w:hAnsi="Helvetica" w:cs="Helvetica"/>
      <w:sz w:val="36"/>
      <w:lang w:val="en-GB"/>
    </w:rPr>
  </w:style>
  <w:style w:type="character" w:styleId="Linjenummer">
    <w:name w:val="line number"/>
    <w:basedOn w:val="Standardskrifttypeiafsnit"/>
    <w:uiPriority w:val="99"/>
    <w:semiHidden/>
    <w:unhideWhenUsed/>
    <w:rsid w:val="009B564D"/>
  </w:style>
  <w:style w:type="paragraph" w:styleId="Sidehoved">
    <w:name w:val="header"/>
    <w:basedOn w:val="Normal"/>
    <w:link w:val="SidehovedTegn"/>
    <w:uiPriority w:val="99"/>
    <w:unhideWhenUsed/>
    <w:rsid w:val="009B564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9B564D"/>
  </w:style>
  <w:style w:type="paragraph" w:styleId="Sidefod">
    <w:name w:val="footer"/>
    <w:basedOn w:val="Normal"/>
    <w:link w:val="SidefodTegn"/>
    <w:uiPriority w:val="99"/>
    <w:unhideWhenUsed/>
    <w:rsid w:val="009B564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9B56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A27"/>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Strk">
    <w:name w:val="Strong"/>
    <w:basedOn w:val="Standardskrifttypeiafsnit"/>
    <w:uiPriority w:val="22"/>
    <w:qFormat/>
    <w:rsid w:val="00D94A27"/>
    <w:rPr>
      <w:b/>
      <w:bCs/>
    </w:rPr>
  </w:style>
  <w:style w:type="paragraph" w:styleId="Listeafsnit">
    <w:name w:val="List Paragraph"/>
    <w:basedOn w:val="Normal"/>
    <w:qFormat/>
    <w:rsid w:val="00D94A27"/>
    <w:pPr>
      <w:ind w:left="720"/>
      <w:contextualSpacing/>
    </w:pPr>
  </w:style>
  <w:style w:type="character" w:styleId="Kommentarhenvisning">
    <w:name w:val="annotation reference"/>
    <w:basedOn w:val="Standardskrifttypeiafsnit"/>
    <w:uiPriority w:val="99"/>
    <w:semiHidden/>
    <w:unhideWhenUsed/>
    <w:rsid w:val="00D94A27"/>
    <w:rPr>
      <w:sz w:val="16"/>
      <w:szCs w:val="16"/>
    </w:rPr>
  </w:style>
  <w:style w:type="paragraph" w:styleId="Kommentartekst">
    <w:name w:val="annotation text"/>
    <w:basedOn w:val="Normal"/>
    <w:link w:val="KommentartekstTegn"/>
    <w:uiPriority w:val="99"/>
    <w:semiHidden/>
    <w:unhideWhenUsed/>
    <w:rsid w:val="00D94A27"/>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D94A27"/>
    <w:rPr>
      <w:sz w:val="20"/>
      <w:szCs w:val="20"/>
    </w:rPr>
  </w:style>
  <w:style w:type="paragraph" w:styleId="Opstilling-talellerbogst">
    <w:name w:val="List Number"/>
    <w:basedOn w:val="Normal"/>
    <w:uiPriority w:val="99"/>
    <w:unhideWhenUsed/>
    <w:rsid w:val="00D94A27"/>
    <w:pPr>
      <w:numPr>
        <w:numId w:val="1"/>
      </w:numPr>
      <w:ind w:left="0" w:firstLine="0"/>
      <w:contextualSpacing/>
    </w:pPr>
  </w:style>
  <w:style w:type="paragraph" w:styleId="Markeringsbobletekst">
    <w:name w:val="Balloon Text"/>
    <w:basedOn w:val="Normal"/>
    <w:link w:val="MarkeringsbobletekstTegn"/>
    <w:uiPriority w:val="99"/>
    <w:semiHidden/>
    <w:unhideWhenUsed/>
    <w:rsid w:val="00D94A27"/>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D94A27"/>
    <w:rPr>
      <w:rFonts w:ascii="Tahoma" w:hAnsi="Tahoma" w:cs="Tahoma"/>
      <w:sz w:val="16"/>
      <w:szCs w:val="16"/>
    </w:rPr>
  </w:style>
  <w:style w:type="paragraph" w:styleId="Titel">
    <w:name w:val="Title"/>
    <w:basedOn w:val="Normal"/>
    <w:next w:val="Normal"/>
    <w:link w:val="TitelTegn"/>
    <w:uiPriority w:val="10"/>
    <w:qFormat/>
    <w:rsid w:val="00D94A2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D94A27"/>
    <w:rPr>
      <w:rFonts w:asciiTheme="majorHAnsi" w:eastAsiaTheme="majorEastAsia" w:hAnsiTheme="majorHAnsi" w:cstheme="majorBidi"/>
      <w:color w:val="17365D" w:themeColor="text2" w:themeShade="BF"/>
      <w:spacing w:val="5"/>
      <w:kern w:val="28"/>
      <w:sz w:val="52"/>
      <w:szCs w:val="52"/>
    </w:rPr>
  </w:style>
  <w:style w:type="paragraph" w:customStyle="1" w:styleId="Titel2">
    <w:name w:val="Titel 2"/>
    <w:basedOn w:val="Normal"/>
    <w:link w:val="Titel2Tegn"/>
    <w:qFormat/>
    <w:rsid w:val="0013515E"/>
    <w:pPr>
      <w:pBdr>
        <w:bottom w:val="single" w:sz="6" w:space="1" w:color="auto"/>
      </w:pBdr>
    </w:pPr>
    <w:rPr>
      <w:rFonts w:ascii="Helvetica" w:hAnsi="Helvetica" w:cs="Helvetica"/>
      <w:sz w:val="36"/>
      <w:lang w:val="en-GB"/>
    </w:rPr>
  </w:style>
  <w:style w:type="character" w:customStyle="1" w:styleId="Titel2Tegn">
    <w:name w:val="Titel 2 Tegn"/>
    <w:basedOn w:val="Standardskrifttypeiafsnit"/>
    <w:link w:val="Titel2"/>
    <w:rsid w:val="0013515E"/>
    <w:rPr>
      <w:rFonts w:ascii="Helvetica" w:hAnsi="Helvetica" w:cs="Helvetica"/>
      <w:sz w:val="36"/>
      <w:lang w:val="en-GB"/>
    </w:rPr>
  </w:style>
  <w:style w:type="character" w:styleId="Linjenummer">
    <w:name w:val="line number"/>
    <w:basedOn w:val="Standardskrifttypeiafsnit"/>
    <w:uiPriority w:val="99"/>
    <w:semiHidden/>
    <w:unhideWhenUsed/>
    <w:rsid w:val="009B564D"/>
  </w:style>
  <w:style w:type="paragraph" w:styleId="Sidehoved">
    <w:name w:val="header"/>
    <w:basedOn w:val="Normal"/>
    <w:link w:val="SidehovedTegn"/>
    <w:uiPriority w:val="99"/>
    <w:unhideWhenUsed/>
    <w:rsid w:val="009B564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9B564D"/>
  </w:style>
  <w:style w:type="paragraph" w:styleId="Sidefod">
    <w:name w:val="footer"/>
    <w:basedOn w:val="Normal"/>
    <w:link w:val="SidefodTegn"/>
    <w:uiPriority w:val="99"/>
    <w:unhideWhenUsed/>
    <w:rsid w:val="009B564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9B56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3121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Claus Kjær Pedersen</dc:creator>
  <cp:lastModifiedBy>Claus Kjær Pedersen</cp:lastModifiedBy>
  <cp:revision>2</cp:revision>
  <dcterms:created xsi:type="dcterms:W3CDTF">2018-06-24T21:50:00Z</dcterms:created>
  <dcterms:modified xsi:type="dcterms:W3CDTF">2018-06-24T21:50:00Z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SD_DocumentLanguage">
    <vt:lpwstr>da-DK</vt:lpwstr>
  </property>
</Properties>
</file>