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37" w:rsidRDefault="00C36937" w:rsidP="00C36937">
      <w:pPr>
        <w:spacing w:line="360" w:lineRule="auto"/>
        <w:jc w:val="both"/>
        <w:rPr>
          <w:rFonts w:ascii="Calibri" w:hAnsi="Calibri" w:cs="Calibri"/>
          <w:lang w:val="en-US"/>
        </w:rPr>
      </w:pPr>
      <w:r>
        <w:rPr>
          <w:rFonts w:ascii="Calibri" w:hAnsi="Calibri" w:cs="Calibri"/>
          <w:lang w:val="en-US"/>
        </w:rPr>
        <w:t xml:space="preserve">Additional file </w:t>
      </w:r>
      <w:r w:rsidR="00914B55">
        <w:rPr>
          <w:rFonts w:ascii="Calibri" w:hAnsi="Calibri" w:cs="Calibri"/>
          <w:lang w:val="en-US"/>
        </w:rPr>
        <w:t xml:space="preserve">6: </w:t>
      </w:r>
      <w:bookmarkStart w:id="0" w:name="_GoBack"/>
      <w:bookmarkEnd w:id="0"/>
      <w:r>
        <w:rPr>
          <w:rFonts w:ascii="Calibri" w:hAnsi="Calibri" w:cs="Calibri"/>
          <w:lang w:val="en-US"/>
        </w:rPr>
        <w:t>Figure S3</w:t>
      </w:r>
      <w:r w:rsidRPr="00DF6857">
        <w:rPr>
          <w:rFonts w:ascii="Calibri" w:hAnsi="Calibri" w:cs="Calibri"/>
          <w:lang w:val="en-US"/>
        </w:rPr>
        <w:t xml:space="preserve">: </w:t>
      </w:r>
      <w:r>
        <w:rPr>
          <w:rFonts w:ascii="Calibri" w:hAnsi="Calibri" w:cs="Calibri"/>
          <w:lang w:val="en-US"/>
        </w:rPr>
        <w:t>endoscopic step-up approach [32]</w:t>
      </w:r>
    </w:p>
    <w:p w:rsidR="00C36937" w:rsidRDefault="00C36937" w:rsidP="00C36937">
      <w:pPr>
        <w:spacing w:line="360" w:lineRule="auto"/>
        <w:jc w:val="both"/>
        <w:rPr>
          <w:rFonts w:ascii="Calibri" w:hAnsi="Calibri" w:cs="Calibri"/>
          <w:lang w:val="en-US"/>
        </w:rPr>
      </w:pPr>
    </w:p>
    <w:p w:rsidR="00C36937" w:rsidRPr="00606D6F" w:rsidRDefault="00C36937" w:rsidP="00C36937">
      <w:pPr>
        <w:spacing w:line="360" w:lineRule="auto"/>
        <w:jc w:val="both"/>
        <w:rPr>
          <w:rFonts w:ascii="Calibri" w:hAnsi="Calibri" w:cs="Calibri"/>
          <w:lang w:val="en-US"/>
        </w:rPr>
      </w:pPr>
      <w:r w:rsidRPr="00606D6F">
        <w:rPr>
          <w:rFonts w:ascii="Calibri" w:hAnsi="Calibri" w:cs="Calibri"/>
          <w:lang w:val="en-US"/>
        </w:rPr>
        <w:t>A| The first step of the endoscopic step</w:t>
      </w:r>
      <w:r w:rsidRPr="00606D6F">
        <w:rPr>
          <w:rFonts w:ascii="Calibri" w:eastAsia="MS Mincho" w:hAnsi="Calibri" w:cs="Calibri" w:hint="eastAsia"/>
          <w:lang w:val="en-US"/>
        </w:rPr>
        <w:t>‑</w:t>
      </w:r>
      <w:r w:rsidRPr="00606D6F">
        <w:rPr>
          <w:rFonts w:ascii="Calibri" w:hAnsi="Calibri" w:cs="Calibri"/>
          <w:lang w:val="en-US"/>
        </w:rPr>
        <w:t xml:space="preserve">up approach is endoscopic transluminal drainage. The preferred access route for endoscopic transluminal treatment is through the posterior wall of the stomach. The necrotic collection often bulges into the stomach, facilitating endoscopic transluminal treatment. The collection is punctured through the gastric wall, followed by balloon dilatation of the tract. Two double-pigtail stents and a </w:t>
      </w:r>
      <w:proofErr w:type="spellStart"/>
      <w:r w:rsidRPr="00606D6F">
        <w:rPr>
          <w:rFonts w:ascii="Calibri" w:hAnsi="Calibri" w:cs="Calibri"/>
          <w:lang w:val="en-US"/>
        </w:rPr>
        <w:t>nasocystic</w:t>
      </w:r>
      <w:proofErr w:type="spellEnd"/>
      <w:r w:rsidRPr="00606D6F">
        <w:rPr>
          <w:rFonts w:ascii="Calibri" w:hAnsi="Calibri" w:cs="Calibri"/>
          <w:lang w:val="en-US"/>
        </w:rPr>
        <w:t xml:space="preserve"> catheter are placed for continuous postoperative irrigation. B| If necessary, the </w:t>
      </w:r>
      <w:proofErr w:type="spellStart"/>
      <w:r w:rsidRPr="00606D6F">
        <w:rPr>
          <w:rFonts w:ascii="Calibri" w:hAnsi="Calibri" w:cs="Calibri"/>
          <w:lang w:val="en-US"/>
        </w:rPr>
        <w:t>cystostomy</w:t>
      </w:r>
      <w:proofErr w:type="spellEnd"/>
      <w:r w:rsidRPr="00606D6F">
        <w:rPr>
          <w:rFonts w:ascii="Calibri" w:hAnsi="Calibri" w:cs="Calibri"/>
          <w:lang w:val="en-US"/>
        </w:rPr>
        <w:t xml:space="preserve"> tract is further dilated, the collection is entered by a forward viewing endoscope, and </w:t>
      </w:r>
      <w:proofErr w:type="spellStart"/>
      <w:r w:rsidRPr="00606D6F">
        <w:rPr>
          <w:rFonts w:ascii="Calibri" w:hAnsi="Calibri" w:cs="Calibri"/>
          <w:lang w:val="en-US"/>
        </w:rPr>
        <w:t>necrosectomy</w:t>
      </w:r>
      <w:proofErr w:type="spellEnd"/>
      <w:r w:rsidRPr="00606D6F">
        <w:rPr>
          <w:rFonts w:ascii="Calibri" w:hAnsi="Calibri" w:cs="Calibri"/>
          <w:lang w:val="en-US"/>
        </w:rPr>
        <w:t xml:space="preserve"> is performed.</w:t>
      </w:r>
    </w:p>
    <w:p w:rsidR="00C36937" w:rsidRPr="00606D6F" w:rsidRDefault="00C36937" w:rsidP="00C36937">
      <w:pPr>
        <w:spacing w:line="360" w:lineRule="auto"/>
        <w:jc w:val="both"/>
        <w:rPr>
          <w:rFonts w:ascii="Calibri" w:hAnsi="Calibri" w:cs="Calibri"/>
          <w:lang w:val="en-US"/>
        </w:rPr>
      </w:pPr>
    </w:p>
    <w:p w:rsidR="00C36937" w:rsidRDefault="00C36937" w:rsidP="00C36937">
      <w:pPr>
        <w:spacing w:line="360" w:lineRule="auto"/>
        <w:jc w:val="both"/>
        <w:rPr>
          <w:rFonts w:ascii="Calibri" w:hAnsi="Calibri" w:cs="Calibri"/>
          <w:i/>
          <w:lang w:val="en-US"/>
        </w:rPr>
      </w:pPr>
      <w:r w:rsidRPr="00756674">
        <w:rPr>
          <w:rFonts w:ascii="Calibri" w:hAnsi="Calibri" w:cs="Calibri"/>
          <w:i/>
        </w:rPr>
        <w:t>Reprinted from</w:t>
      </w:r>
      <w:r w:rsidRPr="006F1B2F">
        <w:rPr>
          <w:rFonts w:ascii="Calibri" w:hAnsi="Calibri" w:cs="Calibri"/>
          <w:i/>
        </w:rPr>
        <w:t xml:space="preserve"> </w:t>
      </w:r>
      <w:r w:rsidRPr="00756674">
        <w:rPr>
          <w:rFonts w:ascii="Calibri" w:hAnsi="Calibri" w:cs="Calibri"/>
          <w:i/>
        </w:rPr>
        <w:t xml:space="preserve">van Brunschot, S. et al. </w:t>
      </w:r>
      <w:proofErr w:type="spellStart"/>
      <w:proofErr w:type="gramStart"/>
      <w:r>
        <w:rPr>
          <w:rFonts w:ascii="Calibri" w:hAnsi="Calibri" w:cs="Calibri"/>
          <w:i/>
          <w:lang w:val="en-US"/>
        </w:rPr>
        <w:t>Clin</w:t>
      </w:r>
      <w:proofErr w:type="spellEnd"/>
      <w:r>
        <w:rPr>
          <w:rFonts w:ascii="Calibri" w:hAnsi="Calibri" w:cs="Calibri"/>
          <w:i/>
          <w:lang w:val="en-US"/>
        </w:rPr>
        <w:t>.</w:t>
      </w:r>
      <w:proofErr w:type="gramEnd"/>
      <w:r>
        <w:rPr>
          <w:rFonts w:ascii="Calibri" w:hAnsi="Calibri" w:cs="Calibri"/>
          <w:i/>
          <w:lang w:val="en-US"/>
        </w:rPr>
        <w:t xml:space="preserve"> </w:t>
      </w:r>
      <w:proofErr w:type="spellStart"/>
      <w:proofErr w:type="gramStart"/>
      <w:r w:rsidRPr="00756674">
        <w:rPr>
          <w:rFonts w:ascii="Calibri" w:hAnsi="Calibri" w:cs="Calibri"/>
          <w:i/>
          <w:lang w:val="en-US"/>
        </w:rPr>
        <w:t>G</w:t>
      </w:r>
      <w:r>
        <w:rPr>
          <w:rFonts w:ascii="Calibri" w:hAnsi="Calibri" w:cs="Calibri"/>
          <w:i/>
          <w:lang w:val="en-US"/>
        </w:rPr>
        <w:t>astroenterol</w:t>
      </w:r>
      <w:proofErr w:type="spellEnd"/>
      <w:r>
        <w:rPr>
          <w:rFonts w:ascii="Calibri" w:hAnsi="Calibri" w:cs="Calibri"/>
          <w:i/>
          <w:lang w:val="en-US"/>
        </w:rPr>
        <w:t>.</w:t>
      </w:r>
      <w:proofErr w:type="gramEnd"/>
      <w:r>
        <w:rPr>
          <w:rFonts w:ascii="Calibri" w:hAnsi="Calibri" w:cs="Calibri"/>
          <w:i/>
          <w:lang w:val="en-US"/>
        </w:rPr>
        <w:t xml:space="preserve"> </w:t>
      </w:r>
      <w:proofErr w:type="spellStart"/>
      <w:proofErr w:type="gramStart"/>
      <w:r>
        <w:rPr>
          <w:rFonts w:ascii="Calibri" w:hAnsi="Calibri" w:cs="Calibri"/>
          <w:i/>
          <w:lang w:val="en-US"/>
        </w:rPr>
        <w:t>Hepatol</w:t>
      </w:r>
      <w:proofErr w:type="spellEnd"/>
      <w:r>
        <w:rPr>
          <w:rFonts w:ascii="Calibri" w:hAnsi="Calibri" w:cs="Calibri"/>
          <w:i/>
          <w:lang w:val="en-US"/>
        </w:rPr>
        <w:t>.</w:t>
      </w:r>
      <w:proofErr w:type="gramEnd"/>
      <w:r>
        <w:rPr>
          <w:rFonts w:ascii="Calibri" w:hAnsi="Calibri" w:cs="Calibri"/>
          <w:i/>
          <w:lang w:val="en-US"/>
        </w:rPr>
        <w:t xml:space="preserve"> 10, 1190-</w:t>
      </w:r>
      <w:r w:rsidRPr="00756674">
        <w:rPr>
          <w:rFonts w:ascii="Calibri" w:hAnsi="Calibri" w:cs="Calibri"/>
          <w:i/>
          <w:lang w:val="en-US"/>
        </w:rPr>
        <w:t>1201 (2012)</w:t>
      </w:r>
      <w:r>
        <w:rPr>
          <w:rFonts w:ascii="Calibri" w:hAnsi="Calibri" w:cs="Calibri"/>
          <w:i/>
          <w:lang w:val="en-US"/>
        </w:rPr>
        <w:t xml:space="preserve"> [37]</w:t>
      </w:r>
      <w:r w:rsidRPr="00756674">
        <w:rPr>
          <w:rFonts w:ascii="Calibri" w:hAnsi="Calibri" w:cs="Calibri"/>
          <w:i/>
          <w:lang w:val="en-US"/>
        </w:rPr>
        <w:t>, with permission from</w:t>
      </w:r>
      <w:r>
        <w:rPr>
          <w:rFonts w:ascii="Calibri" w:hAnsi="Calibri" w:cs="Calibri"/>
          <w:i/>
          <w:lang w:val="en-US"/>
        </w:rPr>
        <w:t xml:space="preserve"> Elsevier ©, and </w:t>
      </w:r>
      <w:r w:rsidRPr="00756674">
        <w:rPr>
          <w:rFonts w:ascii="Calibri" w:hAnsi="Calibri" w:cs="Calibri"/>
          <w:i/>
          <w:lang w:val="en-US"/>
        </w:rPr>
        <w:t>permission obtained from John Wiley and Sons ©</w:t>
      </w:r>
      <w:r>
        <w:rPr>
          <w:rFonts w:ascii="Calibri" w:hAnsi="Calibri" w:cs="Calibri"/>
          <w:i/>
          <w:lang w:val="en-US"/>
        </w:rPr>
        <w:t xml:space="preserve"> </w:t>
      </w:r>
      <w:r w:rsidRPr="006F1B2F">
        <w:rPr>
          <w:rFonts w:ascii="Calibri" w:hAnsi="Calibri" w:cs="Calibri"/>
          <w:i/>
          <w:lang w:val="en-US"/>
        </w:rPr>
        <w:t xml:space="preserve">da Costa, D. W. et al. </w:t>
      </w:r>
      <w:r>
        <w:rPr>
          <w:rFonts w:ascii="Calibri" w:hAnsi="Calibri" w:cs="Calibri"/>
          <w:i/>
          <w:lang w:val="en-US"/>
        </w:rPr>
        <w:t>Br. J. Surg. 101, e65-</w:t>
      </w:r>
      <w:r w:rsidRPr="00756674">
        <w:rPr>
          <w:rFonts w:ascii="Calibri" w:hAnsi="Calibri" w:cs="Calibri"/>
          <w:i/>
          <w:lang w:val="en-US"/>
        </w:rPr>
        <w:t>e79 (2014</w:t>
      </w:r>
      <w:r>
        <w:rPr>
          <w:rFonts w:ascii="Calibri" w:hAnsi="Calibri" w:cs="Calibri"/>
          <w:i/>
          <w:lang w:val="en-US"/>
        </w:rPr>
        <w:t xml:space="preserve"> [38]</w:t>
      </w:r>
      <w:r w:rsidRPr="00756674">
        <w:rPr>
          <w:rFonts w:ascii="Calibri" w:hAnsi="Calibri" w:cs="Calibri"/>
          <w:i/>
          <w:lang w:val="en-US"/>
        </w:rPr>
        <w:t>).</w:t>
      </w:r>
    </w:p>
    <w:p w:rsidR="00C36937" w:rsidRPr="006F1B2F" w:rsidRDefault="00C36937" w:rsidP="00C36937">
      <w:pPr>
        <w:spacing w:line="360" w:lineRule="auto"/>
        <w:jc w:val="both"/>
        <w:rPr>
          <w:rFonts w:ascii="Calibri" w:hAnsi="Calibri" w:cs="Calibri"/>
          <w:i/>
          <w:lang w:val="en-US"/>
        </w:rPr>
      </w:pPr>
    </w:p>
    <w:p w:rsidR="0055637B" w:rsidRPr="00C36937" w:rsidRDefault="00C36937" w:rsidP="00C36937">
      <w:r>
        <w:rPr>
          <w:rFonts w:ascii="Calibri" w:hAnsi="Calibri" w:cs="Calibri"/>
          <w:noProof/>
          <w:sz w:val="32"/>
          <w:szCs w:val="32"/>
          <w:lang w:val="en-US" w:eastAsia="en-US"/>
        </w:rPr>
        <w:drawing>
          <wp:inline distT="0" distB="0" distL="0" distR="0" wp14:anchorId="1CE27766" wp14:editId="370B52E1">
            <wp:extent cx="5753735" cy="2967990"/>
            <wp:effectExtent l="0" t="0" r="12065" b="3810"/>
            <wp:docPr id="2" name="Afbeelding 2"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735" cy="2967990"/>
                    </a:xfrm>
                    <a:prstGeom prst="rect">
                      <a:avLst/>
                    </a:prstGeom>
                    <a:noFill/>
                    <a:ln>
                      <a:noFill/>
                    </a:ln>
                  </pic:spPr>
                </pic:pic>
              </a:graphicData>
            </a:graphic>
          </wp:inline>
        </w:drawing>
      </w:r>
      <w:r>
        <w:rPr>
          <w:rFonts w:ascii="Calibri" w:hAnsi="Calibri" w:cs="Calibri"/>
          <w:sz w:val="32"/>
          <w:szCs w:val="32"/>
          <w:lang w:val="en-US"/>
        </w:rPr>
        <w:br w:type="page"/>
      </w:r>
    </w:p>
    <w:sectPr w:rsidR="0055637B" w:rsidRPr="00C36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55637B"/>
    <w:rsid w:val="00064EBB"/>
    <w:rsid w:val="004A4726"/>
    <w:rsid w:val="0055637B"/>
    <w:rsid w:val="00755981"/>
    <w:rsid w:val="00841D05"/>
    <w:rsid w:val="00914B55"/>
    <w:rsid w:val="00C3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37B"/>
    <w:pPr>
      <w:spacing w:after="0" w:line="240" w:lineRule="auto"/>
    </w:pPr>
    <w:rPr>
      <w:rFonts w:ascii="Times New Roman" w:eastAsia="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EBB"/>
    <w:rPr>
      <w:rFonts w:ascii="Tahoma" w:hAnsi="Tahoma" w:cs="Tahoma"/>
      <w:sz w:val="16"/>
      <w:szCs w:val="16"/>
    </w:rPr>
  </w:style>
  <w:style w:type="character" w:customStyle="1" w:styleId="BalloonTextChar">
    <w:name w:val="Balloon Text Char"/>
    <w:basedOn w:val="DefaultParagraphFont"/>
    <w:link w:val="BalloonText"/>
    <w:uiPriority w:val="99"/>
    <w:semiHidden/>
    <w:rsid w:val="00064EBB"/>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37B"/>
    <w:pPr>
      <w:spacing w:after="0" w:line="240" w:lineRule="auto"/>
    </w:pPr>
    <w:rPr>
      <w:rFonts w:ascii="Times New Roman" w:eastAsia="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EBB"/>
    <w:rPr>
      <w:rFonts w:ascii="Tahoma" w:hAnsi="Tahoma" w:cs="Tahoma"/>
      <w:sz w:val="16"/>
      <w:szCs w:val="16"/>
    </w:rPr>
  </w:style>
  <w:style w:type="character" w:customStyle="1" w:styleId="BalloonTextChar">
    <w:name w:val="Balloon Text Char"/>
    <w:basedOn w:val="DefaultParagraphFont"/>
    <w:link w:val="BalloonText"/>
    <w:uiPriority w:val="99"/>
    <w:semiHidden/>
    <w:rsid w:val="00064EBB"/>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823</Characters>
  <Application>Microsoft Office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GCREDO</cp:lastModifiedBy>
  <cp:revision>3</cp:revision>
  <dcterms:created xsi:type="dcterms:W3CDTF">2019-03-23T02:59:00Z</dcterms:created>
  <dcterms:modified xsi:type="dcterms:W3CDTF">2019-04-03T21:10:00Z</dcterms:modified>
</cp:coreProperties>
</file>